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ED88D">
      <w:pPr>
        <w:autoSpaceDE w:val="0"/>
        <w:autoSpaceDN w:val="0"/>
        <w:adjustRightInd w:val="0"/>
        <w:spacing w:line="720" w:lineRule="auto"/>
        <w:ind w:firstLine="0" w:firstLineChars="0"/>
        <w:rPr>
          <w:rFonts w:ascii="宋体" w:hAnsi="宋体" w:eastAsia="宋体" w:cs="宋体"/>
          <w:b/>
          <w:sz w:val="24"/>
          <w:szCs w:val="24"/>
          <w:lang w:val="zh-CN"/>
        </w:rPr>
      </w:pPr>
    </w:p>
    <w:p w14:paraId="33E0F34C">
      <w:pPr>
        <w:autoSpaceDE w:val="0"/>
        <w:autoSpaceDN w:val="0"/>
        <w:adjustRightInd w:val="0"/>
        <w:spacing w:line="720" w:lineRule="auto"/>
        <w:ind w:firstLine="0" w:firstLineChars="0"/>
        <w:rPr>
          <w:rFonts w:ascii="宋体" w:hAnsi="宋体" w:eastAsia="宋体" w:cs="宋体"/>
          <w:b/>
          <w:sz w:val="24"/>
          <w:szCs w:val="24"/>
          <w:lang w:val="zh-CN"/>
        </w:rPr>
      </w:pPr>
    </w:p>
    <w:p w14:paraId="318BD310">
      <w:pPr>
        <w:autoSpaceDE w:val="0"/>
        <w:autoSpaceDN w:val="0"/>
        <w:adjustRightInd w:val="0"/>
        <w:spacing w:line="720" w:lineRule="auto"/>
        <w:ind w:firstLine="0" w:firstLineChars="0"/>
        <w:jc w:val="center"/>
        <w:rPr>
          <w:rFonts w:ascii="宋体" w:hAnsi="宋体" w:eastAsia="宋体" w:cs="宋体"/>
          <w:b/>
          <w:sz w:val="84"/>
          <w:szCs w:val="84"/>
        </w:rPr>
      </w:pPr>
      <w:r>
        <w:rPr>
          <w:rFonts w:hint="eastAsia" w:ascii="宋体" w:hAnsi="宋体" w:eastAsia="宋体" w:cs="宋体"/>
          <w:b/>
          <w:sz w:val="84"/>
          <w:szCs w:val="84"/>
          <w:lang w:val="en-US" w:eastAsia="zh-CN"/>
        </w:rPr>
        <w:t>竞争性</w:t>
      </w:r>
      <w:r>
        <w:rPr>
          <w:rFonts w:hint="eastAsia" w:ascii="宋体" w:hAnsi="宋体" w:eastAsia="宋体" w:cs="宋体"/>
          <w:b/>
          <w:sz w:val="84"/>
          <w:szCs w:val="84"/>
          <w:lang w:val="zh-CN"/>
        </w:rPr>
        <w:t>磋商文件</w:t>
      </w:r>
    </w:p>
    <w:p w14:paraId="7543A54E">
      <w:pPr>
        <w:adjustRightInd w:val="0"/>
        <w:spacing w:line="720" w:lineRule="auto"/>
        <w:ind w:firstLine="0" w:firstLineChars="0"/>
        <w:textAlignment w:val="baseline"/>
        <w:rPr>
          <w:rFonts w:ascii="宋体" w:hAnsi="宋体" w:eastAsia="宋体" w:cs="宋体"/>
          <w:b/>
          <w:sz w:val="24"/>
          <w:szCs w:val="24"/>
        </w:rPr>
      </w:pPr>
    </w:p>
    <w:p w14:paraId="6CEA7F9E">
      <w:pPr>
        <w:adjustRightInd w:val="0"/>
        <w:spacing w:line="720" w:lineRule="auto"/>
        <w:ind w:firstLine="0" w:firstLineChars="0"/>
        <w:textAlignment w:val="baseline"/>
        <w:rPr>
          <w:rFonts w:ascii="宋体" w:hAnsi="宋体" w:eastAsia="宋体" w:cs="宋体"/>
          <w:b/>
          <w:sz w:val="24"/>
          <w:szCs w:val="24"/>
        </w:rPr>
      </w:pPr>
    </w:p>
    <w:p w14:paraId="2B9CB661">
      <w:pPr>
        <w:adjustRightInd w:val="0"/>
        <w:spacing w:line="720" w:lineRule="auto"/>
        <w:ind w:firstLine="0" w:firstLineChars="0"/>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sz w:val="36"/>
          <w:szCs w:val="36"/>
        </w:rPr>
        <w:t>采购项目编号：</w:t>
      </w:r>
      <w:r>
        <w:rPr>
          <w:rFonts w:hint="eastAsia" w:ascii="宋体" w:hAnsi="宋体" w:eastAsia="宋体" w:cs="宋体"/>
          <w:b/>
          <w:color w:val="000000" w:themeColor="text1"/>
          <w:sz w:val="36"/>
          <w:szCs w:val="36"/>
          <w:lang w:eastAsia="zh-CN"/>
          <w14:textFill>
            <w14:solidFill>
              <w14:schemeClr w14:val="tx1"/>
            </w14:solidFill>
          </w14:textFill>
        </w:rPr>
        <w:t>青海品冠竞磋（货物）2024-055</w:t>
      </w:r>
    </w:p>
    <w:p w14:paraId="16310D91">
      <w:pPr>
        <w:adjustRightInd w:val="0"/>
        <w:spacing w:line="720" w:lineRule="auto"/>
        <w:ind w:left="2530" w:hanging="2530" w:hangingChars="70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采购项目名称：</w:t>
      </w:r>
      <w:r>
        <w:rPr>
          <w:rFonts w:hint="eastAsia" w:ascii="宋体" w:hAnsi="宋体" w:eastAsia="宋体" w:cs="宋体"/>
          <w:b/>
          <w:sz w:val="36"/>
          <w:szCs w:val="36"/>
          <w:lang w:eastAsia="zh-CN"/>
        </w:rPr>
        <w:t>曲麻莱县藏医院制剂室、检验室功能提升及妇幼保健中心配套设施建设项目</w:t>
      </w:r>
    </w:p>
    <w:p w14:paraId="0D5C33C7">
      <w:pPr>
        <w:adjustRightInd w:val="0"/>
        <w:spacing w:line="720" w:lineRule="auto"/>
        <w:ind w:firstLine="0" w:firstLineChars="0"/>
        <w:textAlignment w:val="baseline"/>
      </w:pPr>
      <w:r>
        <w:rPr>
          <w:rFonts w:hint="eastAsia" w:ascii="宋体" w:hAnsi="宋体" w:eastAsia="宋体" w:cs="宋体"/>
          <w:b/>
          <w:sz w:val="36"/>
          <w:szCs w:val="36"/>
        </w:rPr>
        <w:t>采   购   人：</w:t>
      </w:r>
      <w:r>
        <w:rPr>
          <w:rFonts w:hint="eastAsia" w:ascii="宋体" w:hAnsi="宋体" w:cs="宋体"/>
          <w:b/>
          <w:color w:val="auto"/>
          <w:sz w:val="36"/>
          <w:szCs w:val="36"/>
          <w:lang w:eastAsia="zh-CN"/>
        </w:rPr>
        <w:t>曲麻莱县卫生健康局</w:t>
      </w:r>
    </w:p>
    <w:p w14:paraId="3740D519">
      <w:pPr>
        <w:spacing w:line="720" w:lineRule="auto"/>
        <w:ind w:firstLine="0" w:firstLineChars="0"/>
        <w:rPr>
          <w:rFonts w:ascii="宋体" w:hAnsi="宋体" w:eastAsia="宋体" w:cs="宋体"/>
          <w:b/>
          <w:sz w:val="36"/>
          <w:szCs w:val="36"/>
        </w:rPr>
      </w:pPr>
      <w:r>
        <w:rPr>
          <w:rFonts w:hint="eastAsia" w:ascii="宋体" w:hAnsi="宋体" w:eastAsia="宋体" w:cs="宋体"/>
          <w:b/>
          <w:sz w:val="36"/>
          <w:szCs w:val="36"/>
        </w:rPr>
        <w:t>采购代理机构：青海品冠招标代理有限公司</w:t>
      </w:r>
    </w:p>
    <w:p w14:paraId="2B96D4C6">
      <w:pPr>
        <w:spacing w:line="720" w:lineRule="auto"/>
        <w:ind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2024年</w:t>
      </w:r>
      <w:r>
        <w:rPr>
          <w:rFonts w:hint="eastAsia" w:ascii="宋体" w:hAnsi="宋体" w:eastAsia="宋体" w:cs="宋体"/>
          <w:b/>
          <w:bCs/>
          <w:sz w:val="36"/>
          <w:szCs w:val="36"/>
          <w:lang w:val="en-US" w:eastAsia="zh-CN"/>
        </w:rPr>
        <w:t>11</w:t>
      </w:r>
      <w:r>
        <w:rPr>
          <w:rFonts w:hint="eastAsia" w:ascii="宋体" w:hAnsi="宋体" w:eastAsia="宋体" w:cs="宋体"/>
          <w:b/>
          <w:bCs/>
          <w:sz w:val="36"/>
          <w:szCs w:val="36"/>
          <w:lang w:eastAsia="zh-CN"/>
        </w:rPr>
        <w:t>月</w:t>
      </w:r>
    </w:p>
    <w:p w14:paraId="5AA8E7C9">
      <w:pPr>
        <w:ind w:firstLine="723"/>
        <w:jc w:val="center"/>
        <w:rPr>
          <w:rFonts w:ascii="宋体" w:hAnsi="宋体" w:eastAsia="宋体" w:cs="宋体"/>
          <w:b/>
          <w:bCs/>
          <w:sz w:val="36"/>
          <w:szCs w:val="36"/>
        </w:rPr>
      </w:pPr>
    </w:p>
    <w:p w14:paraId="00067CD9">
      <w:pPr>
        <w:keepNext/>
        <w:pageBreakBefore/>
        <w:adjustRightInd w:val="0"/>
        <w:spacing w:line="720" w:lineRule="auto"/>
        <w:ind w:firstLine="0" w:firstLineChars="0"/>
        <w:jc w:val="center"/>
        <w:textAlignment w:val="baseline"/>
        <w:rPr>
          <w:rFonts w:ascii="宋体" w:hAnsi="宋体" w:eastAsia="宋体" w:cs="宋体"/>
          <w:b/>
          <w:sz w:val="40"/>
          <w:szCs w:val="30"/>
        </w:rPr>
        <w:sectPr>
          <w:headerReference r:id="rId5" w:type="default"/>
          <w:footerReference r:id="rId6" w:type="default"/>
          <w:pgSz w:w="11906" w:h="16838"/>
          <w:pgMar w:top="1440" w:right="1701" w:bottom="1440" w:left="1701" w:header="851" w:footer="992" w:gutter="0"/>
          <w:pgBorders>
            <w:top w:val="none" w:sz="0" w:space="0"/>
            <w:left w:val="none" w:sz="0" w:space="0"/>
            <w:bottom w:val="none" w:sz="0" w:space="0"/>
            <w:right w:val="none" w:sz="0" w:space="0"/>
          </w:pgBorders>
          <w:cols w:space="0" w:num="1"/>
          <w:docGrid w:type="lines" w:linePitch="312" w:charSpace="0"/>
        </w:sectPr>
      </w:pPr>
    </w:p>
    <w:p w14:paraId="18257B91">
      <w:pPr>
        <w:keepNext/>
        <w:pageBreakBefore/>
        <w:adjustRightInd w:val="0"/>
        <w:spacing w:line="720" w:lineRule="auto"/>
        <w:ind w:firstLine="0" w:firstLineChars="0"/>
        <w:jc w:val="center"/>
        <w:textAlignment w:val="baseline"/>
        <w:rPr>
          <w:rFonts w:ascii="宋体" w:hAnsi="宋体" w:eastAsia="宋体" w:cs="宋体"/>
          <w:b/>
          <w:sz w:val="40"/>
          <w:szCs w:val="30"/>
        </w:rPr>
      </w:pPr>
      <w:r>
        <w:rPr>
          <w:rFonts w:hint="eastAsia" w:ascii="宋体" w:hAnsi="宋体" w:eastAsia="宋体" w:cs="宋体"/>
          <w:b/>
          <w:sz w:val="40"/>
          <w:szCs w:val="30"/>
        </w:rPr>
        <w:t>目  录</w:t>
      </w:r>
    </w:p>
    <w:p w14:paraId="33E7ADD4">
      <w:pPr>
        <w:adjustRightInd w:val="0"/>
        <w:spacing w:line="720" w:lineRule="auto"/>
        <w:ind w:firstLine="0" w:firstLineChars="0"/>
        <w:jc w:val="center"/>
        <w:textAlignment w:val="baseline"/>
        <w:rPr>
          <w:rFonts w:ascii="宋体" w:hAnsi="宋体" w:eastAsia="宋体" w:cs="宋体"/>
          <w:bCs/>
          <w:sz w:val="24"/>
          <w:szCs w:val="24"/>
        </w:rPr>
      </w:pPr>
    </w:p>
    <w:p w14:paraId="6CCCD9ED">
      <w:pPr>
        <w:pStyle w:val="14"/>
        <w:tabs>
          <w:tab w:val="right" w:leader="dot" w:pos="8300"/>
        </w:tabs>
        <w:spacing w:before="0" w:after="0" w:line="720" w:lineRule="auto"/>
        <w:ind w:firstLine="0" w:firstLineChars="0"/>
        <w:rPr>
          <w:rFonts w:ascii="宋体" w:hAnsi="宋体" w:eastAsia="宋体" w:cs="宋体"/>
          <w:sz w:val="24"/>
          <w:szCs w:val="24"/>
        </w:rPr>
      </w:pPr>
      <w:r>
        <w:rPr>
          <w:rFonts w:hint="eastAsia" w:ascii="宋体" w:hAnsi="宋体" w:eastAsia="宋体" w:cs="宋体"/>
          <w:b w:val="0"/>
          <w:sz w:val="24"/>
          <w:szCs w:val="24"/>
          <w:lang w:val="zh-CN"/>
        </w:rPr>
        <w:fldChar w:fldCharType="begin"/>
      </w:r>
      <w:r>
        <w:rPr>
          <w:rStyle w:val="26"/>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sz w:val="24"/>
          <w:szCs w:val="24"/>
          <w:lang w:val="zh-CN"/>
        </w:rPr>
        <w:fldChar w:fldCharType="separate"/>
      </w:r>
      <w:r>
        <w:fldChar w:fldCharType="begin"/>
      </w:r>
      <w:r>
        <w:instrText xml:space="preserve"> HYPERLINK \l "_Toc27517" </w:instrText>
      </w:r>
      <w:r>
        <w:fldChar w:fldCharType="separate"/>
      </w:r>
      <w:r>
        <w:rPr>
          <w:rFonts w:hint="eastAsia" w:ascii="宋体" w:hAnsi="宋体" w:eastAsia="宋体" w:cs="宋体"/>
          <w:sz w:val="24"/>
          <w:szCs w:val="24"/>
          <w:lang w:val="zh-CN"/>
        </w:rPr>
        <w:t>第一部分</w:t>
      </w:r>
      <w:r>
        <w:rPr>
          <w:rFonts w:hint="eastAsia" w:ascii="宋体" w:hAnsi="宋体" w:eastAsia="宋体" w:cs="宋体"/>
          <w:sz w:val="24"/>
          <w:szCs w:val="24"/>
        </w:rPr>
        <w:t xml:space="preserve">  </w:t>
      </w:r>
      <w:r>
        <w:rPr>
          <w:rFonts w:hint="eastAsia" w:ascii="宋体" w:hAnsi="宋体" w:eastAsia="宋体" w:cs="宋体"/>
          <w:sz w:val="24"/>
          <w:szCs w:val="24"/>
          <w:lang w:val="zh-CN"/>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_Toc27517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DFE02D9">
      <w:pPr>
        <w:pStyle w:val="14"/>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"_Toc19487" </w:instrText>
      </w:r>
      <w:r>
        <w:fldChar w:fldCharType="separate"/>
      </w:r>
      <w:r>
        <w:rPr>
          <w:rFonts w:hint="eastAsia" w:ascii="宋体" w:hAnsi="宋体" w:eastAsia="宋体" w:cs="宋体"/>
          <w:sz w:val="24"/>
          <w:szCs w:val="24"/>
          <w:lang w:val="zh-CN"/>
        </w:rPr>
        <w:t>第二部分</w:t>
      </w:r>
      <w:r>
        <w:rPr>
          <w:rFonts w:hint="eastAsia" w:ascii="宋体" w:hAnsi="宋体" w:eastAsia="宋体" w:cs="宋体"/>
          <w:sz w:val="24"/>
          <w:szCs w:val="24"/>
        </w:rPr>
        <w:t xml:space="preserve">  </w:t>
      </w:r>
      <w:r>
        <w:rPr>
          <w:rFonts w:hint="eastAsia" w:ascii="宋体" w:hAnsi="宋体" w:eastAsia="宋体" w:cs="宋体"/>
          <w:sz w:val="24"/>
          <w:szCs w:val="24"/>
          <w:lang w:val="zh-CN"/>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_Toc19487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9FA4D2">
      <w:pPr>
        <w:pStyle w:val="14"/>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"_Toc9515" </w:instrText>
      </w:r>
      <w:r>
        <w:fldChar w:fldCharType="separate"/>
      </w:r>
      <w:r>
        <w:rPr>
          <w:rFonts w:hint="eastAsia" w:ascii="宋体" w:hAnsi="宋体" w:eastAsia="宋体" w:cs="宋体"/>
          <w:kern w:val="28"/>
          <w:sz w:val="24"/>
          <w:szCs w:val="24"/>
        </w:rPr>
        <w:t>第三部分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_Toc9515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462F175">
      <w:pPr>
        <w:pStyle w:val="14"/>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"_Toc30421" </w:instrText>
      </w:r>
      <w:r>
        <w:fldChar w:fldCharType="separate"/>
      </w:r>
      <w:r>
        <w:rPr>
          <w:rFonts w:hint="eastAsia" w:ascii="宋体" w:hAnsi="宋体" w:eastAsia="宋体" w:cs="宋体"/>
          <w:kern w:val="28"/>
          <w:sz w:val="24"/>
          <w:szCs w:val="24"/>
        </w:rPr>
        <w:t>第四部分  采购项目合同书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_Toc30421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3F69CB8">
      <w:pPr>
        <w:pStyle w:val="14"/>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"_Toc12139" </w:instrText>
      </w:r>
      <w:r>
        <w:fldChar w:fldCharType="separate"/>
      </w:r>
      <w:r>
        <w:rPr>
          <w:rFonts w:hint="eastAsia" w:ascii="宋体" w:hAnsi="宋体" w:eastAsia="宋体" w:cs="宋体"/>
          <w:kern w:val="28"/>
          <w:sz w:val="24"/>
          <w:szCs w:val="24"/>
        </w:rPr>
        <w:t>第五部分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_Toc12139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1FA2723">
      <w:pPr>
        <w:pStyle w:val="14"/>
        <w:tabs>
          <w:tab w:val="right" w:leader="dot" w:pos="8300"/>
        </w:tabs>
        <w:spacing w:before="0" w:after="0" w:line="720" w:lineRule="auto"/>
        <w:ind w:firstLine="0" w:firstLineChars="0"/>
        <w:rPr>
          <w:rFonts w:ascii="宋体" w:hAnsi="宋体" w:eastAsia="宋体" w:cs="宋体"/>
          <w:i/>
          <w:iCs/>
        </w:rPr>
      </w:pPr>
      <w:r>
        <w:fldChar w:fldCharType="begin"/>
      </w:r>
      <w:r>
        <w:instrText xml:space="preserve"> HYPERLINK \l "_Toc26743" </w:instrText>
      </w:r>
      <w:r>
        <w:fldChar w:fldCharType="separate"/>
      </w:r>
      <w:r>
        <w:rPr>
          <w:rFonts w:hint="eastAsia" w:ascii="宋体" w:hAnsi="宋体" w:eastAsia="宋体" w:cs="宋体"/>
          <w:kern w:val="28"/>
          <w:sz w:val="24"/>
          <w:szCs w:val="24"/>
        </w:rPr>
        <w:t>第六部分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_Toc26743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0215B40">
      <w:pPr>
        <w:spacing w:line="720" w:lineRule="auto"/>
        <w:ind w:firstLine="420"/>
        <w:jc w:val="center"/>
        <w:rPr>
          <w:rFonts w:ascii="宋体" w:hAnsi="宋体" w:eastAsia="宋体" w:cs="宋体"/>
          <w:bCs/>
          <w:szCs w:val="24"/>
          <w:lang w:val="zh-CN"/>
        </w:rPr>
      </w:pPr>
      <w:r>
        <w:rPr>
          <w:rFonts w:hint="eastAsia" w:ascii="宋体" w:hAnsi="宋体" w:eastAsia="宋体" w:cs="宋体"/>
          <w:bCs/>
          <w:szCs w:val="24"/>
          <w:lang w:val="zh-CN"/>
        </w:rPr>
        <w:fldChar w:fldCharType="end"/>
      </w:r>
    </w:p>
    <w:p w14:paraId="5BDE4DA4">
      <w:pPr>
        <w:ind w:firstLine="420"/>
        <w:jc w:val="center"/>
        <w:rPr>
          <w:rFonts w:ascii="宋体" w:hAnsi="宋体" w:eastAsia="宋体" w:cs="宋体"/>
          <w:bCs/>
          <w:szCs w:val="24"/>
          <w:lang w:val="zh-CN"/>
        </w:rPr>
      </w:pPr>
      <w:r>
        <w:rPr>
          <w:rFonts w:hint="eastAsia" w:ascii="宋体" w:hAnsi="宋体" w:eastAsia="宋体" w:cs="宋体"/>
          <w:bCs/>
          <w:szCs w:val="24"/>
          <w:lang w:val="zh-CN"/>
        </w:rPr>
        <w:br w:type="page"/>
      </w:r>
    </w:p>
    <w:p w14:paraId="3E16FCF7">
      <w:pPr>
        <w:pStyle w:val="18"/>
        <w:spacing w:before="0" w:after="0" w:line="360" w:lineRule="auto"/>
        <w:ind w:firstLine="0" w:firstLineChars="0"/>
        <w:rPr>
          <w:rFonts w:ascii="宋体" w:hAnsi="宋体" w:eastAsia="宋体" w:cs="宋体"/>
          <w:szCs w:val="36"/>
        </w:rPr>
      </w:pPr>
      <w:bookmarkStart w:id="0" w:name="_Toc10494"/>
      <w:bookmarkStart w:id="1" w:name="_Toc27517"/>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投标邀请</w:t>
      </w:r>
      <w:bookmarkEnd w:id="0"/>
      <w:bookmarkEnd w:id="1"/>
    </w:p>
    <w:p w14:paraId="67E64EB3">
      <w:pPr>
        <w:pStyle w:val="8"/>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青海品冠招标代理有限公司（以下均简称“采购代理机构”）受曲麻莱县卫生健康局（以下均简称“采购人”）委托</w:t>
      </w:r>
      <w:r>
        <w:rPr>
          <w:rFonts w:hint="eastAsia" w:ascii="宋体" w:hAnsi="宋体" w:eastAsia="宋体" w:cs="宋体"/>
          <w:sz w:val="24"/>
          <w:szCs w:val="24"/>
        </w:rPr>
        <w:t>，拟对“</w:t>
      </w:r>
      <w:r>
        <w:rPr>
          <w:rFonts w:hint="eastAsia" w:ascii="宋体" w:hAnsi="宋体" w:eastAsia="宋体" w:cs="宋体"/>
          <w:sz w:val="24"/>
          <w:szCs w:val="24"/>
          <w:lang w:val="zh-CN"/>
        </w:rPr>
        <w:t>曲麻莱县藏医院制剂室、检验室功能提升及妇幼保健中心配套设施建设项目</w:t>
      </w:r>
      <w:r>
        <w:rPr>
          <w:rFonts w:hint="eastAsia" w:ascii="宋体" w:hAnsi="宋体" w:eastAsia="宋体" w:cs="宋体"/>
          <w:sz w:val="24"/>
          <w:szCs w:val="24"/>
        </w:rPr>
        <w:t>”进行国内</w:t>
      </w:r>
      <w:r>
        <w:rPr>
          <w:rFonts w:hint="eastAsia" w:ascii="宋体" w:hAnsi="宋体" w:eastAsia="宋体" w:cs="宋体"/>
          <w:sz w:val="24"/>
          <w:szCs w:val="24"/>
          <w:lang w:val="zh-CN"/>
        </w:rPr>
        <w:t>竞争性磋商采购</w:t>
      </w:r>
      <w:r>
        <w:rPr>
          <w:rFonts w:hint="eastAsia" w:ascii="宋体" w:hAnsi="宋体" w:eastAsia="宋体" w:cs="宋体"/>
          <w:sz w:val="24"/>
          <w:szCs w:val="24"/>
        </w:rPr>
        <w:t>，现予以公告，欢迎符合条件的供应商前来参加投标</w:t>
      </w:r>
      <w:r>
        <w:rPr>
          <w:rFonts w:hint="eastAsia" w:ascii="宋体" w:hAnsi="宋体" w:eastAsia="宋体" w:cs="宋体"/>
          <w:sz w:val="24"/>
          <w:szCs w:val="24"/>
          <w:lang w:val="zh-CN"/>
        </w:rPr>
        <w:t>。</w:t>
      </w:r>
    </w:p>
    <w:tbl>
      <w:tblPr>
        <w:tblStyle w:val="21"/>
        <w:tblpPr w:leftFromText="180" w:rightFromText="180" w:vertAnchor="text" w:horzAnchor="page" w:tblpX="894" w:tblpY="449"/>
        <w:tblOverlap w:val="never"/>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14:paraId="78AA4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2A4C5965">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29C6F776">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青海品冠竞磋（货物）2024-055</w:t>
            </w:r>
          </w:p>
        </w:tc>
      </w:tr>
      <w:tr w14:paraId="49BC1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49"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7F1E209">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14:paraId="5FF95EEF">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曲麻莱县藏医院制剂室、检验室功能提升及妇幼保健中心配套设施建设项目</w:t>
            </w:r>
          </w:p>
        </w:tc>
      </w:tr>
      <w:tr w14:paraId="00F41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A3B2D10">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222AF14E">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竞争性磋商</w:t>
            </w:r>
          </w:p>
        </w:tc>
      </w:tr>
      <w:tr w14:paraId="76351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73F8E785">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14:paraId="3A87B38F">
            <w:pPr>
              <w:spacing w:line="336"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1630000.00</w:t>
            </w:r>
            <w:r>
              <w:rPr>
                <w:rFonts w:hint="eastAsia" w:ascii="宋体" w:hAnsi="宋体" w:eastAsia="宋体" w:cs="宋体"/>
                <w:sz w:val="24"/>
                <w:szCs w:val="24"/>
                <w:highlight w:val="none"/>
                <w:lang w:eastAsia="zh-CN"/>
              </w:rPr>
              <w:t>元</w:t>
            </w:r>
          </w:p>
        </w:tc>
      </w:tr>
      <w:tr w14:paraId="03753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8949B5A">
            <w:pPr>
              <w:spacing w:line="336"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最高限价</w:t>
            </w:r>
          </w:p>
        </w:tc>
        <w:tc>
          <w:tcPr>
            <w:tcW w:w="7637" w:type="dxa"/>
            <w:tcBorders>
              <w:top w:val="single" w:color="000000" w:sz="4" w:space="0"/>
              <w:left w:val="single" w:color="000000" w:sz="4" w:space="0"/>
              <w:bottom w:val="single" w:color="000000" w:sz="4" w:space="0"/>
              <w:right w:val="single" w:color="000000" w:sz="4" w:space="0"/>
            </w:tcBorders>
            <w:vAlign w:val="center"/>
          </w:tcPr>
          <w:p w14:paraId="24BF02AD">
            <w:pPr>
              <w:spacing w:line="336" w:lineRule="auto"/>
              <w:ind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1630000.00元</w:t>
            </w:r>
          </w:p>
        </w:tc>
      </w:tr>
      <w:tr w14:paraId="1AB24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59BEF452">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14:paraId="62BFCFC4">
            <w:pPr>
              <w:spacing w:line="336"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6B884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C2A8292">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14:paraId="1F0CB661">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color w:val="auto"/>
                <w:sz w:val="24"/>
                <w:szCs w:val="24"/>
                <w:lang w:val="en-US" w:eastAsia="zh-CN"/>
              </w:rPr>
              <w:t>磋商</w:t>
            </w:r>
            <w:r>
              <w:rPr>
                <w:rFonts w:hint="eastAsia" w:ascii="宋体" w:hAnsi="宋体" w:eastAsia="宋体" w:cs="宋体"/>
                <w:sz w:val="24"/>
                <w:szCs w:val="24"/>
                <w:lang w:val="zh-CN"/>
              </w:rPr>
              <w:t>内容：</w:t>
            </w:r>
            <w:bookmarkStart w:id="2" w:name="OLE_LINK9"/>
            <w:r>
              <w:rPr>
                <w:rFonts w:hint="eastAsia" w:ascii="宋体" w:hAnsi="宋体" w:eastAsia="宋体" w:cs="宋体"/>
                <w:sz w:val="24"/>
                <w:szCs w:val="24"/>
                <w:lang w:val="zh-CN"/>
              </w:rPr>
              <w:t>制剂室、检验室功能提升及妇幼保健中心配套设施建设，具体内容详见《磋商文件》。</w:t>
            </w:r>
            <w:bookmarkEnd w:id="2"/>
          </w:p>
        </w:tc>
      </w:tr>
      <w:tr w14:paraId="79A92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78D7104">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14:paraId="571E30BB">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1.应当具备《政府采购法》第二十二条规定的条件，并按照《政府采购法实施条例》第十七条提供以下材料：</w:t>
            </w:r>
          </w:p>
          <w:p w14:paraId="727E8433">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&lt;1&gt;供应商的营业执照等证明文件，自然人的身份证明。</w:t>
            </w:r>
          </w:p>
          <w:p w14:paraId="26DFCBED">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&lt;2&gt;财务状况报告和依法缴纳税收和社会保障资金的相关材料。</w:t>
            </w:r>
          </w:p>
          <w:p w14:paraId="0EA0A742">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&lt;3&gt;具备履行合同所必须的</w:t>
            </w:r>
            <w:r>
              <w:rPr>
                <w:rFonts w:hint="eastAsia" w:ascii="宋体" w:hAnsi="宋体" w:eastAsia="宋体" w:cs="宋体"/>
                <w:sz w:val="24"/>
                <w:szCs w:val="24"/>
              </w:rPr>
              <w:t>设备</w:t>
            </w:r>
            <w:r>
              <w:rPr>
                <w:rFonts w:hint="eastAsia" w:ascii="宋体" w:hAnsi="宋体" w:eastAsia="宋体" w:cs="宋体"/>
                <w:sz w:val="24"/>
                <w:szCs w:val="24"/>
                <w:lang w:val="zh-CN"/>
              </w:rPr>
              <w:t>和专业技术能力的证明材料。</w:t>
            </w:r>
          </w:p>
          <w:p w14:paraId="519C6D3A">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&lt;4&gt;参加政府采购活动前3年内在经营活动中没有重大违法记录的书面声明。</w:t>
            </w:r>
          </w:p>
          <w:p w14:paraId="7413C60D">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sz w:val="24"/>
                <w:szCs w:val="24"/>
                <w:lang w:val="zh-CN"/>
              </w:rPr>
              <w:t>&lt;5&gt;具备法律、行政法规规定的其他条件的证明材料。</w:t>
            </w:r>
          </w:p>
          <w:p w14:paraId="33B07564">
            <w:pPr>
              <w:numPr>
                <w:ilvl w:val="0"/>
                <w:numId w:val="0"/>
              </w:numPr>
              <w:tabs>
                <w:tab w:val="left" w:pos="840"/>
              </w:tabs>
              <w:spacing w:line="360" w:lineRule="auto"/>
              <w:rPr>
                <w:rFonts w:hint="eastAsia" w:ascii="宋体" w:hAnsi="宋体" w:eastAsia="宋体" w:cs="宋体"/>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经信用中国（www.creditchina.gov.cn）、中国政府采购网</w:t>
            </w:r>
            <w:r>
              <w:rPr>
                <w:rFonts w:hint="eastAsia" w:ascii="宋体" w:hAnsi="宋体" w:eastAsia="宋体" w:cs="宋体"/>
                <w:sz w:val="24"/>
                <w:szCs w:val="24"/>
              </w:rPr>
              <w:t>（www.ccgp.gov.cn）等渠道查询后，列入失信被执行人、重大税收违法案件当事人名单、政府采购严重违法失信行为记录名单的，取消投标资格；</w:t>
            </w:r>
          </w:p>
          <w:p w14:paraId="1A3B77C3">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单位负责人为同一人或者存在直接控股、管理关系的不同</w:t>
            </w:r>
            <w:r>
              <w:rPr>
                <w:rFonts w:hint="eastAsia" w:ascii="宋体" w:hAnsi="宋体" w:eastAsia="宋体" w:cs="宋体"/>
                <w:sz w:val="24"/>
                <w:szCs w:val="24"/>
                <w:lang w:eastAsia="zh-CN"/>
              </w:rPr>
              <w:t>供应商</w:t>
            </w:r>
            <w:r>
              <w:rPr>
                <w:rFonts w:hint="eastAsia" w:ascii="宋体" w:hAnsi="宋体" w:eastAsia="宋体" w:cs="宋体"/>
                <w:sz w:val="24"/>
                <w:szCs w:val="24"/>
              </w:rPr>
              <w:t>，不得参加同一合同项下的政府采购活动。否则，取消投标资格；</w:t>
            </w:r>
          </w:p>
          <w:p w14:paraId="0A94E06A">
            <w:pPr>
              <w:tabs>
                <w:tab w:val="left" w:pos="840"/>
              </w:tabs>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为本采购项目提供整体设计、规范编制或者项目管理、监理、检测等服务的</w:t>
            </w:r>
            <w:r>
              <w:rPr>
                <w:rFonts w:hint="eastAsia" w:ascii="宋体" w:hAnsi="宋体" w:eastAsia="宋体" w:cs="宋体"/>
                <w:sz w:val="24"/>
                <w:szCs w:val="24"/>
                <w:lang w:eastAsia="zh-CN"/>
              </w:rPr>
              <w:t>供应商</w:t>
            </w:r>
            <w:r>
              <w:rPr>
                <w:rFonts w:hint="eastAsia" w:ascii="宋体" w:hAnsi="宋体" w:eastAsia="宋体" w:cs="宋体"/>
                <w:sz w:val="24"/>
                <w:szCs w:val="24"/>
              </w:rPr>
              <w:t>，不得再参加该采购项目的其他采购活动；</w:t>
            </w:r>
          </w:p>
          <w:p w14:paraId="03D10B67">
            <w:pPr>
              <w:tabs>
                <w:tab w:val="left" w:pos="840"/>
              </w:tabs>
              <w:spacing w:line="360" w:lineRule="auto"/>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5.供应商须具备有效的医疗器械生产（经营）许可证和所投产品的医疗器械注册证或备案凭证。</w:t>
            </w:r>
          </w:p>
          <w:p w14:paraId="10626195">
            <w:pPr>
              <w:pStyle w:val="33"/>
              <w:spacing w:line="336"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本项目不接受供应商以联合体方式进行投标</w:t>
            </w:r>
            <w:r>
              <w:rPr>
                <w:rFonts w:hint="eastAsia" w:ascii="宋体" w:hAnsi="宋体" w:eastAsia="宋体" w:cs="宋体"/>
                <w:sz w:val="24"/>
                <w:szCs w:val="24"/>
                <w:lang w:eastAsia="zh-CN"/>
              </w:rPr>
              <w:t>。</w:t>
            </w:r>
          </w:p>
        </w:tc>
      </w:tr>
      <w:tr w14:paraId="1A2F7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69343C9">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75046BC3">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2024年</w:t>
            </w: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lang w:val="zh-CN"/>
                <w14:textFill>
                  <w14:solidFill>
                    <w14:schemeClr w14:val="tx1"/>
                  </w14:solidFill>
                </w14:textFill>
              </w:rPr>
              <w:t>日</w:t>
            </w:r>
          </w:p>
        </w:tc>
      </w:tr>
      <w:tr w14:paraId="3CF6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45FBC90C">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47751907">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2024年</w:t>
            </w: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lang w:val="zh-CN"/>
                <w14:textFill>
                  <w14:solidFill>
                    <w14:schemeClr w14:val="tx1"/>
                  </w14:solidFill>
                </w14:textFill>
              </w:rPr>
              <w:t>月2</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日至</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02</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highlight w:val="none"/>
                <w:lang w:val="zh-CN"/>
                <w14:textFill>
                  <w14:solidFill>
                    <w14:schemeClr w14:val="tx1"/>
                  </w14:solidFill>
                </w14:textFill>
              </w:rPr>
              <w:t>每天</w:t>
            </w:r>
            <w:r>
              <w:rPr>
                <w:rFonts w:hint="eastAsia" w:ascii="宋体" w:hAnsi="宋体" w:eastAsia="宋体" w:cs="宋体"/>
                <w:color w:val="000000" w:themeColor="text1"/>
                <w:sz w:val="24"/>
                <w:szCs w:val="24"/>
                <w:highlight w:val="none"/>
                <w14:textFill>
                  <w14:solidFill>
                    <w14:schemeClr w14:val="tx1"/>
                  </w14:solidFill>
                </w14:textFill>
              </w:rPr>
              <w:t>上午00:00至12:00，下午12:00至2</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59</w:t>
            </w:r>
          </w:p>
        </w:tc>
      </w:tr>
      <w:tr w14:paraId="44D79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C72ADDC">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1B9AC7DD">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供应商登录政采云平台https://www.zcygov.cn/在线申请获取采购文件（进入“项目采购”应用，在获取采购文件菜单中选择项目，申请获取采购文件）</w:t>
            </w:r>
          </w:p>
        </w:tc>
      </w:tr>
      <w:tr w14:paraId="01B5F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98BFD48">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14:paraId="14459500">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zh-CN"/>
                <w14:textFill>
                  <w14:solidFill>
                    <w14:schemeClr w14:val="tx1"/>
                  </w14:solidFill>
                </w14:textFill>
              </w:rPr>
              <w:t>元</w:t>
            </w:r>
          </w:p>
        </w:tc>
      </w:tr>
      <w:tr w14:paraId="506E2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7C06AFE7">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7BFB1AD9">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政采云平台（https://www.zcygov.cn/）</w:t>
            </w:r>
          </w:p>
        </w:tc>
      </w:tr>
      <w:tr w14:paraId="6B82E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1B700233">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F1F5">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2024年12月</w:t>
            </w:r>
            <w:r>
              <w:rPr>
                <w:rFonts w:hint="eastAsia" w:ascii="宋体" w:hAnsi="宋体" w:eastAsia="宋体" w:cs="宋体"/>
                <w:color w:val="000000" w:themeColor="text1"/>
                <w:sz w:val="24"/>
                <w:szCs w:val="24"/>
                <w:lang w:val="en-US" w:eastAsia="zh-CN"/>
                <w14:textFill>
                  <w14:solidFill>
                    <w14:schemeClr w14:val="tx1"/>
                  </w14:solidFill>
                </w14:textFill>
              </w:rPr>
              <w:t>06</w:t>
            </w:r>
            <w:r>
              <w:rPr>
                <w:rFonts w:hint="eastAsia" w:ascii="宋体" w:hAnsi="宋体" w:eastAsia="宋体" w:cs="宋体"/>
                <w:color w:val="000000" w:themeColor="text1"/>
                <w:sz w:val="24"/>
                <w:szCs w:val="24"/>
                <w:lang w:val="zh-CN"/>
                <w14:textFill>
                  <w14:solidFill>
                    <w14:schemeClr w14:val="tx1"/>
                  </w14:solidFill>
                </w14:textFill>
              </w:rPr>
              <w:t>日上午09:30（北京时间）</w:t>
            </w:r>
          </w:p>
        </w:tc>
      </w:tr>
      <w:tr w14:paraId="7C7EA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3F714C9">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D5D7">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2024年12月</w:t>
            </w:r>
            <w:r>
              <w:rPr>
                <w:rFonts w:hint="eastAsia" w:ascii="宋体" w:hAnsi="宋体" w:eastAsia="宋体" w:cs="宋体"/>
                <w:color w:val="000000" w:themeColor="text1"/>
                <w:sz w:val="24"/>
                <w:szCs w:val="24"/>
                <w:lang w:val="en-US" w:eastAsia="zh-CN"/>
                <w14:textFill>
                  <w14:solidFill>
                    <w14:schemeClr w14:val="tx1"/>
                  </w14:solidFill>
                </w14:textFill>
              </w:rPr>
              <w:t>06</w:t>
            </w:r>
            <w:r>
              <w:rPr>
                <w:rFonts w:hint="eastAsia" w:ascii="宋体" w:hAnsi="宋体" w:eastAsia="宋体" w:cs="宋体"/>
                <w:color w:val="000000" w:themeColor="text1"/>
                <w:sz w:val="24"/>
                <w:szCs w:val="24"/>
                <w:lang w:val="zh-CN"/>
                <w14:textFill>
                  <w14:solidFill>
                    <w14:schemeClr w14:val="tx1"/>
                  </w14:solidFill>
                </w14:textFill>
              </w:rPr>
              <w:t>日上午09:30（北京时间）</w:t>
            </w:r>
          </w:p>
        </w:tc>
      </w:tr>
      <w:tr w14:paraId="7D6A3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685B60F">
            <w:pPr>
              <w:spacing w:line="336"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color w:val="auto"/>
                <w:kern w:val="0"/>
                <w:sz w:val="24"/>
                <w:szCs w:val="24"/>
                <w:lang w:val="zh-CN"/>
              </w:rPr>
              <w:t>响应文件提交地点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1AC2147C">
            <w:pPr>
              <w:spacing w:line="336" w:lineRule="auto"/>
              <w:ind w:firstLine="0" w:firstLineChars="0"/>
              <w:jc w:val="left"/>
              <w:rPr>
                <w:rFonts w:hint="eastAsia" w:ascii="宋体" w:hAnsi="宋体" w:eastAsia="宋体" w:cs="宋体"/>
                <w:sz w:val="24"/>
                <w:szCs w:val="24"/>
                <w:lang w:val="zh-CN"/>
              </w:rPr>
            </w:pPr>
            <w:r>
              <w:rPr>
                <w:rFonts w:hint="eastAsia" w:ascii="宋体" w:hAnsi="宋体" w:eastAsia="宋体" w:cs="宋体"/>
                <w:color w:val="auto"/>
                <w:sz w:val="24"/>
                <w:szCs w:val="24"/>
              </w:rPr>
              <w:t>政采云投标客户端（供应商应在提交响应文件截止时间</w:t>
            </w:r>
            <w:r>
              <w:rPr>
                <w:rFonts w:hint="eastAsia" w:ascii="宋体" w:hAnsi="宋体" w:eastAsia="宋体" w:cs="宋体"/>
                <w:color w:val="auto"/>
                <w:sz w:val="24"/>
                <w:szCs w:val="24"/>
                <w:lang w:eastAsia="zh-CN"/>
              </w:rPr>
              <w:t>前</w:t>
            </w:r>
            <w:r>
              <w:rPr>
                <w:rFonts w:hint="eastAsia" w:ascii="宋体" w:hAnsi="宋体" w:eastAsia="宋体" w:cs="宋体"/>
                <w:color w:val="auto"/>
                <w:sz w:val="24"/>
                <w:szCs w:val="24"/>
              </w:rPr>
              <w:t>按磋商文件要求使用政采云电子投标客户端制作上传电子响应文件，并在开标时间到后远程解密</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p>
        </w:tc>
      </w:tr>
      <w:tr w14:paraId="5616A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8BD3EC5">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lang w:val="en-US" w:eastAsia="zh-CN"/>
              </w:rPr>
              <w:t>开标</w:t>
            </w:r>
            <w:r>
              <w:rPr>
                <w:rFonts w:hint="eastAsia" w:ascii="宋体" w:hAnsi="宋体" w:eastAsia="宋体" w:cs="宋体"/>
                <w:b/>
                <w:bCs/>
                <w:sz w:val="24"/>
                <w:szCs w:val="24"/>
              </w:rPr>
              <w:t>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3F0B3616">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青海省西宁市城西区西川南路76号万达中心4号写字楼23楼12304室</w:t>
            </w:r>
          </w:p>
        </w:tc>
      </w:tr>
      <w:tr w14:paraId="1A83A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D3A5A67">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358332E6">
            <w:pPr>
              <w:spacing w:line="336"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采购人：曲麻莱县卫生健康局</w:t>
            </w:r>
          </w:p>
          <w:p w14:paraId="0626B75A">
            <w:pPr>
              <w:spacing w:line="336"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联系人：格先生</w:t>
            </w:r>
          </w:p>
          <w:p w14:paraId="23FA5175">
            <w:pPr>
              <w:spacing w:line="336"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联系电话：0976-8851041 </w:t>
            </w:r>
          </w:p>
          <w:p w14:paraId="57A21434">
            <w:pPr>
              <w:spacing w:line="336"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联系地址：青海省玉树藏族自治州曲麻莱县约改镇治曲路63号</w:t>
            </w:r>
          </w:p>
        </w:tc>
      </w:tr>
      <w:tr w14:paraId="4331E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6C975F5A">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78E87267">
            <w:pPr>
              <w:spacing w:line="336"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代理机构：青海品冠招标代理有限公司</w:t>
            </w:r>
          </w:p>
          <w:p w14:paraId="5BADB302">
            <w:pPr>
              <w:spacing w:line="336"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联系人：</w:t>
            </w:r>
            <w:r>
              <w:rPr>
                <w:rFonts w:hint="eastAsia" w:ascii="宋体" w:hAnsi="宋体" w:eastAsia="宋体" w:cs="宋体"/>
                <w:color w:val="auto"/>
                <w:sz w:val="24"/>
                <w:szCs w:val="24"/>
                <w:lang w:val="en-US" w:eastAsia="zh-CN"/>
              </w:rPr>
              <w:t>马</w:t>
            </w:r>
            <w:r>
              <w:rPr>
                <w:rFonts w:hint="eastAsia" w:ascii="宋体" w:hAnsi="宋体" w:eastAsia="宋体" w:cs="宋体"/>
                <w:color w:val="auto"/>
                <w:sz w:val="24"/>
                <w:szCs w:val="24"/>
                <w:lang w:val="zh-CN" w:eastAsia="zh-CN"/>
              </w:rPr>
              <w:t>女士</w:t>
            </w:r>
          </w:p>
          <w:p w14:paraId="178210F3">
            <w:pPr>
              <w:spacing w:line="336"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联系电话：0971-</w:t>
            </w:r>
            <w:r>
              <w:rPr>
                <w:rFonts w:hint="eastAsia" w:ascii="宋体" w:hAnsi="宋体" w:eastAsia="宋体" w:cs="宋体"/>
                <w:color w:val="auto"/>
                <w:sz w:val="24"/>
                <w:szCs w:val="24"/>
                <w:lang w:val="en-US" w:eastAsia="zh-CN"/>
              </w:rPr>
              <w:t>6327698</w:t>
            </w:r>
          </w:p>
          <w:p w14:paraId="2DB1137E">
            <w:pPr>
              <w:spacing w:line="336"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邮箱：</w:t>
            </w:r>
            <w:r>
              <w:rPr>
                <w:rFonts w:hint="eastAsia" w:ascii="宋体" w:hAnsi="宋体" w:eastAsia="宋体" w:cs="宋体"/>
                <w:color w:val="auto"/>
                <w:sz w:val="24"/>
                <w:szCs w:val="24"/>
                <w:lang w:val="zh-CN"/>
              </w:rPr>
              <w:fldChar w:fldCharType="begin"/>
            </w:r>
            <w:r>
              <w:rPr>
                <w:rFonts w:hint="eastAsia" w:ascii="宋体" w:hAnsi="宋体" w:eastAsia="宋体" w:cs="宋体"/>
                <w:color w:val="auto"/>
                <w:sz w:val="24"/>
                <w:szCs w:val="24"/>
                <w:lang w:val="zh-CN"/>
              </w:rPr>
              <w:instrText xml:space="preserve"> HYPERLINK "mailto:qhpgzbgy@163.com" </w:instrText>
            </w:r>
            <w:r>
              <w:rPr>
                <w:rFonts w:hint="eastAsia" w:ascii="宋体" w:hAnsi="宋体" w:eastAsia="宋体" w:cs="宋体"/>
                <w:color w:val="auto"/>
                <w:sz w:val="24"/>
                <w:szCs w:val="24"/>
                <w:lang w:val="zh-CN"/>
              </w:rPr>
              <w:fldChar w:fldCharType="separate"/>
            </w:r>
            <w:r>
              <w:rPr>
                <w:rFonts w:hint="eastAsia" w:ascii="宋体" w:hAnsi="宋体" w:eastAsia="宋体" w:cs="宋体"/>
                <w:color w:val="auto"/>
                <w:sz w:val="24"/>
                <w:szCs w:val="24"/>
                <w:lang w:val="zh-CN"/>
              </w:rPr>
              <w:t>qhpgzbgy@163.com</w:t>
            </w:r>
            <w:r>
              <w:rPr>
                <w:rFonts w:hint="eastAsia" w:ascii="宋体" w:hAnsi="宋体" w:eastAsia="宋体" w:cs="宋体"/>
                <w:color w:val="auto"/>
                <w:sz w:val="24"/>
                <w:szCs w:val="24"/>
                <w:lang w:val="zh-CN"/>
              </w:rPr>
              <w:fldChar w:fldCharType="end"/>
            </w:r>
          </w:p>
          <w:p w14:paraId="4B34F03B">
            <w:pPr>
              <w:spacing w:line="336"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rPr>
              <w:t>联系地址：青海省西宁市城西区西川南路76号万达中心4号写字楼23楼12304室</w:t>
            </w:r>
          </w:p>
        </w:tc>
      </w:tr>
      <w:tr w14:paraId="3923D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303FBDC">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14:paraId="2DF9E25B">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青海银行交通巷支行</w:t>
            </w:r>
          </w:p>
        </w:tc>
      </w:tr>
      <w:tr w14:paraId="55CDD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246A37BD">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14:paraId="6E99E2D8">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青海品冠招标代理有限公司</w:t>
            </w:r>
          </w:p>
        </w:tc>
      </w:tr>
      <w:tr w14:paraId="05B6A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68B1CB0">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4AFC2E37">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0209201000215391（代理费专用账号）</w:t>
            </w:r>
          </w:p>
        </w:tc>
      </w:tr>
      <w:tr w14:paraId="78F1E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05F2285B">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14:paraId="5CAFABB3">
            <w:pPr>
              <w:numPr>
                <w:ilvl w:val="0"/>
                <w:numId w:val="1"/>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本公告在《青海省政府采购网》、《青海省电子招标投标公共服务平台》、《中国采购与招标网》同时发布，公告内容以《青海省政府采购网》发布的为准；</w:t>
            </w:r>
          </w:p>
          <w:p w14:paraId="1ABCEC77">
            <w:pPr>
              <w:numPr>
                <w:ilvl w:val="0"/>
                <w:numId w:val="1"/>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本次采购采用线上提交电子响应文件的方式进行，电子响应文件须在提交响应文件截止时间前上传； </w:t>
            </w:r>
          </w:p>
          <w:p w14:paraId="425C8050">
            <w:pPr>
              <w:numPr>
                <w:ilvl w:val="0"/>
                <w:numId w:val="1"/>
              </w:num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若对项目采购电子交易系统操作有疑问，可登录政采云平台点击右侧 </w:t>
            </w:r>
          </w:p>
          <w:p w14:paraId="535573C0">
            <w:pPr>
              <w:pStyle w:val="12"/>
              <w:spacing w:line="336" w:lineRule="auto"/>
              <w:ind w:firstLine="0" w:firstLineChars="0"/>
              <w:jc w:val="both"/>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咨询小采或拨打政采云服务热线 95763。</w:t>
            </w:r>
          </w:p>
        </w:tc>
      </w:tr>
      <w:tr w14:paraId="31957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14:paraId="30C7E548">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7F44">
            <w:pPr>
              <w:numPr>
                <w:ilvl w:val="0"/>
                <w:numId w:val="0"/>
              </w:numPr>
              <w:spacing w:line="360" w:lineRule="auto"/>
              <w:jc w:val="left"/>
              <w:rPr>
                <w:rFonts w:hint="eastAsia" w:ascii="宋体" w:hAnsi="宋体" w:eastAsia="宋体" w:cs="宋体"/>
                <w:color w:val="auto"/>
                <w:kern w:val="0"/>
                <w:sz w:val="24"/>
                <w:szCs w:val="24"/>
                <w:lang w:val="zh-CN" w:eastAsia="zh-CN" w:bidi="ar"/>
              </w:rPr>
            </w:pPr>
            <w:r>
              <w:rPr>
                <w:rFonts w:hint="eastAsia" w:ascii="宋体" w:hAnsi="宋体" w:eastAsia="宋体" w:cs="宋体"/>
                <w:color w:val="auto"/>
                <w:kern w:val="0"/>
                <w:sz w:val="24"/>
                <w:szCs w:val="24"/>
                <w:lang w:val="zh-CN" w:eastAsia="zh-CN" w:bidi="ar"/>
              </w:rPr>
              <w:t>监督单位：曲麻莱县财政局</w:t>
            </w:r>
          </w:p>
          <w:p w14:paraId="5E2F50E5">
            <w:pPr>
              <w:numPr>
                <w:ilvl w:val="0"/>
                <w:numId w:val="0"/>
              </w:numPr>
              <w:spacing w:line="360" w:lineRule="auto"/>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CN" w:eastAsia="zh-CN" w:bidi="ar"/>
              </w:rPr>
              <w:t>联系电话：0976-8851064</w:t>
            </w:r>
          </w:p>
        </w:tc>
      </w:tr>
    </w:tbl>
    <w:p w14:paraId="7CC9918E">
      <w:pPr>
        <w:spacing w:line="360" w:lineRule="auto"/>
        <w:ind w:firstLine="0" w:firstLineChars="0"/>
        <w:jc w:val="right"/>
        <w:rPr>
          <w:rFonts w:ascii="宋体" w:hAnsi="宋体" w:eastAsia="宋体" w:cs="宋体"/>
          <w:sz w:val="24"/>
          <w:szCs w:val="24"/>
        </w:rPr>
      </w:pPr>
      <w:r>
        <w:rPr>
          <w:rFonts w:hint="eastAsia" w:ascii="宋体" w:hAnsi="宋体" w:eastAsia="宋体" w:cs="宋体"/>
          <w:sz w:val="24"/>
          <w:szCs w:val="24"/>
        </w:rPr>
        <w:t>青海品冠招标代理有限公司</w:t>
      </w:r>
    </w:p>
    <w:p w14:paraId="4034D33D">
      <w:pPr>
        <w:wordWrap w:val="0"/>
        <w:spacing w:line="360" w:lineRule="auto"/>
        <w:ind w:firstLine="0" w:firstLineChars="0"/>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2024年</w:t>
      </w: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 xml:space="preserve">    </w:t>
      </w:r>
    </w:p>
    <w:p w14:paraId="6BF6B63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br w:type="page"/>
      </w:r>
    </w:p>
    <w:p w14:paraId="5FD151B7">
      <w:pPr>
        <w:pStyle w:val="18"/>
        <w:spacing w:before="0" w:after="0" w:line="360" w:lineRule="auto"/>
        <w:ind w:firstLine="0" w:firstLineChars="0"/>
        <w:rPr>
          <w:rFonts w:ascii="宋体" w:hAnsi="宋体" w:eastAsia="宋体" w:cs="宋体"/>
          <w:lang w:val="zh-CN"/>
        </w:rPr>
      </w:pPr>
      <w:bookmarkStart w:id="3" w:name="_Toc3201"/>
      <w:bookmarkStart w:id="4" w:name="_Toc19487"/>
      <w:r>
        <w:rPr>
          <w:rFonts w:hint="eastAsia" w:ascii="宋体" w:hAnsi="宋体" w:eastAsia="宋体" w:cs="宋体"/>
          <w:lang w:val="zh-CN"/>
        </w:rPr>
        <w:t>第二部分</w:t>
      </w:r>
      <w:r>
        <w:rPr>
          <w:rFonts w:hint="eastAsia" w:ascii="宋体" w:hAnsi="宋体" w:eastAsia="宋体" w:cs="宋体"/>
        </w:rPr>
        <w:t xml:space="preserve">  </w:t>
      </w:r>
      <w:r>
        <w:rPr>
          <w:rFonts w:hint="eastAsia" w:ascii="宋体" w:hAnsi="宋体" w:eastAsia="宋体" w:cs="宋体"/>
          <w:lang w:val="zh-CN"/>
        </w:rPr>
        <w:t>供应商须知前附表</w:t>
      </w:r>
      <w:bookmarkEnd w:id="3"/>
      <w:bookmarkEnd w:id="4"/>
    </w:p>
    <w:p w14:paraId="5E92B783">
      <w:pPr>
        <w:spacing w:line="360" w:lineRule="auto"/>
        <w:ind w:firstLine="0" w:firstLineChars="0"/>
        <w:rPr>
          <w:rFonts w:ascii="宋体" w:hAnsi="宋体" w:eastAsia="宋体" w:cs="宋体"/>
          <w:sz w:val="24"/>
          <w:szCs w:val="24"/>
          <w:lang w:val="zh-CN"/>
        </w:rPr>
      </w:pPr>
    </w:p>
    <w:tbl>
      <w:tblPr>
        <w:tblStyle w:val="21"/>
        <w:tblW w:w="10205" w:type="dxa"/>
        <w:jc w:val="center"/>
        <w:tblLayout w:type="fixed"/>
        <w:tblCellMar>
          <w:top w:w="0" w:type="dxa"/>
          <w:left w:w="57" w:type="dxa"/>
          <w:bottom w:w="0" w:type="dxa"/>
          <w:right w:w="57" w:type="dxa"/>
        </w:tblCellMar>
      </w:tblPr>
      <w:tblGrid>
        <w:gridCol w:w="653"/>
        <w:gridCol w:w="2530"/>
        <w:gridCol w:w="7022"/>
      </w:tblGrid>
      <w:tr w14:paraId="23F275B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8AB5E0">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57D5FB3">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内容</w:t>
            </w:r>
          </w:p>
        </w:tc>
      </w:tr>
      <w:tr w14:paraId="7381D2F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908284">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D470B4">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6150B27">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青海品冠竞磋（货物）2024-055</w:t>
            </w:r>
          </w:p>
        </w:tc>
      </w:tr>
      <w:tr w14:paraId="16B4178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9C9B86">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856F03">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8CB86D0">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曲麻莱县藏医院制剂室、检验室功能提升及妇幼保健中心配套设施建设项目</w:t>
            </w:r>
          </w:p>
        </w:tc>
      </w:tr>
      <w:tr w14:paraId="5D3B8DB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024CBD">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609E49">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394C333">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曲麻莱县卫生健康局</w:t>
            </w:r>
          </w:p>
        </w:tc>
      </w:tr>
      <w:tr w14:paraId="6C8D890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DA9422">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BF6B6F">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43DF3B9">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青海品冠招标代理有限公司</w:t>
            </w:r>
          </w:p>
        </w:tc>
      </w:tr>
      <w:tr w14:paraId="3DBF0F3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ADF0E5">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4CA067">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AB288F9">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竞争性磋商</w:t>
            </w:r>
          </w:p>
        </w:tc>
      </w:tr>
      <w:tr w14:paraId="1D6D4D7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E43C23">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231ED1">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7E1B965D">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综合评分法</w:t>
            </w:r>
          </w:p>
        </w:tc>
      </w:tr>
      <w:tr w14:paraId="5E3F13D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EC527B">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5E60A4">
            <w:pPr>
              <w:spacing w:line="336"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采购预算额度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860EC9">
            <w:pPr>
              <w:spacing w:line="336" w:lineRule="auto"/>
              <w:ind w:firstLine="0" w:firstLineChars="0"/>
              <w:jc w:val="left"/>
              <w:rPr>
                <w:rFonts w:hint="eastAsia" w:ascii="宋体" w:hAnsi="宋体" w:eastAsia="宋体" w:cs="宋体"/>
                <w:sz w:val="24"/>
                <w:lang w:eastAsia="zh-CN"/>
              </w:rPr>
            </w:pPr>
            <w:r>
              <w:rPr>
                <w:rFonts w:hint="eastAsia" w:ascii="宋体" w:hAnsi="宋体" w:eastAsia="宋体" w:cs="宋体"/>
                <w:sz w:val="24"/>
                <w:szCs w:val="24"/>
                <w:highlight w:val="none"/>
                <w:lang w:val="en-US" w:eastAsia="zh-CN"/>
              </w:rPr>
              <w:t>1630000.00</w:t>
            </w:r>
            <w:r>
              <w:rPr>
                <w:rFonts w:hint="eastAsia" w:ascii="宋体" w:hAnsi="宋体" w:eastAsia="宋体" w:cs="宋体"/>
                <w:sz w:val="24"/>
                <w:szCs w:val="24"/>
                <w:highlight w:val="none"/>
                <w:lang w:eastAsia="zh-CN"/>
              </w:rPr>
              <w:t>元</w:t>
            </w:r>
          </w:p>
        </w:tc>
      </w:tr>
      <w:tr w14:paraId="2B77473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CC8EB6">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AF7B04">
            <w:pPr>
              <w:spacing w:line="336" w:lineRule="auto"/>
              <w:ind w:firstLine="0" w:firstLineChars="0"/>
              <w:jc w:val="left"/>
              <w:rPr>
                <w:rFonts w:hint="eastAsia" w:ascii="宋体" w:hAnsi="宋体" w:eastAsia="宋体" w:cs="宋体"/>
                <w:b/>
                <w:bCs/>
                <w:sz w:val="24"/>
                <w:szCs w:val="24"/>
                <w:lang w:val="zh-CN"/>
              </w:rPr>
            </w:pPr>
            <w:r>
              <w:rPr>
                <w:rFonts w:hint="eastAsia" w:ascii="宋体" w:hAnsi="宋体" w:eastAsia="宋体" w:cs="宋体"/>
                <w:b/>
                <w:bCs/>
                <w:sz w:val="24"/>
                <w:szCs w:val="24"/>
              </w:rPr>
              <w:t>最高限价</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3C0E97">
            <w:pPr>
              <w:spacing w:line="336" w:lineRule="auto"/>
              <w:ind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1630000.00元</w:t>
            </w:r>
          </w:p>
        </w:tc>
      </w:tr>
      <w:tr w14:paraId="786CB23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10CF92">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5B048C">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2E7AAD">
            <w:pPr>
              <w:spacing w:line="360" w:lineRule="auto"/>
              <w:ind w:firstLine="0" w:firstLineChars="0"/>
              <w:jc w:val="left"/>
              <w:rPr>
                <w:rFonts w:hint="default" w:ascii="宋体" w:hAnsi="宋体" w:eastAsia="宋体" w:cs="宋体"/>
                <w:sz w:val="24"/>
                <w:lang w:val="en-US" w:eastAsia="zh-CN"/>
              </w:rPr>
            </w:pPr>
            <w:r>
              <w:rPr>
                <w:rFonts w:hint="eastAsia" w:ascii="宋体" w:hAnsi="宋体" w:eastAsia="宋体" w:cs="宋体"/>
                <w:sz w:val="24"/>
                <w:szCs w:val="24"/>
                <w:lang w:val="en-US" w:eastAsia="zh-CN"/>
              </w:rPr>
              <w:t>无</w:t>
            </w:r>
          </w:p>
        </w:tc>
      </w:tr>
      <w:tr w14:paraId="5C653BE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2DE7BA">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F16EFE">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5B2B7C">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详见磋商文件第六部分</w:t>
            </w:r>
          </w:p>
        </w:tc>
      </w:tr>
      <w:tr w14:paraId="2D00813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E9A523">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DB82A0">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6B0209A">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1、符合《中华人民共和国政府采购法》第22条的条件。</w:t>
            </w:r>
          </w:p>
          <w:p w14:paraId="490EC365">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2、磋商文件规定的其他资质条件。</w:t>
            </w:r>
          </w:p>
        </w:tc>
      </w:tr>
      <w:tr w14:paraId="59F2CAF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3CBBE5">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0C0D75">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8117C02">
            <w:pPr>
              <w:autoSpaceDE w:val="0"/>
              <w:autoSpaceDN w:val="0"/>
              <w:spacing w:line="360" w:lineRule="auto"/>
              <w:ind w:firstLine="0" w:firstLineChars="0"/>
              <w:jc w:val="left"/>
              <w:rPr>
                <w:rFonts w:hint="default" w:ascii="宋体" w:hAnsi="宋体" w:eastAsia="宋体" w:cs="宋体"/>
                <w:sz w:val="24"/>
                <w:lang w:val="en-US"/>
              </w:rPr>
            </w:pPr>
            <w:r>
              <w:rPr>
                <w:rFonts w:hint="eastAsia" w:ascii="宋体" w:hAnsi="宋体" w:eastAsia="宋体" w:cs="宋体"/>
                <w:sz w:val="24"/>
                <w:lang w:val="zh-CN"/>
              </w:rPr>
              <w:t>磋商保证金：</w:t>
            </w:r>
            <w:r>
              <w:rPr>
                <w:rFonts w:hint="eastAsia" w:ascii="宋体" w:hAnsi="宋体" w:eastAsia="宋体" w:cs="宋体"/>
                <w:sz w:val="24"/>
                <w:lang w:val="en-US" w:eastAsia="zh-CN"/>
              </w:rPr>
              <w:t>30000.00元（大写：叁万元整）</w:t>
            </w:r>
          </w:p>
          <w:p w14:paraId="599B5052">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收款单位：青海品冠招标代理有限公司</w:t>
            </w:r>
          </w:p>
          <w:p w14:paraId="6DAEDE65">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开 户 行：青海西宁农村商业股份有限公司市民中心支行</w:t>
            </w:r>
          </w:p>
          <w:p w14:paraId="2AF8314D">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行号：402851020412</w:t>
            </w:r>
          </w:p>
          <w:p w14:paraId="07A3A454">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银行账号：</w:t>
            </w:r>
            <w:bookmarkStart w:id="5" w:name="EB10465d4b056e463cb3f7369d04761528"/>
            <w:r>
              <w:rPr>
                <w:rFonts w:hint="eastAsia" w:ascii="宋体" w:hAnsi="宋体" w:eastAsia="宋体" w:cs="宋体"/>
                <w:sz w:val="24"/>
                <w:lang w:val="zh-CN"/>
              </w:rPr>
              <w:t>82010000000486052（保证金专用账户）</w:t>
            </w:r>
            <w:bookmarkEnd w:id="5"/>
          </w:p>
          <w:p w14:paraId="5AF867FC">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缴费时间：提交响应文件截止时间前，以银行到账时间为准。</w:t>
            </w:r>
          </w:p>
        </w:tc>
      </w:tr>
      <w:tr w14:paraId="2F4F9AF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A72251">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067307">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3CDB2E7">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缴费方式：磋商保证金应当以支票、汇票、本票或者金融机构、担保机构出具的保函等非现金形式提交。供应商未按照磋商文件要求提交磋商保证金的，投标无效。</w:t>
            </w:r>
          </w:p>
        </w:tc>
      </w:tr>
      <w:tr w14:paraId="574C253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A91CA7">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507D82">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85DEF35">
            <w:pPr>
              <w:spacing w:line="360" w:lineRule="auto"/>
              <w:ind w:firstLine="0" w:firstLineChars="0"/>
              <w:rPr>
                <w:rFonts w:ascii="宋体" w:hAnsi="宋体" w:eastAsia="宋体" w:cs="宋体"/>
                <w:sz w:val="24"/>
                <w:lang w:val="zh-CN"/>
              </w:rPr>
            </w:pPr>
            <w:r>
              <w:rPr>
                <w:rFonts w:hint="eastAsia" w:ascii="宋体" w:hAnsi="宋体" w:eastAsia="宋体" w:cs="宋体"/>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tc>
      </w:tr>
      <w:tr w14:paraId="2A0E8EA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EA115E">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40FD3D">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D80C00">
            <w:pPr>
              <w:autoSpaceDE w:val="0"/>
              <w:autoSpaceDN w:val="0"/>
              <w:spacing w:line="360" w:lineRule="auto"/>
              <w:ind w:firstLine="0" w:firstLineChars="0"/>
              <w:jc w:val="left"/>
              <w:rPr>
                <w:rFonts w:ascii="宋体" w:hAnsi="宋体" w:eastAsia="宋体" w:cs="宋体"/>
                <w:sz w:val="24"/>
                <w:lang w:val="zh-CN"/>
              </w:rPr>
            </w:pPr>
            <w:r>
              <w:rPr>
                <w:rFonts w:hint="eastAsia" w:ascii="宋体" w:cs="宋体"/>
                <w:color w:val="000000"/>
                <w:sz w:val="24"/>
                <w:lang w:val="en-US" w:eastAsia="zh-CN"/>
              </w:rPr>
              <w:t>政采云平台提交</w:t>
            </w:r>
          </w:p>
        </w:tc>
      </w:tr>
      <w:tr w14:paraId="18B299E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18A731">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70921C">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B755DC">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2024年12月</w:t>
            </w:r>
            <w:r>
              <w:rPr>
                <w:rFonts w:hint="eastAsia" w:ascii="宋体" w:hAnsi="宋体" w:eastAsia="宋体" w:cs="宋体"/>
                <w:color w:val="000000" w:themeColor="text1"/>
                <w:sz w:val="24"/>
                <w:szCs w:val="24"/>
                <w:lang w:val="en-US" w:eastAsia="zh-CN"/>
                <w14:textFill>
                  <w14:solidFill>
                    <w14:schemeClr w14:val="tx1"/>
                  </w14:solidFill>
                </w14:textFill>
              </w:rPr>
              <w:t>06</w:t>
            </w:r>
            <w:r>
              <w:rPr>
                <w:rFonts w:hint="eastAsia" w:ascii="宋体" w:hAnsi="宋体" w:eastAsia="宋体" w:cs="宋体"/>
                <w:color w:val="000000" w:themeColor="text1"/>
                <w:sz w:val="24"/>
                <w:szCs w:val="24"/>
                <w:lang w:val="zh-CN"/>
                <w14:textFill>
                  <w14:solidFill>
                    <w14:schemeClr w14:val="tx1"/>
                  </w14:solidFill>
                </w14:textFill>
              </w:rPr>
              <w:t>日上午09:30（北京时间）</w:t>
            </w:r>
          </w:p>
        </w:tc>
      </w:tr>
      <w:tr w14:paraId="5D24A54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FBAEDF">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2B0CB0">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9772E7">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2024年12月</w:t>
            </w:r>
            <w:r>
              <w:rPr>
                <w:rFonts w:hint="eastAsia" w:ascii="宋体" w:hAnsi="宋体" w:eastAsia="宋体" w:cs="宋体"/>
                <w:color w:val="000000" w:themeColor="text1"/>
                <w:sz w:val="24"/>
                <w:szCs w:val="24"/>
                <w:lang w:val="en-US" w:eastAsia="zh-CN"/>
                <w14:textFill>
                  <w14:solidFill>
                    <w14:schemeClr w14:val="tx1"/>
                  </w14:solidFill>
                </w14:textFill>
              </w:rPr>
              <w:t>06</w:t>
            </w:r>
            <w:r>
              <w:rPr>
                <w:rFonts w:hint="eastAsia" w:ascii="宋体" w:hAnsi="宋体" w:eastAsia="宋体" w:cs="宋体"/>
                <w:color w:val="000000" w:themeColor="text1"/>
                <w:sz w:val="24"/>
                <w:szCs w:val="24"/>
                <w:lang w:val="zh-CN"/>
                <w14:textFill>
                  <w14:solidFill>
                    <w14:schemeClr w14:val="tx1"/>
                  </w14:solidFill>
                </w14:textFill>
              </w:rPr>
              <w:t>日上午09:30（北京时间）</w:t>
            </w:r>
          </w:p>
        </w:tc>
      </w:tr>
      <w:tr w14:paraId="7B0482E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BD0F1F">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35D4B5">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72ABE0">
            <w:pPr>
              <w:spacing w:line="360" w:lineRule="auto"/>
              <w:ind w:firstLine="0" w:firstLineChars="0"/>
              <w:jc w:val="left"/>
              <w:rPr>
                <w:rFonts w:ascii="宋体" w:hAnsi="宋体" w:eastAsia="宋体" w:cs="宋体"/>
                <w:sz w:val="24"/>
                <w:lang w:val="zh-CN"/>
              </w:rPr>
            </w:pPr>
            <w:r>
              <w:rPr>
                <w:rFonts w:hint="eastAsia" w:ascii="宋体" w:cs="宋体"/>
                <w:color w:val="auto"/>
                <w:sz w:val="24"/>
                <w:lang w:val="zh-CN" w:eastAsia="zh-CN"/>
              </w:rPr>
              <w:t>政采云平台（https://www.zcygov.cn/）</w:t>
            </w:r>
          </w:p>
        </w:tc>
      </w:tr>
      <w:tr w14:paraId="18F1E99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D8BBD1">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0EA946">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830ACB5">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cs="仿宋"/>
                <w:sz w:val="24"/>
                <w:szCs w:val="24"/>
                <w:lang w:val="en-US" w:eastAsia="zh-CN"/>
              </w:rPr>
              <w:t>线上答疑</w:t>
            </w:r>
          </w:p>
        </w:tc>
      </w:tr>
      <w:tr w14:paraId="7A7B1207">
        <w:tblPrEx>
          <w:tblCellMar>
            <w:top w:w="0" w:type="dxa"/>
            <w:left w:w="57" w:type="dxa"/>
            <w:bottom w:w="0" w:type="dxa"/>
            <w:right w:w="57" w:type="dxa"/>
          </w:tblCellMar>
        </w:tblPrEx>
        <w:trPr>
          <w:trHeight w:val="418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A161AF">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8BF3B6">
            <w:pPr>
              <w:autoSpaceDE w:val="0"/>
              <w:autoSpaceDN w:val="0"/>
              <w:spacing w:line="360" w:lineRule="auto"/>
              <w:ind w:firstLine="0" w:firstLineChars="0"/>
              <w:jc w:val="left"/>
              <w:rPr>
                <w:rFonts w:ascii="宋体" w:hAnsi="宋体" w:eastAsia="宋体" w:cs="宋体"/>
                <w:b/>
                <w:bCs/>
                <w:sz w:val="24"/>
                <w:highlight w:val="none"/>
                <w:lang w:val="zh-CN"/>
              </w:rPr>
            </w:pPr>
            <w:r>
              <w:rPr>
                <w:rFonts w:hint="eastAsia" w:ascii="宋体" w:hAnsi="宋体" w:eastAsia="宋体" w:cs="宋体"/>
                <w:b/>
                <w:bCs/>
                <w:sz w:val="24"/>
                <w:highlight w:val="none"/>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372F398">
            <w:pPr>
              <w:autoSpaceDE w:val="0"/>
              <w:autoSpaceDN w:val="0"/>
              <w:spacing w:line="360" w:lineRule="auto"/>
              <w:ind w:firstLine="0" w:firstLineChars="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收取对象：</w:t>
            </w:r>
            <w:r>
              <w:rPr>
                <w:rFonts w:hint="eastAsia" w:ascii="宋体" w:hAnsi="宋体" w:eastAsia="宋体" w:cs="宋体"/>
                <w:color w:val="auto"/>
                <w:sz w:val="24"/>
                <w:highlight w:val="none"/>
                <w:lang w:val="en-US" w:eastAsia="zh-CN"/>
              </w:rPr>
              <w:t>成交供应商</w:t>
            </w:r>
          </w:p>
          <w:p w14:paraId="5BC71F4F">
            <w:pPr>
              <w:autoSpaceDE w:val="0"/>
              <w:autoSpaceDN w:val="0"/>
              <w:spacing w:line="360" w:lineRule="auto"/>
              <w:ind w:firstLine="0" w:firstLineChars="0"/>
              <w:jc w:val="left"/>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zh-CN"/>
              </w:rPr>
              <w:t>收费金额：</w:t>
            </w:r>
            <w:bookmarkStart w:id="6" w:name="OLE_LINK10"/>
            <w:r>
              <w:rPr>
                <w:rFonts w:hint="eastAsia" w:ascii="宋体" w:hAnsi="宋体" w:eastAsia="宋体" w:cs="宋体"/>
                <w:color w:val="auto"/>
                <w:sz w:val="24"/>
                <w:highlight w:val="none"/>
                <w:lang w:val="en-US" w:eastAsia="zh-CN"/>
              </w:rPr>
              <w:t>21900.00元</w:t>
            </w:r>
          </w:p>
          <w:bookmarkEnd w:id="6"/>
          <w:p w14:paraId="0701BF09">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5B162898">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采购代理机构开户银行：青海银行交通巷支行；</w:t>
            </w:r>
          </w:p>
          <w:p w14:paraId="06B2CB7B">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收款人：青海品冠招标代理有限公司；</w:t>
            </w:r>
          </w:p>
          <w:p w14:paraId="20E7E2C2">
            <w:pPr>
              <w:autoSpaceDE w:val="0"/>
              <w:autoSpaceDN w:val="0"/>
              <w:spacing w:line="360" w:lineRule="auto"/>
              <w:ind w:firstLine="0" w:firstLineChars="0"/>
              <w:jc w:val="left"/>
              <w:rPr>
                <w:rFonts w:ascii="宋体" w:hAnsi="宋体" w:eastAsia="宋体" w:cs="宋体"/>
                <w:b/>
                <w:sz w:val="24"/>
                <w:highlight w:val="none"/>
              </w:rPr>
            </w:pPr>
            <w:r>
              <w:rPr>
                <w:rFonts w:hint="eastAsia" w:ascii="宋体" w:hAnsi="宋体" w:eastAsia="宋体" w:cs="宋体"/>
                <w:color w:val="000000" w:themeColor="text1"/>
                <w:sz w:val="24"/>
                <w:highlight w:val="none"/>
                <w14:textFill>
                  <w14:solidFill>
                    <w14:schemeClr w14:val="tx1"/>
                  </w14:solidFill>
                </w14:textFill>
              </w:rPr>
              <w:t>银行账号：0209201000215391（代理费专用账号）</w:t>
            </w:r>
          </w:p>
        </w:tc>
      </w:tr>
      <w:tr w14:paraId="516DB45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D06479">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EF24BA">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88F8276">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自成交通知书发出之日起</w:t>
            </w:r>
            <w:r>
              <w:rPr>
                <w:rFonts w:hint="eastAsia" w:ascii="宋体" w:hAnsi="宋体" w:eastAsia="宋体" w:cs="宋体"/>
                <w:sz w:val="24"/>
              </w:rPr>
              <w:t>30</w:t>
            </w:r>
            <w:r>
              <w:rPr>
                <w:rFonts w:hint="eastAsia" w:ascii="宋体" w:hAnsi="宋体" w:eastAsia="宋体" w:cs="宋体"/>
                <w:sz w:val="24"/>
                <w:lang w:val="zh-CN"/>
              </w:rPr>
              <w:t>日内与采购人签订采购合同</w:t>
            </w:r>
          </w:p>
        </w:tc>
      </w:tr>
      <w:tr w14:paraId="659FEA2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47A0EB">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A0D674">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03FA7C1">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采购合同全数返回采购代理机构鉴证，盖章。</w:t>
            </w:r>
          </w:p>
          <w:p w14:paraId="64BF8386">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采购代理机构留存</w:t>
            </w:r>
            <w:r>
              <w:rPr>
                <w:rFonts w:hint="eastAsia" w:ascii="宋体" w:hAnsi="宋体" w:eastAsia="宋体" w:cs="宋体"/>
                <w:sz w:val="24"/>
              </w:rPr>
              <w:t>两</w:t>
            </w:r>
            <w:r>
              <w:rPr>
                <w:rFonts w:hint="eastAsia" w:ascii="宋体" w:hAnsi="宋体" w:eastAsia="宋体" w:cs="宋体"/>
                <w:sz w:val="24"/>
                <w:lang w:val="zh-CN"/>
              </w:rPr>
              <w:t>份原件备案。</w:t>
            </w:r>
          </w:p>
        </w:tc>
      </w:tr>
      <w:tr w14:paraId="4F86862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873E83">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B7CDDA">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A6F0F0C">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rPr>
              <w:t>磋商有效期为自磋商开始之日起60个日历日</w:t>
            </w:r>
          </w:p>
        </w:tc>
      </w:tr>
      <w:tr w14:paraId="1622B87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A5AE18">
            <w:pPr>
              <w:numPr>
                <w:ilvl w:val="0"/>
                <w:numId w:val="2"/>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3C6DCC">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B0F3F65">
            <w:pPr>
              <w:autoSpaceDE w:val="0"/>
              <w:autoSpaceDN w:val="0"/>
              <w:spacing w:line="360" w:lineRule="auto"/>
              <w:ind w:firstLine="0" w:firstLineChars="0"/>
              <w:jc w:val="left"/>
              <w:rPr>
                <w:rFonts w:ascii="宋体" w:hAnsi="宋体" w:eastAsia="宋体" w:cs="宋体"/>
                <w:sz w:val="24"/>
              </w:rPr>
            </w:pPr>
            <w:r>
              <w:rPr>
                <w:rFonts w:hint="eastAsia" w:ascii="宋体" w:hAnsi="宋体" w:eastAsia="宋体" w:cs="宋体"/>
                <w:sz w:val="24"/>
              </w:rPr>
              <w:t>/</w:t>
            </w:r>
          </w:p>
        </w:tc>
      </w:tr>
    </w:tbl>
    <w:p w14:paraId="64DB862B">
      <w:pPr>
        <w:wordWrap w:val="0"/>
        <w:spacing w:line="360" w:lineRule="auto"/>
        <w:ind w:firstLine="0" w:firstLineChars="0"/>
        <w:rPr>
          <w:rFonts w:ascii="宋体" w:hAnsi="宋体" w:eastAsia="宋体" w:cs="宋体"/>
          <w:sz w:val="24"/>
          <w:szCs w:val="24"/>
          <w:lang w:val="zh-CN"/>
        </w:rPr>
      </w:pPr>
    </w:p>
    <w:p w14:paraId="31F98962">
      <w:pPr>
        <w:wordWrap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br w:type="page"/>
      </w:r>
    </w:p>
    <w:p w14:paraId="2AC0A20F">
      <w:pPr>
        <w:keepNext/>
        <w:keepLines/>
        <w:pageBreakBefore/>
        <w:widowControl/>
        <w:snapToGrid w:val="0"/>
        <w:spacing w:line="360" w:lineRule="auto"/>
        <w:ind w:firstLine="0" w:firstLineChars="0"/>
        <w:jc w:val="center"/>
        <w:outlineLvl w:val="0"/>
        <w:rPr>
          <w:rFonts w:ascii="宋体" w:hAnsi="宋体" w:eastAsia="宋体" w:cs="宋体"/>
          <w:b/>
          <w:kern w:val="28"/>
          <w:sz w:val="36"/>
          <w:szCs w:val="20"/>
        </w:rPr>
      </w:pPr>
      <w:bookmarkStart w:id="7" w:name="_Toc9515"/>
      <w:bookmarkStart w:id="8" w:name="_Toc325725997"/>
      <w:r>
        <w:rPr>
          <w:rFonts w:hint="eastAsia" w:ascii="宋体" w:hAnsi="宋体" w:eastAsia="宋体" w:cs="宋体"/>
          <w:b/>
          <w:kern w:val="28"/>
          <w:sz w:val="36"/>
          <w:szCs w:val="20"/>
        </w:rPr>
        <w:t>第三部分  供应商须知</w:t>
      </w:r>
      <w:bookmarkEnd w:id="7"/>
    </w:p>
    <w:p w14:paraId="195C6F30">
      <w:pPr>
        <w:widowControl/>
        <w:spacing w:line="360" w:lineRule="auto"/>
        <w:ind w:firstLine="0" w:firstLineChars="0"/>
        <w:jc w:val="center"/>
        <w:outlineLvl w:val="1"/>
        <w:rPr>
          <w:rFonts w:ascii="宋体" w:hAnsi="宋体" w:eastAsia="宋体" w:cs="宋体"/>
          <w:b/>
          <w:bCs/>
          <w:sz w:val="24"/>
          <w:szCs w:val="24"/>
        </w:rPr>
      </w:pPr>
      <w:bookmarkStart w:id="9" w:name="_Toc24622"/>
      <w:bookmarkStart w:id="10" w:name="_Toc14943"/>
      <w:bookmarkStart w:id="11" w:name="_Toc376936728"/>
      <w:r>
        <w:rPr>
          <w:rFonts w:hint="eastAsia" w:ascii="宋体" w:hAnsi="宋体" w:eastAsia="宋体" w:cs="宋体"/>
          <w:b/>
          <w:bCs/>
          <w:sz w:val="24"/>
          <w:szCs w:val="24"/>
        </w:rPr>
        <w:t>一、说  明</w:t>
      </w:r>
      <w:bookmarkEnd w:id="8"/>
      <w:bookmarkEnd w:id="9"/>
      <w:bookmarkEnd w:id="10"/>
      <w:bookmarkEnd w:id="11"/>
    </w:p>
    <w:p w14:paraId="4295EFF3">
      <w:pPr>
        <w:widowControl/>
        <w:spacing w:line="360" w:lineRule="auto"/>
        <w:ind w:firstLine="0" w:firstLineChars="0"/>
        <w:jc w:val="left"/>
        <w:outlineLvl w:val="2"/>
        <w:rPr>
          <w:rFonts w:ascii="宋体" w:hAnsi="宋体" w:eastAsia="宋体" w:cs="宋体"/>
          <w:b/>
          <w:bCs/>
          <w:sz w:val="24"/>
          <w:szCs w:val="24"/>
        </w:rPr>
      </w:pPr>
      <w:bookmarkStart w:id="12" w:name="_Toc9770"/>
      <w:bookmarkStart w:id="13" w:name="_Toc26944"/>
      <w:bookmarkStart w:id="14" w:name="_Toc376936729"/>
      <w:bookmarkStart w:id="15" w:name="_Toc325725998"/>
      <w:r>
        <w:rPr>
          <w:rFonts w:hint="eastAsia" w:ascii="宋体" w:hAnsi="宋体" w:eastAsia="宋体" w:cs="宋体"/>
          <w:b/>
          <w:bCs/>
          <w:sz w:val="24"/>
          <w:szCs w:val="24"/>
        </w:rPr>
        <w:t>1.适用范围</w:t>
      </w:r>
      <w:bookmarkEnd w:id="12"/>
      <w:bookmarkEnd w:id="13"/>
      <w:bookmarkEnd w:id="14"/>
      <w:bookmarkEnd w:id="15"/>
    </w:p>
    <w:p w14:paraId="39489148">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本次采购依据</w:t>
      </w:r>
      <w:r>
        <w:rPr>
          <w:rFonts w:hint="eastAsia" w:ascii="宋体" w:hAnsi="宋体" w:eastAsia="宋体" w:cs="宋体"/>
          <w:sz w:val="24"/>
          <w:szCs w:val="24"/>
          <w:lang w:val="en-US" w:eastAsia="zh-CN"/>
        </w:rPr>
        <w:t>采购人</w:t>
      </w:r>
      <w:r>
        <w:rPr>
          <w:rFonts w:hint="eastAsia" w:ascii="宋体" w:hAnsi="宋体" w:eastAsia="宋体" w:cs="宋体"/>
          <w:sz w:val="24"/>
          <w:szCs w:val="24"/>
        </w:rPr>
        <w:t>的采购计划，仅适用于本磋商文件中所叙述的项目。</w:t>
      </w:r>
    </w:p>
    <w:p w14:paraId="11297676">
      <w:pPr>
        <w:widowControl/>
        <w:spacing w:line="360" w:lineRule="auto"/>
        <w:ind w:firstLine="0" w:firstLineChars="0"/>
        <w:jc w:val="left"/>
        <w:outlineLvl w:val="2"/>
        <w:rPr>
          <w:rFonts w:ascii="宋体" w:hAnsi="宋体" w:eastAsia="宋体" w:cs="宋体"/>
          <w:b/>
          <w:bCs/>
          <w:sz w:val="24"/>
          <w:szCs w:val="24"/>
        </w:rPr>
      </w:pPr>
      <w:bookmarkStart w:id="16" w:name="_Toc21998"/>
      <w:bookmarkStart w:id="17" w:name="_Toc325725999"/>
      <w:bookmarkStart w:id="18" w:name="_Toc376936730"/>
      <w:bookmarkStart w:id="19" w:name="_Toc31556"/>
      <w:r>
        <w:rPr>
          <w:rFonts w:hint="eastAsia" w:ascii="宋体" w:hAnsi="宋体" w:eastAsia="宋体" w:cs="宋体"/>
          <w:b/>
          <w:bCs/>
          <w:sz w:val="24"/>
          <w:szCs w:val="24"/>
        </w:rPr>
        <w:t>2.采购方式、合格的</w:t>
      </w:r>
      <w:bookmarkEnd w:id="16"/>
      <w:bookmarkEnd w:id="17"/>
      <w:bookmarkEnd w:id="18"/>
      <w:r>
        <w:rPr>
          <w:rFonts w:hint="eastAsia" w:ascii="宋体" w:hAnsi="宋体" w:eastAsia="宋体" w:cs="宋体"/>
          <w:b/>
          <w:bCs/>
          <w:sz w:val="24"/>
          <w:szCs w:val="24"/>
        </w:rPr>
        <w:t>供应商</w:t>
      </w:r>
      <w:bookmarkEnd w:id="19"/>
    </w:p>
    <w:p w14:paraId="52F803F5">
      <w:pPr>
        <w:keepNext w:val="0"/>
        <w:keepLines w:val="0"/>
        <w:widowControl/>
        <w:suppressLineNumbers w:val="0"/>
        <w:jc w:val="left"/>
      </w:pPr>
      <w:bookmarkStart w:id="20" w:name="_Toc325726000"/>
      <w:bookmarkStart w:id="21" w:name="_Toc8820"/>
      <w:bookmarkStart w:id="22" w:name="_Toc8805"/>
      <w:bookmarkStart w:id="23" w:name="_Toc376936731"/>
      <w:r>
        <w:rPr>
          <w:rFonts w:hint="eastAsia" w:ascii="宋体" w:hAnsi="宋体" w:eastAsia="宋体" w:cs="宋体"/>
          <w:color w:val="000000"/>
          <w:kern w:val="0"/>
          <w:sz w:val="24"/>
          <w:szCs w:val="24"/>
          <w:lang w:val="en-US" w:eastAsia="zh-CN" w:bidi="ar"/>
        </w:rPr>
        <w:t xml:space="preserve">2.1 本次采购采取竞争性磋商方式。 </w:t>
      </w:r>
    </w:p>
    <w:p w14:paraId="0F28A14C">
      <w:pPr>
        <w:keepNext w:val="0"/>
        <w:keepLines w:val="0"/>
        <w:widowControl/>
        <w:suppressLineNumbers w:val="0"/>
        <w:jc w:val="left"/>
        <w:rPr>
          <w:rFonts w:hint="eastAsia"/>
          <w:b w:val="0"/>
          <w:bCs w:val="0"/>
          <w:lang w:val="zh-CN"/>
        </w:rPr>
      </w:pPr>
      <w:r>
        <w:rPr>
          <w:rFonts w:hint="eastAsia" w:ascii="宋体" w:hAnsi="宋体" w:eastAsia="宋体" w:cs="宋体"/>
          <w:color w:val="000000"/>
          <w:kern w:val="0"/>
          <w:sz w:val="24"/>
          <w:szCs w:val="24"/>
          <w:lang w:val="en-US" w:eastAsia="zh-CN" w:bidi="ar"/>
        </w:rPr>
        <w:t>2.2 合格的供应商：详见第一部分投标邀请中“各标段供应商资格条件”的规定。</w:t>
      </w:r>
    </w:p>
    <w:p w14:paraId="23BD11F8">
      <w:pPr>
        <w:widowControl/>
        <w:spacing w:line="360" w:lineRule="auto"/>
        <w:ind w:firstLine="0" w:firstLineChars="0"/>
        <w:jc w:val="left"/>
        <w:outlineLvl w:val="2"/>
        <w:rPr>
          <w:rFonts w:ascii="宋体" w:hAnsi="宋体" w:eastAsia="宋体" w:cs="宋体"/>
          <w:b/>
          <w:bCs/>
          <w:sz w:val="24"/>
          <w:szCs w:val="24"/>
        </w:rPr>
      </w:pPr>
      <w:r>
        <w:rPr>
          <w:rFonts w:hint="eastAsia" w:ascii="宋体" w:hAnsi="宋体" w:eastAsia="宋体" w:cs="宋体"/>
          <w:b/>
          <w:bCs/>
          <w:sz w:val="24"/>
          <w:szCs w:val="24"/>
        </w:rPr>
        <w:t>3.磋商费用</w:t>
      </w:r>
      <w:bookmarkEnd w:id="20"/>
      <w:bookmarkEnd w:id="21"/>
      <w:bookmarkEnd w:id="22"/>
      <w:bookmarkEnd w:id="23"/>
    </w:p>
    <w:p w14:paraId="24F86C43">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供应商应自愿承担与参加本次投标有关的费用。采购代理机构对供应商发生的费用不承担任何责任。</w:t>
      </w:r>
      <w:bookmarkStart w:id="24" w:name="_Toc18155"/>
      <w:bookmarkStart w:id="25" w:name="_Toc376936732"/>
      <w:bookmarkStart w:id="26" w:name="_Toc325726001"/>
    </w:p>
    <w:p w14:paraId="74C45449">
      <w:pPr>
        <w:tabs>
          <w:tab w:val="left" w:pos="840"/>
        </w:tabs>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二、磋商文件说明</w:t>
      </w:r>
      <w:bookmarkEnd w:id="24"/>
      <w:bookmarkEnd w:id="25"/>
      <w:bookmarkEnd w:id="26"/>
    </w:p>
    <w:p w14:paraId="09DA8797">
      <w:pPr>
        <w:widowControl/>
        <w:spacing w:line="360" w:lineRule="auto"/>
        <w:ind w:firstLine="0" w:firstLineChars="0"/>
        <w:jc w:val="left"/>
        <w:outlineLvl w:val="2"/>
        <w:rPr>
          <w:rFonts w:ascii="宋体" w:hAnsi="宋体" w:eastAsia="宋体" w:cs="宋体"/>
          <w:b/>
          <w:bCs/>
          <w:sz w:val="24"/>
          <w:szCs w:val="24"/>
        </w:rPr>
      </w:pPr>
      <w:bookmarkStart w:id="27" w:name="_Toc14153"/>
      <w:bookmarkStart w:id="28" w:name="_Toc376936733"/>
      <w:bookmarkStart w:id="29" w:name="_Toc325726002"/>
      <w:bookmarkStart w:id="30" w:name="_Toc10649"/>
      <w:r>
        <w:rPr>
          <w:rFonts w:hint="eastAsia" w:ascii="宋体" w:hAnsi="宋体" w:eastAsia="宋体" w:cs="宋体"/>
          <w:b/>
          <w:bCs/>
          <w:sz w:val="24"/>
          <w:szCs w:val="24"/>
        </w:rPr>
        <w:t>4.磋商文件的构成</w:t>
      </w:r>
      <w:bookmarkEnd w:id="27"/>
      <w:bookmarkEnd w:id="28"/>
      <w:bookmarkEnd w:id="29"/>
      <w:bookmarkEnd w:id="30"/>
    </w:p>
    <w:p w14:paraId="05AE8A8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4.1磋商文件包括：</w:t>
      </w:r>
    </w:p>
    <w:p w14:paraId="200FEE2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（1）投标邀请</w:t>
      </w:r>
    </w:p>
    <w:p w14:paraId="7E7FE7A7">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供应商须知前附表</w:t>
      </w:r>
    </w:p>
    <w:p w14:paraId="3BC9416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（3）供应商须知</w:t>
      </w:r>
    </w:p>
    <w:p w14:paraId="548A5A8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（4）采购项目合同书</w:t>
      </w:r>
    </w:p>
    <w:p w14:paraId="40AC284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（5）响应文件格式（相关附件）</w:t>
      </w:r>
    </w:p>
    <w:p w14:paraId="575B760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（6）采购项目要求及技术参数</w:t>
      </w:r>
    </w:p>
    <w:p w14:paraId="77EBE96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（7）磋商过程中发生的澄清、变更和补充文件</w:t>
      </w:r>
    </w:p>
    <w:p w14:paraId="658CE1A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4.2 供应商应认真阅读磋商文件中列示的事项、格式、条款和要求等内容。如果供应商未按磋商文件要求提交全部资料，或者对磋商文件未作出实质性响应的，将视为无效响应。</w:t>
      </w:r>
    </w:p>
    <w:p w14:paraId="3094266C">
      <w:pPr>
        <w:widowControl/>
        <w:spacing w:line="360" w:lineRule="auto"/>
        <w:ind w:firstLine="0" w:firstLineChars="0"/>
        <w:jc w:val="left"/>
        <w:outlineLvl w:val="2"/>
        <w:rPr>
          <w:rFonts w:hint="eastAsia" w:ascii="宋体" w:hAnsi="宋体" w:eastAsia="宋体" w:cs="宋体"/>
          <w:b/>
          <w:bCs/>
          <w:color w:val="auto"/>
          <w:sz w:val="24"/>
          <w:szCs w:val="24"/>
        </w:rPr>
      </w:pPr>
      <w:bookmarkStart w:id="31" w:name="_Toc376936734"/>
      <w:bookmarkStart w:id="32" w:name="_Toc3451"/>
      <w:bookmarkStart w:id="33" w:name="_Toc6482"/>
      <w:bookmarkStart w:id="34" w:name="_Toc325726003"/>
      <w:r>
        <w:rPr>
          <w:rFonts w:hint="eastAsia" w:ascii="宋体" w:hAnsi="宋体" w:eastAsia="宋体" w:cs="宋体"/>
          <w:b/>
          <w:bCs/>
          <w:sz w:val="24"/>
          <w:szCs w:val="24"/>
        </w:rPr>
        <w:t>5.</w:t>
      </w:r>
      <w:bookmarkEnd w:id="31"/>
      <w:bookmarkEnd w:id="32"/>
      <w:bookmarkEnd w:id="33"/>
      <w:bookmarkEnd w:id="34"/>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val="zh-CN"/>
        </w:rPr>
        <w:t>文件、采购活动和</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lang w:val="zh-CN"/>
        </w:rPr>
        <w:t>结果的质疑</w:t>
      </w:r>
    </w:p>
    <w:p w14:paraId="6686F13B">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认为</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文件、采购过程和</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auto"/>
          <w:sz w:val="24"/>
          <w:szCs w:val="24"/>
          <w:lang w:val="zh-CN"/>
        </w:rPr>
        <w:t>采购人或采购代理机构在收到书面</w:t>
      </w:r>
      <w:r>
        <w:rPr>
          <w:rFonts w:hint="eastAsia" w:ascii="宋体" w:hAnsi="宋体" w:eastAsia="宋体" w:cs="宋体"/>
          <w:color w:val="auto"/>
          <w:sz w:val="24"/>
          <w:szCs w:val="24"/>
        </w:rPr>
        <w:t>质疑函后7个工作日内作出答复</w:t>
      </w:r>
      <w:r>
        <w:rPr>
          <w:rFonts w:hint="eastAsia" w:ascii="宋体" w:hAnsi="宋体" w:eastAsia="宋体" w:cs="宋体"/>
          <w:color w:val="auto"/>
          <w:sz w:val="24"/>
          <w:szCs w:val="24"/>
          <w:lang w:val="zh-CN"/>
        </w:rPr>
        <w:t>。</w:t>
      </w:r>
    </w:p>
    <w:p w14:paraId="51F15DEC">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参与采购活动的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对评审过程或者结果提出质疑的，采购人、采购代理机构可以组织原评审委员会协助答复质疑。质疑事项处理完成后，采购人或采购代理机构应按照规定填写《青海省政府采购</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质疑处理情况表》，并在15日内报同级政府采购监督管理部门备案。</w:t>
      </w:r>
    </w:p>
    <w:p w14:paraId="58A6EE6A">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应知其权益受到损害之日，是指：</w:t>
      </w:r>
    </w:p>
    <w:p w14:paraId="6B2AA30A">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（一）对可以质疑的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文件提出质疑的，为收到</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文件之日或者</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文件公告期限届满之日；</w:t>
      </w:r>
    </w:p>
    <w:p w14:paraId="53108872">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（二）对采购过程提出质疑的，为各采购程序环节结束之日；</w:t>
      </w:r>
    </w:p>
    <w:p w14:paraId="5087755C">
      <w:pPr>
        <w:ind w:firstLine="480"/>
        <w:rPr>
          <w:rFonts w:hint="eastAsia" w:ascii="宋体" w:hAnsi="宋体" w:eastAsia="宋体" w:cs="宋体"/>
          <w:color w:val="auto"/>
        </w:rPr>
      </w:pPr>
      <w:r>
        <w:rPr>
          <w:rFonts w:hint="eastAsia" w:ascii="宋体" w:hAnsi="宋体" w:eastAsia="宋体" w:cs="宋体"/>
          <w:color w:val="auto"/>
          <w:sz w:val="24"/>
          <w:szCs w:val="24"/>
          <w:lang w:val="zh-CN"/>
        </w:rPr>
        <w:t>（三）对</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结果提出质疑的，为</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结果公告期限届满之日。</w:t>
      </w:r>
    </w:p>
    <w:p w14:paraId="51A611AA">
      <w:pPr>
        <w:widowControl/>
        <w:spacing w:line="360" w:lineRule="auto"/>
        <w:ind w:firstLine="0" w:firstLineChars="0"/>
        <w:jc w:val="left"/>
        <w:outlineLvl w:val="2"/>
        <w:rPr>
          <w:rFonts w:ascii="宋体" w:hAnsi="宋体" w:eastAsia="宋体" w:cs="宋体"/>
          <w:b/>
          <w:bCs/>
          <w:sz w:val="24"/>
          <w:szCs w:val="24"/>
        </w:rPr>
      </w:pPr>
      <w:bookmarkStart w:id="35" w:name="_Toc325726004"/>
      <w:bookmarkStart w:id="36" w:name="_Toc376936735"/>
      <w:bookmarkStart w:id="37" w:name="_Toc13050"/>
      <w:bookmarkStart w:id="38" w:name="_Toc26515"/>
      <w:r>
        <w:rPr>
          <w:rFonts w:hint="eastAsia" w:ascii="宋体" w:hAnsi="宋体" w:eastAsia="宋体" w:cs="宋体"/>
          <w:b/>
          <w:bCs/>
          <w:sz w:val="24"/>
          <w:szCs w:val="24"/>
        </w:rPr>
        <w:t>6.磋商文件的澄清、修改</w:t>
      </w:r>
      <w:bookmarkEnd w:id="35"/>
      <w:bookmarkEnd w:id="36"/>
      <w:bookmarkEnd w:id="37"/>
      <w:bookmarkEnd w:id="38"/>
    </w:p>
    <w:p w14:paraId="72BA6FC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688F198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9" w:name="_Toc23340"/>
      <w:bookmarkStart w:id="40" w:name="_Toc325726005"/>
      <w:bookmarkStart w:id="41" w:name="_Toc376936736"/>
    </w:p>
    <w:p w14:paraId="71F1D5D2">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三、响应文件的编制</w:t>
      </w:r>
      <w:bookmarkEnd w:id="39"/>
      <w:bookmarkEnd w:id="40"/>
      <w:bookmarkEnd w:id="41"/>
    </w:p>
    <w:p w14:paraId="14B3242C">
      <w:pPr>
        <w:widowControl/>
        <w:spacing w:line="360" w:lineRule="auto"/>
        <w:ind w:firstLine="0" w:firstLineChars="0"/>
        <w:jc w:val="left"/>
        <w:outlineLvl w:val="2"/>
        <w:rPr>
          <w:rFonts w:ascii="宋体" w:hAnsi="宋体" w:eastAsia="宋体" w:cs="宋体"/>
          <w:b/>
          <w:bCs/>
          <w:sz w:val="24"/>
          <w:szCs w:val="24"/>
        </w:rPr>
      </w:pPr>
      <w:bookmarkStart w:id="42" w:name="_Toc13057"/>
      <w:bookmarkStart w:id="43" w:name="_Toc325726006"/>
      <w:bookmarkStart w:id="44" w:name="_Toc376936737"/>
      <w:bookmarkStart w:id="45" w:name="_Toc9674"/>
      <w:r>
        <w:rPr>
          <w:rFonts w:hint="eastAsia" w:ascii="宋体" w:hAnsi="宋体" w:eastAsia="宋体" w:cs="宋体"/>
          <w:b/>
          <w:bCs/>
          <w:sz w:val="24"/>
          <w:szCs w:val="24"/>
        </w:rPr>
        <w:t>7.响应文件的语言及度量衡单位</w:t>
      </w:r>
      <w:bookmarkEnd w:id="42"/>
      <w:bookmarkEnd w:id="43"/>
      <w:bookmarkEnd w:id="44"/>
      <w:bookmarkEnd w:id="45"/>
    </w:p>
    <w:p w14:paraId="39EC9D9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7.1供应商提交的响应文件以及供应商与采购代理机构就此磋商发生的所有来往函电均应使用简体中文。</w:t>
      </w:r>
    </w:p>
    <w:p w14:paraId="7D0B679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7.2 除磋商文件中另有规定外，响应文件所使用的度量衡单位，均须采用国家法定计量单位。</w:t>
      </w:r>
    </w:p>
    <w:p w14:paraId="1AFABF6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7.3附有外文资料的，须翻译成中文并加盖供应商公章，如果翻译的中文资料与外文资料存在差异和矛盾时，以中文资料为准。其准确性由供应商负责。</w:t>
      </w:r>
    </w:p>
    <w:p w14:paraId="558656DC">
      <w:pPr>
        <w:widowControl/>
        <w:spacing w:line="360" w:lineRule="auto"/>
        <w:ind w:firstLine="0" w:firstLineChars="0"/>
        <w:jc w:val="left"/>
        <w:outlineLvl w:val="2"/>
        <w:rPr>
          <w:rFonts w:ascii="宋体" w:hAnsi="宋体" w:eastAsia="宋体" w:cs="宋体"/>
          <w:b/>
          <w:bCs/>
          <w:sz w:val="24"/>
          <w:szCs w:val="24"/>
        </w:rPr>
      </w:pPr>
      <w:bookmarkStart w:id="46" w:name="_Toc17093"/>
      <w:bookmarkStart w:id="47" w:name="_Toc325726012"/>
      <w:bookmarkStart w:id="48" w:name="_Toc21569"/>
      <w:bookmarkStart w:id="49" w:name="_Toc376936743"/>
      <w:r>
        <w:rPr>
          <w:rFonts w:hint="eastAsia" w:ascii="宋体" w:hAnsi="宋体" w:eastAsia="宋体" w:cs="宋体"/>
          <w:b/>
          <w:bCs/>
          <w:sz w:val="24"/>
          <w:szCs w:val="24"/>
        </w:rPr>
        <w:t>8.磋商保证金</w:t>
      </w:r>
      <w:bookmarkEnd w:id="46"/>
      <w:bookmarkEnd w:id="47"/>
      <w:bookmarkEnd w:id="48"/>
      <w:bookmarkEnd w:id="49"/>
    </w:p>
    <w:p w14:paraId="7965C625">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p w14:paraId="3B8B83EE">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.2 磋商保证金由供应商以转款方式直接缴入</w:t>
      </w:r>
      <w:r>
        <w:rPr>
          <w:rFonts w:hint="eastAsia" w:ascii="宋体" w:hAnsi="宋体" w:eastAsia="宋体" w:cs="宋体"/>
          <w:sz w:val="24"/>
          <w:szCs w:val="24"/>
        </w:rPr>
        <w:t>指定保证金</w:t>
      </w:r>
      <w:r>
        <w:rPr>
          <w:rFonts w:hint="eastAsia" w:ascii="宋体" w:hAnsi="宋体" w:eastAsia="宋体" w:cs="宋体"/>
          <w:sz w:val="24"/>
          <w:szCs w:val="24"/>
          <w:lang w:val="zh-CN"/>
        </w:rPr>
        <w:t>帐户。</w:t>
      </w:r>
    </w:p>
    <w:p w14:paraId="69A51E31">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有下列情形之一的，磋商保证金不予退还：</w:t>
      </w:r>
    </w:p>
    <w:p w14:paraId="427FA4FE">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14:paraId="65A188E3">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（2）供应商在响应文件中提供虚假材料的；</w:t>
      </w:r>
    </w:p>
    <w:p w14:paraId="1B70476B">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（3）除因不可抗力或磋商文件认可的情形以外，成交供应商不与采购人签订合同的；</w:t>
      </w:r>
    </w:p>
    <w:p w14:paraId="0C9BF4CF">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14:paraId="419DECE8">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（5）磋商文件规定的其他情形。</w:t>
      </w:r>
    </w:p>
    <w:p w14:paraId="159C5952">
      <w:pPr>
        <w:widowControl/>
        <w:spacing w:line="360" w:lineRule="auto"/>
        <w:ind w:firstLine="0" w:firstLineChars="0"/>
        <w:jc w:val="left"/>
        <w:outlineLvl w:val="2"/>
        <w:rPr>
          <w:rFonts w:ascii="宋体" w:hAnsi="宋体" w:eastAsia="宋体" w:cs="宋体"/>
          <w:b/>
          <w:bCs/>
          <w:sz w:val="24"/>
          <w:szCs w:val="24"/>
        </w:rPr>
      </w:pPr>
      <w:bookmarkStart w:id="50" w:name="_Toc325726013"/>
      <w:bookmarkStart w:id="51" w:name="_Toc376936744"/>
      <w:bookmarkStart w:id="52" w:name="_Toc22044"/>
      <w:bookmarkStart w:id="53" w:name="_Toc32704"/>
      <w:r>
        <w:rPr>
          <w:rFonts w:hint="eastAsia" w:ascii="宋体" w:hAnsi="宋体" w:eastAsia="宋体" w:cs="宋体"/>
          <w:b/>
          <w:bCs/>
          <w:sz w:val="24"/>
          <w:szCs w:val="24"/>
        </w:rPr>
        <w:t>9.磋商有效期</w:t>
      </w:r>
      <w:bookmarkEnd w:id="50"/>
      <w:bookmarkEnd w:id="51"/>
      <w:bookmarkEnd w:id="52"/>
      <w:bookmarkEnd w:id="53"/>
    </w:p>
    <w:p w14:paraId="69E4D68D">
      <w:pPr>
        <w:spacing w:line="360" w:lineRule="auto"/>
        <w:ind w:firstLine="480"/>
        <w:rPr>
          <w:rFonts w:ascii="宋体" w:hAnsi="宋体" w:eastAsia="宋体" w:cs="宋体"/>
          <w:sz w:val="24"/>
          <w:szCs w:val="24"/>
        </w:rPr>
      </w:pPr>
      <w:r>
        <w:rPr>
          <w:rFonts w:hint="eastAsia" w:ascii="宋体" w:hAnsi="宋体" w:eastAsia="宋体" w:cs="宋体"/>
          <w:sz w:val="24"/>
          <w:szCs w:val="24"/>
        </w:rPr>
        <w:t>磋商有效期为自磋商开始之日起60个日历日</w:t>
      </w:r>
    </w:p>
    <w:p w14:paraId="04BF5CE5">
      <w:pPr>
        <w:widowControl/>
        <w:spacing w:line="360" w:lineRule="auto"/>
        <w:ind w:firstLine="0" w:firstLineChars="0"/>
        <w:jc w:val="left"/>
        <w:outlineLvl w:val="2"/>
        <w:rPr>
          <w:rFonts w:ascii="宋体" w:hAnsi="宋体" w:eastAsia="宋体" w:cs="宋体"/>
          <w:b/>
          <w:bCs/>
          <w:sz w:val="24"/>
          <w:szCs w:val="24"/>
        </w:rPr>
      </w:pPr>
      <w:bookmarkStart w:id="54" w:name="_Toc16445"/>
      <w:bookmarkStart w:id="55" w:name="_Toc325726008"/>
      <w:bookmarkStart w:id="56" w:name="_Toc376936739"/>
      <w:bookmarkStart w:id="57" w:name="_Toc31915"/>
      <w:r>
        <w:rPr>
          <w:rFonts w:hint="eastAsia" w:ascii="宋体" w:hAnsi="宋体" w:eastAsia="宋体" w:cs="宋体"/>
          <w:b/>
          <w:bCs/>
          <w:sz w:val="24"/>
          <w:szCs w:val="24"/>
        </w:rPr>
        <w:t>10.响应文件构成</w:t>
      </w:r>
      <w:bookmarkEnd w:id="54"/>
      <w:bookmarkEnd w:id="55"/>
      <w:bookmarkEnd w:id="56"/>
      <w:bookmarkEnd w:id="57"/>
    </w:p>
    <w:p w14:paraId="069020E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zh-CN"/>
        </w:rPr>
        <w:t>.1</w:t>
      </w:r>
      <w:r>
        <w:rPr>
          <w:rFonts w:hint="eastAsia" w:ascii="宋体" w:hAnsi="宋体" w:eastAsia="宋体" w:cs="宋体"/>
          <w:sz w:val="24"/>
          <w:szCs w:val="24"/>
        </w:rPr>
        <w:t>供应商应提交相关证明材料，作为其参加投标和成交后有能力履行合同的证明。编写的响应文件须包括以下内容（格式详见磋商文件第五部分内容）：</w:t>
      </w:r>
    </w:p>
    <w:p w14:paraId="6B09E86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（1）响应文件封面</w:t>
      </w:r>
    </w:p>
    <w:p w14:paraId="122D801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（2）磋商函</w:t>
      </w:r>
    </w:p>
    <w:p w14:paraId="302CA76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（3）投标报价</w:t>
      </w:r>
      <w:r>
        <w:rPr>
          <w:rFonts w:hint="eastAsia" w:ascii="宋体" w:hAnsi="宋体" w:eastAsia="宋体" w:cs="宋体"/>
          <w:sz w:val="24"/>
          <w:szCs w:val="24"/>
          <w:lang w:val="zh-CN"/>
        </w:rPr>
        <w:t>一览表</w:t>
      </w:r>
    </w:p>
    <w:p w14:paraId="43918D1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（4）法定代表人证明书</w:t>
      </w:r>
    </w:p>
    <w:p w14:paraId="2AA2817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（5）法定代表人授权书</w:t>
      </w:r>
    </w:p>
    <w:p w14:paraId="1968B9B5">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（6）供应商承诺函</w:t>
      </w:r>
    </w:p>
    <w:p w14:paraId="52197BA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（7）供应商诚信承诺书</w:t>
      </w:r>
    </w:p>
    <w:p w14:paraId="424AAFC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（8）资格证明材料</w:t>
      </w:r>
    </w:p>
    <w:p w14:paraId="39173E5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（9）财务状况</w:t>
      </w:r>
    </w:p>
    <w:p w14:paraId="72E8415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（10）具备履行合同所必须的设备和专业技术能力证明</w:t>
      </w:r>
    </w:p>
    <w:p w14:paraId="0337E7C0">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（11）无重大违法记录声明</w:t>
      </w:r>
    </w:p>
    <w:p w14:paraId="74BB7D94">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（12）磋商保证金</w:t>
      </w:r>
    </w:p>
    <w:p w14:paraId="1A32AFB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（13）享受政府采购政策优惠的证明资料</w:t>
      </w:r>
    </w:p>
    <w:p w14:paraId="038C3DF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（14）供应商认为在其他方面有必要说明的事项</w:t>
      </w:r>
    </w:p>
    <w:p w14:paraId="5769269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249DDA29">
      <w:pPr>
        <w:widowControl/>
        <w:spacing w:line="360" w:lineRule="auto"/>
        <w:ind w:firstLine="0" w:firstLineChars="0"/>
        <w:jc w:val="left"/>
        <w:outlineLvl w:val="2"/>
        <w:rPr>
          <w:rFonts w:ascii="宋体" w:hAnsi="宋体" w:eastAsia="宋体" w:cs="宋体"/>
          <w:b/>
          <w:bCs/>
          <w:sz w:val="24"/>
          <w:szCs w:val="24"/>
        </w:rPr>
      </w:pPr>
      <w:bookmarkStart w:id="58" w:name="_Toc412617729"/>
      <w:bookmarkStart w:id="59" w:name="_Toc16453"/>
      <w:bookmarkStart w:id="60" w:name="_Toc11377"/>
      <w:bookmarkStart w:id="61" w:name="_Toc373392580"/>
      <w:r>
        <w:rPr>
          <w:rFonts w:hint="eastAsia" w:ascii="宋体" w:hAnsi="宋体" w:eastAsia="宋体" w:cs="宋体"/>
          <w:b/>
          <w:bCs/>
          <w:sz w:val="24"/>
          <w:szCs w:val="24"/>
        </w:rPr>
        <w:t>11.响应文件编印和签署</w:t>
      </w:r>
      <w:bookmarkEnd w:id="58"/>
      <w:bookmarkEnd w:id="59"/>
      <w:bookmarkEnd w:id="60"/>
      <w:bookmarkEnd w:id="61"/>
    </w:p>
    <w:p w14:paraId="2893276F">
      <w:pPr>
        <w:pStyle w:val="10"/>
        <w:spacing w:line="360" w:lineRule="auto"/>
        <w:ind w:firstLine="0" w:firstLineChars="0"/>
        <w:rPr>
          <w:rFonts w:hint="eastAsia"/>
        </w:rPr>
      </w:pPr>
      <w:bookmarkStart w:id="62" w:name="_Toc15102"/>
      <w:bookmarkStart w:id="63" w:name="_Toc412617730"/>
      <w:bookmarkStart w:id="64" w:name="_Toc376936748"/>
      <w:bookmarkStart w:id="65" w:name="_Toc371090029"/>
      <w:r>
        <w:rPr>
          <w:rFonts w:hint="eastAsia" w:hAnsi="宋体" w:eastAsia="宋体" w:cs="宋体"/>
          <w:color w:val="auto"/>
          <w:sz w:val="24"/>
          <w:szCs w:val="24"/>
        </w:rPr>
        <w:t>11.</w:t>
      </w:r>
      <w:r>
        <w:rPr>
          <w:rFonts w:hint="eastAsia" w:hAnsi="宋体" w:eastAsia="宋体" w:cs="宋体"/>
          <w:color w:val="auto"/>
          <w:sz w:val="24"/>
          <w:szCs w:val="24"/>
          <w:lang w:val="en-US" w:eastAsia="zh-CN"/>
        </w:rPr>
        <w:t>1</w:t>
      </w:r>
      <w:r>
        <w:rPr>
          <w:rFonts w:hint="eastAsia" w:hAnsi="宋体" w:eastAsia="宋体" w:cs="宋体"/>
          <w:color w:val="auto"/>
          <w:sz w:val="24"/>
          <w:szCs w:val="24"/>
        </w:rPr>
        <w:t>磋商文件要求签字、盖章的地方必须由供应商的法定代表人或委托代理人按要求签字和盖章。</w:t>
      </w:r>
    </w:p>
    <w:p w14:paraId="2F787A57">
      <w:pPr>
        <w:pStyle w:val="10"/>
        <w:spacing w:line="360" w:lineRule="auto"/>
        <w:ind w:firstLine="0" w:firstLineChars="0"/>
      </w:pPr>
      <w:r>
        <w:rPr>
          <w:rFonts w:hint="eastAsia" w:ascii="宋体" w:hAnsi="宋体" w:eastAsia="宋体" w:cs="宋体"/>
          <w:color w:val="auto"/>
          <w:sz w:val="24"/>
          <w:szCs w:val="24"/>
        </w:rPr>
        <w:t>11.</w:t>
      </w:r>
      <w:r>
        <w:rPr>
          <w:rFonts w:hint="eastAsia" w:hAnsi="宋体" w:eastAsia="宋体" w:cs="宋体"/>
          <w:color w:val="auto"/>
          <w:sz w:val="24"/>
          <w:szCs w:val="24"/>
          <w:lang w:val="en-US" w:eastAsia="zh-CN"/>
        </w:rPr>
        <w:t>2</w:t>
      </w:r>
      <w:r>
        <w:rPr>
          <w:rFonts w:hint="eastAsia" w:ascii="宋体" w:hAnsi="宋体" w:eastAsia="宋体" w:cs="宋体"/>
          <w:color w:val="auto"/>
          <w:sz w:val="24"/>
          <w:szCs w:val="24"/>
        </w:rPr>
        <w:t>响应文件中不得行间插字、涂改或增删，如有修改错漏处，须由供应商法定代表人或其委托代理人签字和盖章。</w:t>
      </w:r>
    </w:p>
    <w:p w14:paraId="7DD2C0AF">
      <w:pPr>
        <w:pStyle w:val="10"/>
        <w:spacing w:line="360" w:lineRule="auto"/>
        <w:ind w:firstLine="0" w:firstLineChars="0"/>
        <w:jc w:val="center"/>
        <w:rPr>
          <w:rFonts w:hAnsi="宋体" w:eastAsia="宋体" w:cs="宋体"/>
          <w:b/>
          <w:bCs/>
          <w:sz w:val="24"/>
          <w:szCs w:val="24"/>
        </w:rPr>
      </w:pPr>
      <w:r>
        <w:rPr>
          <w:rFonts w:hint="eastAsia" w:hAnsi="宋体" w:eastAsia="宋体" w:cs="宋体"/>
          <w:b/>
          <w:bCs/>
          <w:sz w:val="24"/>
          <w:szCs w:val="24"/>
        </w:rPr>
        <w:t>四、响应文件的递交</w:t>
      </w:r>
      <w:bookmarkEnd w:id="62"/>
      <w:bookmarkEnd w:id="63"/>
    </w:p>
    <w:p w14:paraId="3B57733D">
      <w:pPr>
        <w:widowControl/>
        <w:spacing w:line="360" w:lineRule="auto"/>
        <w:ind w:firstLine="0" w:firstLineChars="0"/>
        <w:jc w:val="left"/>
        <w:outlineLvl w:val="2"/>
        <w:rPr>
          <w:rFonts w:ascii="宋体" w:hAnsi="宋体" w:eastAsia="宋体" w:cs="宋体"/>
          <w:b/>
          <w:bCs/>
          <w:sz w:val="24"/>
          <w:szCs w:val="24"/>
        </w:rPr>
      </w:pPr>
      <w:bookmarkStart w:id="66" w:name="_Toc23823"/>
      <w:bookmarkStart w:id="67" w:name="_Toc325726016"/>
      <w:bookmarkStart w:id="68" w:name="_Toc412617731"/>
      <w:bookmarkStart w:id="69" w:name="_Toc1176"/>
      <w:bookmarkStart w:id="70" w:name="_Toc373392582"/>
      <w:r>
        <w:rPr>
          <w:rFonts w:hint="eastAsia" w:ascii="宋体" w:hAnsi="宋体" w:eastAsia="宋体" w:cs="宋体"/>
          <w:b/>
          <w:bCs/>
          <w:sz w:val="24"/>
          <w:szCs w:val="24"/>
        </w:rPr>
        <w:t>12.响应文件的密封和标记</w:t>
      </w:r>
      <w:bookmarkEnd w:id="66"/>
      <w:bookmarkEnd w:id="67"/>
      <w:bookmarkEnd w:id="68"/>
      <w:bookmarkEnd w:id="69"/>
      <w:bookmarkEnd w:id="70"/>
    </w:p>
    <w:bookmarkEnd w:id="64"/>
    <w:bookmarkEnd w:id="65"/>
    <w:p w14:paraId="1B7B934E">
      <w:pPr>
        <w:pStyle w:val="10"/>
        <w:spacing w:line="360" w:lineRule="auto"/>
        <w:ind w:firstLine="0" w:firstLineChars="0"/>
        <w:rPr>
          <w:rFonts w:hint="eastAsia" w:ascii="宋体" w:hAnsi="宋体" w:eastAsia="宋体" w:cs="宋体"/>
          <w:color w:val="auto"/>
          <w:sz w:val="24"/>
          <w:szCs w:val="24"/>
          <w:shd w:val="pct10" w:color="auto" w:fill="FFFFFF"/>
        </w:rPr>
      </w:pPr>
      <w:bookmarkStart w:id="71" w:name="_Toc412617732"/>
      <w:bookmarkStart w:id="72" w:name="_Toc373392583"/>
      <w:bookmarkStart w:id="73" w:name="_Toc4009"/>
      <w:bookmarkStart w:id="74" w:name="_Toc30756"/>
      <w:bookmarkStart w:id="75" w:name="_Toc325726017"/>
      <w:bookmarkStart w:id="76" w:name="_Toc29467"/>
      <w:bookmarkStart w:id="77" w:name="_Toc19768"/>
      <w:bookmarkStart w:id="78" w:name="_Toc376936750"/>
      <w:bookmarkStart w:id="79" w:name="_Toc325726019"/>
      <w:bookmarkStart w:id="80" w:name="_Toc9147"/>
      <w:r>
        <w:rPr>
          <w:rFonts w:hint="eastAsia" w:hAnsi="宋体" w:eastAsia="宋体" w:cs="宋体"/>
          <w:color w:val="auto"/>
          <w:sz w:val="24"/>
          <w:szCs w:val="24"/>
          <w:lang w:val="en-US" w:eastAsia="zh-CN"/>
        </w:rPr>
        <w:t>12.1</w:t>
      </w:r>
      <w:r>
        <w:rPr>
          <w:rFonts w:hint="eastAsia" w:ascii="宋体" w:hAnsi="宋体" w:eastAsia="宋体" w:cs="宋体"/>
          <w:color w:val="auto"/>
          <w:sz w:val="24"/>
          <w:szCs w:val="24"/>
          <w:lang w:eastAsia="zh-CN"/>
        </w:rPr>
        <w:t>磋商响应文件根据磋商文件和线上响应文件格式进行编制，并根据要求进行签字盖章。</w:t>
      </w:r>
    </w:p>
    <w:p w14:paraId="3AA8B414">
      <w:pPr>
        <w:widowControl/>
        <w:spacing w:line="360" w:lineRule="auto"/>
        <w:ind w:firstLine="0" w:firstLineChars="0"/>
        <w:jc w:val="left"/>
        <w:outlineLvl w:val="2"/>
        <w:rPr>
          <w:rFonts w:ascii="宋体" w:cs="宋体"/>
          <w:b/>
          <w:bCs/>
          <w:color w:val="auto"/>
          <w:sz w:val="24"/>
          <w:szCs w:val="24"/>
        </w:rPr>
      </w:pPr>
      <w:r>
        <w:rPr>
          <w:rFonts w:ascii="宋体" w:hAnsi="宋体" w:cs="宋体"/>
          <w:b/>
          <w:bCs/>
          <w:color w:val="auto"/>
          <w:sz w:val="24"/>
          <w:szCs w:val="24"/>
        </w:rPr>
        <w:t>13.</w:t>
      </w:r>
      <w:bookmarkEnd w:id="71"/>
      <w:bookmarkEnd w:id="72"/>
      <w:bookmarkEnd w:id="73"/>
      <w:bookmarkEnd w:id="74"/>
      <w:bookmarkEnd w:id="75"/>
      <w:r>
        <w:rPr>
          <w:rFonts w:hint="eastAsia" w:ascii="宋体" w:hAnsi="宋体" w:cs="宋体"/>
          <w:b/>
          <w:bCs/>
          <w:color w:val="auto"/>
          <w:sz w:val="24"/>
          <w:szCs w:val="24"/>
        </w:rPr>
        <w:t>提交响应文件截止时间、地点</w:t>
      </w:r>
      <w:bookmarkEnd w:id="76"/>
      <w:bookmarkEnd w:id="77"/>
    </w:p>
    <w:p w14:paraId="11F067C8">
      <w:pPr>
        <w:pStyle w:val="10"/>
        <w:spacing w:line="360" w:lineRule="auto"/>
        <w:ind w:firstLine="0" w:firstLineChars="0"/>
        <w:rPr>
          <w:rFonts w:hAnsi="宋体" w:eastAsia="宋体" w:cs="宋体"/>
          <w:sz w:val="24"/>
          <w:szCs w:val="24"/>
        </w:rPr>
      </w:pPr>
      <w:r>
        <w:rPr>
          <w:rFonts w:hAnsi="宋体" w:cs="宋体"/>
          <w:color w:val="auto"/>
          <w:sz w:val="24"/>
          <w:szCs w:val="24"/>
        </w:rPr>
        <w:t>13.1</w:t>
      </w:r>
      <w:r>
        <w:rPr>
          <w:rFonts w:hint="eastAsia" w:hAnsi="宋体" w:cs="宋体"/>
          <w:color w:val="auto"/>
          <w:sz w:val="24"/>
          <w:szCs w:val="24"/>
        </w:rPr>
        <w:t>响应文件提交的截止时间及地点详见“供应商须知前附表”。</w:t>
      </w:r>
    </w:p>
    <w:p w14:paraId="3559750B">
      <w:pPr>
        <w:widowControl/>
        <w:spacing w:line="360" w:lineRule="auto"/>
        <w:ind w:firstLine="0" w:firstLineChars="0"/>
        <w:jc w:val="center"/>
        <w:outlineLvl w:val="1"/>
        <w:rPr>
          <w:rFonts w:ascii="宋体" w:hAnsi="宋体" w:eastAsia="宋体" w:cs="宋体"/>
          <w:b/>
          <w:bCs/>
          <w:sz w:val="24"/>
          <w:szCs w:val="24"/>
        </w:rPr>
      </w:pPr>
      <w:bookmarkStart w:id="81" w:name="_Toc5644"/>
      <w:r>
        <w:rPr>
          <w:rFonts w:hint="eastAsia" w:ascii="宋体" w:hAnsi="宋体" w:eastAsia="宋体" w:cs="宋体"/>
          <w:b/>
          <w:bCs/>
          <w:sz w:val="24"/>
          <w:szCs w:val="24"/>
        </w:rPr>
        <w:t>五、</w:t>
      </w:r>
      <w:bookmarkEnd w:id="78"/>
      <w:bookmarkEnd w:id="79"/>
      <w:r>
        <w:rPr>
          <w:rFonts w:hint="eastAsia" w:ascii="宋体" w:hAnsi="宋体" w:eastAsia="宋体" w:cs="宋体"/>
          <w:b/>
          <w:bCs/>
          <w:sz w:val="24"/>
          <w:szCs w:val="24"/>
        </w:rPr>
        <w:t>磋商过程</w:t>
      </w:r>
      <w:bookmarkEnd w:id="80"/>
      <w:bookmarkEnd w:id="81"/>
    </w:p>
    <w:p w14:paraId="135EC095">
      <w:pPr>
        <w:widowControl/>
        <w:spacing w:line="360" w:lineRule="auto"/>
        <w:ind w:firstLine="0" w:firstLineChars="0"/>
        <w:jc w:val="left"/>
        <w:outlineLvl w:val="2"/>
        <w:rPr>
          <w:rFonts w:ascii="宋体" w:hAnsi="宋体" w:eastAsia="宋体" w:cs="宋体"/>
          <w:b/>
          <w:bCs/>
          <w:sz w:val="24"/>
          <w:szCs w:val="24"/>
        </w:rPr>
      </w:pPr>
      <w:bookmarkStart w:id="82" w:name="_Toc325726020"/>
      <w:bookmarkStart w:id="83" w:name="_Toc376936751"/>
      <w:bookmarkStart w:id="84" w:name="_Toc26723"/>
      <w:bookmarkStart w:id="85" w:name="_Toc15630"/>
      <w:r>
        <w:rPr>
          <w:rFonts w:hint="eastAsia" w:ascii="宋体" w:hAnsi="宋体" w:eastAsia="宋体" w:cs="宋体"/>
          <w:b/>
          <w:bCs/>
          <w:sz w:val="24"/>
          <w:szCs w:val="24"/>
        </w:rPr>
        <w:t>14.</w:t>
      </w:r>
      <w:bookmarkEnd w:id="82"/>
      <w:bookmarkEnd w:id="83"/>
      <w:r>
        <w:rPr>
          <w:rFonts w:hint="eastAsia" w:ascii="宋体" w:hAnsi="宋体" w:eastAsia="宋体" w:cs="宋体"/>
          <w:b/>
          <w:bCs/>
          <w:sz w:val="24"/>
          <w:szCs w:val="24"/>
        </w:rPr>
        <w:t>磋商过程</w:t>
      </w:r>
      <w:bookmarkEnd w:id="84"/>
      <w:bookmarkEnd w:id="85"/>
    </w:p>
    <w:p w14:paraId="7EF1CD5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14.1采购代理机构按本磋商文件中确定的时间和地点组织本项目的磋商活动。供应商应由其法定代表人或委托代理人参加。</w:t>
      </w:r>
    </w:p>
    <w:p w14:paraId="2467726E">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14.2磋商时，对不同文字文本响应文件的解释发生异议的，以中文文本为准。</w:t>
      </w:r>
    </w:p>
    <w:p w14:paraId="34572FB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14.3磋商工作由采购代理机构组织，采购人、采购监管、纪检监察等有关方面代表可根据采购项目的具体情况列席。</w:t>
      </w:r>
    </w:p>
    <w:p w14:paraId="468FFDD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14.4磋商过程有专人记录，并存档备查。</w:t>
      </w:r>
    </w:p>
    <w:p w14:paraId="74D19B2D">
      <w:pPr>
        <w:widowControl/>
        <w:spacing w:line="360" w:lineRule="auto"/>
        <w:ind w:firstLine="0" w:firstLineChars="0"/>
        <w:jc w:val="center"/>
        <w:outlineLvl w:val="1"/>
        <w:rPr>
          <w:rFonts w:ascii="宋体" w:hAnsi="宋体" w:eastAsia="宋体" w:cs="宋体"/>
          <w:b/>
          <w:bCs/>
          <w:sz w:val="24"/>
          <w:szCs w:val="24"/>
        </w:rPr>
      </w:pPr>
      <w:bookmarkStart w:id="86" w:name="_Toc325726021"/>
      <w:bookmarkStart w:id="87" w:name="_Toc19030"/>
      <w:bookmarkStart w:id="88" w:name="_Toc18107"/>
      <w:bookmarkStart w:id="89" w:name="_Toc376936752"/>
      <w:r>
        <w:rPr>
          <w:rFonts w:hint="eastAsia" w:ascii="宋体" w:hAnsi="宋体" w:eastAsia="宋体" w:cs="宋体"/>
          <w:b/>
          <w:bCs/>
          <w:sz w:val="24"/>
          <w:szCs w:val="24"/>
        </w:rPr>
        <w:t>六、磋商程序及方法</w:t>
      </w:r>
      <w:bookmarkEnd w:id="86"/>
      <w:bookmarkEnd w:id="87"/>
      <w:bookmarkEnd w:id="88"/>
      <w:bookmarkEnd w:id="89"/>
    </w:p>
    <w:p w14:paraId="08B3FC67">
      <w:pPr>
        <w:widowControl/>
        <w:spacing w:line="360" w:lineRule="auto"/>
        <w:ind w:firstLine="0" w:firstLineChars="0"/>
        <w:jc w:val="left"/>
        <w:outlineLvl w:val="2"/>
        <w:rPr>
          <w:rFonts w:ascii="宋体" w:hAnsi="宋体" w:eastAsia="宋体" w:cs="宋体"/>
          <w:b/>
          <w:bCs/>
          <w:sz w:val="24"/>
          <w:szCs w:val="24"/>
        </w:rPr>
      </w:pPr>
      <w:bookmarkStart w:id="90" w:name="_Toc26121"/>
      <w:bookmarkStart w:id="91" w:name="_Toc376936753"/>
      <w:bookmarkStart w:id="92" w:name="_Toc16935"/>
      <w:bookmarkStart w:id="93" w:name="_Toc325726022"/>
      <w:r>
        <w:rPr>
          <w:rFonts w:hint="eastAsia" w:ascii="宋体" w:hAnsi="宋体" w:eastAsia="宋体" w:cs="宋体"/>
          <w:b/>
          <w:bCs/>
          <w:sz w:val="24"/>
          <w:szCs w:val="24"/>
        </w:rPr>
        <w:t>15.磋商小组</w:t>
      </w:r>
      <w:bookmarkEnd w:id="90"/>
      <w:bookmarkEnd w:id="91"/>
      <w:bookmarkEnd w:id="92"/>
      <w:bookmarkEnd w:id="93"/>
    </w:p>
    <w:p w14:paraId="4C1CC96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7AD182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15.2磋商由采购代理机构负责组织，具体磋商事务由依法组建的磋商小组负责，并独立履行下列职责：</w:t>
      </w:r>
    </w:p>
    <w:p w14:paraId="2E143D0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（1）审查响应文件是否符合磋商文件要求，并作出评价；</w:t>
      </w:r>
    </w:p>
    <w:p w14:paraId="3DD9B08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（2）要求供应商对响应文件有关事项作出解释或澄清；</w:t>
      </w:r>
    </w:p>
    <w:p w14:paraId="5C2CC7F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（3）推荐预成交候选供应商；</w:t>
      </w:r>
    </w:p>
    <w:p w14:paraId="249A51D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（4）对非法干预评标工作的人员和机构进行举报或投诉。</w:t>
      </w:r>
    </w:p>
    <w:p w14:paraId="77875CF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15.3磋商小组应遵守并履行下列义务：</w:t>
      </w:r>
    </w:p>
    <w:p w14:paraId="4DD7B75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（1）遵纪守法，客观、公正、廉洁地履行职责；</w:t>
      </w:r>
    </w:p>
    <w:p w14:paraId="13D1473A">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（2）按照磋商文件规定的评审方法和评审标准进行评审，对评审意见承担磋商小组成员责任；</w:t>
      </w:r>
    </w:p>
    <w:p w14:paraId="112EFA0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（3）对响应文件、磋商情况和磋商中获悉的商业秘密保密；</w:t>
      </w:r>
    </w:p>
    <w:p w14:paraId="2DC6E34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（4）参与磋商报告的起草；</w:t>
      </w:r>
    </w:p>
    <w:p w14:paraId="50F2CD8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（5）解答供应商及有关方面的质疑；</w:t>
      </w:r>
    </w:p>
    <w:p w14:paraId="28ADE2B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（6）配合纪检部门进行投诉处理工作。</w:t>
      </w:r>
    </w:p>
    <w:p w14:paraId="35E9079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15.4磋商小组所有成员应当集中与单一供应商分别进行磋商，并给予所有参加磋商的供应商平等的磋商机会。</w:t>
      </w:r>
    </w:p>
    <w:p w14:paraId="04A612A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15.5磋商工作在有关部门的监督和严格保密的情况下依法开展，任何单位和个人不得非法干预、影响磋商工作和磋商结果。</w:t>
      </w:r>
    </w:p>
    <w:p w14:paraId="43A7E208">
      <w:pPr>
        <w:widowControl/>
        <w:spacing w:line="360" w:lineRule="auto"/>
        <w:ind w:firstLine="0" w:firstLineChars="0"/>
        <w:jc w:val="left"/>
        <w:outlineLvl w:val="2"/>
        <w:rPr>
          <w:rFonts w:ascii="宋体" w:hAnsi="宋体" w:eastAsia="宋体" w:cs="宋体"/>
          <w:b/>
          <w:bCs/>
          <w:sz w:val="24"/>
          <w:szCs w:val="24"/>
        </w:rPr>
      </w:pPr>
      <w:bookmarkStart w:id="94" w:name="_Toc27086"/>
      <w:bookmarkStart w:id="95" w:name="_Toc376936754"/>
      <w:bookmarkStart w:id="96" w:name="_Toc14694"/>
      <w:bookmarkStart w:id="97" w:name="_Toc325726023"/>
      <w:r>
        <w:rPr>
          <w:rFonts w:hint="eastAsia" w:ascii="宋体" w:hAnsi="宋体" w:eastAsia="宋体" w:cs="宋体"/>
          <w:b/>
          <w:bCs/>
          <w:sz w:val="24"/>
          <w:szCs w:val="24"/>
        </w:rPr>
        <w:t>16.磋商程序</w:t>
      </w:r>
      <w:bookmarkEnd w:id="94"/>
      <w:bookmarkEnd w:id="95"/>
      <w:bookmarkEnd w:id="96"/>
      <w:bookmarkEnd w:id="97"/>
    </w:p>
    <w:p w14:paraId="20B56E3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06F41D7D">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16.2初审阶段为资格性审查和符合性审查。响应文件在响应磋商文件要求方面出现的偏离，分为实质性偏离和非实质性偏离。</w:t>
      </w:r>
    </w:p>
    <w:p w14:paraId="05F79D6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16.2.1实质性偏离是指响应文件未能实质性响应磋商文件的要求。以下情况属于实质性偏离，响应文件有下列情况之一的，按无效文件处理。</w:t>
      </w:r>
    </w:p>
    <w:p w14:paraId="77EF3A0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（1）不符合第</w:t>
      </w:r>
      <w:r>
        <w:rPr>
          <w:rFonts w:hint="eastAsia" w:ascii="宋体" w:hAnsi="宋体" w:eastAsia="宋体" w:cs="宋体"/>
          <w:sz w:val="24"/>
          <w:szCs w:val="24"/>
          <w:lang w:val="zh-CN"/>
        </w:rPr>
        <w:t>2</w:t>
      </w:r>
      <w:r>
        <w:rPr>
          <w:rFonts w:hint="eastAsia" w:ascii="宋体" w:hAnsi="宋体" w:eastAsia="宋体" w:cs="宋体"/>
          <w:sz w:val="24"/>
          <w:szCs w:val="24"/>
        </w:rPr>
        <w:t>.</w:t>
      </w:r>
      <w:r>
        <w:rPr>
          <w:rFonts w:hint="eastAsia" w:ascii="宋体" w:hAnsi="宋体" w:eastAsia="宋体" w:cs="宋体"/>
          <w:sz w:val="24"/>
          <w:szCs w:val="24"/>
          <w:lang w:val="zh-CN"/>
        </w:rPr>
        <w:t>2款“合格的供应商”之规定的；</w:t>
      </w:r>
    </w:p>
    <w:p w14:paraId="406452FD">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未按磋商文件要求交纳或未足额交纳磋商保证金的；</w:t>
      </w:r>
    </w:p>
    <w:p w14:paraId="0321F62C">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（3）未按第1</w:t>
      </w:r>
      <w:r>
        <w:rPr>
          <w:rFonts w:hint="eastAsia" w:ascii="宋体" w:hAnsi="宋体" w:eastAsia="宋体" w:cs="宋体"/>
          <w:sz w:val="24"/>
          <w:szCs w:val="24"/>
        </w:rPr>
        <w:t>0.</w:t>
      </w:r>
      <w:r>
        <w:rPr>
          <w:rFonts w:hint="eastAsia" w:ascii="宋体" w:hAnsi="宋体" w:eastAsia="宋体" w:cs="宋体"/>
          <w:sz w:val="24"/>
          <w:szCs w:val="24"/>
          <w:lang w:val="zh-CN"/>
        </w:rPr>
        <w:t>1款（1）-（1</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）要求提</w:t>
      </w:r>
      <w:bookmarkStart w:id="200" w:name="_GoBack"/>
      <w:bookmarkEnd w:id="200"/>
      <w:r>
        <w:rPr>
          <w:rFonts w:hint="eastAsia" w:ascii="宋体" w:hAnsi="宋体" w:eastAsia="宋体" w:cs="宋体"/>
          <w:sz w:val="24"/>
          <w:szCs w:val="24"/>
          <w:lang w:val="zh-CN"/>
        </w:rPr>
        <w:t>供相关资料的；</w:t>
      </w:r>
    </w:p>
    <w:p w14:paraId="39F1A9E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（4）响应文件内容没有按磋商文件规定和要求签字、盖章的；</w:t>
      </w:r>
    </w:p>
    <w:p w14:paraId="257F8633">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lang w:val="zh-CN"/>
        </w:rPr>
        <w:t>投标报价超过采购预算额度</w:t>
      </w:r>
      <w:r>
        <w:rPr>
          <w:rFonts w:hint="eastAsia" w:ascii="宋体" w:hAnsi="宋体" w:eastAsia="宋体" w:cs="宋体"/>
          <w:sz w:val="24"/>
          <w:lang w:val="en-US" w:eastAsia="zh-CN"/>
        </w:rPr>
        <w:t>或最高限价</w:t>
      </w:r>
      <w:r>
        <w:rPr>
          <w:rFonts w:hint="eastAsia" w:ascii="宋体" w:hAnsi="宋体" w:eastAsia="宋体" w:cs="宋体"/>
          <w:sz w:val="24"/>
          <w:lang w:val="zh-CN"/>
        </w:rPr>
        <w:t>的；</w:t>
      </w:r>
    </w:p>
    <w:p w14:paraId="0BAA4DA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（6）响应文件编排混乱，且擅自修改磋商文件规定的格式内容的；</w:t>
      </w:r>
    </w:p>
    <w:p w14:paraId="5AB5F68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交货及安装时间</w:t>
      </w:r>
      <w:r>
        <w:rPr>
          <w:rFonts w:hint="eastAsia" w:ascii="宋体" w:hAnsi="宋体" w:eastAsia="宋体" w:cs="宋体"/>
          <w:sz w:val="24"/>
          <w:szCs w:val="24"/>
        </w:rPr>
        <w:t>、磋商有效期、法定代表人授权期限不能满足磋商文件要求的；</w:t>
      </w:r>
    </w:p>
    <w:p w14:paraId="1030820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lang w:val="zh-CN"/>
        </w:rPr>
        <w:t>投标产品的技术规格、技术标准明显不符合采购项目要求的</w:t>
      </w:r>
      <w:r>
        <w:rPr>
          <w:rFonts w:hint="eastAsia" w:ascii="宋体" w:hAnsi="宋体" w:eastAsia="宋体" w:cs="宋体"/>
          <w:sz w:val="24"/>
          <w:szCs w:val="24"/>
        </w:rPr>
        <w:t>；</w:t>
      </w:r>
    </w:p>
    <w:p w14:paraId="19601C3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（9）响应文件中附有采购人不能接受的条件的；</w:t>
      </w:r>
    </w:p>
    <w:p w14:paraId="54D3099E">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（10）磋商小组认为应按无效响应处理的其他情况；</w:t>
      </w:r>
    </w:p>
    <w:p w14:paraId="247B530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（11）法律、法规规定的其他情形。</w:t>
      </w:r>
    </w:p>
    <w:p w14:paraId="4D703887">
      <w:pPr>
        <w:tabs>
          <w:tab w:val="left" w:pos="8787"/>
        </w:tabs>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429BE26">
      <w:pPr>
        <w:tabs>
          <w:tab w:val="left" w:pos="8787"/>
        </w:tabs>
        <w:spacing w:line="360" w:lineRule="auto"/>
        <w:ind w:firstLine="480"/>
        <w:jc w:val="left"/>
        <w:rPr>
          <w:rFonts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3F3122AD">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479B5225">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76ADBCE4">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4586EA62">
      <w:pPr>
        <w:widowControl/>
        <w:spacing w:line="360" w:lineRule="auto"/>
        <w:ind w:firstLine="0" w:firstLineChars="0"/>
        <w:jc w:val="left"/>
        <w:outlineLvl w:val="2"/>
        <w:rPr>
          <w:rFonts w:ascii="宋体" w:hAnsi="宋体" w:eastAsia="宋体" w:cs="宋体"/>
          <w:b/>
          <w:bCs/>
          <w:sz w:val="24"/>
          <w:szCs w:val="24"/>
        </w:rPr>
      </w:pPr>
      <w:bookmarkStart w:id="98" w:name="_Toc13668"/>
      <w:bookmarkStart w:id="99" w:name="_Toc325726024"/>
      <w:bookmarkStart w:id="100" w:name="_Toc20611"/>
      <w:bookmarkStart w:id="101" w:name="_Toc376936755"/>
      <w:r>
        <w:rPr>
          <w:rFonts w:hint="eastAsia" w:ascii="宋体" w:hAnsi="宋体" w:eastAsia="宋体" w:cs="宋体"/>
          <w:b/>
          <w:bCs/>
          <w:sz w:val="24"/>
          <w:szCs w:val="24"/>
        </w:rPr>
        <w:t>17.评审办法</w:t>
      </w:r>
      <w:bookmarkEnd w:id="98"/>
      <w:bookmarkEnd w:id="99"/>
      <w:bookmarkEnd w:id="100"/>
      <w:bookmarkEnd w:id="101"/>
    </w:p>
    <w:p w14:paraId="12189162">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14:paraId="2243A1E9">
      <w:pPr>
        <w:spacing w:line="360" w:lineRule="auto"/>
        <w:ind w:firstLine="0"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17.2评审标准和分值分配：</w:t>
      </w:r>
      <w:bookmarkStart w:id="102" w:name="_Toc376936756"/>
      <w:bookmarkStart w:id="103" w:name="_Toc325726025"/>
      <w:bookmarkStart w:id="104" w:name="_Toc6689"/>
      <w:bookmarkStart w:id="105" w:name="_Toc2506"/>
    </w:p>
    <w:tbl>
      <w:tblPr>
        <w:tblStyle w:val="21"/>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8"/>
        <w:gridCol w:w="1679"/>
        <w:gridCol w:w="630"/>
        <w:gridCol w:w="6131"/>
      </w:tblGrid>
      <w:tr w14:paraId="6A33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noWrap w:val="0"/>
            <w:vAlign w:val="center"/>
          </w:tcPr>
          <w:p w14:paraId="07788C6B">
            <w:pPr>
              <w:spacing w:line="24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类别</w:t>
            </w:r>
          </w:p>
        </w:tc>
        <w:tc>
          <w:tcPr>
            <w:tcW w:w="1679" w:type="dxa"/>
            <w:noWrap w:val="0"/>
            <w:vAlign w:val="center"/>
          </w:tcPr>
          <w:p w14:paraId="4453AB33">
            <w:pPr>
              <w:spacing w:line="24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评分项目</w:t>
            </w:r>
          </w:p>
        </w:tc>
        <w:tc>
          <w:tcPr>
            <w:tcW w:w="630" w:type="dxa"/>
            <w:noWrap w:val="0"/>
            <w:vAlign w:val="center"/>
          </w:tcPr>
          <w:p w14:paraId="3616D65D">
            <w:pPr>
              <w:spacing w:line="24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满分分值</w:t>
            </w:r>
          </w:p>
        </w:tc>
        <w:tc>
          <w:tcPr>
            <w:tcW w:w="6131" w:type="dxa"/>
            <w:noWrap w:val="0"/>
            <w:vAlign w:val="center"/>
          </w:tcPr>
          <w:p w14:paraId="1CEB7472">
            <w:pPr>
              <w:spacing w:line="24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评分标准</w:t>
            </w:r>
          </w:p>
        </w:tc>
      </w:tr>
      <w:tr w14:paraId="55F4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noWrap w:val="0"/>
            <w:vAlign w:val="center"/>
          </w:tcPr>
          <w:p w14:paraId="44024B08">
            <w:pPr>
              <w:spacing w:line="24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投标报价（30分）</w:t>
            </w:r>
          </w:p>
        </w:tc>
        <w:tc>
          <w:tcPr>
            <w:tcW w:w="1679" w:type="dxa"/>
            <w:noWrap w:val="0"/>
            <w:vAlign w:val="center"/>
          </w:tcPr>
          <w:p w14:paraId="3F440EEF">
            <w:pPr>
              <w:spacing w:line="24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报价分</w:t>
            </w:r>
          </w:p>
        </w:tc>
        <w:tc>
          <w:tcPr>
            <w:tcW w:w="630" w:type="dxa"/>
            <w:noWrap w:val="0"/>
            <w:vAlign w:val="center"/>
          </w:tcPr>
          <w:p w14:paraId="62D66BDD">
            <w:pPr>
              <w:spacing w:line="24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30</w:t>
            </w:r>
          </w:p>
        </w:tc>
        <w:tc>
          <w:tcPr>
            <w:tcW w:w="6131" w:type="dxa"/>
            <w:noWrap w:val="0"/>
            <w:vAlign w:val="center"/>
          </w:tcPr>
          <w:p w14:paraId="0D22DBA3">
            <w:pPr>
              <w:keepNext w:val="0"/>
              <w:keepLines w:val="0"/>
              <w:widowControl/>
              <w:suppressLineNumbers w:val="0"/>
              <w:ind w:left="0" w:leftChars="0" w:firstLine="0" w:firstLineChars="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满足磋商文件要求且投标价格最低的投标报价为评标基准价，其价格分为满分。其他供应商的报价分统一按下列公式计算：投标报价得分=(评标基准价／投标报价)×价格权值（</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val="zh-CN"/>
              </w:rPr>
              <w:t>%）×100（四舍五入后保留小数点后两位）</w:t>
            </w:r>
          </w:p>
          <w:p w14:paraId="4ABF22E2">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注：1.对小微企业、残疾人福利性单位、监狱企业的报价给予10%的扣除（最后报价），用扣除后的价格计算投标报价得分，须提供《中小企业声明函》、《残疾人福利性单位声明函》、监狱企业证明材料。</w:t>
            </w:r>
          </w:p>
          <w:p w14:paraId="48ECC3CD">
            <w:pPr>
              <w:pStyle w:val="19"/>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2.残疾人福利性单位（监狱企业）属于小型、微型企业的，不重复享受政策。</w:t>
            </w:r>
          </w:p>
          <w:p w14:paraId="0D1BA0D8">
            <w:pPr>
              <w:keepNext w:val="0"/>
              <w:keepLines w:val="0"/>
              <w:widowControl/>
              <w:suppressLineNumbers w:val="0"/>
              <w:ind w:left="0" w:leftChars="0" w:firstLine="0" w:firstLineChars="0"/>
              <w:jc w:val="left"/>
              <w:rPr>
                <w:rFonts w:hint="default" w:ascii="宋体" w:hAnsi="宋体" w:eastAsia="宋体" w:cs="宋体"/>
                <w:color w:val="auto"/>
                <w:kern w:val="0"/>
                <w:sz w:val="24"/>
                <w:szCs w:val="24"/>
                <w:highlight w:val="none"/>
                <w:lang w:val="en-US"/>
              </w:rPr>
            </w:pPr>
            <w:r>
              <w:rPr>
                <w:rFonts w:hint="eastAsia" w:ascii="宋体" w:hAnsi="宋体" w:eastAsia="宋体" w:cs="宋体"/>
                <w:color w:val="auto"/>
                <w:sz w:val="24"/>
                <w:szCs w:val="24"/>
                <w:lang w:val="en-US" w:eastAsia="zh-CN"/>
              </w:rPr>
              <w:t>3.本项目采购标的所属行业为：工业</w:t>
            </w:r>
          </w:p>
        </w:tc>
      </w:tr>
      <w:tr w14:paraId="2FCA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0" w:hRule="atLeast"/>
          <w:jc w:val="center"/>
        </w:trPr>
        <w:tc>
          <w:tcPr>
            <w:tcW w:w="1198" w:type="dxa"/>
            <w:vMerge w:val="restart"/>
            <w:noWrap w:val="0"/>
            <w:vAlign w:val="center"/>
          </w:tcPr>
          <w:p w14:paraId="1DDBFB7E">
            <w:pPr>
              <w:spacing w:line="24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履约能力（</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p>
        </w:tc>
        <w:tc>
          <w:tcPr>
            <w:tcW w:w="1679" w:type="dxa"/>
            <w:noWrap w:val="0"/>
            <w:tcMar>
              <w:top w:w="0" w:type="dxa"/>
              <w:left w:w="0" w:type="dxa"/>
              <w:bottom w:w="0" w:type="dxa"/>
              <w:right w:w="0" w:type="dxa"/>
            </w:tcMar>
            <w:vAlign w:val="center"/>
          </w:tcPr>
          <w:p w14:paraId="35E09632">
            <w:pPr>
              <w:spacing w:line="24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30" w:type="dxa"/>
            <w:noWrap w:val="0"/>
            <w:vAlign w:val="center"/>
          </w:tcPr>
          <w:p w14:paraId="4666A813">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6131" w:type="dxa"/>
            <w:noWrap w:val="0"/>
            <w:vAlign w:val="center"/>
          </w:tcPr>
          <w:p w14:paraId="5442DA59">
            <w:pPr>
              <w:spacing w:line="24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01月01日</w:t>
            </w:r>
            <w:r>
              <w:rPr>
                <w:rFonts w:hint="eastAsia" w:ascii="宋体" w:hAnsi="宋体" w:eastAsia="宋体" w:cs="宋体"/>
                <w:color w:val="auto"/>
                <w:sz w:val="24"/>
                <w:szCs w:val="24"/>
              </w:rPr>
              <w:t>以来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lang w:val="zh-CN"/>
              </w:rPr>
              <w:t>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w:t>
            </w:r>
            <w:r>
              <w:rPr>
                <w:rFonts w:hint="eastAsia" w:ascii="宋体" w:hAnsi="宋体" w:eastAsia="宋体" w:cs="宋体"/>
                <w:color w:val="auto"/>
                <w:sz w:val="24"/>
                <w:szCs w:val="24"/>
                <w:lang w:val="en-US" w:eastAsia="zh-CN"/>
              </w:rPr>
              <w:t>页或中标（成交）通知书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每提供1份得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满分6分</w:t>
            </w:r>
            <w:r>
              <w:rPr>
                <w:rFonts w:hint="eastAsia" w:ascii="宋体" w:hAnsi="宋体" w:eastAsia="宋体" w:cs="宋体"/>
                <w:color w:val="auto"/>
                <w:sz w:val="24"/>
                <w:szCs w:val="24"/>
              </w:rPr>
              <w:t>；未提供不得分。</w:t>
            </w:r>
          </w:p>
        </w:tc>
      </w:tr>
      <w:tr w14:paraId="7F0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5" w:hRule="atLeast"/>
          <w:jc w:val="center"/>
        </w:trPr>
        <w:tc>
          <w:tcPr>
            <w:tcW w:w="1198" w:type="dxa"/>
            <w:vMerge w:val="continue"/>
            <w:noWrap w:val="0"/>
            <w:vAlign w:val="center"/>
          </w:tcPr>
          <w:p w14:paraId="03E4BED3">
            <w:pPr>
              <w:spacing w:line="240" w:lineRule="auto"/>
              <w:ind w:firstLine="0" w:firstLineChars="0"/>
              <w:jc w:val="center"/>
              <w:rPr>
                <w:rFonts w:ascii="宋体" w:hAnsi="宋体" w:eastAsia="宋体" w:cs="宋体"/>
                <w:color w:val="auto"/>
                <w:sz w:val="24"/>
                <w:szCs w:val="24"/>
              </w:rPr>
            </w:pPr>
          </w:p>
        </w:tc>
        <w:tc>
          <w:tcPr>
            <w:tcW w:w="1679" w:type="dxa"/>
            <w:noWrap w:val="0"/>
            <w:tcMar>
              <w:top w:w="0" w:type="dxa"/>
              <w:left w:w="0" w:type="dxa"/>
              <w:bottom w:w="0" w:type="dxa"/>
              <w:right w:w="0" w:type="dxa"/>
            </w:tcMar>
            <w:vAlign w:val="center"/>
          </w:tcPr>
          <w:p w14:paraId="31653C62">
            <w:pPr>
              <w:spacing w:line="24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交货期进度计划及保证措施</w:t>
            </w:r>
          </w:p>
        </w:tc>
        <w:tc>
          <w:tcPr>
            <w:tcW w:w="630" w:type="dxa"/>
            <w:noWrap w:val="0"/>
            <w:vAlign w:val="center"/>
          </w:tcPr>
          <w:p w14:paraId="0BE9CF69">
            <w:pPr>
              <w:spacing w:line="24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6131" w:type="dxa"/>
            <w:noWrap w:val="0"/>
            <w:vAlign w:val="center"/>
          </w:tcPr>
          <w:p w14:paraId="6E6F47C6">
            <w:pPr>
              <w:spacing w:line="24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针对本项目有交货进度计划及保证措施；计划及保证措施合理、内容详尽可行的得3分；计划及保证措施合理、内容完善较为可行的得2分；计划及保证措施一般、内容基本可行的得1分；其他情况不得分。</w:t>
            </w:r>
          </w:p>
        </w:tc>
      </w:tr>
      <w:tr w14:paraId="1E0C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restart"/>
            <w:noWrap w:val="0"/>
            <w:tcMar>
              <w:top w:w="0" w:type="dxa"/>
              <w:left w:w="0" w:type="dxa"/>
              <w:bottom w:w="0" w:type="dxa"/>
              <w:right w:w="0" w:type="dxa"/>
            </w:tcMar>
            <w:vAlign w:val="center"/>
          </w:tcPr>
          <w:p w14:paraId="717C7E30">
            <w:pPr>
              <w:spacing w:line="24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技术方面</w:t>
            </w:r>
          </w:p>
          <w:p w14:paraId="7D6EC4E3">
            <w:pPr>
              <w:spacing w:line="24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分）</w:t>
            </w:r>
          </w:p>
        </w:tc>
        <w:tc>
          <w:tcPr>
            <w:tcW w:w="1679" w:type="dxa"/>
            <w:noWrap w:val="0"/>
            <w:tcMar>
              <w:top w:w="0" w:type="dxa"/>
              <w:left w:w="0" w:type="dxa"/>
              <w:bottom w:w="0" w:type="dxa"/>
              <w:right w:w="0" w:type="dxa"/>
            </w:tcMar>
            <w:vAlign w:val="center"/>
          </w:tcPr>
          <w:p w14:paraId="4F89128C">
            <w:pPr>
              <w:spacing w:line="24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30" w:type="dxa"/>
            <w:noWrap w:val="0"/>
            <w:vAlign w:val="center"/>
          </w:tcPr>
          <w:p w14:paraId="09D0AEEB">
            <w:pPr>
              <w:widowControl/>
              <w:spacing w:line="24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w:t>
            </w:r>
          </w:p>
        </w:tc>
        <w:tc>
          <w:tcPr>
            <w:tcW w:w="6131" w:type="dxa"/>
            <w:noWrap w:val="0"/>
            <w:vAlign w:val="center"/>
          </w:tcPr>
          <w:p w14:paraId="2028F55A">
            <w:pPr>
              <w:pStyle w:val="10"/>
              <w:spacing w:line="240" w:lineRule="auto"/>
              <w:ind w:firstLine="0" w:firstLineChars="0"/>
              <w:jc w:val="left"/>
              <w:rPr>
                <w:rFonts w:hAnsi="宋体" w:eastAsia="宋体" w:cs="宋体"/>
                <w:color w:val="auto"/>
                <w:sz w:val="24"/>
                <w:szCs w:val="24"/>
              </w:rPr>
            </w:pPr>
            <w:r>
              <w:rPr>
                <w:rFonts w:hint="eastAsia" w:hAnsi="宋体" w:eastAsia="宋体" w:cs="宋体"/>
                <w:color w:val="auto"/>
                <w:sz w:val="24"/>
                <w:szCs w:val="24"/>
              </w:rPr>
              <w:t>投标产品技术参数和配置完全满足或高于磋商文件要求的得</w:t>
            </w:r>
            <w:r>
              <w:rPr>
                <w:rFonts w:hint="eastAsia" w:hAnsi="宋体" w:eastAsia="宋体" w:cs="宋体"/>
                <w:color w:val="auto"/>
                <w:sz w:val="24"/>
                <w:szCs w:val="24"/>
                <w:lang w:val="en-US" w:eastAsia="zh-CN"/>
              </w:rPr>
              <w:t>36</w:t>
            </w:r>
            <w:r>
              <w:rPr>
                <w:rFonts w:hint="eastAsia" w:hAnsi="宋体" w:eastAsia="宋体" w:cs="宋体"/>
                <w:color w:val="auto"/>
                <w:sz w:val="24"/>
                <w:szCs w:val="24"/>
                <w:lang w:val="zh-CN"/>
              </w:rPr>
              <w:t>分，</w:t>
            </w:r>
            <w:r>
              <w:rPr>
                <w:rFonts w:hint="eastAsia" w:hAnsi="宋体" w:eastAsia="宋体" w:cs="宋体"/>
                <w:color w:val="auto"/>
                <w:sz w:val="24"/>
                <w:szCs w:val="24"/>
              </w:rPr>
              <w:t>每有一项负偏离扣</w:t>
            </w:r>
            <w:r>
              <w:rPr>
                <w:rFonts w:hint="eastAsia" w:hAnsi="宋体" w:eastAsia="宋体" w:cs="宋体"/>
                <w:color w:val="auto"/>
                <w:sz w:val="24"/>
                <w:szCs w:val="24"/>
                <w:lang w:val="en-US" w:eastAsia="zh-CN"/>
              </w:rPr>
              <w:t>4</w:t>
            </w:r>
            <w:r>
              <w:rPr>
                <w:rFonts w:hint="eastAsia" w:hAnsi="宋体" w:eastAsia="宋体" w:cs="宋体"/>
                <w:color w:val="auto"/>
                <w:sz w:val="24"/>
                <w:szCs w:val="24"/>
              </w:rPr>
              <w:t>分，直到扣完为止。（以产品检测报告</w:t>
            </w:r>
            <w:r>
              <w:rPr>
                <w:rFonts w:hint="eastAsia" w:hAnsi="宋体" w:eastAsia="宋体" w:cs="宋体"/>
                <w:color w:val="auto"/>
                <w:sz w:val="24"/>
                <w:szCs w:val="24"/>
                <w:lang w:val="en-US" w:eastAsia="zh-CN"/>
              </w:rPr>
              <w:t>或</w:t>
            </w:r>
            <w:r>
              <w:rPr>
                <w:rFonts w:hint="eastAsia" w:hAnsi="宋体" w:eastAsia="宋体" w:cs="宋体"/>
                <w:color w:val="auto"/>
                <w:sz w:val="24"/>
                <w:szCs w:val="24"/>
              </w:rPr>
              <w:t>彩页</w:t>
            </w:r>
            <w:r>
              <w:rPr>
                <w:rFonts w:hint="eastAsia" w:hAnsi="宋体" w:eastAsia="宋体" w:cs="宋体"/>
                <w:color w:val="auto"/>
                <w:sz w:val="24"/>
                <w:szCs w:val="24"/>
                <w:lang w:eastAsia="zh-CN"/>
              </w:rPr>
              <w:t>（</w:t>
            </w:r>
            <w:r>
              <w:rPr>
                <w:rFonts w:hint="eastAsia" w:hAnsi="宋体" w:eastAsia="宋体" w:cs="宋体"/>
                <w:color w:val="auto"/>
                <w:sz w:val="24"/>
                <w:szCs w:val="24"/>
                <w:lang w:val="en-US" w:eastAsia="zh-CN"/>
              </w:rPr>
              <w:t>技术白皮书</w:t>
            </w:r>
            <w:r>
              <w:rPr>
                <w:rFonts w:hint="eastAsia" w:hAnsi="宋体" w:eastAsia="宋体" w:cs="宋体"/>
                <w:color w:val="auto"/>
                <w:sz w:val="24"/>
                <w:szCs w:val="24"/>
                <w:lang w:eastAsia="zh-CN"/>
              </w:rPr>
              <w:t>）</w:t>
            </w:r>
            <w:r>
              <w:rPr>
                <w:rFonts w:hint="eastAsia" w:hAnsi="宋体" w:eastAsia="宋体" w:cs="宋体"/>
                <w:color w:val="auto"/>
                <w:sz w:val="24"/>
                <w:szCs w:val="24"/>
              </w:rPr>
              <w:t>为依据）</w:t>
            </w:r>
          </w:p>
        </w:tc>
      </w:tr>
      <w:tr w14:paraId="3945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1198" w:type="dxa"/>
            <w:vMerge w:val="continue"/>
            <w:noWrap w:val="0"/>
            <w:tcMar>
              <w:top w:w="0" w:type="dxa"/>
              <w:left w:w="0" w:type="dxa"/>
              <w:bottom w:w="0" w:type="dxa"/>
              <w:right w:w="0" w:type="dxa"/>
            </w:tcMar>
            <w:vAlign w:val="center"/>
          </w:tcPr>
          <w:p w14:paraId="3310828F">
            <w:pPr>
              <w:spacing w:line="240" w:lineRule="auto"/>
              <w:ind w:firstLine="0" w:firstLineChars="0"/>
              <w:jc w:val="center"/>
              <w:rPr>
                <w:rFonts w:ascii="宋体" w:hAnsi="宋体" w:eastAsia="宋体" w:cs="宋体"/>
                <w:color w:val="auto"/>
                <w:sz w:val="24"/>
                <w:szCs w:val="24"/>
              </w:rPr>
            </w:pPr>
          </w:p>
        </w:tc>
        <w:tc>
          <w:tcPr>
            <w:tcW w:w="1679" w:type="dxa"/>
            <w:noWrap w:val="0"/>
            <w:tcMar>
              <w:top w:w="0" w:type="dxa"/>
              <w:left w:w="0" w:type="dxa"/>
              <w:bottom w:w="0" w:type="dxa"/>
              <w:right w:w="0" w:type="dxa"/>
            </w:tcMar>
            <w:vAlign w:val="center"/>
          </w:tcPr>
          <w:p w14:paraId="652C81BE">
            <w:pPr>
              <w:spacing w:line="24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30" w:type="dxa"/>
            <w:noWrap w:val="0"/>
            <w:vAlign w:val="center"/>
          </w:tcPr>
          <w:p w14:paraId="362BF437">
            <w:pPr>
              <w:widowControl/>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6131" w:type="dxa"/>
            <w:noWrap w:val="0"/>
            <w:vAlign w:val="center"/>
          </w:tcPr>
          <w:p w14:paraId="5E992A4F">
            <w:pPr>
              <w:pStyle w:val="10"/>
              <w:spacing w:line="240" w:lineRule="auto"/>
              <w:ind w:firstLine="0" w:firstLineChars="0"/>
              <w:jc w:val="left"/>
              <w:rPr>
                <w:rFonts w:hAnsi="宋体" w:eastAsia="宋体" w:cs="宋体"/>
                <w:color w:val="auto"/>
                <w:sz w:val="24"/>
                <w:szCs w:val="24"/>
              </w:rPr>
            </w:pPr>
            <w:r>
              <w:rPr>
                <w:rFonts w:hint="eastAsia" w:hAnsi="宋体" w:eastAsia="宋体" w:cs="宋体"/>
                <w:color w:val="auto"/>
                <w:sz w:val="24"/>
                <w:szCs w:val="24"/>
                <w:lang w:val="zh-CN"/>
              </w:rPr>
              <w:t>所投产品为节能产品</w:t>
            </w:r>
            <w:r>
              <w:rPr>
                <w:rFonts w:hint="eastAsia" w:hAnsi="宋体" w:eastAsia="宋体" w:cs="宋体"/>
                <w:color w:val="auto"/>
                <w:sz w:val="24"/>
                <w:szCs w:val="24"/>
                <w:lang w:val="zh-CN" w:eastAsia="zh-CN"/>
              </w:rPr>
              <w:t>的得0.5</w:t>
            </w:r>
            <w:r>
              <w:rPr>
                <w:rFonts w:hint="eastAsia" w:hAnsi="宋体" w:eastAsia="宋体" w:cs="宋体"/>
                <w:color w:val="auto"/>
                <w:sz w:val="24"/>
                <w:szCs w:val="24"/>
                <w:lang w:val="zh-CN"/>
              </w:rPr>
              <w:t>分</w:t>
            </w:r>
            <w:r>
              <w:rPr>
                <w:rFonts w:hint="eastAsia" w:hAnsi="宋体" w:eastAsia="宋体" w:cs="宋体"/>
                <w:color w:val="auto"/>
                <w:sz w:val="24"/>
                <w:szCs w:val="24"/>
                <w:lang w:val="zh-CN" w:eastAsia="zh-CN"/>
              </w:rPr>
              <w:t>，</w:t>
            </w:r>
            <w:r>
              <w:rPr>
                <w:rFonts w:hint="eastAsia" w:hAnsi="宋体" w:eastAsia="宋体" w:cs="宋体"/>
                <w:color w:val="auto"/>
                <w:sz w:val="24"/>
                <w:szCs w:val="24"/>
                <w:lang w:val="zh-CN"/>
              </w:rPr>
              <w:t>满分</w:t>
            </w:r>
            <w:r>
              <w:rPr>
                <w:rFonts w:hint="eastAsia" w:hAnsi="宋体" w:eastAsia="宋体" w:cs="宋体"/>
                <w:color w:val="auto"/>
                <w:sz w:val="24"/>
                <w:szCs w:val="24"/>
                <w:lang w:val="zh-CN" w:eastAsia="zh-CN"/>
              </w:rPr>
              <w:t>1</w:t>
            </w:r>
            <w:r>
              <w:rPr>
                <w:rFonts w:hint="eastAsia" w:hAnsi="宋体" w:eastAsia="宋体" w:cs="宋体"/>
                <w:color w:val="auto"/>
                <w:sz w:val="24"/>
                <w:szCs w:val="24"/>
                <w:lang w:val="zh-CN"/>
              </w:rPr>
              <w:t>分；所投产品为环保产品</w:t>
            </w:r>
            <w:r>
              <w:rPr>
                <w:rFonts w:hint="eastAsia" w:hAnsi="宋体" w:eastAsia="宋体" w:cs="宋体"/>
                <w:color w:val="auto"/>
                <w:sz w:val="24"/>
                <w:szCs w:val="24"/>
                <w:lang w:val="zh-CN" w:eastAsia="zh-CN"/>
              </w:rPr>
              <w:t>的</w:t>
            </w:r>
            <w:r>
              <w:rPr>
                <w:rFonts w:hint="eastAsia" w:hAnsi="宋体" w:eastAsia="宋体" w:cs="宋体"/>
                <w:color w:val="auto"/>
                <w:sz w:val="24"/>
                <w:szCs w:val="24"/>
                <w:lang w:val="zh-CN"/>
              </w:rPr>
              <w:t>得</w:t>
            </w:r>
            <w:r>
              <w:rPr>
                <w:rFonts w:hint="eastAsia" w:hAnsi="宋体" w:eastAsia="宋体" w:cs="宋体"/>
                <w:color w:val="auto"/>
                <w:sz w:val="24"/>
                <w:szCs w:val="24"/>
                <w:lang w:val="zh-CN" w:eastAsia="zh-CN"/>
              </w:rPr>
              <w:t>0.5</w:t>
            </w:r>
            <w:r>
              <w:rPr>
                <w:rFonts w:hint="eastAsia" w:hAnsi="宋体" w:eastAsia="宋体" w:cs="宋体"/>
                <w:color w:val="auto"/>
                <w:sz w:val="24"/>
                <w:szCs w:val="24"/>
                <w:lang w:val="zh-CN"/>
              </w:rPr>
              <w:t>分</w:t>
            </w:r>
            <w:r>
              <w:rPr>
                <w:rFonts w:hint="eastAsia" w:hAnsi="宋体" w:eastAsia="宋体" w:cs="宋体"/>
                <w:color w:val="auto"/>
                <w:sz w:val="24"/>
                <w:szCs w:val="24"/>
                <w:lang w:val="zh-CN" w:eastAsia="zh-CN"/>
              </w:rPr>
              <w:t>，</w:t>
            </w:r>
            <w:r>
              <w:rPr>
                <w:rFonts w:hint="eastAsia" w:hAnsi="宋体" w:eastAsia="宋体" w:cs="宋体"/>
                <w:color w:val="auto"/>
                <w:sz w:val="24"/>
                <w:szCs w:val="24"/>
                <w:lang w:val="zh-CN"/>
              </w:rPr>
              <w:t>满分</w:t>
            </w:r>
            <w:r>
              <w:rPr>
                <w:rFonts w:hint="eastAsia" w:hAnsi="宋体" w:eastAsia="宋体" w:cs="宋体"/>
                <w:color w:val="auto"/>
                <w:sz w:val="24"/>
                <w:szCs w:val="24"/>
                <w:lang w:val="zh-CN" w:eastAsia="zh-CN"/>
              </w:rPr>
              <w:t>1</w:t>
            </w:r>
            <w:r>
              <w:rPr>
                <w:rFonts w:hint="eastAsia" w:hAnsi="宋体" w:eastAsia="宋体" w:cs="宋体"/>
                <w:color w:val="auto"/>
                <w:sz w:val="24"/>
                <w:szCs w:val="24"/>
                <w:lang w:val="zh-CN"/>
              </w:rPr>
              <w:t>分；该项得分的认定以国家确定的认证机构出具的、处于有效期之内的《节能产品认证证书》、《环境标志产品认证证书》和政府部门公布的《节能产品政府采购品目清单》、《环境标志产品政府采购品目清单》为准。</w:t>
            </w:r>
          </w:p>
        </w:tc>
      </w:tr>
      <w:tr w14:paraId="1EDD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restart"/>
            <w:noWrap w:val="0"/>
            <w:vAlign w:val="center"/>
          </w:tcPr>
          <w:p w14:paraId="1D5BAFF0">
            <w:pPr>
              <w:spacing w:line="24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售后服务（</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分）</w:t>
            </w:r>
          </w:p>
        </w:tc>
        <w:tc>
          <w:tcPr>
            <w:tcW w:w="1679" w:type="dxa"/>
            <w:noWrap w:val="0"/>
            <w:tcMar>
              <w:top w:w="0" w:type="dxa"/>
              <w:left w:w="0" w:type="dxa"/>
              <w:bottom w:w="0" w:type="dxa"/>
              <w:right w:w="0" w:type="dxa"/>
            </w:tcMar>
            <w:vAlign w:val="center"/>
          </w:tcPr>
          <w:p w14:paraId="367078EB">
            <w:pPr>
              <w:spacing w:line="24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项目管理及</w:t>
            </w:r>
          </w:p>
          <w:p w14:paraId="5F175037">
            <w:pPr>
              <w:spacing w:line="24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实施方案</w:t>
            </w:r>
          </w:p>
        </w:tc>
        <w:tc>
          <w:tcPr>
            <w:tcW w:w="630" w:type="dxa"/>
            <w:noWrap w:val="0"/>
            <w:vAlign w:val="center"/>
          </w:tcPr>
          <w:p w14:paraId="1FF13203">
            <w:pPr>
              <w:spacing w:line="24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6131" w:type="dxa"/>
            <w:noWrap w:val="0"/>
            <w:vAlign w:val="center"/>
          </w:tcPr>
          <w:p w14:paraId="1B42FD4F">
            <w:pPr>
              <w:keepNext w:val="0"/>
              <w:keepLines w:val="0"/>
              <w:widowControl/>
              <w:suppressLineNumbers w:val="0"/>
              <w:ind w:left="0" w:leftChars="0" w:firstLine="0" w:firstLineChars="0"/>
              <w:jc w:val="left"/>
              <w:rPr>
                <w:rFonts w:hint="eastAsia" w:ascii="宋体" w:hAnsi="宋体" w:eastAsia="宋体" w:cs="宋体"/>
                <w:color w:val="auto"/>
                <w:kern w:val="0"/>
                <w:sz w:val="24"/>
                <w:szCs w:val="24"/>
                <w:lang w:val="en-US" w:eastAsia="zh-CN" w:bidi="ar"/>
              </w:rPr>
            </w:pPr>
            <w:r>
              <w:rPr>
                <w:rFonts w:ascii="宋体" w:hAnsi="宋体" w:eastAsia="宋体" w:cs="宋体"/>
                <w:color w:val="auto"/>
                <w:sz w:val="24"/>
                <w:szCs w:val="24"/>
              </w:rPr>
              <w:t>根据各</w:t>
            </w: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提供针对本项目拟定的项目管理及实施方案内容包括</w:t>
            </w:r>
            <w:bookmarkStart w:id="106" w:name="OLE_LINK2"/>
            <w:r>
              <w:rPr>
                <w:rFonts w:hint="eastAsia" w:ascii="宋体" w:hAnsi="宋体" w:eastAsia="宋体" w:cs="宋体"/>
                <w:b/>
                <w:bCs/>
                <w:color w:val="auto"/>
                <w:kern w:val="0"/>
                <w:sz w:val="24"/>
                <w:szCs w:val="24"/>
                <w:lang w:val="en-US" w:eastAsia="zh-CN" w:bidi="ar"/>
              </w:rPr>
              <w:t>①</w:t>
            </w:r>
            <w:bookmarkEnd w:id="106"/>
            <w:r>
              <w:rPr>
                <w:rFonts w:ascii="宋体" w:hAnsi="宋体" w:eastAsia="宋体" w:cs="宋体"/>
                <w:color w:val="auto"/>
                <w:sz w:val="24"/>
                <w:szCs w:val="24"/>
              </w:rPr>
              <w:t>项目管理机构</w:t>
            </w:r>
            <w:r>
              <w:rPr>
                <w:rFonts w:hint="eastAsia" w:ascii="宋体" w:hAnsi="宋体" w:eastAsia="宋体" w:cs="宋体"/>
                <w:color w:val="auto"/>
                <w:sz w:val="24"/>
                <w:szCs w:val="24"/>
                <w:lang w:eastAsia="zh-CN"/>
              </w:rPr>
              <w:t>；</w:t>
            </w:r>
            <w:bookmarkStart w:id="107" w:name="OLE_LINK6"/>
            <w:r>
              <w:rPr>
                <w:rFonts w:hint="eastAsia" w:ascii="宋体" w:hAnsi="宋体" w:eastAsia="宋体" w:cs="宋体"/>
                <w:b/>
                <w:bCs/>
                <w:color w:val="auto"/>
                <w:kern w:val="0"/>
                <w:sz w:val="24"/>
                <w:szCs w:val="24"/>
                <w:lang w:val="en-US" w:eastAsia="zh-CN" w:bidi="ar"/>
              </w:rPr>
              <w:t>②</w:t>
            </w:r>
            <w:bookmarkEnd w:id="107"/>
            <w:r>
              <w:rPr>
                <w:rFonts w:ascii="宋体" w:hAnsi="宋体" w:eastAsia="宋体" w:cs="宋体"/>
                <w:color w:val="auto"/>
                <w:sz w:val="24"/>
                <w:szCs w:val="24"/>
              </w:rPr>
              <w:t>项目管理措施</w:t>
            </w:r>
            <w:r>
              <w:rPr>
                <w:rFonts w:hint="eastAsia" w:ascii="宋体" w:hAnsi="宋体" w:eastAsia="宋体" w:cs="宋体"/>
                <w:color w:val="auto"/>
                <w:sz w:val="24"/>
                <w:szCs w:val="24"/>
                <w:lang w:eastAsia="zh-CN"/>
              </w:rPr>
              <w:t>；</w:t>
            </w:r>
            <w:r>
              <w:rPr>
                <w:rFonts w:hint="eastAsia" w:ascii="宋体" w:hAnsi="宋体" w:eastAsia="宋体" w:cs="宋体"/>
                <w:b/>
                <w:bCs/>
                <w:color w:val="auto"/>
                <w:kern w:val="0"/>
                <w:sz w:val="24"/>
                <w:szCs w:val="24"/>
                <w:lang w:val="en-US" w:eastAsia="zh-CN" w:bidi="ar"/>
              </w:rPr>
              <w:t>③</w:t>
            </w:r>
            <w:r>
              <w:rPr>
                <w:rFonts w:ascii="宋体" w:hAnsi="宋体" w:eastAsia="宋体" w:cs="宋体"/>
                <w:color w:val="auto"/>
                <w:sz w:val="24"/>
                <w:szCs w:val="24"/>
              </w:rPr>
              <w:t>项目团队人员</w:t>
            </w:r>
            <w:r>
              <w:rPr>
                <w:rFonts w:hint="eastAsia" w:ascii="宋体" w:hAnsi="宋体" w:eastAsia="宋体" w:cs="宋体"/>
                <w:color w:val="auto"/>
                <w:sz w:val="24"/>
                <w:szCs w:val="24"/>
                <w:lang w:eastAsia="zh-CN"/>
              </w:rPr>
              <w:t>；</w:t>
            </w:r>
            <w:r>
              <w:rPr>
                <w:rFonts w:hint="eastAsia" w:ascii="宋体" w:hAnsi="宋体" w:eastAsia="宋体" w:cs="宋体"/>
                <w:b/>
                <w:bCs/>
                <w:color w:val="auto"/>
                <w:kern w:val="0"/>
                <w:sz w:val="24"/>
                <w:szCs w:val="24"/>
                <w:lang w:val="en-US" w:eastAsia="zh-CN" w:bidi="ar"/>
              </w:rPr>
              <w:t>④</w:t>
            </w:r>
            <w:r>
              <w:rPr>
                <w:rFonts w:hint="eastAsia" w:ascii="宋体" w:hAnsi="宋体" w:eastAsia="宋体" w:cs="宋体"/>
                <w:color w:val="auto"/>
                <w:sz w:val="24"/>
                <w:szCs w:val="24"/>
                <w:lang w:val="en-US" w:eastAsia="zh-CN"/>
              </w:rPr>
              <w:t>材料</w:t>
            </w:r>
            <w:r>
              <w:rPr>
                <w:rFonts w:ascii="宋体" w:hAnsi="宋体" w:eastAsia="宋体" w:cs="宋体"/>
                <w:color w:val="auto"/>
                <w:sz w:val="24"/>
                <w:szCs w:val="24"/>
              </w:rPr>
              <w:t>的采购、供应、合同履约</w:t>
            </w:r>
            <w:r>
              <w:rPr>
                <w:rFonts w:hint="eastAsia" w:ascii="宋体" w:hAnsi="宋体" w:eastAsia="宋体" w:cs="宋体"/>
                <w:color w:val="auto"/>
                <w:sz w:val="24"/>
                <w:szCs w:val="24"/>
                <w:lang w:eastAsia="zh-CN"/>
              </w:rPr>
              <w:t>；</w:t>
            </w:r>
            <w:r>
              <w:rPr>
                <w:rFonts w:hint="eastAsia" w:ascii="宋体" w:hAnsi="宋体" w:eastAsia="宋体" w:cs="宋体"/>
                <w:b/>
                <w:bCs/>
                <w:color w:val="auto"/>
                <w:kern w:val="0"/>
                <w:sz w:val="24"/>
                <w:szCs w:val="24"/>
                <w:lang w:val="en-US" w:eastAsia="zh-CN" w:bidi="ar"/>
              </w:rPr>
              <w:t>⑤</w:t>
            </w:r>
            <w:r>
              <w:rPr>
                <w:rFonts w:hint="eastAsia" w:ascii="宋体" w:hAnsi="宋体" w:eastAsia="宋体" w:cs="宋体"/>
                <w:color w:val="auto"/>
                <w:kern w:val="0"/>
                <w:sz w:val="24"/>
                <w:szCs w:val="24"/>
                <w:lang w:val="en-US" w:eastAsia="zh-CN" w:bidi="ar"/>
              </w:rPr>
              <w:t>对本项目的合理化建议。方案内容完整，表述准确、条理清晰，完全满足项目需要，具有良好的科学性、合理性和可操作性的得10分，</w:t>
            </w:r>
            <w:bookmarkStart w:id="108" w:name="OLE_LINK23"/>
            <w:r>
              <w:rPr>
                <w:rFonts w:hint="eastAsia" w:ascii="宋体" w:hAnsi="宋体" w:eastAsia="宋体" w:cs="宋体"/>
                <w:color w:val="auto"/>
                <w:kern w:val="0"/>
                <w:sz w:val="24"/>
                <w:szCs w:val="24"/>
                <w:lang w:val="en-US" w:eastAsia="zh-CN" w:bidi="ar"/>
              </w:rPr>
              <w:t>每缺少一项内容扣2分</w:t>
            </w:r>
            <w:bookmarkEnd w:id="108"/>
            <w:r>
              <w:rPr>
                <w:rFonts w:hint="eastAsia" w:ascii="宋体" w:hAnsi="宋体" w:eastAsia="宋体" w:cs="宋体"/>
                <w:color w:val="auto"/>
                <w:kern w:val="0"/>
                <w:sz w:val="24"/>
                <w:szCs w:val="24"/>
                <w:lang w:val="en-US" w:eastAsia="zh-CN" w:bidi="ar"/>
              </w:rPr>
              <w:t>，每有一项内容存在缺陷，或此项内容不完整的扣1分，扣完为止。</w:t>
            </w:r>
          </w:p>
          <w:p w14:paraId="34A85762">
            <w:pPr>
              <w:spacing w:line="240" w:lineRule="auto"/>
              <w:ind w:firstLine="0" w:firstLineChars="0"/>
              <w:jc w:val="left"/>
              <w:rPr>
                <w:rFonts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注：缺陷或不足是指：内容所阐述的项目信息与本项目实际需求信息不一致、内容照抄照搬磋商文件且只有方案框架无实质性内容、内容不完整、套用其他项目方案、地点区域错误、内容前后矛盾、涉及的规范及标准错误、不可能实现的情形等任意一种情形。</w:t>
            </w:r>
          </w:p>
        </w:tc>
      </w:tr>
      <w:tr w14:paraId="4455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continue"/>
            <w:noWrap w:val="0"/>
            <w:vAlign w:val="center"/>
          </w:tcPr>
          <w:p w14:paraId="33215342">
            <w:pPr>
              <w:spacing w:line="240" w:lineRule="auto"/>
              <w:ind w:firstLine="0" w:firstLineChars="0"/>
              <w:jc w:val="center"/>
              <w:rPr>
                <w:rFonts w:ascii="宋体" w:hAnsi="宋体" w:eastAsia="宋体" w:cs="宋体"/>
                <w:color w:val="auto"/>
                <w:sz w:val="24"/>
                <w:szCs w:val="24"/>
              </w:rPr>
            </w:pPr>
          </w:p>
        </w:tc>
        <w:tc>
          <w:tcPr>
            <w:tcW w:w="1679" w:type="dxa"/>
            <w:noWrap w:val="0"/>
            <w:tcMar>
              <w:top w:w="0" w:type="dxa"/>
              <w:left w:w="0" w:type="dxa"/>
              <w:bottom w:w="0" w:type="dxa"/>
              <w:right w:w="0" w:type="dxa"/>
            </w:tcMar>
            <w:vAlign w:val="center"/>
          </w:tcPr>
          <w:p w14:paraId="32137EEF">
            <w:pPr>
              <w:spacing w:line="24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服务措施及承诺</w:t>
            </w:r>
          </w:p>
        </w:tc>
        <w:tc>
          <w:tcPr>
            <w:tcW w:w="630" w:type="dxa"/>
            <w:noWrap w:val="0"/>
            <w:vAlign w:val="center"/>
          </w:tcPr>
          <w:p w14:paraId="1895BB3E">
            <w:pPr>
              <w:spacing w:line="24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pacing w:val="-4"/>
                <w:sz w:val="24"/>
                <w:szCs w:val="24"/>
                <w:lang w:val="en-US" w:eastAsia="zh-CN"/>
              </w:rPr>
              <w:t>10</w:t>
            </w:r>
          </w:p>
        </w:tc>
        <w:tc>
          <w:tcPr>
            <w:tcW w:w="6131" w:type="dxa"/>
            <w:noWrap w:val="0"/>
            <w:vAlign w:val="center"/>
          </w:tcPr>
          <w:p w14:paraId="42C06938">
            <w:pPr>
              <w:numPr>
                <w:ilvl w:val="0"/>
                <w:numId w:val="0"/>
              </w:numPr>
              <w:spacing w:line="240" w:lineRule="auto"/>
              <w:jc w:val="left"/>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提供针对本项目的服务措施及相关承诺包括</w:t>
            </w:r>
            <w:r>
              <w:rPr>
                <w:rFonts w:hint="eastAsia" w:ascii="宋体" w:hAnsi="宋体" w:eastAsia="宋体" w:cs="宋体"/>
                <w:b/>
                <w:bCs/>
                <w:color w:val="auto"/>
                <w:kern w:val="0"/>
                <w:sz w:val="24"/>
                <w:szCs w:val="24"/>
                <w:lang w:val="en-US" w:eastAsia="zh-CN" w:bidi="ar"/>
              </w:rPr>
              <w:t>①</w:t>
            </w:r>
            <w:r>
              <w:rPr>
                <w:rFonts w:hint="eastAsia" w:ascii="宋体" w:hAnsi="宋体" w:eastAsia="宋体" w:cs="宋体"/>
                <w:color w:val="auto"/>
                <w:sz w:val="24"/>
                <w:szCs w:val="24"/>
                <w:lang w:bidi="ar"/>
              </w:rPr>
              <w:t>服务质量承诺</w:t>
            </w:r>
            <w:r>
              <w:rPr>
                <w:rFonts w:hint="eastAsia" w:ascii="宋体" w:hAnsi="宋体" w:eastAsia="宋体" w:cs="宋体"/>
                <w:color w:val="auto"/>
                <w:sz w:val="24"/>
                <w:szCs w:val="24"/>
                <w:lang w:eastAsia="zh-CN" w:bidi="ar"/>
              </w:rPr>
              <w:t>；</w:t>
            </w:r>
            <w:r>
              <w:rPr>
                <w:rFonts w:hint="eastAsia" w:ascii="宋体" w:hAnsi="宋体" w:eastAsia="宋体" w:cs="宋体"/>
                <w:b/>
                <w:bCs/>
                <w:color w:val="auto"/>
                <w:kern w:val="0"/>
                <w:sz w:val="24"/>
                <w:szCs w:val="24"/>
                <w:lang w:val="en-US" w:eastAsia="zh-CN" w:bidi="ar"/>
              </w:rPr>
              <w:t>②</w:t>
            </w:r>
            <w:r>
              <w:rPr>
                <w:rFonts w:hint="eastAsia" w:ascii="宋体" w:hAnsi="宋体" w:eastAsia="宋体" w:cs="宋体"/>
                <w:color w:val="auto"/>
                <w:sz w:val="24"/>
                <w:szCs w:val="24"/>
                <w:lang w:bidi="ar"/>
              </w:rPr>
              <w:t>服务保障措施承诺</w:t>
            </w:r>
            <w:r>
              <w:rPr>
                <w:rFonts w:hint="eastAsia" w:ascii="宋体" w:hAnsi="宋体" w:eastAsia="宋体" w:cs="宋体"/>
                <w:color w:val="auto"/>
                <w:sz w:val="24"/>
                <w:szCs w:val="24"/>
                <w:lang w:eastAsia="zh-CN" w:bidi="ar"/>
              </w:rPr>
              <w:t>；</w:t>
            </w:r>
            <w:r>
              <w:rPr>
                <w:rFonts w:hint="eastAsia" w:ascii="宋体" w:hAnsi="宋体" w:eastAsia="宋体" w:cs="宋体"/>
                <w:b/>
                <w:bCs/>
                <w:color w:val="auto"/>
                <w:kern w:val="0"/>
                <w:sz w:val="24"/>
                <w:szCs w:val="24"/>
                <w:lang w:val="en-US" w:eastAsia="zh-CN" w:bidi="ar"/>
              </w:rPr>
              <w:t>③</w:t>
            </w:r>
            <w:r>
              <w:rPr>
                <w:rFonts w:hint="eastAsia" w:ascii="宋体" w:hAnsi="宋体" w:eastAsia="宋体" w:cs="宋体"/>
                <w:color w:val="auto"/>
                <w:sz w:val="24"/>
                <w:szCs w:val="24"/>
                <w:lang w:bidi="ar"/>
              </w:rPr>
              <w:t>售后服务承诺</w:t>
            </w:r>
            <w:r>
              <w:rPr>
                <w:rFonts w:hint="eastAsia" w:ascii="宋体" w:hAnsi="宋体" w:eastAsia="宋体" w:cs="宋体"/>
                <w:color w:val="auto"/>
                <w:sz w:val="24"/>
                <w:szCs w:val="24"/>
                <w:lang w:eastAsia="zh-CN" w:bidi="ar"/>
              </w:rPr>
              <w:t>；</w:t>
            </w:r>
            <w:r>
              <w:rPr>
                <w:rFonts w:hint="eastAsia" w:ascii="宋体" w:hAnsi="宋体" w:eastAsia="宋体" w:cs="宋体"/>
                <w:b/>
                <w:bCs/>
                <w:color w:val="auto"/>
                <w:kern w:val="0"/>
                <w:sz w:val="24"/>
                <w:szCs w:val="24"/>
                <w:lang w:val="en-US" w:eastAsia="zh-CN" w:bidi="ar"/>
              </w:rPr>
              <w:t>④</w:t>
            </w:r>
            <w:r>
              <w:rPr>
                <w:rFonts w:hint="eastAsia" w:ascii="宋体" w:hAnsi="宋体" w:eastAsia="宋体" w:cs="宋体"/>
                <w:color w:val="auto"/>
                <w:sz w:val="24"/>
                <w:szCs w:val="24"/>
                <w:lang w:bidi="ar"/>
              </w:rPr>
              <w:t>违约责任承诺</w:t>
            </w:r>
            <w:r>
              <w:rPr>
                <w:rFonts w:hint="eastAsia" w:ascii="宋体" w:hAnsi="宋体" w:eastAsia="宋体" w:cs="宋体"/>
                <w:color w:val="auto"/>
                <w:sz w:val="24"/>
                <w:szCs w:val="24"/>
                <w:lang w:eastAsia="zh-CN" w:bidi="ar"/>
              </w:rPr>
              <w:t>；</w:t>
            </w:r>
            <w:r>
              <w:rPr>
                <w:rFonts w:hint="eastAsia" w:ascii="宋体" w:hAnsi="宋体" w:eastAsia="宋体" w:cs="宋体"/>
                <w:b/>
                <w:bCs/>
                <w:color w:val="auto"/>
                <w:kern w:val="0"/>
                <w:sz w:val="24"/>
                <w:szCs w:val="24"/>
                <w:lang w:val="en-US" w:eastAsia="zh-CN" w:bidi="ar"/>
              </w:rPr>
              <w:t>⑤</w:t>
            </w:r>
            <w:r>
              <w:rPr>
                <w:rFonts w:hint="eastAsia" w:ascii="宋体" w:hAnsi="宋体" w:eastAsia="宋体" w:cs="宋体"/>
                <w:color w:val="auto"/>
                <w:sz w:val="24"/>
                <w:szCs w:val="24"/>
                <w:lang w:bidi="ar"/>
              </w:rPr>
              <w:t>服务档案建立及管理等</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所提供的</w:t>
            </w:r>
            <w:bookmarkStart w:id="109" w:name="OLE_LINK28"/>
            <w:r>
              <w:rPr>
                <w:rFonts w:hint="eastAsia" w:ascii="宋体" w:hAnsi="宋体" w:eastAsia="宋体" w:cs="宋体"/>
                <w:color w:val="auto"/>
                <w:sz w:val="24"/>
                <w:szCs w:val="24"/>
              </w:rPr>
              <w:t>措施及承诺</w:t>
            </w:r>
            <w:bookmarkEnd w:id="109"/>
            <w:r>
              <w:rPr>
                <w:rFonts w:hint="eastAsia" w:ascii="宋体" w:hAnsi="宋体" w:eastAsia="宋体" w:cs="宋体"/>
                <w:color w:val="auto"/>
                <w:sz w:val="24"/>
                <w:szCs w:val="24"/>
                <w:lang w:val="en-US" w:eastAsia="zh-CN" w:bidi="ar"/>
              </w:rPr>
              <w:t>内容完整，表述准确、条理清晰，完全满足项目需要，具有良好的科学性、合理性和可操作性的得10分，每缺少一项内容扣2分，每有一项内容存在缺陷，或此项内容不完整的扣1分，扣完为止。</w:t>
            </w:r>
          </w:p>
          <w:p w14:paraId="204DB54D">
            <w:pPr>
              <w:numPr>
                <w:ilvl w:val="0"/>
                <w:numId w:val="0"/>
              </w:numPr>
              <w:spacing w:line="240" w:lineRule="auto"/>
              <w:jc w:val="left"/>
              <w:rPr>
                <w:color w:val="auto"/>
              </w:rPr>
            </w:pPr>
            <w:r>
              <w:rPr>
                <w:rFonts w:hint="eastAsia" w:ascii="宋体" w:hAnsi="宋体" w:eastAsia="宋体" w:cs="宋体"/>
                <w:color w:val="auto"/>
                <w:sz w:val="24"/>
                <w:szCs w:val="24"/>
                <w:lang w:val="en-US" w:eastAsia="zh-CN" w:bidi="ar"/>
              </w:rPr>
              <w:t>注：缺陷或不足是指：内容所阐述的项目信息与本项目实际需求信息不一致、内容照抄照搬磋商文件且只有</w:t>
            </w:r>
            <w:r>
              <w:rPr>
                <w:rFonts w:hint="eastAsia" w:ascii="宋体" w:hAnsi="宋体" w:eastAsia="宋体" w:cs="宋体"/>
                <w:color w:val="auto"/>
                <w:sz w:val="24"/>
                <w:szCs w:val="24"/>
              </w:rPr>
              <w:t>措施及承诺</w:t>
            </w:r>
            <w:r>
              <w:rPr>
                <w:rFonts w:hint="eastAsia" w:ascii="宋体" w:hAnsi="宋体" w:eastAsia="宋体" w:cs="宋体"/>
                <w:color w:val="auto"/>
                <w:sz w:val="24"/>
                <w:szCs w:val="24"/>
                <w:lang w:val="en-US" w:eastAsia="zh-CN" w:bidi="ar"/>
              </w:rPr>
              <w:t>框架无实质性内容、内容不完整、套用其他项目内容、地点区域错误、内容前后矛盾、涉及的规范及标准错误、不可能实现的情形等任意一种情形。</w:t>
            </w:r>
          </w:p>
        </w:tc>
      </w:tr>
      <w:tr w14:paraId="2277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jc w:val="center"/>
        </w:trPr>
        <w:tc>
          <w:tcPr>
            <w:tcW w:w="1198" w:type="dxa"/>
            <w:vMerge w:val="continue"/>
            <w:noWrap w:val="0"/>
            <w:vAlign w:val="center"/>
          </w:tcPr>
          <w:p w14:paraId="69AB7913">
            <w:pPr>
              <w:spacing w:line="240" w:lineRule="auto"/>
              <w:ind w:firstLine="0" w:firstLineChars="0"/>
              <w:jc w:val="center"/>
              <w:rPr>
                <w:rFonts w:ascii="宋体" w:hAnsi="宋体" w:eastAsia="宋体" w:cs="宋体"/>
                <w:color w:val="auto"/>
                <w:sz w:val="24"/>
                <w:szCs w:val="24"/>
              </w:rPr>
            </w:pPr>
          </w:p>
        </w:tc>
        <w:tc>
          <w:tcPr>
            <w:tcW w:w="1679" w:type="dxa"/>
            <w:noWrap w:val="0"/>
            <w:tcMar>
              <w:top w:w="0" w:type="dxa"/>
              <w:left w:w="0" w:type="dxa"/>
              <w:bottom w:w="0" w:type="dxa"/>
              <w:right w:w="0" w:type="dxa"/>
            </w:tcMar>
            <w:vAlign w:val="center"/>
          </w:tcPr>
          <w:p w14:paraId="41F61414">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lang w:val="en-US" w:eastAsia="zh-CN"/>
              </w:rPr>
              <w:t>质量控制及保证措施</w:t>
            </w:r>
          </w:p>
        </w:tc>
        <w:tc>
          <w:tcPr>
            <w:tcW w:w="630" w:type="dxa"/>
            <w:noWrap w:val="0"/>
            <w:vAlign w:val="center"/>
          </w:tcPr>
          <w:p w14:paraId="5A1F6B1D">
            <w:pPr>
              <w:spacing w:line="240" w:lineRule="auto"/>
              <w:ind w:firstLine="0" w:firstLineChars="0"/>
              <w:jc w:val="center"/>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3</w:t>
            </w:r>
          </w:p>
        </w:tc>
        <w:tc>
          <w:tcPr>
            <w:tcW w:w="6131" w:type="dxa"/>
            <w:noWrap w:val="0"/>
            <w:vAlign w:val="center"/>
          </w:tcPr>
          <w:p w14:paraId="1BC449C1">
            <w:pPr>
              <w:spacing w:line="240" w:lineRule="auto"/>
              <w:ind w:firstLine="0" w:firstLineChars="0"/>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控制及措施明确、周密、可行的得 3分；控制及措施较明确、可行的得 2分；控制及措施不符合磋商要求的得1分，其他情况不得分。</w:t>
            </w:r>
          </w:p>
        </w:tc>
      </w:tr>
    </w:tbl>
    <w:p w14:paraId="5AC1E8BD">
      <w:pPr>
        <w:rPr>
          <w:color w:val="000000" w:themeColor="text1"/>
          <w14:textFill>
            <w14:solidFill>
              <w14:schemeClr w14:val="tx1"/>
            </w14:solidFill>
          </w14:textFill>
        </w:rPr>
      </w:pPr>
    </w:p>
    <w:p w14:paraId="020AA673">
      <w:pPr>
        <w:keepNext/>
        <w:pageBreakBefore/>
        <w:widowControl/>
        <w:spacing w:line="360" w:lineRule="auto"/>
        <w:ind w:firstLine="0" w:firstLineChars="0"/>
        <w:jc w:val="center"/>
        <w:outlineLvl w:val="1"/>
        <w:rPr>
          <w:rFonts w:ascii="宋体" w:hAnsi="宋体" w:eastAsia="宋体" w:cs="宋体"/>
          <w:b/>
          <w:bCs/>
          <w:sz w:val="24"/>
          <w:szCs w:val="24"/>
        </w:rPr>
      </w:pPr>
      <w:r>
        <w:rPr>
          <w:rFonts w:hint="eastAsia" w:ascii="宋体" w:hAnsi="宋体" w:eastAsia="宋体" w:cs="宋体"/>
          <w:b/>
          <w:bCs/>
          <w:sz w:val="24"/>
          <w:szCs w:val="24"/>
        </w:rPr>
        <w:t>七、</w:t>
      </w:r>
      <w:bookmarkEnd w:id="102"/>
      <w:bookmarkEnd w:id="103"/>
      <w:r>
        <w:rPr>
          <w:rFonts w:hint="eastAsia" w:ascii="宋体" w:hAnsi="宋体" w:eastAsia="宋体" w:cs="宋体"/>
          <w:b/>
          <w:bCs/>
          <w:sz w:val="24"/>
          <w:szCs w:val="24"/>
        </w:rPr>
        <w:t>确定成交供应商</w:t>
      </w:r>
      <w:bookmarkEnd w:id="104"/>
      <w:bookmarkEnd w:id="105"/>
    </w:p>
    <w:p w14:paraId="0FB8FC40">
      <w:pPr>
        <w:widowControl/>
        <w:spacing w:line="360" w:lineRule="auto"/>
        <w:ind w:firstLine="0" w:firstLineChars="0"/>
        <w:jc w:val="left"/>
        <w:outlineLvl w:val="2"/>
        <w:rPr>
          <w:rFonts w:ascii="宋体" w:hAnsi="宋体" w:eastAsia="宋体" w:cs="宋体"/>
          <w:b/>
          <w:bCs/>
          <w:sz w:val="24"/>
          <w:szCs w:val="24"/>
        </w:rPr>
      </w:pPr>
      <w:bookmarkStart w:id="110" w:name="_Toc325726026"/>
      <w:bookmarkStart w:id="111" w:name="_Toc376936757"/>
      <w:bookmarkStart w:id="112" w:name="_Toc17038"/>
      <w:bookmarkStart w:id="113" w:name="_Toc28889"/>
      <w:r>
        <w:rPr>
          <w:rFonts w:hint="eastAsia" w:ascii="宋体" w:hAnsi="宋体" w:eastAsia="宋体" w:cs="宋体"/>
          <w:b/>
          <w:bCs/>
          <w:sz w:val="24"/>
          <w:szCs w:val="24"/>
        </w:rPr>
        <w:t>18.推荐并确定成交</w:t>
      </w:r>
      <w:bookmarkEnd w:id="110"/>
      <w:bookmarkEnd w:id="111"/>
      <w:r>
        <w:rPr>
          <w:rFonts w:hint="eastAsia" w:ascii="宋体" w:hAnsi="宋体" w:eastAsia="宋体" w:cs="宋体"/>
          <w:b/>
          <w:bCs/>
          <w:sz w:val="24"/>
          <w:szCs w:val="24"/>
        </w:rPr>
        <w:t>供应商</w:t>
      </w:r>
      <w:bookmarkEnd w:id="112"/>
      <w:bookmarkEnd w:id="113"/>
    </w:p>
    <w:p w14:paraId="0DB07E7C">
      <w:pPr>
        <w:spacing w:line="360" w:lineRule="auto"/>
        <w:ind w:firstLine="480"/>
        <w:jc w:val="left"/>
        <w:rPr>
          <w:rFonts w:ascii="宋体" w:hAnsi="宋体" w:eastAsia="宋体" w:cs="宋体"/>
          <w:sz w:val="24"/>
          <w:szCs w:val="24"/>
        </w:rPr>
      </w:pPr>
      <w:r>
        <w:rPr>
          <w:rFonts w:hint="eastAsia" w:ascii="宋体" w:hAnsi="宋体" w:eastAsia="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5798B39">
      <w:pPr>
        <w:widowControl/>
        <w:spacing w:line="360" w:lineRule="auto"/>
        <w:ind w:firstLine="0" w:firstLineChars="0"/>
        <w:jc w:val="left"/>
        <w:outlineLvl w:val="2"/>
        <w:rPr>
          <w:rFonts w:ascii="宋体" w:hAnsi="宋体" w:eastAsia="宋体" w:cs="宋体"/>
          <w:b/>
          <w:bCs/>
          <w:sz w:val="24"/>
          <w:szCs w:val="24"/>
        </w:rPr>
      </w:pPr>
      <w:bookmarkStart w:id="114" w:name="_Toc325726028"/>
      <w:bookmarkStart w:id="115" w:name="_Toc376936759"/>
      <w:bookmarkStart w:id="116" w:name="_Toc2963"/>
      <w:bookmarkStart w:id="117" w:name="_Toc2346"/>
      <w:bookmarkStart w:id="118" w:name="_Toc325726027"/>
      <w:r>
        <w:rPr>
          <w:rFonts w:hint="eastAsia" w:ascii="宋体" w:hAnsi="宋体" w:eastAsia="宋体" w:cs="宋体"/>
          <w:b/>
          <w:bCs/>
          <w:sz w:val="24"/>
          <w:szCs w:val="24"/>
        </w:rPr>
        <w:t>19.成交通知</w:t>
      </w:r>
      <w:bookmarkEnd w:id="114"/>
      <w:bookmarkEnd w:id="115"/>
      <w:bookmarkEnd w:id="116"/>
      <w:bookmarkEnd w:id="117"/>
    </w:p>
    <w:p w14:paraId="578E68C7">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19.1采购人或者采购代理机构应当在成交供应商确定后2个工作日内，在青海政府采购网上公告成交结果，同时向成交供应商发出成交通知书。</w:t>
      </w:r>
    </w:p>
    <w:p w14:paraId="7D742479">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19.2《成交通知书》发出后，采购人改变成交结果的，或者成交供应商无正当理由放弃成交项目的，依法承担法律责任。</w:t>
      </w:r>
    </w:p>
    <w:p w14:paraId="31E975D1">
      <w:pPr>
        <w:widowControl/>
        <w:spacing w:line="360" w:lineRule="auto"/>
        <w:ind w:firstLine="0" w:firstLineChars="0"/>
        <w:jc w:val="center"/>
        <w:outlineLvl w:val="1"/>
        <w:rPr>
          <w:rFonts w:ascii="宋体" w:hAnsi="宋体" w:eastAsia="宋体" w:cs="宋体"/>
          <w:b/>
          <w:bCs/>
          <w:sz w:val="24"/>
          <w:szCs w:val="24"/>
        </w:rPr>
      </w:pPr>
      <w:bookmarkStart w:id="119" w:name="_Toc376936758"/>
      <w:bookmarkStart w:id="120" w:name="_Toc5556"/>
      <w:bookmarkStart w:id="121" w:name="_Toc18063"/>
      <w:r>
        <w:rPr>
          <w:rFonts w:hint="eastAsia" w:ascii="宋体" w:hAnsi="宋体" w:eastAsia="宋体" w:cs="宋体"/>
          <w:b/>
          <w:bCs/>
          <w:sz w:val="24"/>
          <w:szCs w:val="24"/>
        </w:rPr>
        <w:t>八、授予合同</w:t>
      </w:r>
      <w:bookmarkEnd w:id="118"/>
      <w:bookmarkEnd w:id="119"/>
      <w:bookmarkEnd w:id="120"/>
      <w:bookmarkEnd w:id="121"/>
    </w:p>
    <w:p w14:paraId="262F65B8">
      <w:pPr>
        <w:widowControl/>
        <w:spacing w:line="360" w:lineRule="auto"/>
        <w:ind w:firstLine="0" w:firstLineChars="0"/>
        <w:jc w:val="left"/>
        <w:outlineLvl w:val="2"/>
        <w:rPr>
          <w:rFonts w:ascii="宋体" w:hAnsi="宋体" w:eastAsia="宋体" w:cs="宋体"/>
          <w:b/>
          <w:bCs/>
          <w:sz w:val="24"/>
          <w:szCs w:val="24"/>
        </w:rPr>
      </w:pPr>
      <w:bookmarkStart w:id="122" w:name="_Toc28394"/>
      <w:bookmarkStart w:id="123" w:name="_Toc325726029"/>
      <w:bookmarkStart w:id="124" w:name="_Toc921"/>
      <w:bookmarkStart w:id="125" w:name="_Toc376936760"/>
      <w:r>
        <w:rPr>
          <w:rFonts w:hint="eastAsia" w:ascii="宋体" w:hAnsi="宋体" w:eastAsia="宋体" w:cs="宋体"/>
          <w:b/>
          <w:bCs/>
          <w:sz w:val="24"/>
          <w:szCs w:val="24"/>
        </w:rPr>
        <w:t>20.签订合同</w:t>
      </w:r>
      <w:bookmarkEnd w:id="122"/>
      <w:bookmarkEnd w:id="123"/>
      <w:bookmarkEnd w:id="124"/>
      <w:bookmarkEnd w:id="125"/>
    </w:p>
    <w:p w14:paraId="1FFC5586">
      <w:pPr>
        <w:spacing w:line="360" w:lineRule="auto"/>
        <w:ind w:firstLine="0" w:firstLineChars="0"/>
        <w:jc w:val="left"/>
        <w:rPr>
          <w:rFonts w:ascii="宋体" w:hAnsi="宋体" w:eastAsia="宋体" w:cs="宋体"/>
          <w:sz w:val="24"/>
          <w:szCs w:val="24"/>
        </w:rPr>
      </w:pPr>
      <w:bookmarkStart w:id="126" w:name="_Toc325726030"/>
      <w:bookmarkStart w:id="127" w:name="_Toc376936761"/>
      <w:r>
        <w:rPr>
          <w:rFonts w:hint="eastAsia" w:ascii="宋体" w:hAnsi="宋体" w:eastAsia="宋体" w:cs="宋体"/>
          <w:sz w:val="24"/>
          <w:szCs w:val="24"/>
        </w:rPr>
        <w:t>20.1采购人与成交供应商应当在成交通知书发出之日起30日内，按照磋商文件确定的合同文本以及采购标的、规格型号、采购金额、采购数量、技术和服务要求等事项签订政府采购合同。</w:t>
      </w:r>
    </w:p>
    <w:p w14:paraId="37EF36B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82F7FE0">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5457EB9">
      <w:pPr>
        <w:widowControl/>
        <w:spacing w:line="360" w:lineRule="auto"/>
        <w:ind w:firstLine="0" w:firstLineChars="0"/>
        <w:jc w:val="center"/>
        <w:outlineLvl w:val="1"/>
        <w:rPr>
          <w:rFonts w:ascii="宋体" w:hAnsi="宋体" w:eastAsia="宋体" w:cs="宋体"/>
          <w:b/>
          <w:bCs/>
          <w:sz w:val="24"/>
          <w:szCs w:val="24"/>
        </w:rPr>
      </w:pPr>
      <w:bookmarkStart w:id="128" w:name="_Toc896"/>
      <w:bookmarkStart w:id="129" w:name="_Toc22442"/>
      <w:r>
        <w:rPr>
          <w:rFonts w:hint="eastAsia" w:ascii="宋体" w:hAnsi="宋体" w:eastAsia="宋体" w:cs="宋体"/>
          <w:b/>
          <w:bCs/>
          <w:sz w:val="24"/>
          <w:szCs w:val="24"/>
        </w:rPr>
        <w:t>九、</w:t>
      </w:r>
      <w:bookmarkEnd w:id="126"/>
      <w:bookmarkEnd w:id="127"/>
      <w:r>
        <w:rPr>
          <w:rFonts w:hint="eastAsia" w:ascii="宋体" w:hAnsi="宋体" w:eastAsia="宋体" w:cs="宋体"/>
          <w:b/>
          <w:bCs/>
          <w:sz w:val="24"/>
          <w:szCs w:val="24"/>
        </w:rPr>
        <w:t>磋商活动终止</w:t>
      </w:r>
      <w:bookmarkEnd w:id="128"/>
      <w:bookmarkEnd w:id="129"/>
    </w:p>
    <w:p w14:paraId="451FF94D">
      <w:pPr>
        <w:widowControl/>
        <w:spacing w:line="360" w:lineRule="auto"/>
        <w:ind w:firstLine="0" w:firstLineChars="0"/>
        <w:jc w:val="left"/>
        <w:outlineLvl w:val="2"/>
        <w:rPr>
          <w:rFonts w:ascii="宋体" w:hAnsi="宋体" w:eastAsia="宋体" w:cs="宋体"/>
          <w:b/>
          <w:bCs/>
          <w:sz w:val="24"/>
          <w:szCs w:val="24"/>
        </w:rPr>
      </w:pPr>
      <w:bookmarkStart w:id="130" w:name="_Toc11684"/>
      <w:bookmarkStart w:id="131" w:name="_Toc7098"/>
      <w:bookmarkStart w:id="132" w:name="_Toc376936762"/>
      <w:bookmarkStart w:id="133" w:name="_Toc325726031"/>
      <w:r>
        <w:rPr>
          <w:rFonts w:hint="eastAsia" w:ascii="宋体" w:hAnsi="宋体" w:eastAsia="宋体" w:cs="宋体"/>
          <w:b/>
          <w:bCs/>
          <w:sz w:val="24"/>
          <w:szCs w:val="24"/>
        </w:rPr>
        <w:t>21.终止情形</w:t>
      </w:r>
      <w:bookmarkEnd w:id="130"/>
      <w:bookmarkEnd w:id="131"/>
    </w:p>
    <w:p w14:paraId="3ED5073B">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21.1</w:t>
      </w:r>
      <w:bookmarkEnd w:id="132"/>
      <w:bookmarkEnd w:id="133"/>
      <w:r>
        <w:rPr>
          <w:rFonts w:hint="eastAsia" w:ascii="宋体" w:hAnsi="宋体" w:eastAsia="宋体" w:cs="宋体"/>
          <w:sz w:val="24"/>
          <w:szCs w:val="24"/>
        </w:rPr>
        <w:t>出现下列情形之一的，采购代理机构应当终止竞争性磋商采购活动，发布项目终止公告并说明原因，重新开展采购活动：</w:t>
      </w:r>
    </w:p>
    <w:p w14:paraId="13258ED1">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0EF0EEC8">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（2）出现影响采购公正的违法、违规行为的；</w:t>
      </w:r>
    </w:p>
    <w:p w14:paraId="0B1927CF">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（3）除《政府采购竞争性磋商采购方式管理暂行办法》第二十一条第三款规定的情形外，在采购过程中符合要求的供应商或者报价未超过采购预算的供应商不足3家的。</w:t>
      </w:r>
    </w:p>
    <w:p w14:paraId="70947F6A">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21.2终止磋商活动后，由采购代理机构发布终止公告并说明原因。</w:t>
      </w:r>
      <w:bookmarkStart w:id="134" w:name="_Toc325726032"/>
    </w:p>
    <w:p w14:paraId="3D77D36D">
      <w:pPr>
        <w:widowControl/>
        <w:spacing w:line="360" w:lineRule="auto"/>
        <w:ind w:firstLine="0" w:firstLineChars="0"/>
        <w:jc w:val="center"/>
        <w:outlineLvl w:val="1"/>
        <w:rPr>
          <w:rFonts w:ascii="宋体" w:hAnsi="宋体" w:eastAsia="宋体" w:cs="宋体"/>
          <w:b/>
          <w:bCs/>
          <w:sz w:val="24"/>
          <w:szCs w:val="24"/>
        </w:rPr>
      </w:pPr>
      <w:bookmarkStart w:id="135" w:name="_Toc27950"/>
      <w:bookmarkStart w:id="136" w:name="_Toc376936763"/>
      <w:bookmarkStart w:id="137" w:name="_Toc6646"/>
      <w:r>
        <w:rPr>
          <w:rFonts w:hint="eastAsia" w:ascii="宋体" w:hAnsi="宋体" w:eastAsia="宋体" w:cs="宋体"/>
          <w:b/>
          <w:bCs/>
          <w:sz w:val="24"/>
          <w:szCs w:val="24"/>
        </w:rPr>
        <w:t>十、处罚</w:t>
      </w:r>
      <w:bookmarkEnd w:id="134"/>
      <w:bookmarkEnd w:id="135"/>
      <w:bookmarkEnd w:id="136"/>
      <w:bookmarkEnd w:id="137"/>
    </w:p>
    <w:p w14:paraId="50D0A962">
      <w:pPr>
        <w:widowControl/>
        <w:spacing w:line="360" w:lineRule="auto"/>
        <w:ind w:firstLine="0" w:firstLineChars="0"/>
        <w:jc w:val="left"/>
        <w:outlineLvl w:val="2"/>
        <w:rPr>
          <w:rFonts w:ascii="宋体" w:hAnsi="宋体" w:eastAsia="宋体" w:cs="宋体"/>
          <w:b/>
          <w:bCs/>
          <w:sz w:val="24"/>
          <w:szCs w:val="24"/>
        </w:rPr>
      </w:pPr>
      <w:bookmarkStart w:id="138" w:name="_Toc325726033"/>
      <w:bookmarkStart w:id="139" w:name="_Toc17567"/>
      <w:bookmarkStart w:id="140" w:name="_Toc376936764"/>
      <w:bookmarkStart w:id="141" w:name="_Toc28018"/>
      <w:r>
        <w:rPr>
          <w:rFonts w:hint="eastAsia" w:ascii="宋体" w:hAnsi="宋体" w:eastAsia="宋体" w:cs="宋体"/>
          <w:b/>
          <w:bCs/>
          <w:sz w:val="24"/>
          <w:szCs w:val="24"/>
        </w:rPr>
        <w:t>22.处罚情形</w:t>
      </w:r>
      <w:bookmarkEnd w:id="138"/>
      <w:bookmarkEnd w:id="139"/>
      <w:bookmarkEnd w:id="140"/>
      <w:bookmarkEnd w:id="141"/>
    </w:p>
    <w:p w14:paraId="1AB8CC95">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中标人有下列情形之一的，中标无效，磋商保证金不予退还。情节严重的，报同级财政部门依法进行处理：</w:t>
      </w:r>
    </w:p>
    <w:p w14:paraId="5B9D2D6B">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zh-CN"/>
        </w:rPr>
        <w:t>）提供虚假材料谋取中标、成交的；</w:t>
      </w:r>
    </w:p>
    <w:p w14:paraId="6CC19174">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）采取不正当手段诋毁、排挤其他供应商的；</w:t>
      </w:r>
    </w:p>
    <w:p w14:paraId="17F16C12">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）与采购人、其他供应商或者采购代理机构恶意串通的；</w:t>
      </w:r>
    </w:p>
    <w:p w14:paraId="07A8EB4F">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）向采购人、采购代理机构行贿或者提供其他不正当利益的；</w:t>
      </w:r>
    </w:p>
    <w:p w14:paraId="76F8875D">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）在招标采购过程中与采购人进行协商谈判的；</w:t>
      </w:r>
    </w:p>
    <w:p w14:paraId="4EB16D9C">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）向磋商小组行贿或者提供其他不正当利益。</w:t>
      </w:r>
    </w:p>
    <w:p w14:paraId="56CA4B04">
      <w:pPr>
        <w:widowControl/>
        <w:spacing w:line="360" w:lineRule="auto"/>
        <w:ind w:firstLine="0" w:firstLineChars="0"/>
        <w:jc w:val="center"/>
        <w:outlineLvl w:val="1"/>
        <w:rPr>
          <w:rFonts w:ascii="宋体" w:hAnsi="宋体" w:eastAsia="宋体" w:cs="宋体"/>
          <w:b/>
          <w:bCs/>
          <w:sz w:val="24"/>
          <w:szCs w:val="24"/>
        </w:rPr>
      </w:pPr>
      <w:bookmarkStart w:id="142" w:name="_Toc376936765"/>
      <w:bookmarkStart w:id="143" w:name="_Toc19538"/>
      <w:bookmarkStart w:id="144" w:name="_Toc325726034"/>
      <w:bookmarkStart w:id="145" w:name="_Toc16406"/>
      <w:r>
        <w:rPr>
          <w:rFonts w:hint="eastAsia" w:ascii="宋体" w:hAnsi="宋体" w:eastAsia="宋体" w:cs="宋体"/>
          <w:b/>
          <w:bCs/>
          <w:sz w:val="24"/>
          <w:szCs w:val="24"/>
        </w:rPr>
        <w:t>十一、其他</w:t>
      </w:r>
      <w:bookmarkEnd w:id="142"/>
      <w:bookmarkEnd w:id="143"/>
      <w:bookmarkEnd w:id="144"/>
      <w:bookmarkEnd w:id="145"/>
    </w:p>
    <w:p w14:paraId="3A5D3912">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14:paraId="4D78810F">
      <w:pPr>
        <w:keepNext/>
        <w:keepLines/>
        <w:widowControl/>
        <w:snapToGrid w:val="0"/>
        <w:spacing w:line="360" w:lineRule="auto"/>
        <w:ind w:firstLine="0" w:firstLineChars="0"/>
        <w:jc w:val="center"/>
        <w:outlineLvl w:val="0"/>
        <w:rPr>
          <w:rFonts w:ascii="宋体" w:hAnsi="宋体" w:eastAsia="宋体" w:cs="宋体"/>
          <w:sz w:val="24"/>
          <w:szCs w:val="24"/>
        </w:rPr>
      </w:pPr>
      <w:bookmarkStart w:id="146" w:name="_Toc30421"/>
      <w:r>
        <w:rPr>
          <w:rFonts w:hint="eastAsia" w:ascii="宋体" w:hAnsi="宋体" w:eastAsia="宋体" w:cs="宋体"/>
          <w:b/>
          <w:kern w:val="28"/>
          <w:sz w:val="36"/>
          <w:szCs w:val="20"/>
        </w:rPr>
        <w:br w:type="page"/>
      </w:r>
      <w:r>
        <w:rPr>
          <w:rFonts w:hint="eastAsia" w:ascii="宋体" w:hAnsi="宋体" w:eastAsia="宋体" w:cs="宋体"/>
          <w:b/>
          <w:kern w:val="28"/>
          <w:sz w:val="36"/>
          <w:szCs w:val="20"/>
        </w:rPr>
        <w:t>第四部分  采购项目合同书</w:t>
      </w:r>
      <w:bookmarkEnd w:id="146"/>
    </w:p>
    <w:p w14:paraId="2DF3A937">
      <w:pPr>
        <w:spacing w:line="360" w:lineRule="auto"/>
        <w:ind w:firstLine="0" w:firstLineChars="0"/>
        <w:rPr>
          <w:rFonts w:ascii="宋体" w:hAnsi="宋体" w:eastAsia="宋体" w:cs="宋体"/>
          <w:sz w:val="24"/>
          <w:szCs w:val="24"/>
        </w:rPr>
      </w:pPr>
    </w:p>
    <w:p w14:paraId="4D0B9152">
      <w:pPr>
        <w:spacing w:line="360" w:lineRule="auto"/>
        <w:ind w:firstLine="0" w:firstLineChars="0"/>
        <w:rPr>
          <w:rFonts w:ascii="宋体" w:hAnsi="宋体" w:eastAsia="宋体" w:cs="宋体"/>
          <w:sz w:val="24"/>
          <w:szCs w:val="24"/>
        </w:rPr>
      </w:pPr>
    </w:p>
    <w:p w14:paraId="607DC2E6">
      <w:pPr>
        <w:spacing w:line="360" w:lineRule="auto"/>
        <w:ind w:firstLine="0" w:firstLineChars="0"/>
        <w:rPr>
          <w:rFonts w:ascii="宋体" w:hAnsi="宋体" w:eastAsia="宋体" w:cs="宋体"/>
          <w:sz w:val="24"/>
          <w:szCs w:val="24"/>
        </w:rPr>
      </w:pPr>
    </w:p>
    <w:p w14:paraId="25E4EBE4">
      <w:pPr>
        <w:spacing w:line="360" w:lineRule="auto"/>
        <w:ind w:firstLine="0" w:firstLineChars="0"/>
        <w:rPr>
          <w:rFonts w:ascii="宋体" w:hAnsi="宋体" w:eastAsia="宋体" w:cs="宋体"/>
          <w:sz w:val="24"/>
          <w:szCs w:val="24"/>
        </w:rPr>
      </w:pPr>
    </w:p>
    <w:p w14:paraId="7F82DE3C">
      <w:pPr>
        <w:autoSpaceDE w:val="0"/>
        <w:autoSpaceDN w:val="0"/>
        <w:spacing w:line="360" w:lineRule="auto"/>
        <w:ind w:firstLine="0" w:firstLineChars="0"/>
        <w:jc w:val="center"/>
        <w:rPr>
          <w:rFonts w:hint="eastAsia" w:ascii="宋体" w:hAnsi="宋体" w:eastAsia="宋体" w:cs="宋体"/>
          <w:b/>
          <w:bCs/>
          <w:sz w:val="48"/>
          <w:szCs w:val="48"/>
          <w:lang w:val="zh-CN"/>
        </w:rPr>
      </w:pPr>
      <w:r>
        <w:rPr>
          <w:rFonts w:hint="eastAsia" w:ascii="宋体" w:hAnsi="宋体" w:eastAsia="宋体" w:cs="宋体"/>
          <w:b/>
          <w:bCs/>
          <w:sz w:val="48"/>
          <w:szCs w:val="48"/>
          <w:lang w:val="zh-CN"/>
        </w:rPr>
        <w:t>青海省政府采购项目合同书</w:t>
      </w:r>
    </w:p>
    <w:p w14:paraId="7137C4E2">
      <w:pPr>
        <w:pStyle w:val="20"/>
        <w:rPr>
          <w:rFonts w:hint="eastAsia" w:ascii="宋体" w:hAnsi="宋体"/>
          <w:b/>
          <w:bCs/>
          <w:sz w:val="21"/>
          <w:szCs w:val="21"/>
        </w:rPr>
      </w:pPr>
    </w:p>
    <w:p w14:paraId="6BD8DC69">
      <w:pPr>
        <w:rPr>
          <w:rFonts w:hint="eastAsia" w:ascii="宋体" w:hAnsi="宋体"/>
          <w:b/>
          <w:bCs/>
          <w:sz w:val="21"/>
          <w:szCs w:val="21"/>
        </w:rPr>
      </w:pPr>
    </w:p>
    <w:p w14:paraId="0AB8BD36">
      <w:pPr>
        <w:pStyle w:val="20"/>
      </w:pPr>
    </w:p>
    <w:p w14:paraId="1204E56A">
      <w:pPr>
        <w:spacing w:line="360" w:lineRule="auto"/>
        <w:ind w:firstLine="0" w:firstLineChars="0"/>
        <w:rPr>
          <w:rFonts w:ascii="宋体" w:hAnsi="宋体" w:eastAsia="宋体" w:cs="宋体"/>
          <w:sz w:val="24"/>
          <w:szCs w:val="24"/>
        </w:rPr>
      </w:pPr>
    </w:p>
    <w:p w14:paraId="667C67E6">
      <w:pPr>
        <w:autoSpaceDE w:val="0"/>
        <w:autoSpaceDN w:val="0"/>
        <w:spacing w:line="360" w:lineRule="auto"/>
        <w:ind w:firstLine="0" w:firstLineChars="0"/>
        <w:rPr>
          <w:rFonts w:ascii="宋体" w:hAnsi="宋体" w:eastAsia="宋体" w:cs="宋体"/>
          <w:b/>
          <w:bCs/>
          <w:sz w:val="30"/>
          <w:szCs w:val="30"/>
          <w:lang w:val="zh-CN"/>
        </w:rPr>
      </w:pPr>
      <w:r>
        <w:rPr>
          <w:rFonts w:hint="eastAsia" w:ascii="宋体" w:hAnsi="宋体" w:eastAsia="宋体" w:cs="宋体"/>
          <w:b/>
          <w:bCs/>
          <w:sz w:val="30"/>
          <w:szCs w:val="30"/>
          <w:lang w:val="zh-CN"/>
        </w:rPr>
        <w:t>采购项目编号：</w:t>
      </w:r>
      <w:r>
        <w:rPr>
          <w:rFonts w:hint="eastAsia" w:ascii="宋体" w:hAnsi="宋体" w:eastAsia="宋体" w:cs="宋体"/>
          <w:b/>
          <w:bCs/>
          <w:sz w:val="30"/>
          <w:szCs w:val="30"/>
          <w:u w:val="single"/>
          <w:lang w:val="zh-CN"/>
        </w:rPr>
        <w:t>青海品冠竞磋（货物）2024-055</w:t>
      </w:r>
      <w:r>
        <w:rPr>
          <w:rFonts w:hint="eastAsia" w:ascii="宋体" w:hAnsi="宋体" w:eastAsia="宋体" w:cs="宋体"/>
          <w:b/>
          <w:bCs/>
          <w:sz w:val="30"/>
          <w:szCs w:val="30"/>
          <w:u w:val="single"/>
        </w:rPr>
        <w:t xml:space="preserve">            </w:t>
      </w:r>
    </w:p>
    <w:p w14:paraId="5E2DD64F">
      <w:pPr>
        <w:autoSpaceDE w:val="0"/>
        <w:autoSpaceDN w:val="0"/>
        <w:spacing w:line="360" w:lineRule="auto"/>
        <w:ind w:left="2108" w:hanging="2108" w:hangingChars="700"/>
        <w:rPr>
          <w:rFonts w:ascii="宋体" w:hAnsi="宋体" w:eastAsia="宋体" w:cs="宋体"/>
          <w:b/>
          <w:bCs/>
          <w:sz w:val="30"/>
          <w:szCs w:val="30"/>
        </w:rPr>
      </w:pPr>
      <w:r>
        <w:rPr>
          <w:rFonts w:hint="eastAsia" w:ascii="宋体" w:hAnsi="宋体" w:eastAsia="宋体" w:cs="宋体"/>
          <w:b/>
          <w:bCs/>
          <w:sz w:val="30"/>
          <w:szCs w:val="30"/>
          <w:lang w:val="zh-CN"/>
        </w:rPr>
        <w:t>采购项目名称：</w:t>
      </w:r>
      <w:r>
        <w:rPr>
          <w:rFonts w:hint="eastAsia" w:ascii="宋体" w:hAnsi="宋体" w:eastAsia="宋体" w:cs="宋体"/>
          <w:b/>
          <w:bCs/>
          <w:sz w:val="30"/>
          <w:szCs w:val="30"/>
          <w:u w:val="single"/>
          <w:lang w:val="zh-CN"/>
        </w:rPr>
        <w:t>曲麻莱县藏医院制剂室、检验室功能提升及妇幼保健中心配套设施建设项目</w:t>
      </w:r>
      <w:r>
        <w:rPr>
          <w:rFonts w:hint="eastAsia" w:ascii="宋体" w:hAnsi="宋体" w:eastAsia="宋体" w:cs="宋体"/>
          <w:b/>
          <w:bCs/>
          <w:sz w:val="30"/>
          <w:szCs w:val="30"/>
          <w:u w:val="single"/>
        </w:rPr>
        <w:t xml:space="preserve">                  </w:t>
      </w:r>
    </w:p>
    <w:p w14:paraId="13A418FE">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采购合同编号：</w:t>
      </w:r>
      <w:r>
        <w:rPr>
          <w:rFonts w:hint="eastAsia" w:ascii="宋体" w:hAnsi="宋体" w:eastAsia="宋体" w:cs="宋体"/>
          <w:b/>
          <w:bCs/>
          <w:sz w:val="30"/>
          <w:szCs w:val="30"/>
          <w:u w:val="single"/>
          <w:lang w:val="zh-CN"/>
        </w:rPr>
        <w:t>QH</w:t>
      </w:r>
      <w:r>
        <w:rPr>
          <w:rFonts w:hint="eastAsia" w:ascii="宋体" w:hAnsi="宋体" w:eastAsia="宋体" w:cs="宋体"/>
          <w:b/>
          <w:bCs/>
          <w:sz w:val="30"/>
          <w:szCs w:val="30"/>
          <w:u w:val="single"/>
        </w:rPr>
        <w:t>PG</w:t>
      </w:r>
      <w:r>
        <w:rPr>
          <w:rFonts w:hint="eastAsia" w:ascii="宋体" w:hAnsi="宋体" w:eastAsia="宋体" w:cs="宋体"/>
          <w:b/>
          <w:bCs/>
          <w:sz w:val="30"/>
          <w:szCs w:val="30"/>
          <w:u w:val="single"/>
          <w:lang w:val="zh-CN"/>
        </w:rPr>
        <w:t>-2024-055</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u w:val="single"/>
        </w:rPr>
        <w:t xml:space="preserve">                    </w:t>
      </w:r>
    </w:p>
    <w:p w14:paraId="0F731353">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合同金额（人民币）：</w:t>
      </w:r>
      <w:r>
        <w:rPr>
          <w:rFonts w:hint="eastAsia" w:ascii="宋体" w:hAnsi="宋体" w:eastAsia="宋体" w:cs="宋体"/>
          <w:b/>
          <w:bCs/>
          <w:sz w:val="30"/>
          <w:szCs w:val="30"/>
          <w:u w:val="single"/>
        </w:rPr>
        <w:t xml:space="preserve">                                  </w:t>
      </w:r>
    </w:p>
    <w:p w14:paraId="6B65D7C6">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购</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人（甲方）：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14:paraId="26BE3280">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供 应 商（乙方）：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14:paraId="2FD29C3E">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采购日期：</w:t>
      </w:r>
      <w:r>
        <w:rPr>
          <w:rFonts w:hint="eastAsia" w:ascii="宋体" w:hAnsi="宋体" w:eastAsia="宋体" w:cs="宋体"/>
          <w:b/>
          <w:bCs/>
          <w:sz w:val="30"/>
          <w:szCs w:val="30"/>
          <w:u w:val="single"/>
        </w:rPr>
        <w:t xml:space="preserve">                                            </w:t>
      </w:r>
    </w:p>
    <w:p w14:paraId="15A64EE2">
      <w:pPr>
        <w:spacing w:line="360" w:lineRule="auto"/>
        <w:ind w:firstLine="480"/>
        <w:rPr>
          <w:rFonts w:ascii="宋体" w:hAnsi="宋体" w:eastAsia="宋体" w:cs="宋体"/>
          <w:sz w:val="24"/>
          <w:szCs w:val="24"/>
        </w:rPr>
      </w:pPr>
    </w:p>
    <w:p w14:paraId="3D33EF42">
      <w:pPr>
        <w:spacing w:line="360" w:lineRule="auto"/>
        <w:ind w:firstLine="480"/>
        <w:rPr>
          <w:rFonts w:ascii="宋体" w:hAnsi="宋体" w:eastAsia="宋体" w:cs="宋体"/>
          <w:sz w:val="24"/>
          <w:szCs w:val="24"/>
        </w:rPr>
      </w:pPr>
    </w:p>
    <w:p w14:paraId="02F9A6A1">
      <w:pPr>
        <w:spacing w:line="360" w:lineRule="auto"/>
        <w:ind w:firstLine="480"/>
        <w:rPr>
          <w:rFonts w:ascii="宋体" w:hAnsi="宋体" w:eastAsia="宋体" w:cs="宋体"/>
          <w:sz w:val="24"/>
          <w:szCs w:val="24"/>
        </w:rPr>
      </w:pPr>
    </w:p>
    <w:p w14:paraId="78BA6945">
      <w:pPr>
        <w:autoSpaceDE w:val="0"/>
        <w:autoSpaceDN w:val="0"/>
        <w:spacing w:line="360" w:lineRule="auto"/>
        <w:ind w:firstLine="0" w:firstLineChars="0"/>
        <w:jc w:val="left"/>
        <w:rPr>
          <w:rFonts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lang w:val="zh-CN"/>
        </w:rPr>
        <w:t>采</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购</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人（以下简称甲方）：</w:t>
      </w:r>
    </w:p>
    <w:p w14:paraId="4619FEF3">
      <w:pPr>
        <w:autoSpaceDE w:val="0"/>
        <w:autoSpaceDN w:val="0"/>
        <w:spacing w:line="360" w:lineRule="auto"/>
        <w:ind w:firstLine="0" w:firstLineChars="0"/>
        <w:rPr>
          <w:rFonts w:ascii="宋体" w:hAnsi="宋体" w:eastAsia="宋体" w:cs="宋体"/>
          <w:sz w:val="28"/>
          <w:szCs w:val="28"/>
        </w:rPr>
      </w:pPr>
      <w:r>
        <w:rPr>
          <w:rFonts w:hint="eastAsia" w:ascii="宋体" w:hAnsi="宋体" w:eastAsia="宋体" w:cs="宋体"/>
          <w:b/>
          <w:bCs/>
          <w:sz w:val="28"/>
          <w:szCs w:val="28"/>
          <w:lang w:val="zh-CN"/>
        </w:rPr>
        <w:t>供</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应</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商（以下简称乙方）：</w:t>
      </w:r>
    </w:p>
    <w:p w14:paraId="115484A4">
      <w:pPr>
        <w:pStyle w:val="8"/>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甲、乙双方根据</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bCs/>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日曲麻莱县藏医院制剂室、检验室功能提升及妇幼保健中心配套设施建设项目（青海品冠竞磋（货物）2024-055）的磋商文件要求和</w:t>
      </w:r>
      <w:r>
        <w:rPr>
          <w:rFonts w:hint="eastAsia" w:ascii="宋体" w:hAnsi="宋体" w:eastAsia="宋体" w:cs="宋体"/>
          <w:sz w:val="24"/>
          <w:lang w:val="zh-CN"/>
        </w:rPr>
        <w:t>青海品冠招标代理有限公司</w:t>
      </w:r>
      <w:r>
        <w:rPr>
          <w:rFonts w:hint="eastAsia" w:ascii="宋体" w:hAnsi="宋体" w:eastAsia="宋体" w:cs="宋体"/>
          <w:sz w:val="24"/>
          <w:szCs w:val="24"/>
          <w:lang w:val="zh-CN"/>
        </w:rPr>
        <w:t>出具的《成交通知书》，并经双方协商一致，签订本合同协议书。</w:t>
      </w:r>
    </w:p>
    <w:p w14:paraId="0D0718AB">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一、签订本政府采购合同的依据</w:t>
      </w:r>
    </w:p>
    <w:p w14:paraId="17EA27C1">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本政府采购合同所附下列文件是构成本政府采购合同不可分割的部分：</w:t>
      </w:r>
    </w:p>
    <w:p w14:paraId="2FD288D0">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1.磋商文件；</w:t>
      </w:r>
    </w:p>
    <w:p w14:paraId="6B2670F3">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2.磋商文件的更正、变更公告；</w:t>
      </w:r>
    </w:p>
    <w:p w14:paraId="76F20290">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3.中标人提交的响应文件；</w:t>
      </w:r>
    </w:p>
    <w:p w14:paraId="77611751">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4.磋商文件中规定的政府采购合同通用条款；</w:t>
      </w:r>
    </w:p>
    <w:p w14:paraId="28848092">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5.成交通知书</w:t>
      </w:r>
      <w:r>
        <w:rPr>
          <w:rFonts w:hint="eastAsia" w:ascii="宋体" w:hAnsi="宋体" w:eastAsia="宋体" w:cs="宋体"/>
          <w:sz w:val="24"/>
          <w:szCs w:val="24"/>
        </w:rPr>
        <w:t>；</w:t>
      </w:r>
    </w:p>
    <w:p w14:paraId="4B1E551E">
      <w:pPr>
        <w:autoSpaceDE w:val="0"/>
        <w:autoSpaceDN w:val="0"/>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6.履约保证金凭证；</w:t>
      </w:r>
    </w:p>
    <w:p w14:paraId="7DABCB08">
      <w:pPr>
        <w:autoSpaceDE w:val="0"/>
        <w:autoSpaceDN w:val="0"/>
        <w:spacing w:line="360" w:lineRule="auto"/>
        <w:ind w:firstLine="480"/>
        <w:rPr>
          <w:rFonts w:hint="default" w:eastAsia="宋体"/>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项目实施方案</w:t>
      </w:r>
      <w:r>
        <w:rPr>
          <w:rFonts w:hint="eastAsia" w:cs="宋体"/>
          <w:sz w:val="24"/>
          <w:szCs w:val="24"/>
          <w:lang w:val="en-US" w:eastAsia="zh-CN"/>
        </w:rPr>
        <w:t>。</w:t>
      </w:r>
    </w:p>
    <w:p w14:paraId="2D43C4EC">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二、合同标的及金额                                       单位：元</w:t>
      </w:r>
    </w:p>
    <w:tbl>
      <w:tblPr>
        <w:tblStyle w:val="21"/>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3F1B22AE">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528C3274">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序号</w:t>
            </w:r>
          </w:p>
        </w:tc>
        <w:tc>
          <w:tcPr>
            <w:tcW w:w="2271" w:type="dxa"/>
            <w:tcBorders>
              <w:top w:val="single" w:color="auto" w:sz="4" w:space="0"/>
              <w:left w:val="single" w:color="auto" w:sz="4" w:space="0"/>
              <w:bottom w:val="single" w:color="auto" w:sz="4" w:space="0"/>
              <w:right w:val="single" w:color="auto" w:sz="4" w:space="0"/>
            </w:tcBorders>
            <w:vAlign w:val="center"/>
          </w:tcPr>
          <w:p w14:paraId="14AEB94E">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022EF3F6">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590474F6">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74F52FBC">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5F98D890">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205BC76B">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备注</w:t>
            </w:r>
          </w:p>
        </w:tc>
      </w:tr>
      <w:tr w14:paraId="4C5B9399">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10156290">
            <w:pPr>
              <w:autoSpaceDE w:val="0"/>
              <w:autoSpaceDN w:val="0"/>
              <w:spacing w:line="360" w:lineRule="auto"/>
              <w:ind w:firstLine="0" w:firstLineChars="0"/>
              <w:rPr>
                <w:rFonts w:ascii="宋体" w:hAnsi="宋体" w:eastAsia="宋体" w:cs="宋体"/>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1EF7CBAE">
            <w:pPr>
              <w:autoSpaceDE w:val="0"/>
              <w:autoSpaceDN w:val="0"/>
              <w:spacing w:line="360" w:lineRule="auto"/>
              <w:ind w:firstLine="0" w:firstLineChars="0"/>
              <w:rPr>
                <w:rFonts w:ascii="宋体" w:hAnsi="宋体" w:eastAsia="宋体" w:cs="宋体"/>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704E19BA">
            <w:pPr>
              <w:autoSpaceDE w:val="0"/>
              <w:autoSpaceDN w:val="0"/>
              <w:spacing w:line="360" w:lineRule="auto"/>
              <w:ind w:firstLine="0" w:firstLineChars="0"/>
              <w:rPr>
                <w:rFonts w:ascii="宋体" w:hAnsi="宋体" w:eastAsia="宋体" w:cs="宋体"/>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36B0458D">
            <w:pPr>
              <w:autoSpaceDE w:val="0"/>
              <w:autoSpaceDN w:val="0"/>
              <w:spacing w:line="360" w:lineRule="auto"/>
              <w:ind w:firstLine="0" w:firstLineChars="0"/>
              <w:rPr>
                <w:rFonts w:ascii="宋体" w:hAnsi="宋体" w:eastAsia="宋体" w:cs="宋体"/>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61E89CB6">
            <w:pPr>
              <w:autoSpaceDE w:val="0"/>
              <w:autoSpaceDN w:val="0"/>
              <w:spacing w:line="360" w:lineRule="auto"/>
              <w:ind w:firstLine="0" w:firstLineChars="0"/>
              <w:rPr>
                <w:rFonts w:ascii="宋体" w:hAnsi="宋体" w:eastAsia="宋体" w:cs="宋体"/>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19113EF4">
            <w:pPr>
              <w:autoSpaceDE w:val="0"/>
              <w:autoSpaceDN w:val="0"/>
              <w:spacing w:line="360" w:lineRule="auto"/>
              <w:ind w:firstLine="0" w:firstLineChars="0"/>
              <w:rPr>
                <w:rFonts w:ascii="宋体" w:hAnsi="宋体" w:eastAsia="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0222ED30">
            <w:pPr>
              <w:autoSpaceDE w:val="0"/>
              <w:autoSpaceDN w:val="0"/>
              <w:spacing w:line="360" w:lineRule="auto"/>
              <w:ind w:firstLine="0" w:firstLineChars="0"/>
              <w:rPr>
                <w:rFonts w:ascii="宋体" w:hAnsi="宋体" w:eastAsia="宋体" w:cs="宋体"/>
                <w:sz w:val="24"/>
                <w:szCs w:val="24"/>
                <w:lang w:val="zh-CN"/>
              </w:rPr>
            </w:pPr>
          </w:p>
        </w:tc>
      </w:tr>
      <w:tr w14:paraId="3C8054E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7752E611">
            <w:pPr>
              <w:autoSpaceDE w:val="0"/>
              <w:autoSpaceDN w:val="0"/>
              <w:spacing w:line="360" w:lineRule="auto"/>
              <w:ind w:firstLine="0" w:firstLineChars="0"/>
              <w:rPr>
                <w:rFonts w:ascii="宋体" w:hAnsi="宋体" w:eastAsia="宋体" w:cs="宋体"/>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73362A61">
            <w:pPr>
              <w:autoSpaceDE w:val="0"/>
              <w:autoSpaceDN w:val="0"/>
              <w:spacing w:line="360" w:lineRule="auto"/>
              <w:ind w:firstLine="0" w:firstLineChars="0"/>
              <w:rPr>
                <w:rFonts w:ascii="宋体" w:hAnsi="宋体" w:eastAsia="宋体" w:cs="宋体"/>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112F4DA2">
            <w:pPr>
              <w:autoSpaceDE w:val="0"/>
              <w:autoSpaceDN w:val="0"/>
              <w:spacing w:line="360" w:lineRule="auto"/>
              <w:ind w:firstLine="0" w:firstLineChars="0"/>
              <w:rPr>
                <w:rFonts w:ascii="宋体" w:hAnsi="宋体" w:eastAsia="宋体" w:cs="宋体"/>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1292D2FB">
            <w:pPr>
              <w:autoSpaceDE w:val="0"/>
              <w:autoSpaceDN w:val="0"/>
              <w:spacing w:line="360" w:lineRule="auto"/>
              <w:ind w:firstLine="0" w:firstLineChars="0"/>
              <w:rPr>
                <w:rFonts w:ascii="宋体" w:hAnsi="宋体" w:eastAsia="宋体" w:cs="宋体"/>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53942EA6">
            <w:pPr>
              <w:autoSpaceDE w:val="0"/>
              <w:autoSpaceDN w:val="0"/>
              <w:spacing w:line="360" w:lineRule="auto"/>
              <w:ind w:firstLine="0" w:firstLineChars="0"/>
              <w:rPr>
                <w:rFonts w:ascii="宋体" w:hAnsi="宋体" w:eastAsia="宋体" w:cs="宋体"/>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7119148C">
            <w:pPr>
              <w:autoSpaceDE w:val="0"/>
              <w:autoSpaceDN w:val="0"/>
              <w:spacing w:line="360" w:lineRule="auto"/>
              <w:ind w:firstLine="0" w:firstLineChars="0"/>
              <w:rPr>
                <w:rFonts w:ascii="宋体" w:hAnsi="宋体" w:eastAsia="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66ADDAEA">
            <w:pPr>
              <w:autoSpaceDE w:val="0"/>
              <w:autoSpaceDN w:val="0"/>
              <w:spacing w:line="360" w:lineRule="auto"/>
              <w:ind w:firstLine="0" w:firstLineChars="0"/>
              <w:rPr>
                <w:rFonts w:ascii="宋体" w:hAnsi="宋体" w:eastAsia="宋体" w:cs="宋体"/>
                <w:sz w:val="24"/>
                <w:szCs w:val="24"/>
                <w:lang w:val="zh-CN"/>
              </w:rPr>
            </w:pPr>
          </w:p>
        </w:tc>
      </w:tr>
    </w:tbl>
    <w:p w14:paraId="4DF0006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根据上述政府采购合同文件要求，本政府采购合同的总金额为人民币</w:t>
      </w:r>
      <w:r>
        <w:rPr>
          <w:rFonts w:hint="eastAsia" w:ascii="宋体" w:hAnsi="宋体" w:eastAsia="宋体" w:cs="宋体"/>
          <w:sz w:val="24"/>
          <w:szCs w:val="24"/>
        </w:rPr>
        <w:t xml:space="preserve">           </w:t>
      </w:r>
    </w:p>
    <w:p w14:paraId="165CF00E">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（大写）                 元。</w:t>
      </w:r>
    </w:p>
    <w:p w14:paraId="223709A0">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lang w:val="zh-CN"/>
        </w:rPr>
        <w:t>本合同以人民币进行结算，合同总价包括产品费、验收费、手续费、包装费、运输费、保险费、安装费、调试费、培训费、售前、售中、售后服务费、招标代理费、税金及不可预见费等全部费用。</w:t>
      </w:r>
    </w:p>
    <w:p w14:paraId="3F4CA9B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三、交货及安装时间、地点和要求</w:t>
      </w:r>
    </w:p>
    <w:p w14:paraId="75BD3A3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交货及安装时间：</w:t>
      </w:r>
      <w:r>
        <w:rPr>
          <w:rFonts w:hint="eastAsia" w:ascii="宋体" w:hAnsi="宋体" w:eastAsia="宋体" w:cs="宋体"/>
          <w:sz w:val="24"/>
          <w:szCs w:val="24"/>
        </w:rPr>
        <w:t xml:space="preserve">              </w:t>
      </w:r>
      <w:r>
        <w:rPr>
          <w:rFonts w:hint="eastAsia" w:ascii="宋体" w:hAnsi="宋体" w:eastAsia="宋体" w:cs="宋体"/>
          <w:sz w:val="24"/>
          <w:szCs w:val="24"/>
          <w:lang w:val="zh-CN"/>
        </w:rPr>
        <w:t>；交货地点：</w:t>
      </w:r>
      <w:r>
        <w:rPr>
          <w:rFonts w:hint="eastAsia" w:ascii="宋体" w:hAnsi="宋体" w:eastAsia="宋体" w:cs="宋体"/>
          <w:sz w:val="24"/>
          <w:szCs w:val="24"/>
        </w:rPr>
        <w:t xml:space="preserve">          </w:t>
      </w:r>
      <w:r>
        <w:rPr>
          <w:rFonts w:hint="eastAsia" w:ascii="宋体" w:hAnsi="宋体" w:eastAsia="宋体" w:cs="宋体"/>
          <w:sz w:val="24"/>
          <w:szCs w:val="24"/>
          <w:lang w:val="zh-CN"/>
        </w:rPr>
        <w:t>。</w:t>
      </w:r>
    </w:p>
    <w:p w14:paraId="6F3EBF8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乙方提供不符合招投标文件和本合同规定的产品，甲方有权拒绝接受。</w:t>
      </w:r>
    </w:p>
    <w:p w14:paraId="14E5AD8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甲方应当在到货后</w:t>
      </w:r>
      <w:r>
        <w:rPr>
          <w:rFonts w:hint="eastAsia" w:ascii="宋体" w:hAnsi="宋体" w:eastAsia="宋体" w:cs="宋体"/>
          <w:sz w:val="24"/>
          <w:szCs w:val="24"/>
        </w:rPr>
        <w:t xml:space="preserve">  </w:t>
      </w:r>
      <w:r>
        <w:rPr>
          <w:rFonts w:hint="eastAsia" w:ascii="宋体" w:hAnsi="宋体" w:eastAsia="宋体" w:cs="宋体"/>
          <w:sz w:val="24"/>
          <w:szCs w:val="24"/>
          <w:lang w:val="zh-CN"/>
        </w:rPr>
        <w:t>个工作日内进行验收，逾期不验收的，乙方可视为验收合格。验收合格后，由甲乙双方签署产品验收单并加盖采购人公章，甲乙双方各执一份。</w:t>
      </w:r>
    </w:p>
    <w:p w14:paraId="48E9244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甲方应提供该项目验收报告交同级财政监管部门，由财政部门按规定程序抽验后办理资金拨付。</w:t>
      </w:r>
    </w:p>
    <w:p w14:paraId="1A9D458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甲方在验收过程中发现乙方有违约问题，可按招、投标文件的规定要求乙方及时予以解决。</w:t>
      </w:r>
    </w:p>
    <w:p w14:paraId="29ECE6B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乙方向甲方提供产品相关完税销售发票。</w:t>
      </w:r>
    </w:p>
    <w:p w14:paraId="6B584042">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四、付款方式</w:t>
      </w:r>
    </w:p>
    <w:p w14:paraId="2B6D2320">
      <w:pPr>
        <w:autoSpaceDE w:val="0"/>
        <w:autoSpaceDN w:val="0"/>
        <w:spacing w:line="360" w:lineRule="auto"/>
        <w:ind w:firstLine="480"/>
        <w:rPr>
          <w:rFonts w:hint="eastAsia" w:ascii="宋体" w:hAnsi="宋体" w:eastAsia="宋体" w:cs="宋体"/>
          <w:color w:val="000000" w:themeColor="text1"/>
          <w:sz w:val="24"/>
          <w:szCs w:val="24"/>
          <w:highlight w:val="none"/>
          <w:u w:val="none"/>
          <w:lang w:val="zh-CN"/>
          <w14:textFill>
            <w14:solidFill>
              <w14:schemeClr w14:val="tx1"/>
            </w14:solidFill>
          </w14:textFill>
        </w:rPr>
      </w:pPr>
      <w:r>
        <w:rPr>
          <w:rFonts w:hint="eastAsia" w:ascii="宋体" w:hAnsi="宋体" w:eastAsia="宋体" w:cs="宋体"/>
          <w:color w:val="000000" w:themeColor="text1"/>
          <w:sz w:val="24"/>
          <w:szCs w:val="24"/>
          <w:highlight w:val="none"/>
          <w:u w:val="none"/>
          <w:lang w:val="zh-CN"/>
          <w14:textFill>
            <w14:solidFill>
              <w14:schemeClr w14:val="tx1"/>
            </w14:solidFill>
          </w14:textFill>
        </w:rPr>
        <w:t>合同签订前，乙方向甲方交纳合同金额的</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u w:val="none"/>
          <w:lang w:val="zh-CN"/>
          <w14:textFill>
            <w14:solidFill>
              <w14:schemeClr w14:val="tx1"/>
            </w14:solidFill>
          </w14:textFill>
        </w:rPr>
        <w:t>%作为履约保证金，即人民币（大写）   元；项目验收合格后转为质量保证金，待免费质保期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none"/>
          <w:lang w:val="zh-CN"/>
          <w14:textFill>
            <w14:solidFill>
              <w14:schemeClr w14:val="tx1"/>
            </w14:solidFill>
          </w14:textFill>
        </w:rPr>
        <w:t>）满且产品无质量问题后，由乙方提出书面申请，甲方以转账方式予以无息退还。</w:t>
      </w:r>
    </w:p>
    <w:p w14:paraId="1587FDA5">
      <w:pPr>
        <w:autoSpaceDE w:val="0"/>
        <w:autoSpaceDN w:val="0"/>
        <w:spacing w:line="360" w:lineRule="auto"/>
        <w:ind w:firstLine="480"/>
        <w:rPr>
          <w:rFonts w:ascii="宋体" w:hAnsi="宋体" w:eastAsia="宋体" w:cs="宋体"/>
          <w:color w:val="000000" w:themeColor="text1"/>
          <w:sz w:val="24"/>
          <w:szCs w:val="24"/>
          <w:highlight w:val="none"/>
          <w:u w:val="none"/>
          <w:lang w:val="zh-CN"/>
          <w14:textFill>
            <w14:solidFill>
              <w14:schemeClr w14:val="tx1"/>
            </w14:solidFill>
          </w14:textFill>
        </w:rPr>
      </w:pPr>
      <w:r>
        <w:rPr>
          <w:rFonts w:hint="eastAsia" w:ascii="宋体" w:hAnsi="宋体" w:eastAsia="宋体" w:cs="宋体"/>
          <w:color w:val="000000" w:themeColor="text1"/>
          <w:sz w:val="24"/>
          <w:szCs w:val="24"/>
          <w:highlight w:val="none"/>
          <w:u w:val="none"/>
          <w:lang w:val="zh-CN"/>
          <w14:textFill>
            <w14:solidFill>
              <w14:schemeClr w14:val="tx1"/>
            </w14:solidFill>
          </w14:textFill>
        </w:rPr>
        <w:t>合同签订后，甲方向乙方支付合同款的30%，即人民币大写       元；产品到货安装调试完成后，甲方向乙方支付合同款的40%，即人民币大写       元；乙方所交付的货物由甲方验收，验收合格后甲方向乙方支付合同款的30%，即人民币大写                  元。</w:t>
      </w:r>
    </w:p>
    <w:p w14:paraId="3CDDCE8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五、合同的变更、终止与转让</w:t>
      </w:r>
    </w:p>
    <w:p w14:paraId="6FFA010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除《中华人民共和国政府采购法》第</w:t>
      </w:r>
      <w:r>
        <w:rPr>
          <w:rFonts w:hint="eastAsia" w:ascii="宋体" w:hAnsi="宋体" w:eastAsia="宋体" w:cs="宋体"/>
          <w:sz w:val="24"/>
          <w:szCs w:val="24"/>
        </w:rPr>
        <w:t>50</w:t>
      </w:r>
      <w:r>
        <w:rPr>
          <w:rFonts w:hint="eastAsia" w:ascii="宋体" w:hAnsi="宋体" w:eastAsia="宋体" w:cs="宋体"/>
          <w:sz w:val="24"/>
          <w:szCs w:val="24"/>
          <w:lang w:val="zh-CN"/>
        </w:rPr>
        <w:t>条规定的情形外，本合同一经签订，甲乙双方不得擅自变更、中止或终止。</w:t>
      </w:r>
    </w:p>
    <w:p w14:paraId="1CC9FBA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乙方不得擅自转让其应履行的合同义务。</w:t>
      </w:r>
    </w:p>
    <w:p w14:paraId="20596AE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六、违约责任</w:t>
      </w:r>
    </w:p>
    <w:p w14:paraId="33FA45B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2CE19D5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乙方提供的货物如侵犯了第三方权益而引发纠纷或诉讼的，均由乙方负责交涉并承担全部责任。</w:t>
      </w:r>
    </w:p>
    <w:p w14:paraId="213EA99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因包装、运输引起的货物损坏，按质量不合格处罚。</w:t>
      </w:r>
    </w:p>
    <w:p w14:paraId="68832A2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甲方无故延期接受货物和乙方逾期交货的，每天应向对方偿付未交货物的货款</w:t>
      </w:r>
      <w:r>
        <w:rPr>
          <w:rFonts w:hint="eastAsia" w:ascii="宋体" w:hAnsi="宋体" w:eastAsia="宋体" w:cs="宋体"/>
          <w:sz w:val="24"/>
          <w:szCs w:val="24"/>
        </w:rPr>
        <w:t>3</w:t>
      </w:r>
      <w:r>
        <w:rPr>
          <w:rFonts w:hint="eastAsia" w:ascii="宋体" w:hAnsi="宋体" w:eastAsia="宋体" w:cs="宋体"/>
          <w:sz w:val="24"/>
          <w:szCs w:val="24"/>
          <w:lang w:val="zh-CN"/>
        </w:rPr>
        <w:t>‰的违约金，但违约金累计不得超过违约货款的</w:t>
      </w:r>
      <w:r>
        <w:rPr>
          <w:rFonts w:hint="eastAsia" w:ascii="宋体" w:hAnsi="宋体" w:eastAsia="宋体" w:cs="宋体"/>
          <w:sz w:val="24"/>
          <w:szCs w:val="24"/>
        </w:rPr>
        <w:t>5%</w:t>
      </w:r>
      <w:r>
        <w:rPr>
          <w:rFonts w:hint="eastAsia" w:ascii="宋体" w:hAnsi="宋体" w:eastAsia="宋体" w:cs="宋体"/>
          <w:sz w:val="24"/>
          <w:szCs w:val="24"/>
          <w:lang w:val="zh-CN"/>
        </w:rPr>
        <w:t>，超过</w:t>
      </w:r>
      <w:r>
        <w:rPr>
          <w:rFonts w:hint="eastAsia" w:ascii="宋体" w:hAnsi="宋体" w:eastAsia="宋体" w:cs="宋体"/>
          <w:sz w:val="24"/>
          <w:szCs w:val="24"/>
        </w:rPr>
        <w:t xml:space="preserve">    </w:t>
      </w:r>
      <w:r>
        <w:rPr>
          <w:rFonts w:hint="eastAsia" w:ascii="宋体" w:hAnsi="宋体" w:eastAsia="宋体" w:cs="宋体"/>
          <w:sz w:val="24"/>
          <w:szCs w:val="24"/>
          <w:lang w:val="zh-CN"/>
        </w:rPr>
        <w:t>天对方有权解除合同，违约方承担因此给对方造成的经济损失。</w:t>
      </w:r>
    </w:p>
    <w:p w14:paraId="124DBFF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乙方未按本合同和投标文件中规定的服务承诺提供售后服务的，乙方应按本合同合计金额的</w:t>
      </w:r>
      <w:r>
        <w:rPr>
          <w:rFonts w:hint="eastAsia" w:ascii="宋体" w:hAnsi="宋体" w:eastAsia="宋体" w:cs="宋体"/>
          <w:sz w:val="24"/>
          <w:szCs w:val="24"/>
        </w:rPr>
        <w:t>5%</w:t>
      </w:r>
      <w:r>
        <w:rPr>
          <w:rFonts w:hint="eastAsia" w:ascii="宋体" w:hAnsi="宋体" w:eastAsia="宋体" w:cs="宋体"/>
          <w:sz w:val="24"/>
          <w:szCs w:val="24"/>
          <w:lang w:val="zh-CN"/>
        </w:rPr>
        <w:t>向甲方支付违约金。</w:t>
      </w:r>
    </w:p>
    <w:p w14:paraId="3E7D091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乙方提供的货物在质量保证期内，因设计、工艺或材料的缺陷和其它质量原因造成的问题，由乙方负责，费用从履约保证金中扣除，不足另补。</w:t>
      </w:r>
    </w:p>
    <w:p w14:paraId="6075CFA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其它违约行为按违约货款额</w:t>
      </w:r>
      <w:r>
        <w:rPr>
          <w:rFonts w:hint="eastAsia" w:ascii="宋体" w:hAnsi="宋体" w:eastAsia="宋体" w:cs="宋体"/>
          <w:sz w:val="24"/>
          <w:szCs w:val="24"/>
        </w:rPr>
        <w:t>5%</w:t>
      </w:r>
      <w:r>
        <w:rPr>
          <w:rFonts w:hint="eastAsia" w:ascii="宋体" w:hAnsi="宋体" w:eastAsia="宋体" w:cs="宋体"/>
          <w:sz w:val="24"/>
          <w:szCs w:val="24"/>
          <w:lang w:val="zh-CN"/>
        </w:rPr>
        <w:t>收取违约金并赔偿经济损失。</w:t>
      </w:r>
    </w:p>
    <w:p w14:paraId="59981D8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七、不可抗力</w:t>
      </w:r>
    </w:p>
    <w:p w14:paraId="7550F6F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不可抗力使合同的某些内容有变更必要的，双方应通过协商在</w:t>
      </w:r>
      <w:r>
        <w:rPr>
          <w:rFonts w:hint="eastAsia" w:ascii="宋体" w:hAnsi="宋体" w:eastAsia="宋体" w:cs="宋体"/>
          <w:sz w:val="24"/>
          <w:szCs w:val="24"/>
        </w:rPr>
        <w:t xml:space="preserve">   </w:t>
      </w:r>
      <w:r>
        <w:rPr>
          <w:rFonts w:hint="eastAsia" w:ascii="宋体" w:hAnsi="宋体" w:eastAsia="宋体" w:cs="宋体"/>
          <w:sz w:val="24"/>
          <w:szCs w:val="24"/>
          <w:lang w:val="zh-CN"/>
        </w:rPr>
        <w:t>天内达成进一步履行合同的协议，因不可抗力致使合同不能履行的，合同终止。</w:t>
      </w:r>
    </w:p>
    <w:p w14:paraId="7A9D93E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八、知识产权：详见合同通用条款</w:t>
      </w:r>
    </w:p>
    <w:p w14:paraId="5AF4E82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九、其他约定：</w:t>
      </w:r>
    </w:p>
    <w:p w14:paraId="1B3B0C4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十、合同争议解决</w:t>
      </w:r>
    </w:p>
    <w:p w14:paraId="518E0F5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因产品质量问题发生争议的，应邀请国家认可的质量检测机构进行鉴定。产品符合标准的，鉴定费由甲方承担；产品不符合标准的，鉴定费由乙方承担。</w:t>
      </w:r>
    </w:p>
    <w:p w14:paraId="5D01AC5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因履行本合同引起的或与本合同有关的争议，甲乙双方应首先通过友好协商解决，如果协商不能解决，可向甲方所在地仲裁委员会申请仲裁或向甲方所在地人民法院提起诉讼。</w:t>
      </w:r>
    </w:p>
    <w:p w14:paraId="08A24D0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诉讼期间，本合同继续履行。</w:t>
      </w:r>
    </w:p>
    <w:p w14:paraId="6807C4C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十一、合同生效及其它</w:t>
      </w:r>
      <w:r>
        <w:rPr>
          <w:rFonts w:hint="eastAsia" w:ascii="宋体" w:hAnsi="宋体" w:eastAsia="宋体" w:cs="宋体"/>
          <w:sz w:val="24"/>
          <w:szCs w:val="24"/>
        </w:rPr>
        <w:t>：</w:t>
      </w:r>
    </w:p>
    <w:p w14:paraId="4C017F5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本合同一式</w:t>
      </w:r>
      <w:r>
        <w:rPr>
          <w:rFonts w:hint="eastAsia" w:ascii="宋体" w:hAnsi="宋体" w:eastAsia="宋体" w:cs="宋体"/>
          <w:sz w:val="24"/>
          <w:szCs w:val="24"/>
        </w:rPr>
        <w:t xml:space="preserve">   </w:t>
      </w:r>
      <w:r>
        <w:rPr>
          <w:rFonts w:hint="eastAsia" w:ascii="宋体" w:hAnsi="宋体" w:eastAsia="宋体" w:cs="宋体"/>
          <w:sz w:val="24"/>
          <w:szCs w:val="24"/>
          <w:lang w:val="zh-CN"/>
        </w:rPr>
        <w:t>份，经双方签字，并加盖公章即为生效。</w:t>
      </w:r>
    </w:p>
    <w:p w14:paraId="1E9B67B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本合同未尽事宜，按民</w:t>
      </w:r>
      <w:r>
        <w:rPr>
          <w:rFonts w:hint="eastAsia" w:ascii="宋体" w:hAnsi="宋体" w:eastAsia="宋体" w:cs="宋体"/>
          <w:sz w:val="24"/>
          <w:szCs w:val="24"/>
          <w:lang w:val="en-US" w:eastAsia="zh-CN"/>
        </w:rPr>
        <w:t>法典</w:t>
      </w:r>
      <w:r>
        <w:rPr>
          <w:rFonts w:hint="eastAsia" w:ascii="宋体" w:hAnsi="宋体" w:eastAsia="宋体" w:cs="宋体"/>
          <w:sz w:val="24"/>
          <w:szCs w:val="24"/>
          <w:lang w:val="zh-CN"/>
        </w:rPr>
        <w:t>有关规定处理。</w:t>
      </w:r>
    </w:p>
    <w:p w14:paraId="61CB2955">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本合同的组成包含《合同通用条款》。</w:t>
      </w:r>
    </w:p>
    <w:p w14:paraId="7DEBC50D">
      <w:pPr>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14:paraId="3395D4AD">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甲方（盖章）：</w:t>
      </w:r>
      <w:r>
        <w:rPr>
          <w:rFonts w:hint="eastAsia" w:ascii="宋体" w:hAnsi="宋体" w:eastAsia="宋体" w:cs="宋体"/>
          <w:sz w:val="24"/>
          <w:szCs w:val="24"/>
        </w:rPr>
        <w:t xml:space="preserve">                         </w:t>
      </w:r>
      <w:r>
        <w:rPr>
          <w:rFonts w:hint="eastAsia" w:ascii="宋体" w:hAnsi="宋体" w:eastAsia="宋体" w:cs="宋体"/>
          <w:sz w:val="24"/>
          <w:szCs w:val="24"/>
          <w:lang w:val="zh-CN"/>
        </w:rPr>
        <w:t>乙方（盖章）：</w:t>
      </w:r>
    </w:p>
    <w:p w14:paraId="077BE28D">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 xml:space="preserve">：               </w:t>
      </w: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w:t>
      </w:r>
    </w:p>
    <w:p w14:paraId="4F130C15">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zh-CN"/>
        </w:rPr>
        <w:t>开户银行：</w:t>
      </w:r>
    </w:p>
    <w:p w14:paraId="7B2FF054">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 xml:space="preserve">                                       </w:t>
      </w:r>
      <w:r>
        <w:rPr>
          <w:rFonts w:hint="eastAsia" w:ascii="宋体" w:hAnsi="宋体" w:eastAsia="宋体" w:cs="宋体"/>
          <w:sz w:val="24"/>
          <w:szCs w:val="24"/>
          <w:lang w:val="zh-CN"/>
        </w:rPr>
        <w:t>账号：</w:t>
      </w:r>
    </w:p>
    <w:p w14:paraId="50A9F621">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地址：</w:t>
      </w:r>
      <w:r>
        <w:rPr>
          <w:rFonts w:hint="eastAsia" w:ascii="宋体" w:hAnsi="宋体" w:eastAsia="宋体" w:cs="宋体"/>
          <w:sz w:val="24"/>
          <w:szCs w:val="24"/>
        </w:rPr>
        <w:t xml:space="preserve">                                 </w:t>
      </w:r>
      <w:r>
        <w:rPr>
          <w:rFonts w:hint="eastAsia" w:ascii="宋体" w:hAnsi="宋体" w:eastAsia="宋体" w:cs="宋体"/>
          <w:sz w:val="24"/>
          <w:szCs w:val="24"/>
          <w:lang w:val="zh-CN"/>
        </w:rPr>
        <w:t>地址：</w:t>
      </w:r>
    </w:p>
    <w:p w14:paraId="174BEF50">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联系电话：</w:t>
      </w:r>
      <w:r>
        <w:rPr>
          <w:rFonts w:hint="eastAsia" w:ascii="宋体" w:hAnsi="宋体" w:eastAsia="宋体" w:cs="宋体"/>
          <w:sz w:val="24"/>
          <w:szCs w:val="24"/>
        </w:rPr>
        <w:t xml:space="preserve">                             </w:t>
      </w:r>
      <w:r>
        <w:rPr>
          <w:rFonts w:hint="eastAsia" w:ascii="宋体" w:hAnsi="宋体" w:eastAsia="宋体" w:cs="宋体"/>
          <w:sz w:val="24"/>
          <w:szCs w:val="24"/>
          <w:lang w:val="zh-CN"/>
        </w:rPr>
        <w:t>联系电话：</w:t>
      </w:r>
    </w:p>
    <w:p w14:paraId="66062092">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签约时间：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14:paraId="64B87EF7">
      <w:pPr>
        <w:autoSpaceDE w:val="0"/>
        <w:autoSpaceDN w:val="0"/>
        <w:spacing w:line="360" w:lineRule="auto"/>
        <w:ind w:firstLine="0" w:firstLineChars="0"/>
        <w:rPr>
          <w:rFonts w:ascii="宋体" w:hAnsi="宋体" w:eastAsia="宋体" w:cs="宋体"/>
          <w:sz w:val="24"/>
          <w:szCs w:val="24"/>
          <w:lang w:val="zh-CN"/>
        </w:rPr>
      </w:pPr>
    </w:p>
    <w:p w14:paraId="424EA95C">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采购代理机构：</w:t>
      </w:r>
      <w:r>
        <w:rPr>
          <w:rFonts w:hint="eastAsia" w:ascii="宋体" w:hAnsi="宋体" w:eastAsia="宋体" w:cs="宋体"/>
          <w:sz w:val="24"/>
          <w:szCs w:val="24"/>
        </w:rPr>
        <w:t>青海品冠招标代理有限公司</w:t>
      </w:r>
    </w:p>
    <w:p w14:paraId="55A64B93">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负责人或经办人：</w:t>
      </w:r>
    </w:p>
    <w:p w14:paraId="1EB90709">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14:paraId="57F682FC">
      <w:pPr>
        <w:autoSpaceDE w:val="0"/>
        <w:autoSpaceDN w:val="0"/>
        <w:spacing w:line="360" w:lineRule="auto"/>
        <w:ind w:firstLine="0" w:firstLineChars="0"/>
        <w:rPr>
          <w:rFonts w:ascii="宋体" w:hAnsi="宋体" w:eastAsia="宋体" w:cs="宋体"/>
          <w:sz w:val="24"/>
          <w:szCs w:val="24"/>
        </w:rPr>
      </w:pPr>
    </w:p>
    <w:p w14:paraId="40455FE9">
      <w:pPr>
        <w:wordWrap w:val="0"/>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br w:type="page"/>
      </w:r>
    </w:p>
    <w:p w14:paraId="39033036">
      <w:pPr>
        <w:keepNext/>
        <w:pageBreakBefore/>
        <w:autoSpaceDE w:val="0"/>
        <w:autoSpaceDN w:val="0"/>
        <w:adjustRightInd w:val="0"/>
        <w:spacing w:line="360" w:lineRule="auto"/>
        <w:ind w:firstLine="0" w:firstLineChars="0"/>
        <w:jc w:val="center"/>
        <w:rPr>
          <w:rFonts w:ascii="宋体" w:hAnsi="宋体" w:eastAsia="宋体" w:cs="宋体"/>
          <w:b/>
          <w:bCs/>
          <w:sz w:val="28"/>
          <w:szCs w:val="28"/>
        </w:rPr>
      </w:pPr>
      <w:r>
        <w:rPr>
          <w:rFonts w:hint="eastAsia" w:ascii="宋体" w:hAnsi="宋体" w:eastAsia="宋体" w:cs="宋体"/>
          <w:b/>
          <w:bCs/>
          <w:sz w:val="28"/>
          <w:szCs w:val="28"/>
          <w:lang w:val="zh-CN"/>
        </w:rPr>
        <w:t>合同通用条款</w:t>
      </w:r>
    </w:p>
    <w:p w14:paraId="2C448AE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14:paraId="48D59095">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zh-CN"/>
        </w:rPr>
        <w:t>定义</w:t>
      </w:r>
    </w:p>
    <w:p w14:paraId="1BFDD50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本合同中的下列术语应解释为：</w:t>
      </w:r>
    </w:p>
    <w:p w14:paraId="7B6173B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 </w:t>
      </w:r>
      <w:r>
        <w:rPr>
          <w:rFonts w:hint="eastAsia" w:ascii="宋体" w:hAnsi="宋体" w:eastAsia="宋体" w:cs="宋体"/>
          <w:sz w:val="24"/>
          <w:szCs w:val="24"/>
          <w:lang w:val="zh-CN"/>
        </w:rPr>
        <w:t>“合同”指甲乙双方签署的、载明的甲乙双方权利义务的协议，包括所有的附件、附录和上述文件所提到的构成合同的所有文件。</w:t>
      </w:r>
    </w:p>
    <w:p w14:paraId="149A76B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szCs w:val="24"/>
          <w:lang w:val="zh-CN"/>
        </w:rPr>
        <w:t>“合同金额”指根据合同规定，乙方在正确地完全履行合同义务后甲方应付给乙方的价款。</w:t>
      </w:r>
    </w:p>
    <w:p w14:paraId="22AC0D0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eastAsia="宋体" w:cs="宋体"/>
          <w:sz w:val="24"/>
          <w:szCs w:val="24"/>
          <w:lang w:val="zh-CN"/>
        </w:rPr>
        <w:t>“合同条款”指本合同条款。</w:t>
      </w:r>
    </w:p>
    <w:p w14:paraId="101CEBA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eastAsia="宋体" w:cs="宋体"/>
          <w:sz w:val="24"/>
          <w:szCs w:val="24"/>
          <w:lang w:val="zh-CN"/>
        </w:rPr>
        <w:t>“货物”指乙方根据合同约定须向甲方提供的一切产品、设备、机械、仪表、备件等，包括辅助工具、使用手册等相关资料。</w:t>
      </w:r>
    </w:p>
    <w:p w14:paraId="07FC936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 </w:t>
      </w:r>
      <w:r>
        <w:rPr>
          <w:rFonts w:hint="eastAsia" w:ascii="宋体" w:hAnsi="宋体" w:eastAsia="宋体" w:cs="宋体"/>
          <w:sz w:val="24"/>
          <w:szCs w:val="24"/>
          <w:lang w:val="zh-CN"/>
        </w:rPr>
        <w:t>“服务”指根据本合同规定乙方承担与供货有关的辅助服务，如运输、保险及安装、调试、提供技术援助、培训和合同中规定乙方应承担的其它义务。</w:t>
      </w:r>
    </w:p>
    <w:p w14:paraId="53379D0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1.6 </w:t>
      </w:r>
      <w:r>
        <w:rPr>
          <w:rFonts w:hint="eastAsia" w:ascii="宋体" w:hAnsi="宋体" w:eastAsia="宋体" w:cs="宋体"/>
          <w:sz w:val="24"/>
          <w:szCs w:val="24"/>
          <w:lang w:val="zh-CN"/>
        </w:rPr>
        <w:t>“甲方”指购买货物和服务的单位。</w:t>
      </w:r>
    </w:p>
    <w:p w14:paraId="1C9CAA4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1.7 </w:t>
      </w:r>
      <w:r>
        <w:rPr>
          <w:rFonts w:hint="eastAsia" w:ascii="宋体" w:hAnsi="宋体" w:eastAsia="宋体" w:cs="宋体"/>
          <w:sz w:val="24"/>
          <w:szCs w:val="24"/>
          <w:lang w:val="zh-CN"/>
        </w:rPr>
        <w:t>“乙方”指提供本合同条款下货物和服务的公司或其他实体。</w:t>
      </w:r>
    </w:p>
    <w:p w14:paraId="0530F9D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1.8 </w:t>
      </w:r>
      <w:r>
        <w:rPr>
          <w:rFonts w:hint="eastAsia" w:ascii="宋体" w:hAnsi="宋体" w:eastAsia="宋体" w:cs="宋体"/>
          <w:sz w:val="24"/>
          <w:szCs w:val="24"/>
          <w:lang w:val="zh-CN"/>
        </w:rPr>
        <w:t>“现场”指合同规定货物将要运至和安装的地点。</w:t>
      </w:r>
    </w:p>
    <w:p w14:paraId="5EAA4DA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1.9 </w:t>
      </w:r>
      <w:r>
        <w:rPr>
          <w:rFonts w:hint="eastAsia" w:ascii="宋体" w:hAnsi="宋体" w:eastAsia="宋体" w:cs="宋体"/>
          <w:sz w:val="24"/>
          <w:szCs w:val="24"/>
          <w:lang w:val="zh-CN"/>
        </w:rPr>
        <w:t>“验收”指合同双方依据强制性的国家技术质量规范和合同约定，确认合同条款下的货物符合合同规定的活动。</w:t>
      </w:r>
    </w:p>
    <w:p w14:paraId="74ADE2F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1.10</w:t>
      </w:r>
      <w:r>
        <w:rPr>
          <w:rFonts w:hint="eastAsia" w:ascii="宋体" w:hAnsi="宋体" w:eastAsia="宋体" w:cs="宋体"/>
          <w:sz w:val="24"/>
          <w:szCs w:val="24"/>
          <w:lang w:val="zh-CN"/>
        </w:rPr>
        <w:t>原厂商：产品制造商或其在中国境内设立的办事或技术服务机构。除另有说明外，本合同文件所述的制造商、产品制造商、制造厂家、产品制造厂家均为原厂商。</w:t>
      </w:r>
    </w:p>
    <w:p w14:paraId="5110B48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lang w:val="zh-CN"/>
        </w:rPr>
        <w:t>原产地：指产品的生产地，或提供服务的来源地。</w:t>
      </w:r>
    </w:p>
    <w:p w14:paraId="62632AB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“工作日”指国家法定工作日，“天”指日历天数。</w:t>
      </w:r>
    </w:p>
    <w:p w14:paraId="2C848382">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zh-CN"/>
        </w:rPr>
        <w:t>技术规格要求</w:t>
      </w:r>
    </w:p>
    <w:p w14:paraId="4C870F6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2.1 </w:t>
      </w:r>
      <w:r>
        <w:rPr>
          <w:rFonts w:hint="eastAsia" w:ascii="宋体" w:hAnsi="宋体" w:eastAsia="宋体" w:cs="宋体"/>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14:paraId="69949D1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乙方应向甲方提供货物及服务有关的标准的中文文本。</w:t>
      </w:r>
    </w:p>
    <w:p w14:paraId="036285D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2.3 </w:t>
      </w:r>
      <w:r>
        <w:rPr>
          <w:rFonts w:hint="eastAsia" w:ascii="宋体" w:hAnsi="宋体" w:eastAsia="宋体" w:cs="宋体"/>
          <w:sz w:val="24"/>
          <w:szCs w:val="24"/>
          <w:lang w:val="zh-CN"/>
        </w:rPr>
        <w:t>除非技术规范中另有规定，计量单位均采用中华人民共和国法定计量单位。</w:t>
      </w:r>
    </w:p>
    <w:p w14:paraId="176E8C7B">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zh-CN"/>
        </w:rPr>
        <w:t>合同范围</w:t>
      </w:r>
    </w:p>
    <w:p w14:paraId="0E94CCD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3.1 </w:t>
      </w:r>
      <w:r>
        <w:rPr>
          <w:rFonts w:hint="eastAsia" w:ascii="宋体" w:hAnsi="宋体" w:eastAsia="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0295BE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3.2 </w:t>
      </w:r>
      <w:r>
        <w:rPr>
          <w:rFonts w:hint="eastAsia" w:ascii="宋体" w:hAnsi="宋体" w:eastAsia="宋体" w:cs="宋体"/>
          <w:sz w:val="24"/>
          <w:szCs w:val="24"/>
          <w:lang w:val="zh-CN"/>
        </w:rPr>
        <w:t>乙方应负责培训甲方的技术人员。</w:t>
      </w:r>
    </w:p>
    <w:p w14:paraId="0BACDA3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eastAsia="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F367B3E">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zh-CN"/>
        </w:rPr>
        <w:t>合同文件和资料</w:t>
      </w:r>
    </w:p>
    <w:p w14:paraId="62E4071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zh-CN"/>
        </w:rPr>
        <w:t>乙方在提供仪器设备时应同时提供中文版相关的技术资料，如目录索引、图纸、操作手册、使用指南、维修指南、服务手册等。</w:t>
      </w:r>
    </w:p>
    <w:p w14:paraId="794BDDA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1CA3C43">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zh-CN"/>
        </w:rPr>
        <w:t>知识产权</w:t>
      </w:r>
    </w:p>
    <w:p w14:paraId="5DAF002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zh-CN"/>
        </w:rPr>
        <w:t>乙方应保证甲方在使用该货物或其任何一部分时不受第三方提出的侵犯专利权、</w:t>
      </w:r>
      <w:r>
        <w:rPr>
          <w:rFonts w:hint="eastAsia" w:ascii="宋体" w:hAnsi="宋体" w:eastAsia="宋体" w:cs="宋体"/>
          <w:sz w:val="24"/>
          <w:szCs w:val="24"/>
        </w:rPr>
        <w:t xml:space="preserve"> </w:t>
      </w:r>
      <w:r>
        <w:rPr>
          <w:rFonts w:hint="eastAsia" w:ascii="宋体" w:hAnsi="宋体" w:eastAsia="宋体" w:cs="宋体"/>
          <w:sz w:val="24"/>
          <w:szCs w:val="24"/>
          <w:lang w:val="zh-CN"/>
        </w:rPr>
        <w:t>著作权、商标权和工业设计权等的起诉。</w:t>
      </w:r>
    </w:p>
    <w:p w14:paraId="46EB87E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zh-CN"/>
        </w:rPr>
        <w:t>任何第三方提出侵权指控，乙方须与第三方交涉并承担由此产生的一切责任、费用和经济赔偿。</w:t>
      </w:r>
    </w:p>
    <w:p w14:paraId="485E6E3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59B2636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val="zh-CN"/>
        </w:rPr>
        <w:t>在本合同生效时已经存在并为各方合法拥有或使用的所有技术、资料和信息的知识产权，仍应属于其各自的原权利人所有或享有，另有约定的除外。</w:t>
      </w:r>
    </w:p>
    <w:p w14:paraId="748B599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BDECEC3">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val="zh-CN"/>
        </w:rPr>
        <w:t>保密</w:t>
      </w:r>
    </w:p>
    <w:p w14:paraId="2B14034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AEB273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zh-CN"/>
        </w:rPr>
        <w:t>保密信息指任何一方因履行本合同所知悉的任何以口头、书面、图表或电子形式存在的对方信息，具体包括：</w:t>
      </w:r>
    </w:p>
    <w:p w14:paraId="1A602CC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6.2.1</w:t>
      </w:r>
      <w:r>
        <w:rPr>
          <w:rFonts w:hint="eastAsia" w:ascii="宋体" w:hAnsi="宋体" w:eastAsia="宋体" w:cs="宋体"/>
          <w:sz w:val="24"/>
          <w:szCs w:val="24"/>
          <w:lang w:val="zh-CN"/>
        </w:rPr>
        <w:t>任何涉及对方过去、现在或将来的商业计划、规章制度、操作规程、处理手段、财务信息；</w:t>
      </w:r>
    </w:p>
    <w:p w14:paraId="3B71F5E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6.2.2</w:t>
      </w:r>
      <w:r>
        <w:rPr>
          <w:rFonts w:hint="eastAsia" w:ascii="宋体" w:hAnsi="宋体" w:eastAsia="宋体" w:cs="宋体"/>
          <w:sz w:val="24"/>
          <w:szCs w:val="24"/>
          <w:lang w:val="zh-CN"/>
        </w:rPr>
        <w:t>任何对方的技术措施、技术方案、软件应用及开发，硬件设备的品种、质量、数量、品牌等；</w:t>
      </w:r>
    </w:p>
    <w:p w14:paraId="6F2C9C8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6.2.3</w:t>
      </w:r>
      <w:r>
        <w:rPr>
          <w:rFonts w:hint="eastAsia" w:ascii="宋体" w:hAnsi="宋体" w:eastAsia="宋体" w:cs="宋体"/>
          <w:sz w:val="24"/>
          <w:szCs w:val="24"/>
          <w:lang w:val="zh-CN"/>
        </w:rPr>
        <w:t>任何对方的技术秘密或专有知识、文件</w:t>
      </w:r>
      <w:r>
        <w:rPr>
          <w:rFonts w:hint="eastAsia" w:ascii="宋体" w:hAnsi="宋体" w:eastAsia="宋体" w:cs="宋体"/>
          <w:sz w:val="24"/>
          <w:szCs w:val="24"/>
        </w:rPr>
        <w:t xml:space="preserve"> </w:t>
      </w:r>
      <w:r>
        <w:rPr>
          <w:rFonts w:hint="eastAsia" w:ascii="宋体" w:hAnsi="宋体" w:eastAsia="宋体" w:cs="宋体"/>
          <w:sz w:val="24"/>
          <w:szCs w:val="24"/>
          <w:lang w:val="zh-CN"/>
        </w:rPr>
        <w:t>、报告、数据、客户软件、流程图、数据库、发明、知识、贸易秘密。</w:t>
      </w:r>
    </w:p>
    <w:p w14:paraId="4B7380B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val="zh-CN"/>
        </w:rPr>
        <w:t>乙方应根据甲方的要求签署相应的保密协议，保密协议与本条款存在不一致的，以保密协议为准。</w:t>
      </w:r>
    </w:p>
    <w:p w14:paraId="5746A551">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7. </w:t>
      </w:r>
      <w:r>
        <w:rPr>
          <w:rFonts w:hint="eastAsia" w:ascii="宋体" w:hAnsi="宋体" w:eastAsia="宋体" w:cs="宋体"/>
          <w:b/>
          <w:bCs/>
          <w:sz w:val="24"/>
          <w:szCs w:val="24"/>
          <w:lang w:val="zh-CN"/>
        </w:rPr>
        <w:t>质量保证</w:t>
      </w:r>
    </w:p>
    <w:p w14:paraId="3168E0F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zh-CN"/>
        </w:rPr>
        <w:t>货物质量保证</w:t>
      </w:r>
    </w:p>
    <w:p w14:paraId="31A8991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7.1.1</w:t>
      </w:r>
      <w:r>
        <w:rPr>
          <w:rFonts w:hint="eastAsia" w:ascii="宋体" w:hAnsi="宋体" w:eastAsia="宋体" w:cs="宋体"/>
          <w:sz w:val="24"/>
          <w:szCs w:val="24"/>
          <w:lang w:val="zh-CN"/>
        </w:rPr>
        <w:t>乙方必须保证货物是全新、未使用过的，并完全符合强制性的国家技术质量规范和合同规定的质量、规格、性能和技术规范等的要求。</w:t>
      </w:r>
    </w:p>
    <w:p w14:paraId="0C43B84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7.1.2</w:t>
      </w:r>
      <w:r>
        <w:rPr>
          <w:rFonts w:hint="eastAsia" w:ascii="宋体" w:hAnsi="宋体" w:eastAsia="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CBFF4F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7.1.3</w:t>
      </w:r>
      <w:r>
        <w:rPr>
          <w:rFonts w:hint="eastAsia" w:ascii="宋体" w:hAnsi="宋体" w:eastAsia="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D32948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7.1.4</w:t>
      </w:r>
      <w:r>
        <w:rPr>
          <w:rFonts w:hint="eastAsia" w:ascii="宋体" w:hAnsi="宋体" w:eastAsia="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CE4BF7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7.1.5 </w:t>
      </w:r>
      <w:r>
        <w:rPr>
          <w:rFonts w:hint="eastAsia" w:ascii="宋体" w:hAnsi="宋体" w:eastAsia="宋体" w:cs="宋体"/>
          <w:sz w:val="24"/>
          <w:szCs w:val="24"/>
          <w:lang w:val="zh-CN"/>
        </w:rPr>
        <w:t>合同条款下货物的质量保证期自货物通过最终验收起算，合同另行规定除外。</w:t>
      </w:r>
    </w:p>
    <w:p w14:paraId="75A7ABF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lang w:val="zh-CN"/>
        </w:rPr>
        <w:t>辅助服务质量保证</w:t>
      </w:r>
    </w:p>
    <w:p w14:paraId="48BE5CD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7.2.1</w:t>
      </w:r>
      <w:r>
        <w:rPr>
          <w:rFonts w:hint="eastAsia" w:ascii="宋体" w:hAnsi="宋体" w:eastAsia="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361332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7.2.2</w:t>
      </w:r>
      <w:r>
        <w:rPr>
          <w:rFonts w:hint="eastAsia" w:ascii="宋体" w:hAnsi="宋体" w:eastAsia="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2AAF01AE">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包装要求</w:t>
      </w:r>
    </w:p>
    <w:p w14:paraId="2CE0BE8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lang w:val="zh-CN"/>
        </w:rPr>
        <w:t>除合同另有约定外</w:t>
      </w:r>
      <w:r>
        <w:rPr>
          <w:rFonts w:hint="eastAsia" w:ascii="宋体" w:hAnsi="宋体" w:eastAsia="宋体" w:cs="宋体"/>
          <w:sz w:val="24"/>
          <w:szCs w:val="24"/>
        </w:rPr>
        <w:t>,</w:t>
      </w:r>
      <w:r>
        <w:rPr>
          <w:rFonts w:hint="eastAsia" w:ascii="宋体" w:hAnsi="宋体" w:eastAsia="宋体" w:cs="宋体"/>
          <w:sz w:val="24"/>
          <w:szCs w:val="24"/>
          <w:lang w:val="zh-CN"/>
        </w:rPr>
        <w:t>乙方提供的全部货物</w:t>
      </w:r>
      <w:r>
        <w:rPr>
          <w:rFonts w:hint="eastAsia" w:ascii="宋体" w:hAnsi="宋体" w:eastAsia="宋体" w:cs="宋体"/>
          <w:sz w:val="24"/>
          <w:szCs w:val="24"/>
        </w:rPr>
        <w:t>,</w:t>
      </w:r>
      <w:r>
        <w:rPr>
          <w:rFonts w:hint="eastAsia" w:ascii="宋体" w:hAnsi="宋体" w:eastAsia="宋体" w:cs="宋体"/>
          <w:sz w:val="24"/>
          <w:szCs w:val="24"/>
          <w:lang w:val="zh-CN"/>
        </w:rPr>
        <w:t>均应采用本行业通用的方式进行包装，且该包装应符合国家有关包装的法律、法规的规定。</w:t>
      </w:r>
    </w:p>
    <w:p w14:paraId="4E8D299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8.2 </w:t>
      </w:r>
      <w:r>
        <w:rPr>
          <w:rFonts w:hint="eastAsia" w:ascii="宋体" w:hAnsi="宋体" w:eastAsia="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14:paraId="2C65186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乙方应提供货物运至合同规定的最终目的地所需要的包装，以防止货物在转运中损坏或变质。</w:t>
      </w:r>
    </w:p>
    <w:p w14:paraId="76EBA9A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8.3 </w:t>
      </w:r>
      <w:r>
        <w:rPr>
          <w:rFonts w:hint="eastAsia" w:ascii="宋体" w:hAnsi="宋体" w:eastAsia="宋体" w:cs="宋体"/>
          <w:sz w:val="24"/>
          <w:szCs w:val="24"/>
          <w:lang w:val="zh-CN"/>
        </w:rPr>
        <w:t>乙方所提供的货物包装均为出厂时原包装。</w:t>
      </w:r>
    </w:p>
    <w:p w14:paraId="6A9D092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8.4 </w:t>
      </w:r>
      <w:r>
        <w:rPr>
          <w:rFonts w:hint="eastAsia" w:ascii="宋体" w:hAnsi="宋体" w:eastAsia="宋体" w:cs="宋体"/>
          <w:sz w:val="24"/>
          <w:szCs w:val="24"/>
          <w:lang w:val="zh-CN"/>
        </w:rPr>
        <w:t>乙方所提供货物必须附有质量合格证，装箱清单，主机、附件、各种零部件和消耗品，有清楚的与装箱单相对应的名称和编号。</w:t>
      </w:r>
    </w:p>
    <w:p w14:paraId="333E0DB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8.5 </w:t>
      </w:r>
      <w:r>
        <w:rPr>
          <w:rFonts w:hint="eastAsia" w:ascii="宋体" w:hAnsi="宋体" w:eastAsia="宋体" w:cs="宋体"/>
          <w:sz w:val="24"/>
          <w:szCs w:val="24"/>
          <w:lang w:val="zh-CN"/>
        </w:rPr>
        <w:t>货物运输中的运输费用和保险费用均由乙方承担。运输过程中的一切损失、损坏均由乙方负责。</w:t>
      </w:r>
    </w:p>
    <w:p w14:paraId="74ADE021">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9. </w:t>
      </w:r>
      <w:r>
        <w:rPr>
          <w:rFonts w:hint="eastAsia" w:ascii="宋体" w:hAnsi="宋体" w:eastAsia="宋体" w:cs="宋体"/>
          <w:b/>
          <w:bCs/>
          <w:sz w:val="24"/>
          <w:szCs w:val="24"/>
          <w:lang w:val="zh-CN"/>
        </w:rPr>
        <w:t>价格</w:t>
      </w:r>
    </w:p>
    <w:p w14:paraId="6FC8B83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6283D7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9.2 </w:t>
      </w:r>
      <w:r>
        <w:rPr>
          <w:rFonts w:hint="eastAsia" w:ascii="宋体" w:hAnsi="宋体" w:eastAsia="宋体" w:cs="宋体"/>
          <w:sz w:val="24"/>
          <w:szCs w:val="24"/>
          <w:lang w:val="zh-CN"/>
        </w:rPr>
        <w:t>本合同价格为固定价格，包括了乙方履行合同全过程产生的所有成本和费用以及乙方应承担的一切税费。</w:t>
      </w:r>
    </w:p>
    <w:p w14:paraId="3F78521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val="zh-CN"/>
        </w:rPr>
        <w:t>检验费用</w:t>
      </w:r>
    </w:p>
    <w:p w14:paraId="7CB411C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9.3.1 </w:t>
      </w:r>
      <w:r>
        <w:rPr>
          <w:rFonts w:hint="eastAsia" w:ascii="宋体" w:hAnsi="宋体" w:eastAsia="宋体" w:cs="宋体"/>
          <w:sz w:val="24"/>
          <w:szCs w:val="24"/>
          <w:lang w:val="zh-CN"/>
        </w:rPr>
        <w:t>乙方必须负担本条款下属于乙方负责的检验、测试、调试、试运行和验收的所有费用，并负责乙方派往买方组织的检验、测试和验收人员的所有费用。</w:t>
      </w:r>
    </w:p>
    <w:p w14:paraId="71F7B2D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9.3.2 </w:t>
      </w:r>
      <w:r>
        <w:rPr>
          <w:rFonts w:hint="eastAsia" w:ascii="宋体" w:hAnsi="宋体" w:eastAsia="宋体" w:cs="宋体"/>
          <w:sz w:val="24"/>
          <w:szCs w:val="24"/>
          <w:lang w:val="zh-CN"/>
        </w:rPr>
        <w:t>甲方按合同计划参加在乙方工厂所在地检验、测试和验收的费用全部由乙方负责并已包含在合同总价中。</w:t>
      </w:r>
    </w:p>
    <w:p w14:paraId="6E0B9CA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9.3.3</w:t>
      </w:r>
      <w:r>
        <w:rPr>
          <w:rFonts w:hint="eastAsia" w:ascii="宋体" w:hAnsi="宋体" w:eastAsia="宋体" w:cs="宋体"/>
          <w:sz w:val="24"/>
          <w:szCs w:val="24"/>
          <w:lang w:val="zh-CN"/>
        </w:rPr>
        <w:t>甲方检验人员已到卖方所在地，测试无法依照合同进行，</w:t>
      </w:r>
      <w:r>
        <w:rPr>
          <w:rFonts w:hint="eastAsia" w:ascii="宋体" w:hAnsi="宋体" w:eastAsia="宋体" w:cs="宋体"/>
          <w:sz w:val="24"/>
          <w:szCs w:val="24"/>
        </w:rPr>
        <w:t xml:space="preserve"> </w:t>
      </w:r>
      <w:r>
        <w:rPr>
          <w:rFonts w:hint="eastAsia" w:ascii="宋体" w:hAnsi="宋体" w:eastAsia="宋体" w:cs="宋体"/>
          <w:sz w:val="24"/>
          <w:szCs w:val="24"/>
          <w:lang w:val="zh-CN"/>
        </w:rPr>
        <w:t>而引起甲方人员延长逗留时间，所有由此产生的包括甲方人员在内的直接费用及成本由乙方承担。</w:t>
      </w:r>
    </w:p>
    <w:p w14:paraId="0F2300CD">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eastAsia="宋体" w:cs="宋体"/>
          <w:b/>
          <w:bCs/>
          <w:sz w:val="24"/>
          <w:szCs w:val="24"/>
          <w:lang w:val="zh-CN"/>
        </w:rPr>
        <w:t>交货方式及交货日期</w:t>
      </w:r>
    </w:p>
    <w:p w14:paraId="364C2748">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交货方式：现场交货，乙方负责办理运输和保险，将货物运抵现场。</w:t>
      </w:r>
    </w:p>
    <w:p w14:paraId="1256D222">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交货及完工时间应根据产品的特点实事求是填写，进口产品90个工作日内，国产产品60个工作日内。特殊产品交货及完工时间需说明。</w:t>
      </w:r>
    </w:p>
    <w:p w14:paraId="7F7722EE">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交货日期：所有货物运抵现场并经双方开箱验收合格之日。</w:t>
      </w:r>
    </w:p>
    <w:p w14:paraId="12C3DB72">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11.检验和验收</w:t>
      </w:r>
    </w:p>
    <w:p w14:paraId="6020CBD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zh-CN"/>
        </w:rPr>
        <w:t>开箱验收</w:t>
      </w:r>
    </w:p>
    <w:p w14:paraId="7A5AB02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11.1.1</w:t>
      </w:r>
      <w:r>
        <w:rPr>
          <w:rFonts w:hint="eastAsia" w:ascii="宋体" w:hAnsi="宋体" w:eastAsia="宋体" w:cs="宋体"/>
          <w:sz w:val="24"/>
          <w:szCs w:val="24"/>
          <w:lang w:val="zh-CN"/>
        </w:rPr>
        <w:t>货物运抵现场后，双方应及时开箱验收，并制作验收记录，以确认与本合同约定的数量、型号等是否一致。</w:t>
      </w:r>
    </w:p>
    <w:p w14:paraId="0A901FD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11.1.2 </w:t>
      </w:r>
      <w:r>
        <w:rPr>
          <w:rFonts w:hint="eastAsia" w:ascii="宋体" w:hAnsi="宋体" w:eastAsia="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97AEFD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11.1.3 </w:t>
      </w:r>
      <w:r>
        <w:rPr>
          <w:rFonts w:hint="eastAsia" w:ascii="宋体" w:hAnsi="宋体" w:eastAsia="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22A03B8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检验验收</w:t>
      </w:r>
    </w:p>
    <w:p w14:paraId="0895F33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11.2.1 </w:t>
      </w:r>
      <w:r>
        <w:rPr>
          <w:rFonts w:hint="eastAsia" w:ascii="宋体" w:hAnsi="宋体" w:eastAsia="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14:paraId="3067A7F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11.2.2 </w:t>
      </w:r>
      <w:r>
        <w:rPr>
          <w:rFonts w:hint="eastAsia" w:ascii="宋体" w:hAnsi="宋体" w:eastAsia="宋体" w:cs="宋体"/>
          <w:sz w:val="24"/>
          <w:szCs w:val="24"/>
          <w:lang w:val="zh-CN"/>
        </w:rPr>
        <w:t>在具体实施合同规定的检验验收之前，乙方需提前提交相应的测试计划（包括测试程序、测试内容和检验标准、试验时间安排等）供甲方确认。</w:t>
      </w:r>
    </w:p>
    <w:p w14:paraId="45C8290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11.2.3  </w:t>
      </w:r>
      <w:r>
        <w:rPr>
          <w:rFonts w:hint="eastAsia" w:ascii="宋体" w:hAnsi="宋体" w:eastAsia="宋体" w:cs="宋体"/>
          <w:sz w:val="24"/>
          <w:szCs w:val="24"/>
          <w:lang w:val="zh-CN"/>
        </w:rPr>
        <w:t>除需甲方确认的试验验收外，乙方还应对所有检验验收测试的结果、步骤、原始数据等作妥善记录。如甲方要求，乙方应提供这些记录给买方。</w:t>
      </w:r>
    </w:p>
    <w:p w14:paraId="200AAD6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11.2.4  </w:t>
      </w:r>
      <w:r>
        <w:rPr>
          <w:rFonts w:hint="eastAsia" w:ascii="宋体" w:hAnsi="宋体" w:eastAsia="宋体" w:cs="宋体"/>
          <w:sz w:val="24"/>
          <w:szCs w:val="24"/>
          <w:lang w:val="zh-CN"/>
        </w:rPr>
        <w:t>检验测试出现全部或部分未达到本合同所约定的技术指标，甲方有权选择下列任一处理方式：</w:t>
      </w:r>
    </w:p>
    <w:p w14:paraId="47D7918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zh-CN"/>
        </w:rPr>
        <w:t>重新测试直至合格为止；</w:t>
      </w:r>
    </w:p>
    <w:p w14:paraId="34C2E19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zh-CN"/>
        </w:rPr>
        <w:t>要求乙方对货物进行免费更换，然后重新测试直至合格为止；</w:t>
      </w:r>
    </w:p>
    <w:p w14:paraId="528DD36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无论选择何种方式，甲方因此而发生的因卖方原因引起的所有费用均由乙方负担。</w:t>
      </w:r>
    </w:p>
    <w:p w14:paraId="23F990F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11.3  </w:t>
      </w:r>
      <w:r>
        <w:rPr>
          <w:rFonts w:hint="eastAsia" w:ascii="宋体" w:hAnsi="宋体" w:eastAsia="宋体" w:cs="宋体"/>
          <w:sz w:val="24"/>
          <w:szCs w:val="24"/>
          <w:lang w:val="zh-CN"/>
        </w:rPr>
        <w:t>使用过程检验</w:t>
      </w:r>
    </w:p>
    <w:p w14:paraId="327EF590">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11.3.1</w:t>
      </w:r>
      <w:r>
        <w:rPr>
          <w:rFonts w:hint="eastAsia" w:ascii="宋体" w:hAnsi="宋体" w:eastAsia="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F7283D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11.3.2</w:t>
      </w:r>
      <w:r>
        <w:rPr>
          <w:rFonts w:hint="eastAsia" w:ascii="宋体" w:hAnsi="宋体" w:eastAsia="宋体" w:cs="宋体"/>
          <w:sz w:val="24"/>
          <w:szCs w:val="24"/>
          <w:lang w:val="zh-CN"/>
        </w:rPr>
        <w:t>如果合同双方对乙方提供的上述试验结果报告的解释有分歧，双方须于出现分歧后</w:t>
      </w:r>
      <w:r>
        <w:rPr>
          <w:rFonts w:hint="eastAsia" w:ascii="宋体" w:hAnsi="宋体" w:eastAsia="宋体" w:cs="宋体"/>
          <w:sz w:val="24"/>
          <w:szCs w:val="24"/>
        </w:rPr>
        <w:t>10</w:t>
      </w:r>
      <w:r>
        <w:rPr>
          <w:rFonts w:hint="eastAsia" w:ascii="宋体" w:hAnsi="宋体" w:eastAsia="宋体" w:cs="宋体"/>
          <w:sz w:val="24"/>
          <w:szCs w:val="24"/>
          <w:lang w:val="zh-CN"/>
        </w:rPr>
        <w:t>天内给对方声明，以陈述己方的观点。声明须附有关证据。分歧应通过协商解决。</w:t>
      </w:r>
    </w:p>
    <w:p w14:paraId="75F317EF">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12.</w:t>
      </w:r>
      <w:r>
        <w:rPr>
          <w:rFonts w:hint="eastAsia" w:ascii="宋体" w:hAnsi="宋体" w:eastAsia="宋体" w:cs="宋体"/>
          <w:b/>
          <w:bCs/>
          <w:sz w:val="24"/>
          <w:szCs w:val="24"/>
          <w:lang w:val="zh-CN"/>
        </w:rPr>
        <w:t>付款条件</w:t>
      </w:r>
    </w:p>
    <w:p w14:paraId="7F269DE3">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本合同条款下的付款方法和条件在“青海省政府采购合同书”中具体规定。</w:t>
      </w:r>
    </w:p>
    <w:p w14:paraId="0755368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13.</w:t>
      </w:r>
      <w:r>
        <w:rPr>
          <w:rFonts w:hint="eastAsia" w:ascii="宋体" w:hAnsi="宋体" w:eastAsia="宋体" w:cs="宋体"/>
          <w:b/>
          <w:bCs/>
          <w:sz w:val="24"/>
          <w:szCs w:val="24"/>
          <w:lang w:val="zh-CN"/>
        </w:rPr>
        <w:t>履约保证金</w:t>
      </w:r>
    </w:p>
    <w:p w14:paraId="5FABC92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zh-CN"/>
        </w:rPr>
        <w:t>乙方应在合同签订前，按磋商文件的约定提交履约保证金。</w:t>
      </w:r>
    </w:p>
    <w:p w14:paraId="35F6A98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zh-CN"/>
        </w:rPr>
        <w:t>履约保证金用于补偿甲方因乙方不能履行其合同义务而蒙受的损失。</w:t>
      </w:r>
    </w:p>
    <w:p w14:paraId="4DDB129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lang w:val="zh-CN"/>
        </w:rPr>
        <w:t>履约保证金应使用本合同货币，按下述方式之一提交（磋商文件中另有约定的除外）：</w:t>
      </w:r>
    </w:p>
    <w:p w14:paraId="74FB7BFF">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13.3.1</w:t>
      </w:r>
      <w:r>
        <w:rPr>
          <w:rFonts w:hint="eastAsia" w:ascii="宋体" w:hAnsi="宋体" w:eastAsia="宋体" w:cs="宋体"/>
          <w:sz w:val="24"/>
          <w:szCs w:val="24"/>
          <w:lang w:val="zh-CN"/>
        </w:rPr>
        <w:t>甲方可接受的在中华人民共和国注册和营业的银行出具的履约保函；</w:t>
      </w:r>
    </w:p>
    <w:p w14:paraId="685CA43B">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13.3.2 </w:t>
      </w:r>
      <w:r>
        <w:rPr>
          <w:rFonts w:hint="eastAsia" w:ascii="宋体" w:hAnsi="宋体" w:eastAsia="宋体" w:cs="宋体"/>
          <w:sz w:val="24"/>
          <w:szCs w:val="24"/>
          <w:lang w:val="zh-CN"/>
        </w:rPr>
        <w:t>支票或汇票。</w:t>
      </w:r>
    </w:p>
    <w:p w14:paraId="13C7E2E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13.4</w:t>
      </w:r>
      <w:r>
        <w:rPr>
          <w:rFonts w:hint="eastAsia" w:ascii="宋体" w:hAnsi="宋体" w:eastAsia="宋体" w:cs="宋体"/>
          <w:sz w:val="24"/>
          <w:szCs w:val="24"/>
          <w:lang w:val="zh-CN"/>
        </w:rPr>
        <w:t>乙方未能按合同规定履行其义务，甲方有权从履约保证金中取得补偿。货物验收合格后，甲方将履约保证金退还乙方或转为质量保证金。</w:t>
      </w:r>
    </w:p>
    <w:p w14:paraId="3D9AC79D">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14.</w:t>
      </w:r>
      <w:r>
        <w:rPr>
          <w:rFonts w:hint="eastAsia" w:ascii="宋体" w:hAnsi="宋体" w:eastAsia="宋体" w:cs="宋体"/>
          <w:b/>
          <w:bCs/>
          <w:sz w:val="24"/>
          <w:szCs w:val="24"/>
          <w:lang w:val="zh-CN"/>
        </w:rPr>
        <w:t>索赔</w:t>
      </w:r>
    </w:p>
    <w:p w14:paraId="3CE135B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34A8DF8">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zh-CN"/>
        </w:rPr>
        <w:t>在履约保证期和检验期内，乙方对甲方提出的索赔负有责任，乙方应按照甲方同意的下列一种或多种方式解决索赔事宜：</w:t>
      </w:r>
    </w:p>
    <w:p w14:paraId="6CAE5B84">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14.2.1</w:t>
      </w:r>
      <w:r>
        <w:rPr>
          <w:rFonts w:hint="eastAsia" w:ascii="宋体" w:hAnsi="宋体" w:eastAsia="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6D19D3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14.2.2</w:t>
      </w:r>
      <w:r>
        <w:rPr>
          <w:rFonts w:hint="eastAsia" w:ascii="宋体" w:hAnsi="宋体" w:eastAsia="宋体" w:cs="宋体"/>
          <w:sz w:val="24"/>
          <w:szCs w:val="24"/>
          <w:lang w:val="zh-CN"/>
        </w:rPr>
        <w:t>根据货物低劣程度、损坏程度以及甲方所遭受损失的数额，经甲乙双方商定降低货物的价格，或由有资质的中介机构评估，以降低后的价格或评估价格为准。</w:t>
      </w:r>
    </w:p>
    <w:p w14:paraId="300F83A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14.2.3</w:t>
      </w:r>
      <w:r>
        <w:rPr>
          <w:rFonts w:hint="eastAsia" w:ascii="宋体" w:hAnsi="宋体" w:eastAsia="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F12D8D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zh-CN"/>
        </w:rPr>
        <w:t>乙方收到甲方发出的索赔通知之日起</w:t>
      </w:r>
      <w:r>
        <w:rPr>
          <w:rFonts w:hint="eastAsia" w:ascii="宋体" w:hAnsi="宋体" w:eastAsia="宋体" w:cs="宋体"/>
          <w:sz w:val="24"/>
          <w:szCs w:val="24"/>
        </w:rPr>
        <w:t>5</w:t>
      </w:r>
      <w:r>
        <w:rPr>
          <w:rFonts w:hint="eastAsia" w:ascii="宋体" w:hAnsi="宋体" w:eastAsia="宋体" w:cs="宋体"/>
          <w:sz w:val="24"/>
          <w:szCs w:val="24"/>
          <w:lang w:val="zh-CN"/>
        </w:rPr>
        <w:t>个工作日内未作答复的，甲方可从合同款或履约保证金中扣回索赔金额，如金额不足以补偿索赔金额，乙方应补足差额部分。</w:t>
      </w:r>
    </w:p>
    <w:p w14:paraId="3982B653">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15.</w:t>
      </w:r>
      <w:r>
        <w:rPr>
          <w:rFonts w:hint="eastAsia" w:ascii="宋体" w:hAnsi="宋体" w:eastAsia="宋体" w:cs="宋体"/>
          <w:b/>
          <w:bCs/>
          <w:sz w:val="24"/>
          <w:szCs w:val="24"/>
          <w:lang w:val="zh-CN"/>
        </w:rPr>
        <w:t>迟延交货</w:t>
      </w:r>
    </w:p>
    <w:p w14:paraId="5773A93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15.1 </w:t>
      </w:r>
      <w:r>
        <w:rPr>
          <w:rFonts w:hint="eastAsia" w:ascii="宋体" w:hAnsi="宋体" w:eastAsia="宋体" w:cs="宋体"/>
          <w:sz w:val="24"/>
          <w:szCs w:val="24"/>
          <w:lang w:val="zh-CN"/>
        </w:rPr>
        <w:t>乙方应按照合同约定的时间交货和提供服务。</w:t>
      </w:r>
    </w:p>
    <w:p w14:paraId="37ED46E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15.2 </w:t>
      </w:r>
      <w:r>
        <w:rPr>
          <w:rFonts w:hint="eastAsia" w:ascii="宋体" w:hAnsi="宋体" w:eastAsia="宋体" w:cs="宋体"/>
          <w:sz w:val="24"/>
          <w:szCs w:val="24"/>
          <w:lang w:val="zh-CN"/>
        </w:rPr>
        <w:t>除不可抗力因素外，乙方迟延交货，甲方有权提出违约损失赔偿或解除合同。</w:t>
      </w:r>
    </w:p>
    <w:p w14:paraId="18C9F3F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在履行合同过程中，乙方遇到不能按时交货和提供服务的情况，应及时以书面形式将不能按时交货的理由、预期延误时间通知甲方。甲方收到乙方通知后，认为其理由正当的，可酌情延长交货及完工时间。</w:t>
      </w:r>
    </w:p>
    <w:p w14:paraId="7219E05A">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违约赔偿</w:t>
      </w:r>
    </w:p>
    <w:p w14:paraId="09FE2DB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除不可抗力因素外，乙方没有按照合同规定的时间交货和提供服务，甲方可要求乙方支付违约金。违约金每日按合同总价款的千分之五计收。</w:t>
      </w:r>
    </w:p>
    <w:p w14:paraId="5088526B">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17.</w:t>
      </w:r>
      <w:r>
        <w:rPr>
          <w:rFonts w:hint="eastAsia" w:ascii="宋体" w:hAnsi="宋体" w:eastAsia="宋体" w:cs="宋体"/>
          <w:b/>
          <w:bCs/>
          <w:sz w:val="24"/>
          <w:szCs w:val="24"/>
          <w:lang w:val="zh-CN"/>
        </w:rPr>
        <w:t>不可抗力</w:t>
      </w:r>
    </w:p>
    <w:p w14:paraId="45603BC9">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zh-CN"/>
        </w:rPr>
        <w:t>双方中任何一方遭遇法律规定的不可抗力，致使合同履行受阻时，履行合同的期限应予延长，延长的期限应相当于不可抗力所影响的时间。</w:t>
      </w:r>
    </w:p>
    <w:p w14:paraId="20B2896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z w:val="24"/>
          <w:szCs w:val="24"/>
          <w:lang w:val="zh-CN"/>
        </w:rPr>
        <w:t>受事故影响的一方应在不可抗力的事故发生后以书面形式通知另一方。</w:t>
      </w:r>
    </w:p>
    <w:p w14:paraId="2C5E855D">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zh-CN"/>
        </w:rPr>
        <w:t>不可抗力使合同的某些内容有变更必要的，</w:t>
      </w:r>
      <w:r>
        <w:rPr>
          <w:rFonts w:hint="eastAsia" w:ascii="宋体" w:hAnsi="宋体" w:eastAsia="宋体" w:cs="宋体"/>
          <w:sz w:val="24"/>
          <w:szCs w:val="24"/>
        </w:rPr>
        <w:t xml:space="preserve"> </w:t>
      </w:r>
      <w:r>
        <w:rPr>
          <w:rFonts w:hint="eastAsia" w:ascii="宋体" w:hAnsi="宋体" w:eastAsia="宋体" w:cs="宋体"/>
          <w:sz w:val="24"/>
          <w:szCs w:val="24"/>
          <w:lang w:val="zh-CN"/>
        </w:rPr>
        <w:t>双方应通过协商达成进一步履行合同的协议，因不可抗力致使合同不能履行的，合同终止。</w:t>
      </w:r>
    </w:p>
    <w:p w14:paraId="006B3728">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18.</w:t>
      </w:r>
      <w:r>
        <w:rPr>
          <w:rFonts w:hint="eastAsia" w:ascii="宋体" w:hAnsi="宋体" w:eastAsia="宋体" w:cs="宋体"/>
          <w:b/>
          <w:bCs/>
          <w:sz w:val="24"/>
          <w:szCs w:val="24"/>
          <w:lang w:val="zh-CN"/>
        </w:rPr>
        <w:t>税费</w:t>
      </w:r>
    </w:p>
    <w:p w14:paraId="360EA426">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与本合同有关的一切税费均由乙方承担。</w:t>
      </w:r>
    </w:p>
    <w:p w14:paraId="5044CA3D">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19.</w:t>
      </w:r>
      <w:r>
        <w:rPr>
          <w:rFonts w:hint="eastAsia" w:ascii="宋体" w:hAnsi="宋体" w:eastAsia="宋体" w:cs="宋体"/>
          <w:b/>
          <w:bCs/>
          <w:sz w:val="24"/>
          <w:szCs w:val="24"/>
          <w:lang w:val="zh-CN"/>
        </w:rPr>
        <w:t>合同争议的解决</w:t>
      </w:r>
    </w:p>
    <w:p w14:paraId="35B56C7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19.1</w:t>
      </w:r>
      <w:r>
        <w:rPr>
          <w:rFonts w:hint="eastAsia" w:ascii="宋体" w:hAnsi="宋体" w:eastAsia="宋体" w:cs="宋体"/>
          <w:sz w:val="24"/>
          <w:szCs w:val="24"/>
          <w:lang w:val="zh-CN"/>
        </w:rPr>
        <w:t>甲方和乙方由于本合同的履行而发生任何争议时，双方可先通过协商解决。</w:t>
      </w:r>
    </w:p>
    <w:p w14:paraId="0E7F1E2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19.2</w:t>
      </w:r>
      <w:r>
        <w:rPr>
          <w:rFonts w:hint="eastAsia" w:ascii="宋体" w:hAnsi="宋体" w:eastAsia="宋体" w:cs="宋体"/>
          <w:sz w:val="24"/>
          <w:szCs w:val="24"/>
          <w:lang w:val="zh-CN"/>
        </w:rPr>
        <w:t>任何一方不愿通过协商或通过协商仍不能解决争议，则双方中任何一方均应向甲方所在地人民法院起诉。</w:t>
      </w:r>
    </w:p>
    <w:p w14:paraId="4508AE8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zh-CN"/>
        </w:rPr>
        <w:t>违约解除合同</w:t>
      </w:r>
    </w:p>
    <w:p w14:paraId="22C7711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zh-CN"/>
        </w:rPr>
        <w:t>出现下列情形之一的，视为乙方违约。甲方可向乙方发出书面通知，部分或全部终止合同，同时保留向乙方索赔的权利。</w:t>
      </w:r>
    </w:p>
    <w:p w14:paraId="1A39DAD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20.1.1</w:t>
      </w:r>
      <w:r>
        <w:rPr>
          <w:rFonts w:hint="eastAsia" w:ascii="宋体" w:hAnsi="宋体" w:eastAsia="宋体" w:cs="宋体"/>
          <w:sz w:val="24"/>
          <w:szCs w:val="24"/>
          <w:lang w:val="zh-CN"/>
        </w:rPr>
        <w:t>乙方未能在合同规定的限期或甲方同意延长的限期内，提供全部或部分货物的；</w:t>
      </w:r>
    </w:p>
    <w:p w14:paraId="0BE654C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20.1.2</w:t>
      </w:r>
      <w:r>
        <w:rPr>
          <w:rFonts w:hint="eastAsia" w:ascii="宋体" w:hAnsi="宋体" w:eastAsia="宋体" w:cs="宋体"/>
          <w:sz w:val="24"/>
          <w:szCs w:val="24"/>
          <w:lang w:val="zh-CN"/>
        </w:rPr>
        <w:t>乙方未能履行合同规定的其它主要义务的；</w:t>
      </w:r>
    </w:p>
    <w:p w14:paraId="43A6216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20.1.3</w:t>
      </w:r>
      <w:r>
        <w:rPr>
          <w:rFonts w:hint="eastAsia" w:ascii="宋体" w:hAnsi="宋体" w:eastAsia="宋体" w:cs="宋体"/>
          <w:sz w:val="24"/>
          <w:szCs w:val="24"/>
          <w:lang w:val="zh-CN"/>
        </w:rPr>
        <w:t>乙方在本合同履行过程中有欺诈行为的。</w:t>
      </w:r>
    </w:p>
    <w:p w14:paraId="09DE31AE">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B8711D8">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21.</w:t>
      </w:r>
      <w:r>
        <w:rPr>
          <w:rFonts w:hint="eastAsia" w:ascii="宋体" w:hAnsi="宋体" w:eastAsia="宋体" w:cs="宋体"/>
          <w:b/>
          <w:bCs/>
          <w:sz w:val="24"/>
          <w:szCs w:val="24"/>
          <w:lang w:val="zh-CN"/>
        </w:rPr>
        <w:t>破产终止合同</w:t>
      </w:r>
    </w:p>
    <w:p w14:paraId="3BCB0BCC">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594B3ED1">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22.</w:t>
      </w:r>
      <w:r>
        <w:rPr>
          <w:rFonts w:hint="eastAsia" w:ascii="宋体" w:hAnsi="宋体" w:eastAsia="宋体" w:cs="宋体"/>
          <w:b/>
          <w:bCs/>
          <w:sz w:val="24"/>
          <w:szCs w:val="24"/>
          <w:lang w:val="zh-CN"/>
        </w:rPr>
        <w:t>转让和分包</w:t>
      </w:r>
    </w:p>
    <w:p w14:paraId="46C3BA37">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zh-CN"/>
        </w:rPr>
        <w:t>政府采购合同不能转让。</w:t>
      </w:r>
    </w:p>
    <w:p w14:paraId="0580D91A">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C4D4C5F">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23.</w:t>
      </w:r>
      <w:r>
        <w:rPr>
          <w:rFonts w:hint="eastAsia" w:ascii="宋体" w:hAnsi="宋体" w:eastAsia="宋体" w:cs="宋体"/>
          <w:b/>
          <w:bCs/>
          <w:sz w:val="24"/>
          <w:szCs w:val="24"/>
          <w:lang w:val="zh-CN"/>
        </w:rPr>
        <w:t>合同修改</w:t>
      </w:r>
    </w:p>
    <w:p w14:paraId="3DAA4A42">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7D00475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24.</w:t>
      </w:r>
      <w:r>
        <w:rPr>
          <w:rFonts w:hint="eastAsia" w:ascii="宋体" w:hAnsi="宋体" w:eastAsia="宋体" w:cs="宋体"/>
          <w:b/>
          <w:bCs/>
          <w:sz w:val="24"/>
          <w:szCs w:val="24"/>
          <w:lang w:val="zh-CN"/>
        </w:rPr>
        <w:t>通知</w:t>
      </w:r>
    </w:p>
    <w:p w14:paraId="2EC68461">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本合同任何一方给另一方的通知，都应以书面形式发送，而另一方也应以书面形式确认并发送到对方明确的地址。</w:t>
      </w:r>
    </w:p>
    <w:p w14:paraId="40D43899">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25.</w:t>
      </w:r>
      <w:r>
        <w:rPr>
          <w:rFonts w:hint="eastAsia" w:ascii="宋体" w:hAnsi="宋体" w:eastAsia="宋体" w:cs="宋体"/>
          <w:b/>
          <w:bCs/>
          <w:sz w:val="24"/>
          <w:szCs w:val="24"/>
          <w:lang w:val="zh-CN"/>
        </w:rPr>
        <w:t>计量单位</w:t>
      </w:r>
    </w:p>
    <w:p w14:paraId="120837E5">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除技术规范中另有规定外</w:t>
      </w:r>
      <w:r>
        <w:rPr>
          <w:rFonts w:hint="eastAsia" w:ascii="宋体" w:hAnsi="宋体" w:eastAsia="宋体" w:cs="宋体"/>
          <w:sz w:val="24"/>
          <w:szCs w:val="24"/>
        </w:rPr>
        <w:t>,</w:t>
      </w:r>
      <w:r>
        <w:rPr>
          <w:rFonts w:hint="eastAsia" w:ascii="宋体" w:hAnsi="宋体" w:eastAsia="宋体" w:cs="宋体"/>
          <w:sz w:val="24"/>
          <w:szCs w:val="24"/>
          <w:lang w:val="zh-CN"/>
        </w:rPr>
        <w:t>计量单位均使用国家法定计量单位。</w:t>
      </w:r>
    </w:p>
    <w:p w14:paraId="0CEA2E6C">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26.</w:t>
      </w:r>
      <w:r>
        <w:rPr>
          <w:rFonts w:hint="eastAsia" w:ascii="宋体" w:hAnsi="宋体" w:eastAsia="宋体" w:cs="宋体"/>
          <w:b/>
          <w:bCs/>
          <w:sz w:val="24"/>
          <w:szCs w:val="24"/>
          <w:lang w:val="zh-CN"/>
        </w:rPr>
        <w:t>适用法律</w:t>
      </w:r>
    </w:p>
    <w:p w14:paraId="3B2329B8">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本合同按照中华人民共和国的相关法律进行解释。</w:t>
      </w:r>
    </w:p>
    <w:p w14:paraId="5CCCCC4A">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14:paraId="514E61D9">
      <w:pPr>
        <w:keepNext/>
        <w:keepLines/>
        <w:widowControl/>
        <w:snapToGrid w:val="0"/>
        <w:spacing w:line="360" w:lineRule="auto"/>
        <w:ind w:firstLine="0" w:firstLineChars="0"/>
        <w:jc w:val="center"/>
        <w:outlineLvl w:val="0"/>
        <w:rPr>
          <w:rFonts w:ascii="宋体" w:hAnsi="宋体" w:eastAsia="宋体" w:cs="宋体"/>
          <w:b/>
          <w:kern w:val="28"/>
          <w:sz w:val="36"/>
          <w:szCs w:val="20"/>
        </w:rPr>
      </w:pPr>
      <w:bookmarkStart w:id="147" w:name="_Toc12139"/>
      <w:r>
        <w:rPr>
          <w:rFonts w:hint="eastAsia" w:ascii="宋体" w:hAnsi="宋体" w:eastAsia="宋体" w:cs="宋体"/>
          <w:b/>
          <w:kern w:val="28"/>
          <w:sz w:val="36"/>
          <w:szCs w:val="20"/>
        </w:rPr>
        <w:t>第五部分  响应文件格式</w:t>
      </w:r>
      <w:bookmarkEnd w:id="147"/>
    </w:p>
    <w:p w14:paraId="0627C8BE">
      <w:pPr>
        <w:widowControl/>
        <w:snapToGrid w:val="0"/>
        <w:spacing w:line="360" w:lineRule="auto"/>
        <w:ind w:firstLine="0" w:firstLineChars="0"/>
        <w:outlineLvl w:val="1"/>
        <w:rPr>
          <w:rFonts w:ascii="宋体" w:hAnsi="宋体" w:eastAsia="宋体" w:cs="宋体"/>
          <w:b/>
          <w:sz w:val="28"/>
          <w:szCs w:val="28"/>
        </w:rPr>
      </w:pPr>
      <w:bookmarkStart w:id="148" w:name="_Toc9848"/>
      <w:bookmarkStart w:id="149" w:name="_Toc16431"/>
      <w:r>
        <w:rPr>
          <w:rFonts w:hint="eastAsia" w:ascii="宋体" w:hAnsi="宋体" w:eastAsia="宋体" w:cs="宋体"/>
          <w:b/>
          <w:sz w:val="28"/>
          <w:szCs w:val="28"/>
        </w:rPr>
        <w:t>附件1：响应文件封面</w:t>
      </w:r>
      <w:bookmarkEnd w:id="148"/>
      <w:bookmarkEnd w:id="149"/>
    </w:p>
    <w:p w14:paraId="7B5CD7D6">
      <w:pPr>
        <w:spacing w:line="360" w:lineRule="auto"/>
        <w:ind w:firstLine="0" w:firstLineChars="0"/>
        <w:rPr>
          <w:rFonts w:ascii="宋体" w:hAnsi="宋体" w:eastAsia="宋体" w:cs="宋体"/>
          <w:b/>
          <w:sz w:val="36"/>
          <w:szCs w:val="36"/>
        </w:rPr>
      </w:pPr>
    </w:p>
    <w:p w14:paraId="6EEAF4C2">
      <w:pPr>
        <w:spacing w:line="360" w:lineRule="auto"/>
        <w:ind w:firstLine="0" w:firstLineChars="0"/>
        <w:rPr>
          <w:rFonts w:ascii="宋体" w:hAnsi="宋体" w:eastAsia="宋体" w:cs="宋体"/>
          <w:b/>
          <w:sz w:val="36"/>
          <w:szCs w:val="36"/>
        </w:rPr>
      </w:pPr>
    </w:p>
    <w:p w14:paraId="75E7114B">
      <w:pPr>
        <w:spacing w:line="360" w:lineRule="auto"/>
        <w:ind w:firstLine="0" w:firstLineChars="0"/>
        <w:rPr>
          <w:rFonts w:ascii="宋体" w:hAnsi="宋体" w:eastAsia="宋体" w:cs="宋体"/>
          <w:b/>
          <w:sz w:val="36"/>
          <w:szCs w:val="36"/>
        </w:rPr>
      </w:pPr>
    </w:p>
    <w:p w14:paraId="5DBBC1E7">
      <w:pPr>
        <w:spacing w:line="360" w:lineRule="auto"/>
        <w:ind w:firstLine="2364" w:firstLineChars="327"/>
        <w:rPr>
          <w:rFonts w:ascii="宋体" w:hAnsi="宋体" w:eastAsia="宋体" w:cs="宋体"/>
          <w:b/>
          <w:sz w:val="72"/>
          <w:szCs w:val="72"/>
        </w:rPr>
      </w:pPr>
      <w:r>
        <w:rPr>
          <w:rFonts w:hint="eastAsia" w:ascii="宋体" w:hAnsi="宋体" w:eastAsia="宋体" w:cs="宋体"/>
          <w:b/>
          <w:sz w:val="72"/>
          <w:szCs w:val="72"/>
        </w:rPr>
        <w:t>响应文件</w:t>
      </w:r>
    </w:p>
    <w:p w14:paraId="105B8466">
      <w:pPr>
        <w:adjustRightInd w:val="0"/>
        <w:spacing w:line="360" w:lineRule="auto"/>
        <w:ind w:firstLine="0" w:firstLineChars="0"/>
        <w:textAlignment w:val="baseline"/>
        <w:rPr>
          <w:rFonts w:ascii="宋体" w:hAnsi="宋体" w:eastAsia="宋体" w:cs="宋体"/>
          <w:b/>
          <w:bCs/>
          <w:sz w:val="36"/>
          <w:szCs w:val="36"/>
        </w:rPr>
      </w:pPr>
    </w:p>
    <w:p w14:paraId="1F7D7342">
      <w:pPr>
        <w:adjustRightInd w:val="0"/>
        <w:spacing w:line="36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bCs/>
          <w:sz w:val="36"/>
          <w:szCs w:val="36"/>
        </w:rPr>
        <w:t>采购项目编号</w:t>
      </w:r>
      <w:r>
        <w:rPr>
          <w:rFonts w:hint="eastAsia" w:ascii="宋体" w:hAnsi="宋体" w:eastAsia="宋体" w:cs="宋体"/>
          <w:b/>
          <w:sz w:val="36"/>
          <w:szCs w:val="36"/>
        </w:rPr>
        <w:t>：</w:t>
      </w:r>
      <w:r>
        <w:rPr>
          <w:rFonts w:hint="eastAsia" w:ascii="宋体" w:hAnsi="宋体" w:eastAsia="宋体" w:cs="宋体"/>
          <w:b/>
          <w:sz w:val="36"/>
          <w:szCs w:val="36"/>
          <w:lang w:eastAsia="zh-CN"/>
        </w:rPr>
        <w:t>青海品冠竞磋（货物）2024-055</w:t>
      </w:r>
    </w:p>
    <w:p w14:paraId="4F52B0BC">
      <w:pPr>
        <w:adjustRightInd w:val="0"/>
        <w:spacing w:line="360" w:lineRule="auto"/>
        <w:ind w:left="2530" w:hanging="2530" w:hangingChars="700"/>
        <w:textAlignment w:val="baseline"/>
        <w:rPr>
          <w:rFonts w:hint="eastAsia" w:ascii="宋体" w:hAnsi="宋体" w:eastAsia="宋体" w:cs="宋体"/>
          <w:b/>
          <w:bCs/>
          <w:sz w:val="36"/>
          <w:szCs w:val="36"/>
          <w:lang w:eastAsia="zh-CN"/>
        </w:rPr>
      </w:pPr>
      <w:r>
        <w:rPr>
          <w:rFonts w:hint="eastAsia" w:ascii="宋体" w:hAnsi="宋体" w:eastAsia="宋体" w:cs="宋体"/>
          <w:b/>
          <w:bCs/>
          <w:sz w:val="36"/>
          <w:szCs w:val="36"/>
        </w:rPr>
        <w:t>采购项目名称：</w:t>
      </w:r>
      <w:r>
        <w:rPr>
          <w:rFonts w:hint="eastAsia" w:ascii="宋体" w:hAnsi="宋体" w:eastAsia="宋体" w:cs="宋体"/>
          <w:b/>
          <w:bCs/>
          <w:sz w:val="36"/>
          <w:szCs w:val="36"/>
          <w:lang w:eastAsia="zh-CN"/>
        </w:rPr>
        <w:t>曲麻莱县藏医院制剂室、检验室功能提升及妇幼保健中心配套设施建设项目</w:t>
      </w:r>
    </w:p>
    <w:p w14:paraId="5697FDD4">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供应商名称</w:t>
      </w:r>
      <w:r>
        <w:rPr>
          <w:rFonts w:hint="eastAsia" w:ascii="宋体" w:hAnsi="宋体" w:eastAsia="宋体" w:cs="宋体"/>
          <w:b/>
          <w:sz w:val="36"/>
          <w:szCs w:val="36"/>
        </w:rPr>
        <w:t>：</w:t>
      </w:r>
    </w:p>
    <w:p w14:paraId="03E92C6C">
      <w:pPr>
        <w:adjustRightInd w:val="0"/>
        <w:spacing w:line="360" w:lineRule="auto"/>
        <w:ind w:firstLine="0" w:firstLineChars="0"/>
        <w:textAlignment w:val="baseline"/>
        <w:rPr>
          <w:rFonts w:ascii="宋体" w:hAnsi="宋体" w:eastAsia="宋体" w:cs="宋体"/>
          <w:b/>
          <w:sz w:val="36"/>
          <w:szCs w:val="36"/>
        </w:rPr>
      </w:pPr>
    </w:p>
    <w:p w14:paraId="6DFE3AEA">
      <w:pPr>
        <w:spacing w:line="360" w:lineRule="auto"/>
        <w:ind w:firstLine="643"/>
        <w:jc w:val="center"/>
        <w:rPr>
          <w:rFonts w:ascii="宋体" w:hAnsi="宋体" w:eastAsia="宋体" w:cs="宋体"/>
          <w:b/>
          <w:sz w:val="32"/>
        </w:rPr>
      </w:pPr>
      <w:r>
        <w:rPr>
          <w:rFonts w:hint="eastAsia" w:ascii="宋体" w:hAnsi="宋体" w:eastAsia="宋体" w:cs="宋体"/>
          <w:b/>
          <w:sz w:val="32"/>
        </w:rPr>
        <w:t>供应商：</w:t>
      </w:r>
      <w:r>
        <w:rPr>
          <w:rFonts w:hint="eastAsia" w:ascii="宋体" w:hAnsi="宋体" w:eastAsia="宋体" w:cs="宋体"/>
          <w:sz w:val="28"/>
          <w:szCs w:val="28"/>
          <w:u w:val="single"/>
        </w:rPr>
        <w:t xml:space="preserve">       </w:t>
      </w:r>
      <w:r>
        <w:rPr>
          <w:rFonts w:hint="eastAsia" w:ascii="宋体" w:hAnsi="宋体" w:eastAsia="宋体" w:cs="宋体"/>
          <w:b/>
          <w:sz w:val="32"/>
        </w:rPr>
        <w:t>（公章）</w:t>
      </w:r>
    </w:p>
    <w:p w14:paraId="1FD219AB">
      <w:pPr>
        <w:spacing w:line="360" w:lineRule="auto"/>
        <w:ind w:firstLine="643"/>
        <w:jc w:val="center"/>
        <w:rPr>
          <w:rFonts w:ascii="宋体" w:hAnsi="宋体" w:eastAsia="宋体" w:cs="宋体"/>
          <w:b/>
          <w:sz w:val="32"/>
        </w:rPr>
      </w:pPr>
      <w:r>
        <w:rPr>
          <w:rFonts w:hint="eastAsia" w:ascii="宋体" w:hAnsi="宋体" w:eastAsia="宋体" w:cs="宋体"/>
          <w:b/>
          <w:sz w:val="32"/>
        </w:rPr>
        <w:t>法定代表人或委托代理人：</w:t>
      </w:r>
      <w:r>
        <w:rPr>
          <w:rFonts w:hint="eastAsia" w:ascii="宋体" w:hAnsi="宋体" w:eastAsia="宋体" w:cs="宋体"/>
          <w:sz w:val="28"/>
          <w:szCs w:val="28"/>
          <w:u w:val="single"/>
        </w:rPr>
        <w:t xml:space="preserve">       </w:t>
      </w:r>
      <w:r>
        <w:rPr>
          <w:rFonts w:hint="eastAsia" w:ascii="宋体" w:hAnsi="宋体" w:eastAsia="宋体" w:cs="宋体"/>
          <w:b/>
          <w:sz w:val="32"/>
        </w:rPr>
        <w:t>（签字或盖章）</w:t>
      </w:r>
    </w:p>
    <w:p w14:paraId="64C073CF">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t>年   月  日</w:t>
      </w:r>
    </w:p>
    <w:p w14:paraId="7E358C00">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br w:type="page"/>
      </w:r>
    </w:p>
    <w:p w14:paraId="16C87031">
      <w:pPr>
        <w:keepNext/>
        <w:pageBreakBefore/>
        <w:widowControl/>
        <w:spacing w:line="360" w:lineRule="auto"/>
        <w:ind w:firstLine="0" w:firstLineChars="0"/>
        <w:jc w:val="left"/>
        <w:outlineLvl w:val="1"/>
        <w:rPr>
          <w:rFonts w:ascii="宋体" w:hAnsi="宋体" w:eastAsia="宋体" w:cs="宋体"/>
          <w:b/>
          <w:sz w:val="24"/>
          <w:szCs w:val="24"/>
        </w:rPr>
      </w:pPr>
      <w:bookmarkStart w:id="150" w:name="_Toc30269"/>
      <w:bookmarkStart w:id="151" w:name="_Toc17238"/>
      <w:r>
        <w:rPr>
          <w:rFonts w:hint="eastAsia" w:ascii="宋体" w:hAnsi="宋体" w:eastAsia="宋体" w:cs="宋体"/>
          <w:b/>
          <w:sz w:val="24"/>
          <w:szCs w:val="24"/>
        </w:rPr>
        <w:t>附件2</w:t>
      </w:r>
      <w:bookmarkStart w:id="152" w:name="_Toc325726037"/>
      <w:bookmarkStart w:id="153" w:name="_Toc376936768"/>
      <w:r>
        <w:rPr>
          <w:rFonts w:hint="eastAsia" w:ascii="宋体" w:hAnsi="宋体" w:eastAsia="宋体" w:cs="宋体"/>
          <w:b/>
          <w:sz w:val="24"/>
          <w:szCs w:val="24"/>
        </w:rPr>
        <w:t>：磋商函</w:t>
      </w:r>
      <w:bookmarkEnd w:id="150"/>
      <w:bookmarkEnd w:id="151"/>
      <w:bookmarkEnd w:id="152"/>
      <w:bookmarkEnd w:id="153"/>
    </w:p>
    <w:p w14:paraId="5E89EFBF">
      <w:pPr>
        <w:spacing w:line="360" w:lineRule="auto"/>
        <w:ind w:firstLine="0" w:firstLineChars="0"/>
        <w:rPr>
          <w:rFonts w:ascii="宋体" w:hAnsi="宋体" w:eastAsia="宋体" w:cs="宋体"/>
          <w:b/>
          <w:sz w:val="24"/>
          <w:szCs w:val="24"/>
        </w:rPr>
      </w:pPr>
    </w:p>
    <w:p w14:paraId="565EC1A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磋商函</w:t>
      </w:r>
    </w:p>
    <w:p w14:paraId="2A7F5C76">
      <w:pPr>
        <w:spacing w:line="360" w:lineRule="auto"/>
        <w:ind w:firstLine="0" w:firstLineChars="0"/>
        <w:textAlignment w:val="baseline"/>
        <w:rPr>
          <w:rFonts w:ascii="宋体" w:hAnsi="宋体" w:eastAsia="宋体" w:cs="宋体"/>
          <w:b/>
          <w:sz w:val="24"/>
          <w:szCs w:val="24"/>
        </w:rPr>
      </w:pPr>
    </w:p>
    <w:p w14:paraId="0B3898FB">
      <w:pPr>
        <w:spacing w:line="360" w:lineRule="auto"/>
        <w:ind w:firstLine="0" w:firstLineChars="0"/>
        <w:textAlignment w:val="baseline"/>
        <w:rPr>
          <w:rFonts w:ascii="宋体" w:hAnsi="宋体" w:eastAsia="宋体" w:cs="宋体"/>
          <w:b/>
          <w:sz w:val="24"/>
          <w:szCs w:val="24"/>
        </w:rPr>
      </w:pPr>
      <w:r>
        <w:rPr>
          <w:rFonts w:hint="eastAsia" w:ascii="宋体" w:hAnsi="宋体" w:eastAsia="宋体" w:cs="宋体"/>
          <w:b/>
          <w:sz w:val="24"/>
          <w:szCs w:val="24"/>
        </w:rPr>
        <w:t>致：青海品冠招标代理有限公司</w:t>
      </w:r>
    </w:p>
    <w:p w14:paraId="1210D42C">
      <w:pPr>
        <w:spacing w:line="360" w:lineRule="auto"/>
        <w:ind w:firstLine="0" w:firstLineChars="0"/>
        <w:textAlignment w:val="baseline"/>
        <w:rPr>
          <w:rFonts w:ascii="宋体" w:hAnsi="宋体" w:eastAsia="宋体" w:cs="宋体"/>
          <w:sz w:val="24"/>
          <w:szCs w:val="24"/>
        </w:rPr>
      </w:pPr>
    </w:p>
    <w:p w14:paraId="386DCB6F">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我们收到</w:t>
      </w:r>
      <w:r>
        <w:rPr>
          <w:rFonts w:hint="eastAsia" w:ascii="宋体" w:hAnsi="宋体" w:eastAsia="宋体" w:cs="宋体"/>
          <w:sz w:val="24"/>
          <w:szCs w:val="24"/>
          <w:lang w:val="zh-CN"/>
        </w:rPr>
        <w:t>曲麻莱县藏医院制剂室、检验室功能提升及妇幼保健中心配套设施建设项目，</w:t>
      </w:r>
      <w:r>
        <w:rPr>
          <w:rFonts w:hint="eastAsia" w:ascii="宋体" w:hAnsi="宋体" w:eastAsia="宋体" w:cs="宋体"/>
          <w:sz w:val="24"/>
          <w:szCs w:val="24"/>
          <w:lang w:eastAsia="zh-CN"/>
        </w:rPr>
        <w:t>青海品冠竞磋（货物）2024-055</w:t>
      </w:r>
      <w:r>
        <w:rPr>
          <w:rFonts w:hint="eastAsia" w:ascii="宋体" w:hAnsi="宋体" w:eastAsia="宋体" w:cs="宋体"/>
          <w:sz w:val="24"/>
          <w:szCs w:val="24"/>
        </w:rPr>
        <w:t>磋商文件，经研究，法定代表人（姓名、职务）正式授权（委托代理人姓名、职务）代表供应商（供应商名称、地址）提交响应文件。</w:t>
      </w:r>
    </w:p>
    <w:p w14:paraId="0259EF2A">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据此函，签字代表宣布同意如下：</w:t>
      </w:r>
    </w:p>
    <w:p w14:paraId="147BB72B">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1、我方已详阅磋商文件的全部内容，包括澄清、修改条款等有关附件，承诺对其完全理解并接受。</w:t>
      </w:r>
    </w:p>
    <w:p w14:paraId="24857146">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2、磋商有效期自开标之日起</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个日历日内有效。如果在规定的磋商时间后，我方在磋商有效期内撤回投标或成交后不签约的，磋商保证金将被贵方没收。</w:t>
      </w:r>
    </w:p>
    <w:p w14:paraId="2A052969">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3、我方同意按照贵方要求提供与磋商有关的一切数据或资料，理解并接受贵方制定的评标办法。</w:t>
      </w:r>
    </w:p>
    <w:p w14:paraId="2326EF57">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4、与本磋商有关的一切正式往来通讯请寄：</w:t>
      </w:r>
    </w:p>
    <w:p w14:paraId="55CF6C0E">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地址：_______________        邮编：____________</w:t>
      </w:r>
    </w:p>
    <w:p w14:paraId="668A1D52">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电话：_______________        传真：____________</w:t>
      </w:r>
    </w:p>
    <w:p w14:paraId="7DCDAA6D">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法定代表人姓名： ___________ 职务：____________</w:t>
      </w:r>
    </w:p>
    <w:p w14:paraId="06B19442">
      <w:pPr>
        <w:spacing w:line="360" w:lineRule="auto"/>
        <w:ind w:firstLine="0" w:firstLineChars="0"/>
        <w:rPr>
          <w:rFonts w:ascii="宋体" w:hAnsi="宋体" w:eastAsia="宋体" w:cs="宋体"/>
          <w:sz w:val="24"/>
          <w:szCs w:val="24"/>
        </w:rPr>
      </w:pPr>
    </w:p>
    <w:p w14:paraId="0258524A">
      <w:pPr>
        <w:spacing w:line="360" w:lineRule="auto"/>
        <w:ind w:firstLine="0" w:firstLineChars="0"/>
        <w:textAlignment w:val="baseline"/>
        <w:rPr>
          <w:rFonts w:ascii="宋体" w:hAnsi="宋体" w:eastAsia="宋体" w:cs="宋体"/>
          <w:sz w:val="24"/>
          <w:szCs w:val="24"/>
        </w:rPr>
      </w:pPr>
    </w:p>
    <w:p w14:paraId="52CD28F1">
      <w:pPr>
        <w:spacing w:line="360" w:lineRule="auto"/>
        <w:ind w:firstLine="0" w:firstLineChars="0"/>
        <w:textAlignment w:val="baseline"/>
        <w:rPr>
          <w:rFonts w:ascii="宋体" w:hAnsi="宋体" w:eastAsia="宋体" w:cs="宋体"/>
          <w:sz w:val="24"/>
          <w:szCs w:val="24"/>
        </w:rPr>
      </w:pPr>
    </w:p>
    <w:p w14:paraId="5C0A8AA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41FF2661">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4014DE8F">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0A8EBE1A">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21C4852C">
      <w:pPr>
        <w:keepNext/>
        <w:pageBreakBefore/>
        <w:widowControl/>
        <w:spacing w:line="360" w:lineRule="auto"/>
        <w:ind w:firstLine="0" w:firstLineChars="0"/>
        <w:jc w:val="left"/>
        <w:outlineLvl w:val="1"/>
        <w:rPr>
          <w:rFonts w:ascii="宋体" w:hAnsi="宋体" w:eastAsia="宋体" w:cs="宋体"/>
          <w:b/>
          <w:sz w:val="24"/>
          <w:szCs w:val="24"/>
        </w:rPr>
      </w:pPr>
      <w:bookmarkStart w:id="154" w:name="_Toc26950"/>
      <w:bookmarkStart w:id="155" w:name="_Toc31069"/>
      <w:r>
        <w:rPr>
          <w:rFonts w:hint="eastAsia" w:ascii="宋体" w:hAnsi="宋体" w:eastAsia="宋体" w:cs="宋体"/>
          <w:b/>
          <w:sz w:val="24"/>
          <w:szCs w:val="24"/>
        </w:rPr>
        <w:t>附件3：投标报价一览表</w:t>
      </w:r>
      <w:bookmarkEnd w:id="154"/>
      <w:bookmarkEnd w:id="155"/>
    </w:p>
    <w:p w14:paraId="2DA118A5">
      <w:pPr>
        <w:spacing w:line="360" w:lineRule="auto"/>
        <w:ind w:firstLine="0" w:firstLineChars="0"/>
        <w:textAlignment w:val="baseline"/>
        <w:rPr>
          <w:rFonts w:ascii="宋体" w:hAnsi="宋体" w:eastAsia="宋体" w:cs="宋体"/>
          <w:sz w:val="24"/>
          <w:szCs w:val="24"/>
        </w:rPr>
      </w:pPr>
    </w:p>
    <w:p w14:paraId="47058C64">
      <w:pPr>
        <w:wordWrap w:val="0"/>
        <w:spacing w:line="360" w:lineRule="auto"/>
        <w:ind w:firstLine="0" w:firstLineChars="0"/>
        <w:jc w:val="center"/>
        <w:rPr>
          <w:rFonts w:ascii="宋体" w:hAnsi="宋体" w:eastAsia="宋体" w:cs="宋体"/>
          <w:b/>
          <w:sz w:val="24"/>
          <w:szCs w:val="24"/>
        </w:rPr>
      </w:pPr>
    </w:p>
    <w:p w14:paraId="66890EE3">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rPr>
        <w:t>投标报价</w:t>
      </w:r>
      <w:r>
        <w:rPr>
          <w:rFonts w:hint="eastAsia" w:ascii="宋体" w:hAnsi="宋体" w:eastAsia="宋体" w:cs="宋体"/>
          <w:b/>
          <w:bCs/>
          <w:sz w:val="24"/>
          <w:szCs w:val="24"/>
          <w:lang w:val="zh-CN"/>
        </w:rPr>
        <w:t>一览表</w:t>
      </w:r>
    </w:p>
    <w:p w14:paraId="54CEDC28">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1"/>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618C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77F02BC4">
            <w:pPr>
              <w:pStyle w:val="4"/>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5749" w:type="dxa"/>
            <w:vAlign w:val="center"/>
          </w:tcPr>
          <w:p w14:paraId="405A46AE">
            <w:pPr>
              <w:pStyle w:val="4"/>
              <w:spacing w:line="360" w:lineRule="auto"/>
              <w:ind w:firstLine="0" w:firstLineChars="0"/>
              <w:rPr>
                <w:rFonts w:ascii="宋体" w:hAnsi="宋体" w:eastAsia="宋体" w:cs="宋体"/>
                <w:sz w:val="24"/>
                <w:szCs w:val="24"/>
              </w:rPr>
            </w:pPr>
          </w:p>
        </w:tc>
      </w:tr>
      <w:tr w14:paraId="76F4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205ED0E7">
            <w:pPr>
              <w:pStyle w:val="4"/>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749" w:type="dxa"/>
            <w:vAlign w:val="center"/>
          </w:tcPr>
          <w:p w14:paraId="393036E2">
            <w:pPr>
              <w:pStyle w:val="4"/>
              <w:spacing w:line="360" w:lineRule="auto"/>
              <w:ind w:firstLine="0" w:firstLineChars="0"/>
              <w:rPr>
                <w:rFonts w:ascii="宋体" w:hAnsi="宋体" w:eastAsia="宋体" w:cs="宋体"/>
                <w:sz w:val="24"/>
                <w:szCs w:val="24"/>
              </w:rPr>
            </w:pPr>
          </w:p>
        </w:tc>
      </w:tr>
      <w:tr w14:paraId="5DDC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1191EDED">
            <w:pPr>
              <w:pStyle w:val="4"/>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tc>
        <w:tc>
          <w:tcPr>
            <w:tcW w:w="5749" w:type="dxa"/>
            <w:vAlign w:val="center"/>
          </w:tcPr>
          <w:p w14:paraId="04CE12D8">
            <w:pPr>
              <w:autoSpaceDE w:val="0"/>
              <w:autoSpaceDN w:val="0"/>
              <w:spacing w:line="360" w:lineRule="auto"/>
              <w:ind w:firstLine="0" w:firstLineChars="0"/>
              <w:rPr>
                <w:rFonts w:ascii="宋体" w:hAnsi="宋体" w:cs="宋体"/>
                <w:color w:val="000000"/>
                <w:lang w:val="zh-CN"/>
              </w:rPr>
            </w:pPr>
            <w:r>
              <w:rPr>
                <w:rFonts w:hint="eastAsia" w:ascii="宋体" w:hAnsi="宋体" w:cs="宋体"/>
                <w:color w:val="000000"/>
                <w:lang w:val="zh-CN"/>
              </w:rPr>
              <w:t>大写：</w:t>
            </w:r>
          </w:p>
          <w:p w14:paraId="4BE35C5F">
            <w:pPr>
              <w:pStyle w:val="4"/>
              <w:spacing w:line="360" w:lineRule="auto"/>
              <w:ind w:firstLine="0" w:firstLineChars="0"/>
              <w:rPr>
                <w:rFonts w:ascii="宋体" w:hAnsi="宋体" w:eastAsia="宋体" w:cs="宋体"/>
                <w:sz w:val="24"/>
                <w:szCs w:val="24"/>
              </w:rPr>
            </w:pPr>
            <w:r>
              <w:rPr>
                <w:rFonts w:hint="eastAsia" w:ascii="宋体" w:hAnsi="宋体" w:cs="宋体"/>
                <w:color w:val="000000"/>
                <w:szCs w:val="24"/>
                <w:lang w:val="zh-CN"/>
              </w:rPr>
              <w:t>小写：</w:t>
            </w:r>
          </w:p>
        </w:tc>
      </w:tr>
      <w:tr w14:paraId="5E0A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619333F4">
            <w:pPr>
              <w:pStyle w:val="4"/>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交货及安装时间</w:t>
            </w:r>
          </w:p>
        </w:tc>
        <w:tc>
          <w:tcPr>
            <w:tcW w:w="5749" w:type="dxa"/>
            <w:vAlign w:val="center"/>
          </w:tcPr>
          <w:p w14:paraId="059A8573">
            <w:pPr>
              <w:pStyle w:val="4"/>
              <w:spacing w:line="360" w:lineRule="auto"/>
              <w:ind w:firstLine="0" w:firstLineChars="0"/>
              <w:rPr>
                <w:rFonts w:ascii="宋体" w:hAnsi="宋体" w:eastAsia="宋体" w:cs="宋体"/>
                <w:sz w:val="24"/>
                <w:szCs w:val="24"/>
              </w:rPr>
            </w:pPr>
          </w:p>
        </w:tc>
      </w:tr>
      <w:tr w14:paraId="199E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72C64B04">
            <w:pPr>
              <w:pStyle w:val="4"/>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免费质保期</w:t>
            </w:r>
          </w:p>
        </w:tc>
        <w:tc>
          <w:tcPr>
            <w:tcW w:w="5749" w:type="dxa"/>
            <w:vAlign w:val="center"/>
          </w:tcPr>
          <w:p w14:paraId="6767EA38">
            <w:pPr>
              <w:pStyle w:val="4"/>
              <w:spacing w:line="360" w:lineRule="auto"/>
              <w:ind w:firstLine="0" w:firstLineChars="0"/>
              <w:rPr>
                <w:rFonts w:ascii="宋体" w:hAnsi="宋体" w:eastAsia="宋体" w:cs="宋体"/>
                <w:sz w:val="24"/>
                <w:szCs w:val="24"/>
                <w:lang w:val="zh-CN"/>
              </w:rPr>
            </w:pPr>
          </w:p>
        </w:tc>
      </w:tr>
      <w:tr w14:paraId="35D2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14:paraId="43D4914F">
            <w:pPr>
              <w:pStyle w:val="4"/>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优惠承诺及其他：</w:t>
            </w:r>
          </w:p>
          <w:p w14:paraId="66BCDCA2">
            <w:pPr>
              <w:pStyle w:val="4"/>
              <w:spacing w:line="360" w:lineRule="auto"/>
              <w:ind w:firstLine="0" w:firstLineChars="0"/>
              <w:rPr>
                <w:rFonts w:ascii="宋体" w:hAnsi="宋体" w:eastAsia="宋体" w:cs="宋体"/>
                <w:sz w:val="24"/>
                <w:szCs w:val="24"/>
                <w:lang w:val="zh-CN"/>
              </w:rPr>
            </w:pPr>
          </w:p>
          <w:p w14:paraId="166F6CBB">
            <w:pPr>
              <w:pStyle w:val="4"/>
              <w:spacing w:line="360" w:lineRule="auto"/>
              <w:ind w:firstLine="0" w:firstLineChars="0"/>
              <w:rPr>
                <w:rFonts w:ascii="宋体" w:hAnsi="宋体" w:eastAsia="宋体" w:cs="宋体"/>
                <w:sz w:val="24"/>
                <w:szCs w:val="24"/>
                <w:lang w:val="zh-CN"/>
              </w:rPr>
            </w:pPr>
          </w:p>
        </w:tc>
      </w:tr>
    </w:tbl>
    <w:p w14:paraId="2E09D156">
      <w:pPr>
        <w:spacing w:line="360" w:lineRule="auto"/>
        <w:ind w:firstLine="0" w:firstLineChars="0"/>
        <w:rPr>
          <w:rFonts w:ascii="宋体" w:hAnsi="宋体" w:eastAsia="宋体" w:cs="宋体"/>
          <w:sz w:val="24"/>
          <w:szCs w:val="24"/>
        </w:rPr>
      </w:pPr>
    </w:p>
    <w:p w14:paraId="379A6729">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注：投标报价</w:t>
      </w:r>
      <w:r>
        <w:rPr>
          <w:rFonts w:hint="eastAsia" w:ascii="宋体" w:hAnsi="宋体" w:eastAsia="宋体" w:cs="宋体"/>
          <w:sz w:val="24"/>
          <w:szCs w:val="24"/>
          <w:lang w:val="zh-CN"/>
        </w:rPr>
        <w:t>包括产品费、验收费、手续费、包装费、运输费、保险费、安装费、调试费、培训费、售前、售中、售后服务费、招标代理费、税金及不可预见费等全部费用</w:t>
      </w:r>
    </w:p>
    <w:p w14:paraId="182CC652">
      <w:pPr>
        <w:spacing w:line="360" w:lineRule="auto"/>
        <w:ind w:firstLine="0" w:firstLineChars="0"/>
        <w:textAlignment w:val="baseline"/>
        <w:rPr>
          <w:rFonts w:ascii="宋体" w:hAnsi="宋体" w:eastAsia="宋体" w:cs="宋体"/>
          <w:sz w:val="24"/>
          <w:szCs w:val="24"/>
        </w:rPr>
      </w:pPr>
    </w:p>
    <w:p w14:paraId="77BBF81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379C8AA0">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5BD61A9C">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2EACAFC4">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61CCCE6F">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lang w:val="zh-CN"/>
        </w:rPr>
        <w:t>分项报价表</w:t>
      </w:r>
    </w:p>
    <w:p w14:paraId="2FBD393E">
      <w:pPr>
        <w:autoSpaceDE w:val="0"/>
        <w:autoSpaceDN w:val="0"/>
        <w:spacing w:line="360" w:lineRule="auto"/>
        <w:ind w:firstLine="0" w:firstLineChars="0"/>
        <w:rPr>
          <w:rFonts w:ascii="宋体" w:hAnsi="宋体" w:eastAsia="宋体" w:cs="宋体"/>
          <w:b/>
          <w:bCs/>
          <w:sz w:val="24"/>
          <w:szCs w:val="24"/>
          <w:lang w:val="zh-CN"/>
        </w:rPr>
      </w:pPr>
    </w:p>
    <w:p w14:paraId="7FB7CB1A">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1"/>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124CF1B1">
        <w:tblPrEx>
          <w:tblCellMar>
            <w:top w:w="0" w:type="dxa"/>
            <w:left w:w="28" w:type="dxa"/>
            <w:bottom w:w="0" w:type="dxa"/>
            <w:right w:w="28" w:type="dxa"/>
          </w:tblCellMar>
        </w:tblPrEx>
        <w:trPr>
          <w:trHeight w:val="567"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233246B9">
            <w:pPr>
              <w:pStyle w:val="7"/>
              <w:ind w:firstLine="0" w:firstLineChars="0"/>
              <w:rPr>
                <w:rFonts w:hint="eastAsia" w:ascii="宋体" w:hAnsi="宋体" w:eastAsia="宋体" w:cs="宋体"/>
                <w:lang w:val="zh-CN"/>
              </w:rPr>
            </w:pPr>
            <w:r>
              <w:rPr>
                <w:rFonts w:hint="eastAsia" w:ascii="宋体" w:hAnsi="宋体" w:eastAsia="宋体" w:cs="宋体"/>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1AE58B6A">
            <w:pPr>
              <w:pStyle w:val="7"/>
              <w:ind w:firstLine="0" w:firstLineChars="0"/>
              <w:rPr>
                <w:rFonts w:hint="eastAsia" w:ascii="宋体" w:hAnsi="宋体" w:eastAsia="宋体" w:cs="宋体"/>
                <w:lang w:val="zh-CN"/>
              </w:rPr>
            </w:pPr>
            <w:r>
              <w:rPr>
                <w:rFonts w:hint="eastAsia" w:ascii="宋体" w:hAnsi="宋体" w:eastAsia="宋体" w:cs="宋体"/>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4026DC87">
            <w:pPr>
              <w:pStyle w:val="7"/>
              <w:ind w:firstLine="0" w:firstLineChars="0"/>
              <w:rPr>
                <w:lang w:val="zh-CN"/>
              </w:rPr>
            </w:pPr>
            <w:r>
              <w:rPr>
                <w:rFonts w:hint="eastAsia"/>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0AC28B74">
            <w:pPr>
              <w:pStyle w:val="7"/>
              <w:ind w:firstLine="0" w:firstLineChars="0"/>
              <w:rPr>
                <w:lang w:val="zh-CN"/>
              </w:rPr>
            </w:pPr>
            <w:r>
              <w:rPr>
                <w:rFonts w:hint="eastAsia"/>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3272EDD6">
            <w:pPr>
              <w:pStyle w:val="7"/>
              <w:ind w:firstLine="0" w:firstLineChars="0"/>
              <w:rPr>
                <w:lang w:val="zh-CN"/>
              </w:rPr>
            </w:pPr>
            <w:r>
              <w:rPr>
                <w:rFonts w:hint="eastAsia"/>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4AD6E2B5">
            <w:pPr>
              <w:pStyle w:val="7"/>
              <w:ind w:firstLine="0" w:firstLineChars="0"/>
              <w:rPr>
                <w:lang w:val="zh-CN"/>
              </w:rPr>
            </w:pPr>
            <w:r>
              <w:rPr>
                <w:rFonts w:hint="eastAsia"/>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71F18DD2">
            <w:pPr>
              <w:pStyle w:val="7"/>
              <w:ind w:firstLine="0" w:firstLineChars="0"/>
              <w:rPr>
                <w:lang w:val="zh-CN"/>
              </w:rPr>
            </w:pPr>
            <w:r>
              <w:rPr>
                <w:rFonts w:hint="eastAsia"/>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70F68724">
            <w:pPr>
              <w:pStyle w:val="7"/>
              <w:ind w:firstLine="0" w:firstLineChars="0"/>
              <w:rPr>
                <w:lang w:val="zh-CN"/>
              </w:rPr>
            </w:pPr>
            <w:r>
              <w:rPr>
                <w:rFonts w:hint="eastAsia"/>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5E652AA8">
            <w:pPr>
              <w:pStyle w:val="7"/>
              <w:ind w:firstLine="0" w:firstLineChars="0"/>
              <w:rPr>
                <w:lang w:val="zh-CN"/>
              </w:rPr>
            </w:pPr>
            <w:r>
              <w:rPr>
                <w:rFonts w:hint="eastAsia"/>
                <w:lang w:val="zh-CN"/>
              </w:rPr>
              <w:t>免费质保期</w:t>
            </w:r>
          </w:p>
        </w:tc>
      </w:tr>
      <w:tr w14:paraId="5D26305A">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8B8D830">
            <w:pPr>
              <w:pStyle w:val="7"/>
              <w:ind w:firstLine="0" w:firstLineChars="0"/>
              <w:rPr>
                <w:rFonts w:hint="eastAsia" w:ascii="宋体" w:hAnsi="宋体" w:eastAsia="宋体" w:cs="宋体"/>
                <w:lang w:val="zh-CN"/>
              </w:rPr>
            </w:pPr>
            <w:r>
              <w:rPr>
                <w:rFonts w:hint="eastAsia" w:ascii="宋体" w:hAnsi="宋体" w:eastAsia="宋体" w:cs="宋体"/>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363FC08F">
            <w:pPr>
              <w:pStyle w:val="7"/>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72C6D4E">
            <w:pPr>
              <w:pStyle w:val="7"/>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37F4827B">
            <w:pPr>
              <w:pStyle w:val="7"/>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064F32A">
            <w:pPr>
              <w:pStyle w:val="7"/>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5C86CFD1">
            <w:pPr>
              <w:pStyle w:val="7"/>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BDBD3E1">
            <w:pPr>
              <w:pStyle w:val="7"/>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024AE0E7">
            <w:pPr>
              <w:pStyle w:val="7"/>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5C69295">
            <w:pPr>
              <w:pStyle w:val="7"/>
              <w:ind w:firstLine="480"/>
              <w:rPr>
                <w:lang w:val="zh-CN"/>
              </w:rPr>
            </w:pPr>
          </w:p>
        </w:tc>
      </w:tr>
      <w:tr w14:paraId="246ADEF1">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CE23566">
            <w:pPr>
              <w:pStyle w:val="7"/>
              <w:ind w:firstLine="0" w:firstLineChars="0"/>
              <w:rPr>
                <w:rFonts w:hint="eastAsia" w:ascii="宋体" w:hAnsi="宋体" w:eastAsia="宋体" w:cs="宋体"/>
                <w:lang w:val="zh-CN"/>
              </w:rPr>
            </w:pPr>
            <w:r>
              <w:rPr>
                <w:rFonts w:hint="eastAsia" w:ascii="宋体" w:hAnsi="宋体" w:eastAsia="宋体" w:cs="宋体"/>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6EEAD5E0">
            <w:pPr>
              <w:pStyle w:val="7"/>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CB0FBC5">
            <w:pPr>
              <w:pStyle w:val="7"/>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717E578">
            <w:pPr>
              <w:pStyle w:val="7"/>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F122338">
            <w:pPr>
              <w:pStyle w:val="7"/>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7616A8DD">
            <w:pPr>
              <w:pStyle w:val="7"/>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26B8B1D6">
            <w:pPr>
              <w:pStyle w:val="7"/>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2FDBD8F8">
            <w:pPr>
              <w:pStyle w:val="7"/>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F7DAEC0">
            <w:pPr>
              <w:pStyle w:val="7"/>
              <w:ind w:firstLine="480"/>
              <w:rPr>
                <w:lang w:val="zh-CN"/>
              </w:rPr>
            </w:pPr>
          </w:p>
        </w:tc>
      </w:tr>
      <w:tr w14:paraId="561524FA">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7D6B1DA">
            <w:pPr>
              <w:pStyle w:val="7"/>
              <w:ind w:firstLine="0" w:firstLineChars="0"/>
              <w:rPr>
                <w:rFonts w:hint="eastAsia" w:ascii="宋体" w:hAnsi="宋体" w:eastAsia="宋体" w:cs="宋体"/>
                <w:lang w:val="zh-CN"/>
              </w:rPr>
            </w:pPr>
            <w:r>
              <w:rPr>
                <w:rFonts w:hint="eastAsia" w:ascii="宋体" w:hAnsi="宋体" w:eastAsia="宋体" w:cs="宋体"/>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691D5D3B">
            <w:pPr>
              <w:pStyle w:val="7"/>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D76C7DF">
            <w:pPr>
              <w:pStyle w:val="7"/>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3AA66B8A">
            <w:pPr>
              <w:pStyle w:val="7"/>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71F211B4">
            <w:pPr>
              <w:pStyle w:val="7"/>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D8EC16E">
            <w:pPr>
              <w:pStyle w:val="7"/>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41663941">
            <w:pPr>
              <w:pStyle w:val="7"/>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8047AB6">
            <w:pPr>
              <w:pStyle w:val="7"/>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3F279C3">
            <w:pPr>
              <w:pStyle w:val="7"/>
              <w:ind w:firstLine="480"/>
              <w:rPr>
                <w:lang w:val="zh-CN"/>
              </w:rPr>
            </w:pPr>
          </w:p>
        </w:tc>
      </w:tr>
      <w:tr w14:paraId="7C6713E2">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B7192AD">
            <w:pPr>
              <w:pStyle w:val="7"/>
              <w:ind w:firstLine="0" w:firstLineChars="0"/>
              <w:rPr>
                <w:rFonts w:hint="eastAsia" w:ascii="宋体" w:hAnsi="宋体" w:eastAsia="宋体" w:cs="宋体"/>
                <w:lang w:val="zh-CN"/>
              </w:rPr>
            </w:pPr>
            <w:r>
              <w:rPr>
                <w:rFonts w:hint="eastAsia" w:ascii="宋体" w:hAnsi="宋体" w:eastAsia="宋体" w:cs="宋体"/>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4425A8DB">
            <w:pPr>
              <w:pStyle w:val="7"/>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00CC8EC">
            <w:pPr>
              <w:pStyle w:val="7"/>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421AEAD5">
            <w:pPr>
              <w:pStyle w:val="7"/>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33FFDC9A">
            <w:pPr>
              <w:pStyle w:val="7"/>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557E5CBE">
            <w:pPr>
              <w:pStyle w:val="7"/>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21FBC16C">
            <w:pPr>
              <w:pStyle w:val="7"/>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DA41EF5">
            <w:pPr>
              <w:pStyle w:val="7"/>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E3174AE">
            <w:pPr>
              <w:pStyle w:val="7"/>
              <w:ind w:firstLine="480"/>
              <w:rPr>
                <w:lang w:val="zh-CN"/>
              </w:rPr>
            </w:pPr>
          </w:p>
        </w:tc>
      </w:tr>
      <w:tr w14:paraId="69EF284C">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D3113E5">
            <w:pPr>
              <w:pStyle w:val="7"/>
              <w:ind w:firstLine="0" w:firstLineChars="0"/>
              <w:rPr>
                <w:rFonts w:hint="eastAsia" w:ascii="宋体" w:hAnsi="宋体" w:eastAsia="宋体" w:cs="宋体"/>
                <w:lang w:val="zh-CN"/>
              </w:rPr>
            </w:pPr>
            <w:r>
              <w:rPr>
                <w:rFonts w:hint="eastAsia" w:ascii="宋体" w:hAnsi="宋体" w:eastAsia="宋体" w:cs="宋体"/>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2C0A5DB0">
            <w:pPr>
              <w:pStyle w:val="7"/>
              <w:ind w:firstLine="480"/>
              <w:rPr>
                <w:rFonts w:hint="eastAsia" w:ascii="宋体" w:hAnsi="宋体" w:eastAsia="宋体" w:cs="宋体"/>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995C8EA">
            <w:pPr>
              <w:pStyle w:val="7"/>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0355EFE">
            <w:pPr>
              <w:pStyle w:val="7"/>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58082E2">
            <w:pPr>
              <w:pStyle w:val="7"/>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1BF966C5">
            <w:pPr>
              <w:pStyle w:val="7"/>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BB2C663">
            <w:pPr>
              <w:pStyle w:val="7"/>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2F764736">
            <w:pPr>
              <w:pStyle w:val="7"/>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E44B501">
            <w:pPr>
              <w:pStyle w:val="7"/>
              <w:ind w:firstLine="480"/>
              <w:rPr>
                <w:lang w:val="zh-CN"/>
              </w:rPr>
            </w:pPr>
          </w:p>
        </w:tc>
      </w:tr>
      <w:tr w14:paraId="60D6EA77">
        <w:tblPrEx>
          <w:tblCellMar>
            <w:top w:w="0" w:type="dxa"/>
            <w:left w:w="28" w:type="dxa"/>
            <w:bottom w:w="0" w:type="dxa"/>
            <w:right w:w="28" w:type="dxa"/>
          </w:tblCellMar>
        </w:tblPrEx>
        <w:trPr>
          <w:trHeight w:val="567"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4D1AC458">
            <w:pPr>
              <w:pStyle w:val="7"/>
              <w:ind w:firstLine="480"/>
              <w:rPr>
                <w:lang w:val="zh-CN"/>
              </w:rPr>
            </w:pPr>
            <w:r>
              <w:rPr>
                <w:rFonts w:hint="eastAsia"/>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326FFC4C">
            <w:pPr>
              <w:pStyle w:val="7"/>
              <w:ind w:firstLine="480"/>
              <w:rPr>
                <w:lang w:val="zh-CN"/>
              </w:rPr>
            </w:pPr>
            <w:r>
              <w:rPr>
                <w:rFonts w:hint="eastAsia"/>
                <w:lang w:val="zh-CN"/>
              </w:rPr>
              <w:t>大写：</w:t>
            </w:r>
          </w:p>
          <w:p w14:paraId="38D5C91F">
            <w:pPr>
              <w:pStyle w:val="7"/>
              <w:ind w:firstLine="480"/>
              <w:rPr>
                <w:lang w:val="zh-CN"/>
              </w:rPr>
            </w:pPr>
            <w:r>
              <w:rPr>
                <w:rFonts w:hint="eastAsia"/>
                <w:lang w:val="zh-CN"/>
              </w:rPr>
              <w:t>小写：</w:t>
            </w:r>
          </w:p>
        </w:tc>
      </w:tr>
    </w:tbl>
    <w:p w14:paraId="41278513">
      <w:pPr>
        <w:pStyle w:val="7"/>
        <w:ind w:firstLine="480"/>
        <w:rPr>
          <w:lang w:val="zh-CN"/>
        </w:rPr>
      </w:pPr>
    </w:p>
    <w:p w14:paraId="0F55C2C5">
      <w:pPr>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sz w:val="24"/>
          <w:szCs w:val="24"/>
          <w:lang w:val="zh-CN"/>
        </w:rPr>
        <w:t>本表应按照</w:t>
      </w:r>
      <w:r>
        <w:rPr>
          <w:rFonts w:hint="eastAsia" w:ascii="宋体" w:hAnsi="宋体" w:eastAsia="宋体" w:cs="宋体"/>
          <w:sz w:val="24"/>
          <w:szCs w:val="24"/>
        </w:rPr>
        <w:t>第六部分</w:t>
      </w:r>
      <w:r>
        <w:rPr>
          <w:rFonts w:hint="eastAsia" w:ascii="宋体" w:hAnsi="宋体" w:eastAsia="宋体" w:cs="宋体"/>
          <w:sz w:val="24"/>
          <w:szCs w:val="24"/>
          <w:lang w:val="zh-CN"/>
        </w:rPr>
        <w:t>“采购项目要求及技术参数”中的产品序号按顺序逐项填写，不得遗漏，</w:t>
      </w:r>
      <w:r>
        <w:rPr>
          <w:rFonts w:hint="eastAsia" w:ascii="宋体" w:hAnsi="宋体" w:eastAsia="宋体" w:cs="宋体"/>
          <w:sz w:val="24"/>
          <w:szCs w:val="24"/>
        </w:rPr>
        <w:t>否则，按无效投标处理</w:t>
      </w:r>
      <w:r>
        <w:rPr>
          <w:rFonts w:hint="eastAsia" w:ascii="宋体" w:hAnsi="宋体" w:eastAsia="宋体" w:cs="宋体"/>
          <w:sz w:val="24"/>
          <w:szCs w:val="24"/>
          <w:lang w:val="zh-CN"/>
        </w:rPr>
        <w:t>。</w:t>
      </w:r>
    </w:p>
    <w:p w14:paraId="5C83A15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eastAsia="宋体" w:cs="宋体"/>
          <w:sz w:val="24"/>
          <w:szCs w:val="24"/>
          <w:lang w:val="zh-CN"/>
        </w:rPr>
        <w:t>投标报价不能有两个或两个以上的报价方案。</w:t>
      </w:r>
    </w:p>
    <w:p w14:paraId="1A9917D9">
      <w:pPr>
        <w:spacing w:line="360" w:lineRule="auto"/>
        <w:ind w:firstLine="0" w:firstLineChars="0"/>
        <w:rPr>
          <w:rFonts w:ascii="宋体" w:hAnsi="宋体" w:eastAsia="宋体" w:cs="宋体"/>
          <w:sz w:val="24"/>
          <w:szCs w:val="24"/>
        </w:rPr>
      </w:pPr>
    </w:p>
    <w:p w14:paraId="0F2F98E1">
      <w:pPr>
        <w:pStyle w:val="7"/>
        <w:ind w:firstLine="480"/>
      </w:pPr>
    </w:p>
    <w:p w14:paraId="5BC66BB3">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1D19F49D">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7DC96F4D">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0EE307C1">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5F947DE3">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技术规格响应表</w:t>
      </w:r>
    </w:p>
    <w:p w14:paraId="55E945F9">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r>
        <w:rPr>
          <w:rFonts w:hint="eastAsia" w:ascii="宋体" w:hAnsi="宋体" w:eastAsia="宋体" w:cs="宋体"/>
          <w:b/>
          <w:bCs/>
          <w:sz w:val="24"/>
          <w:szCs w:val="24"/>
        </w:rPr>
        <w:t xml:space="preserve">：                                               </w:t>
      </w:r>
    </w:p>
    <w:tbl>
      <w:tblPr>
        <w:tblStyle w:val="21"/>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14:paraId="22DF4629">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0DC4F9F">
            <w:pPr>
              <w:autoSpaceDE w:val="0"/>
              <w:autoSpaceDN w:val="0"/>
              <w:spacing w:line="360" w:lineRule="auto"/>
              <w:ind w:firstLine="0" w:firstLineChars="0"/>
              <w:jc w:val="center"/>
              <w:rPr>
                <w:rFonts w:ascii="宋体" w:hAnsi="宋体" w:eastAsia="宋体" w:cs="宋体"/>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5EACC24F">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06CE143E">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21A435B6">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偏离</w:t>
            </w:r>
          </w:p>
        </w:tc>
      </w:tr>
      <w:tr w14:paraId="5195669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6C1B988">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748DA6B5">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1FEF83BD">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1F428E72">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6B096C61">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3E8D799A">
            <w:pPr>
              <w:autoSpaceDE w:val="0"/>
              <w:autoSpaceDN w:val="0"/>
              <w:spacing w:line="360" w:lineRule="auto"/>
              <w:ind w:firstLine="0" w:firstLineChars="0"/>
              <w:jc w:val="center"/>
              <w:rPr>
                <w:rFonts w:ascii="宋体" w:hAnsi="宋体" w:eastAsia="宋体" w:cs="宋体"/>
                <w:sz w:val="24"/>
                <w:szCs w:val="24"/>
                <w:lang w:val="zh-CN"/>
              </w:rPr>
            </w:pPr>
          </w:p>
        </w:tc>
      </w:tr>
      <w:tr w14:paraId="4BCD40A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20C9447">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67A963EC">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2F3056D3">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4FBD9CB">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1098AEB7">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4AED3994">
            <w:pPr>
              <w:autoSpaceDE w:val="0"/>
              <w:autoSpaceDN w:val="0"/>
              <w:spacing w:line="360" w:lineRule="auto"/>
              <w:ind w:firstLine="0" w:firstLineChars="0"/>
              <w:jc w:val="center"/>
              <w:rPr>
                <w:rFonts w:ascii="宋体" w:hAnsi="宋体" w:eastAsia="宋体" w:cs="宋体"/>
                <w:sz w:val="24"/>
                <w:szCs w:val="24"/>
                <w:lang w:val="zh-CN"/>
              </w:rPr>
            </w:pPr>
          </w:p>
        </w:tc>
      </w:tr>
      <w:tr w14:paraId="01C6E24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0B9EFC3">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18E05C2C">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1F5AE64F">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766BF71B">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3D7CB34C">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3A12DF45">
            <w:pPr>
              <w:autoSpaceDE w:val="0"/>
              <w:autoSpaceDN w:val="0"/>
              <w:spacing w:line="360" w:lineRule="auto"/>
              <w:ind w:firstLine="0" w:firstLineChars="0"/>
              <w:jc w:val="center"/>
              <w:rPr>
                <w:rFonts w:ascii="宋体" w:hAnsi="宋体" w:eastAsia="宋体" w:cs="宋体"/>
                <w:sz w:val="24"/>
                <w:szCs w:val="24"/>
                <w:lang w:val="zh-CN"/>
              </w:rPr>
            </w:pPr>
          </w:p>
        </w:tc>
      </w:tr>
      <w:tr w14:paraId="5FD5FDD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F26D701">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39597ADA">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4ADEE3F6">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2F174F39">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3CC8C296">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7D476811">
            <w:pPr>
              <w:autoSpaceDE w:val="0"/>
              <w:autoSpaceDN w:val="0"/>
              <w:spacing w:line="360" w:lineRule="auto"/>
              <w:ind w:firstLine="0" w:firstLineChars="0"/>
              <w:jc w:val="center"/>
              <w:rPr>
                <w:rFonts w:ascii="宋体" w:hAnsi="宋体" w:eastAsia="宋体" w:cs="宋体"/>
                <w:sz w:val="24"/>
                <w:szCs w:val="24"/>
                <w:lang w:val="zh-CN"/>
              </w:rPr>
            </w:pPr>
          </w:p>
        </w:tc>
      </w:tr>
    </w:tbl>
    <w:p w14:paraId="319D3CE7">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注：1.本表应按照每包“采购项目要求及技术参数”中产品序号的指标逐项填写，不得遗漏。</w:t>
      </w:r>
    </w:p>
    <w:p w14:paraId="73C960D9">
      <w:pPr>
        <w:numPr>
          <w:ilvl w:val="0"/>
          <w:numId w:val="3"/>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“采购项目要求及技术参数”必须与响应文件中提供的</w:t>
      </w:r>
      <w:r>
        <w:rPr>
          <w:rFonts w:hint="eastAsia" w:ascii="宋体" w:hAnsi="宋体" w:eastAsia="宋体" w:cs="宋体"/>
          <w:sz w:val="24"/>
          <w:szCs w:val="24"/>
        </w:rPr>
        <w:t>证明材料（</w:t>
      </w:r>
      <w:r>
        <w:rPr>
          <w:rFonts w:hint="eastAsia" w:ascii="宋体" w:hAnsi="宋体" w:eastAsia="宋体" w:cs="宋体"/>
          <w:sz w:val="24"/>
          <w:szCs w:val="24"/>
          <w:lang w:val="zh-CN"/>
        </w:rPr>
        <w:t>产品检测报告</w:t>
      </w:r>
      <w:r>
        <w:rPr>
          <w:rFonts w:hint="eastAsia" w:ascii="宋体" w:hAnsi="宋体" w:eastAsia="宋体" w:cs="宋体"/>
          <w:sz w:val="24"/>
          <w:szCs w:val="24"/>
          <w:lang w:val="en-US" w:eastAsia="zh-CN"/>
        </w:rPr>
        <w:t>或</w:t>
      </w:r>
      <w:r>
        <w:rPr>
          <w:rFonts w:hint="eastAsia" w:hAnsi="宋体" w:eastAsia="宋体" w:cs="宋体"/>
          <w:sz w:val="24"/>
          <w:szCs w:val="24"/>
          <w:lang w:val="en-US" w:eastAsia="zh-CN"/>
        </w:rPr>
        <w:t>彩页（技术白皮书）</w:t>
      </w:r>
      <w:r>
        <w:rPr>
          <w:rFonts w:hint="eastAsia" w:ascii="宋体" w:hAnsi="宋体" w:eastAsia="宋体" w:cs="宋体"/>
          <w:sz w:val="24"/>
          <w:szCs w:val="24"/>
          <w:lang w:val="zh-CN"/>
        </w:rPr>
        <w:t>等证明材料的实质性响应情况相一致。若在评标环节发现该项与响应文件中提供的</w:t>
      </w:r>
      <w:r>
        <w:rPr>
          <w:rFonts w:hint="eastAsia" w:ascii="宋体" w:hAnsi="宋体" w:eastAsia="宋体" w:cs="宋体"/>
          <w:sz w:val="24"/>
          <w:szCs w:val="24"/>
        </w:rPr>
        <w:t>相关证明材料（</w:t>
      </w:r>
      <w:r>
        <w:rPr>
          <w:rFonts w:hint="eastAsia" w:ascii="宋体" w:hAnsi="宋体" w:eastAsia="宋体" w:cs="宋体"/>
          <w:sz w:val="24"/>
          <w:szCs w:val="24"/>
          <w:lang w:val="zh-CN"/>
        </w:rPr>
        <w:t>产品检测报告</w:t>
      </w:r>
      <w:r>
        <w:rPr>
          <w:rFonts w:hint="eastAsia" w:ascii="宋体" w:hAnsi="宋体" w:eastAsia="宋体" w:cs="宋体"/>
          <w:sz w:val="24"/>
          <w:szCs w:val="24"/>
          <w:lang w:val="en-US" w:eastAsia="zh-CN"/>
        </w:rPr>
        <w:t>或</w:t>
      </w:r>
      <w:r>
        <w:rPr>
          <w:rFonts w:hint="eastAsia" w:hAnsi="宋体" w:eastAsia="宋体" w:cs="宋体"/>
          <w:sz w:val="24"/>
          <w:szCs w:val="24"/>
          <w:lang w:val="en-US" w:eastAsia="zh-CN"/>
        </w:rPr>
        <w:t>彩页（技术白皮书</w:t>
      </w:r>
      <w:r>
        <w:rPr>
          <w:rFonts w:hint="eastAsia" w:ascii="宋体" w:hAnsi="宋体" w:eastAsia="宋体" w:cs="宋体"/>
          <w:sz w:val="24"/>
          <w:szCs w:val="24"/>
        </w:rPr>
        <w:t>）</w:t>
      </w:r>
      <w:r>
        <w:rPr>
          <w:rFonts w:hint="eastAsia" w:ascii="宋体" w:hAnsi="宋体" w:eastAsia="宋体" w:cs="宋体"/>
          <w:sz w:val="24"/>
          <w:szCs w:val="24"/>
          <w:lang w:val="zh-CN"/>
        </w:rPr>
        <w:t>等证明材料的实质性响应情况不一致或直接复制磋商文件“采购项目要求及技术参数”内容的，按无效投标处理。</w:t>
      </w:r>
    </w:p>
    <w:p w14:paraId="7BC1B753">
      <w:pPr>
        <w:numPr>
          <w:ilvl w:val="0"/>
          <w:numId w:val="3"/>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填写此表时以招标项目参数要求为基本投标要求，满足招标项目参数要求的指标需列出“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”；超出、不满足招标项目参数要求的指标需列出“+”、“-”偏差，并做出详细说明；如果只注明“+”、“-”或未填写，将视为该项指标不响应。</w:t>
      </w:r>
    </w:p>
    <w:p w14:paraId="1C1F12C8">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.供应商响应采购需求应具体、明确，含糊不清、不确切或伪造、编造证明材料的，按照实质性不响应处理。对伪造、编造证明材料的，将报送采购监管部门查处。</w:t>
      </w:r>
    </w:p>
    <w:p w14:paraId="5392D09D">
      <w:pPr>
        <w:autoSpaceDE w:val="0"/>
        <w:autoSpaceDN w:val="0"/>
        <w:spacing w:line="360" w:lineRule="auto"/>
        <w:ind w:firstLine="480"/>
        <w:rPr>
          <w:rFonts w:ascii="宋体" w:hAnsi="宋体" w:eastAsia="宋体" w:cs="宋体"/>
          <w:sz w:val="24"/>
          <w:szCs w:val="24"/>
          <w:lang w:val="zh-CN"/>
        </w:rPr>
      </w:pPr>
    </w:p>
    <w:p w14:paraId="7EF07389">
      <w:pPr>
        <w:autoSpaceDE w:val="0"/>
        <w:autoSpaceDN w:val="0"/>
        <w:spacing w:line="360" w:lineRule="auto"/>
        <w:ind w:firstLine="480"/>
        <w:rPr>
          <w:rFonts w:ascii="宋体" w:hAnsi="宋体" w:eastAsia="宋体" w:cs="宋体"/>
          <w:sz w:val="24"/>
          <w:szCs w:val="24"/>
          <w:lang w:val="zh-CN"/>
        </w:rPr>
      </w:pPr>
    </w:p>
    <w:p w14:paraId="49147C7C">
      <w:pPr>
        <w:pStyle w:val="10"/>
        <w:ind w:firstLine="480"/>
        <w:rPr>
          <w:rFonts w:hAnsi="宋体" w:eastAsia="宋体" w:cs="宋体"/>
          <w:sz w:val="24"/>
          <w:szCs w:val="24"/>
          <w:lang w:val="zh-CN"/>
        </w:rPr>
      </w:pPr>
    </w:p>
    <w:p w14:paraId="0BF2891E">
      <w:pPr>
        <w:pStyle w:val="10"/>
        <w:ind w:firstLine="480"/>
        <w:rPr>
          <w:rFonts w:hAnsi="宋体" w:eastAsia="宋体" w:cs="宋体"/>
          <w:sz w:val="24"/>
          <w:szCs w:val="24"/>
          <w:lang w:val="zh-CN"/>
        </w:rPr>
      </w:pPr>
    </w:p>
    <w:p w14:paraId="0D048112">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 xml:space="preserve">供应商：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（公章）</w:t>
      </w:r>
    </w:p>
    <w:p w14:paraId="07C4B2AA">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法定代表人或委托代理人：        （签字）</w:t>
      </w:r>
    </w:p>
    <w:p w14:paraId="440301D4">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bCs/>
          <w:sz w:val="24"/>
          <w:szCs w:val="24"/>
          <w:lang w:val="zh-CN"/>
        </w:rPr>
        <w:t xml:space="preserve">年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月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日</w:t>
      </w:r>
      <w:r>
        <w:rPr>
          <w:rFonts w:hint="eastAsia" w:ascii="宋体" w:hAnsi="宋体" w:eastAsia="宋体" w:cs="宋体"/>
          <w:b/>
          <w:sz w:val="24"/>
          <w:szCs w:val="24"/>
        </w:rPr>
        <w:br w:type="page"/>
      </w:r>
    </w:p>
    <w:p w14:paraId="3435C406">
      <w:pPr>
        <w:keepNext/>
        <w:pageBreakBefore/>
        <w:widowControl/>
        <w:spacing w:line="360" w:lineRule="auto"/>
        <w:ind w:firstLine="0" w:firstLineChars="0"/>
        <w:outlineLvl w:val="1"/>
        <w:rPr>
          <w:rFonts w:ascii="宋体" w:hAnsi="宋体" w:eastAsia="宋体" w:cs="宋体"/>
          <w:b/>
          <w:sz w:val="24"/>
          <w:szCs w:val="24"/>
        </w:rPr>
      </w:pPr>
      <w:bookmarkStart w:id="156" w:name="_Toc14675"/>
      <w:bookmarkStart w:id="157" w:name="_Toc13693"/>
      <w:r>
        <w:rPr>
          <w:rFonts w:hint="eastAsia" w:ascii="宋体" w:hAnsi="宋体" w:eastAsia="宋体" w:cs="宋体"/>
          <w:b/>
          <w:sz w:val="24"/>
          <w:szCs w:val="24"/>
        </w:rPr>
        <w:t>附件</w:t>
      </w:r>
      <w:bookmarkStart w:id="158" w:name="_Toc376936774"/>
      <w:bookmarkStart w:id="159" w:name="_Toc325726043"/>
      <w:r>
        <w:rPr>
          <w:rFonts w:hint="eastAsia" w:ascii="宋体" w:hAnsi="宋体" w:eastAsia="宋体" w:cs="宋体"/>
          <w:b/>
          <w:sz w:val="24"/>
          <w:szCs w:val="24"/>
        </w:rPr>
        <w:t>4：法定代表人证明书</w:t>
      </w:r>
      <w:bookmarkEnd w:id="156"/>
      <w:bookmarkEnd w:id="157"/>
      <w:bookmarkEnd w:id="158"/>
      <w:bookmarkEnd w:id="159"/>
    </w:p>
    <w:p w14:paraId="23B3AC2E">
      <w:pPr>
        <w:spacing w:line="360" w:lineRule="auto"/>
        <w:ind w:firstLine="0" w:firstLineChars="0"/>
        <w:jc w:val="center"/>
        <w:rPr>
          <w:rFonts w:ascii="宋体" w:hAnsi="宋体" w:eastAsia="宋体" w:cs="宋体"/>
          <w:b/>
          <w:bCs/>
          <w:sz w:val="24"/>
          <w:szCs w:val="24"/>
        </w:rPr>
      </w:pPr>
    </w:p>
    <w:p w14:paraId="01E6C322">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法定代表人证明书</w:t>
      </w:r>
    </w:p>
    <w:p w14:paraId="4A73A51C">
      <w:pPr>
        <w:spacing w:line="360" w:lineRule="auto"/>
        <w:ind w:firstLine="0" w:firstLineChars="0"/>
        <w:rPr>
          <w:rFonts w:ascii="宋体" w:hAnsi="宋体" w:eastAsia="宋体" w:cs="宋体"/>
          <w:b/>
          <w:bCs/>
          <w:sz w:val="24"/>
          <w:szCs w:val="24"/>
        </w:rPr>
      </w:pPr>
    </w:p>
    <w:p w14:paraId="3A208108">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361EEAC8">
      <w:pPr>
        <w:autoSpaceDE w:val="0"/>
        <w:autoSpaceDN w:val="0"/>
        <w:spacing w:line="360" w:lineRule="auto"/>
        <w:ind w:firstLine="0" w:firstLineChars="0"/>
        <w:jc w:val="left"/>
        <w:rPr>
          <w:rFonts w:ascii="宋体" w:hAnsi="宋体" w:eastAsia="宋体" w:cs="宋体"/>
          <w:sz w:val="24"/>
          <w:szCs w:val="24"/>
        </w:rPr>
      </w:pPr>
    </w:p>
    <w:p w14:paraId="7095B89F">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14:paraId="69F86BB6">
      <w:pPr>
        <w:autoSpaceDE w:val="0"/>
        <w:autoSpaceDN w:val="0"/>
        <w:spacing w:line="360" w:lineRule="auto"/>
        <w:ind w:firstLine="0" w:firstLineChars="0"/>
        <w:jc w:val="left"/>
        <w:rPr>
          <w:rFonts w:ascii="宋体" w:hAnsi="宋体" w:eastAsia="宋体" w:cs="宋体"/>
          <w:sz w:val="24"/>
          <w:szCs w:val="24"/>
        </w:rPr>
      </w:pPr>
    </w:p>
    <w:p w14:paraId="0A9C7699">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法定代表人基本情况：</w:t>
      </w:r>
    </w:p>
    <w:p w14:paraId="74524890">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民族：</w:t>
      </w:r>
      <w:r>
        <w:rPr>
          <w:rFonts w:hint="eastAsia" w:ascii="宋体" w:hAnsi="宋体" w:eastAsia="宋体" w:cs="宋体"/>
          <w:sz w:val="24"/>
          <w:szCs w:val="24"/>
          <w:u w:val="single"/>
        </w:rPr>
        <w:t xml:space="preserve">     </w:t>
      </w:r>
    </w:p>
    <w:p w14:paraId="2613533A">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577FD38F">
      <w:pPr>
        <w:autoSpaceDE w:val="0"/>
        <w:autoSpaceDN w:val="0"/>
        <w:spacing w:line="360" w:lineRule="auto"/>
        <w:ind w:firstLine="0" w:firstLineChars="0"/>
        <w:jc w:val="left"/>
        <w:rPr>
          <w:rFonts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15CF1E71">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附法定代表人第二代身份证双面扫描（或复印）件</w:t>
      </w:r>
    </w:p>
    <w:p w14:paraId="708D0261">
      <w:pPr>
        <w:autoSpaceDE w:val="0"/>
        <w:autoSpaceDN w:val="0"/>
        <w:spacing w:line="360" w:lineRule="auto"/>
        <w:ind w:firstLine="0" w:firstLineChars="0"/>
        <w:jc w:val="left"/>
        <w:rPr>
          <w:rFonts w:ascii="宋体" w:hAnsi="宋体" w:eastAsia="宋体" w:cs="宋体"/>
          <w:sz w:val="24"/>
          <w:szCs w:val="24"/>
        </w:rPr>
      </w:pPr>
    </w:p>
    <w:p w14:paraId="3DEAF75C">
      <w:pPr>
        <w:autoSpaceDE w:val="0"/>
        <w:autoSpaceDN w:val="0"/>
        <w:spacing w:line="360" w:lineRule="auto"/>
        <w:ind w:firstLine="0" w:firstLineChars="0"/>
        <w:jc w:val="left"/>
        <w:rPr>
          <w:rFonts w:ascii="宋体" w:hAnsi="宋体" w:eastAsia="宋体" w:cs="宋体"/>
          <w:sz w:val="24"/>
          <w:szCs w:val="24"/>
        </w:rPr>
      </w:pPr>
    </w:p>
    <w:p w14:paraId="23290D27">
      <w:pPr>
        <w:pStyle w:val="10"/>
        <w:ind w:firstLine="480"/>
        <w:rPr>
          <w:rFonts w:hAnsi="宋体" w:eastAsia="宋体" w:cs="宋体"/>
          <w:sz w:val="24"/>
          <w:szCs w:val="24"/>
        </w:rPr>
      </w:pPr>
    </w:p>
    <w:p w14:paraId="56039B9F">
      <w:pPr>
        <w:pStyle w:val="10"/>
        <w:ind w:firstLine="480"/>
        <w:rPr>
          <w:rFonts w:hAnsi="宋体" w:eastAsia="宋体" w:cs="宋体"/>
          <w:sz w:val="24"/>
          <w:szCs w:val="24"/>
        </w:rPr>
      </w:pPr>
    </w:p>
    <w:p w14:paraId="20982F32">
      <w:pPr>
        <w:autoSpaceDE w:val="0"/>
        <w:autoSpaceDN w:val="0"/>
        <w:spacing w:line="360" w:lineRule="auto"/>
        <w:ind w:firstLine="0" w:firstLineChars="0"/>
        <w:jc w:val="left"/>
        <w:rPr>
          <w:rFonts w:ascii="宋体" w:hAnsi="宋体" w:eastAsia="宋体" w:cs="宋体"/>
          <w:sz w:val="24"/>
          <w:szCs w:val="24"/>
        </w:rPr>
      </w:pPr>
    </w:p>
    <w:p w14:paraId="4CF43BE2">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43BD4E80">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0145D2DF">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7FE0CED2">
      <w:pPr>
        <w:keepNext/>
        <w:pageBreakBefore/>
        <w:widowControl/>
        <w:spacing w:line="360" w:lineRule="auto"/>
        <w:ind w:firstLine="0" w:firstLineChars="0"/>
        <w:outlineLvl w:val="1"/>
        <w:rPr>
          <w:rFonts w:ascii="宋体" w:hAnsi="宋体" w:eastAsia="宋体" w:cs="宋体"/>
          <w:b/>
          <w:sz w:val="24"/>
          <w:szCs w:val="24"/>
        </w:rPr>
      </w:pPr>
      <w:bookmarkStart w:id="160" w:name="_Toc201287639"/>
      <w:bookmarkStart w:id="161" w:name="_Toc324756736"/>
      <w:bookmarkStart w:id="162" w:name="_Toc31614"/>
      <w:bookmarkStart w:id="163" w:name="_Toc29201"/>
      <w:r>
        <w:rPr>
          <w:rFonts w:hint="eastAsia" w:ascii="宋体" w:hAnsi="宋体" w:eastAsia="宋体" w:cs="宋体"/>
          <w:b/>
          <w:sz w:val="24"/>
          <w:szCs w:val="24"/>
        </w:rPr>
        <w:t>附件</w:t>
      </w:r>
      <w:bookmarkEnd w:id="160"/>
      <w:bookmarkEnd w:id="161"/>
      <w:r>
        <w:rPr>
          <w:rFonts w:hint="eastAsia" w:ascii="宋体" w:hAnsi="宋体" w:eastAsia="宋体" w:cs="宋体"/>
          <w:b/>
          <w:sz w:val="24"/>
          <w:szCs w:val="24"/>
        </w:rPr>
        <w:t>5：法定代表人授权书</w:t>
      </w:r>
      <w:bookmarkEnd w:id="162"/>
      <w:bookmarkEnd w:id="163"/>
    </w:p>
    <w:p w14:paraId="62A31AFD">
      <w:pPr>
        <w:spacing w:line="360" w:lineRule="auto"/>
        <w:ind w:firstLine="0" w:firstLineChars="0"/>
        <w:rPr>
          <w:rFonts w:ascii="宋体" w:hAnsi="宋体" w:eastAsia="宋体" w:cs="宋体"/>
          <w:b/>
          <w:sz w:val="24"/>
          <w:szCs w:val="24"/>
        </w:rPr>
      </w:pPr>
    </w:p>
    <w:p w14:paraId="2DB03D6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法定代表人授权书</w:t>
      </w:r>
    </w:p>
    <w:p w14:paraId="13A755B6">
      <w:pPr>
        <w:spacing w:line="360" w:lineRule="auto"/>
        <w:ind w:firstLine="0" w:firstLineChars="0"/>
        <w:rPr>
          <w:rFonts w:ascii="宋体" w:hAnsi="宋体" w:eastAsia="宋体" w:cs="宋体"/>
          <w:b/>
          <w:bCs/>
          <w:sz w:val="24"/>
          <w:szCs w:val="24"/>
        </w:rPr>
      </w:pPr>
    </w:p>
    <w:p w14:paraId="688452F9">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171BD5FF">
      <w:pPr>
        <w:spacing w:line="360" w:lineRule="auto"/>
        <w:ind w:firstLine="0" w:firstLineChars="0"/>
        <w:rPr>
          <w:rFonts w:ascii="宋体" w:hAnsi="宋体" w:eastAsia="宋体" w:cs="宋体"/>
          <w:sz w:val="24"/>
          <w:szCs w:val="24"/>
          <w:u w:val="single"/>
        </w:rPr>
      </w:pPr>
    </w:p>
    <w:p w14:paraId="62C7B4D8">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系中华人民共和国合法企业，法定地址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6DDC18F">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特授权</w:t>
      </w:r>
      <w:r>
        <w:rPr>
          <w:rFonts w:hint="eastAsia" w:ascii="宋体" w:hAnsi="宋体" w:eastAsia="宋体" w:cs="宋体"/>
          <w:sz w:val="24"/>
          <w:szCs w:val="24"/>
          <w:u w:val="single"/>
        </w:rPr>
        <w:t xml:space="preserve"> （委托代理人姓名）    </w:t>
      </w:r>
      <w:r>
        <w:rPr>
          <w:rFonts w:hint="eastAsia" w:ascii="宋体" w:hAnsi="宋体" w:eastAsia="宋体" w:cs="宋体"/>
          <w:sz w:val="24"/>
          <w:szCs w:val="24"/>
        </w:rPr>
        <w:t>代表我单位全权办理针对</w:t>
      </w:r>
      <w:r>
        <w:rPr>
          <w:rFonts w:hint="eastAsia" w:ascii="宋体" w:hAnsi="宋体" w:eastAsia="宋体" w:cs="宋体"/>
          <w:sz w:val="24"/>
          <w:szCs w:val="24"/>
          <w:u w:val="single"/>
        </w:rPr>
        <w:t xml:space="preserve">              </w:t>
      </w:r>
      <w:r>
        <w:rPr>
          <w:rFonts w:hint="eastAsia" w:ascii="宋体" w:hAnsi="宋体" w:eastAsia="宋体" w:cs="宋体"/>
          <w:sz w:val="24"/>
          <w:szCs w:val="24"/>
        </w:rPr>
        <w:t>项目的磋商、答疑等具体工作，并签署全部有关的文件、资料。</w:t>
      </w:r>
    </w:p>
    <w:p w14:paraId="04FEE25C">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我单位对被授权人的签名负全部责任。</w:t>
      </w:r>
    </w:p>
    <w:p w14:paraId="53F94D8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在撤销授权的书面通知以前，本授权书一直有效，被授权人签署的所有文件（在授权书有效期内签署的）不因授权的撤销而失效。</w:t>
      </w:r>
    </w:p>
    <w:p w14:paraId="70CD0974">
      <w:pPr>
        <w:spacing w:line="360" w:lineRule="auto"/>
        <w:ind w:firstLine="0" w:firstLineChars="0"/>
        <w:rPr>
          <w:rFonts w:ascii="宋体" w:hAnsi="宋体" w:eastAsia="宋体" w:cs="宋体"/>
          <w:sz w:val="24"/>
          <w:szCs w:val="24"/>
        </w:rPr>
      </w:pPr>
    </w:p>
    <w:p w14:paraId="1ECBD27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授权期限：同磋商有效期</w:t>
      </w:r>
    </w:p>
    <w:p w14:paraId="1588BE1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被授权人联系电话：</w:t>
      </w:r>
      <w:r>
        <w:rPr>
          <w:rFonts w:hint="eastAsia" w:ascii="宋体" w:hAnsi="宋体" w:eastAsia="宋体" w:cs="宋体"/>
          <w:sz w:val="24"/>
          <w:szCs w:val="24"/>
          <w:u w:val="single"/>
        </w:rPr>
        <w:t xml:space="preserve">           </w:t>
      </w:r>
    </w:p>
    <w:p w14:paraId="1300F906">
      <w:pPr>
        <w:spacing w:line="360" w:lineRule="auto"/>
        <w:ind w:firstLine="0" w:firstLineChars="0"/>
        <w:rPr>
          <w:rFonts w:ascii="宋体" w:hAnsi="宋体" w:eastAsia="宋体" w:cs="宋体"/>
          <w:sz w:val="24"/>
          <w:szCs w:val="24"/>
        </w:rPr>
      </w:pPr>
    </w:p>
    <w:p w14:paraId="604E2798">
      <w:pPr>
        <w:spacing w:line="360" w:lineRule="auto"/>
        <w:ind w:firstLine="0" w:firstLineChars="0"/>
        <w:rPr>
          <w:rFonts w:ascii="宋体" w:hAnsi="宋体" w:eastAsia="宋体" w:cs="宋体"/>
          <w:sz w:val="24"/>
          <w:szCs w:val="24"/>
        </w:rPr>
      </w:pPr>
    </w:p>
    <w:p w14:paraId="5AD14655">
      <w:pPr>
        <w:spacing w:line="360" w:lineRule="auto"/>
        <w:ind w:firstLine="0" w:firstLineChars="0"/>
        <w:rPr>
          <w:rFonts w:ascii="宋体" w:hAnsi="宋体" w:eastAsia="宋体" w:cs="宋体"/>
          <w:sz w:val="24"/>
          <w:szCs w:val="24"/>
          <w:u w:val="single"/>
        </w:rPr>
      </w:pPr>
      <w:r>
        <w:rPr>
          <w:rFonts w:hint="eastAsia" w:ascii="宋体" w:hAnsi="宋体" w:eastAsia="宋体" w:cs="宋体"/>
          <w:sz w:val="24"/>
          <w:szCs w:val="24"/>
        </w:rPr>
        <w:t>被授权人（委托代理人）签字：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授权人（法定代表人）签字：</w:t>
      </w:r>
      <w:r>
        <w:rPr>
          <w:rFonts w:hint="eastAsia" w:ascii="宋体" w:hAnsi="宋体" w:eastAsia="宋体" w:cs="宋体"/>
          <w:sz w:val="24"/>
          <w:szCs w:val="24"/>
          <w:u w:val="single"/>
        </w:rPr>
        <w:t xml:space="preserve">      </w:t>
      </w:r>
    </w:p>
    <w:p w14:paraId="59D9130B">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p>
    <w:p w14:paraId="04FD167C">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附被授权人第二代身份证双面扫描（或复印）件</w:t>
      </w:r>
    </w:p>
    <w:p w14:paraId="0FA3E106">
      <w:pPr>
        <w:spacing w:line="360" w:lineRule="auto"/>
        <w:ind w:firstLine="0" w:firstLineChars="0"/>
        <w:rPr>
          <w:rFonts w:ascii="宋体" w:hAnsi="宋体" w:eastAsia="宋体" w:cs="宋体"/>
          <w:sz w:val="24"/>
          <w:szCs w:val="24"/>
        </w:rPr>
      </w:pPr>
    </w:p>
    <w:p w14:paraId="13670761">
      <w:pPr>
        <w:spacing w:line="360" w:lineRule="auto"/>
        <w:ind w:firstLine="0" w:firstLineChars="0"/>
        <w:rPr>
          <w:rFonts w:ascii="宋体" w:hAnsi="宋体" w:eastAsia="宋体" w:cs="宋体"/>
          <w:sz w:val="24"/>
          <w:szCs w:val="24"/>
        </w:rPr>
      </w:pPr>
    </w:p>
    <w:p w14:paraId="74B774DB">
      <w:pPr>
        <w:spacing w:line="360" w:lineRule="auto"/>
        <w:ind w:firstLine="0" w:firstLineChars="0"/>
        <w:rPr>
          <w:rFonts w:ascii="宋体" w:hAnsi="宋体" w:eastAsia="宋体" w:cs="宋体"/>
          <w:sz w:val="24"/>
          <w:szCs w:val="24"/>
        </w:rPr>
      </w:pPr>
    </w:p>
    <w:p w14:paraId="67CDBBF2">
      <w:pPr>
        <w:pStyle w:val="10"/>
        <w:ind w:firstLine="480"/>
        <w:rPr>
          <w:rFonts w:hAnsi="宋体" w:eastAsia="宋体" w:cs="宋体"/>
          <w:sz w:val="24"/>
          <w:szCs w:val="24"/>
        </w:rPr>
      </w:pPr>
    </w:p>
    <w:p w14:paraId="4CF53848">
      <w:pPr>
        <w:pStyle w:val="10"/>
        <w:ind w:firstLine="480"/>
        <w:rPr>
          <w:rFonts w:hAnsi="宋体" w:eastAsia="宋体" w:cs="宋体"/>
          <w:sz w:val="24"/>
          <w:szCs w:val="24"/>
        </w:rPr>
      </w:pPr>
    </w:p>
    <w:p w14:paraId="4657196B">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45AB4623">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441A53AD">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16745604">
      <w:pPr>
        <w:keepNext/>
        <w:pageBreakBefore/>
        <w:widowControl/>
        <w:spacing w:line="360" w:lineRule="auto"/>
        <w:ind w:firstLine="0" w:firstLineChars="0"/>
        <w:outlineLvl w:val="1"/>
        <w:rPr>
          <w:rFonts w:ascii="宋体" w:hAnsi="宋体" w:eastAsia="宋体" w:cs="宋体"/>
          <w:b/>
          <w:sz w:val="24"/>
          <w:szCs w:val="24"/>
        </w:rPr>
      </w:pPr>
      <w:bookmarkStart w:id="164" w:name="_Toc30284"/>
      <w:bookmarkStart w:id="165" w:name="_Toc25884"/>
      <w:r>
        <w:rPr>
          <w:rFonts w:hint="eastAsia" w:ascii="宋体" w:hAnsi="宋体" w:eastAsia="宋体" w:cs="宋体"/>
          <w:b/>
          <w:sz w:val="24"/>
          <w:szCs w:val="24"/>
        </w:rPr>
        <w:t>附件6：供应商承诺函</w:t>
      </w:r>
      <w:bookmarkEnd w:id="164"/>
      <w:bookmarkEnd w:id="165"/>
    </w:p>
    <w:p w14:paraId="5B5BCE17">
      <w:pPr>
        <w:spacing w:line="360" w:lineRule="auto"/>
        <w:ind w:firstLine="0" w:firstLineChars="0"/>
        <w:jc w:val="center"/>
        <w:rPr>
          <w:rFonts w:ascii="宋体" w:hAnsi="宋体" w:eastAsia="宋体" w:cs="宋体"/>
          <w:b/>
          <w:bCs/>
          <w:sz w:val="24"/>
          <w:szCs w:val="24"/>
        </w:rPr>
      </w:pPr>
    </w:p>
    <w:p w14:paraId="7321AB25">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供应商承诺函</w:t>
      </w:r>
    </w:p>
    <w:p w14:paraId="5326E598">
      <w:pPr>
        <w:spacing w:line="360" w:lineRule="auto"/>
        <w:ind w:firstLine="0" w:firstLineChars="0"/>
        <w:rPr>
          <w:rFonts w:ascii="宋体" w:hAnsi="宋体" w:eastAsia="宋体" w:cs="宋体"/>
          <w:b/>
          <w:bCs/>
          <w:sz w:val="24"/>
          <w:szCs w:val="24"/>
        </w:rPr>
      </w:pPr>
    </w:p>
    <w:p w14:paraId="2F2726EA">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6FEAF3B2">
      <w:pPr>
        <w:spacing w:line="360" w:lineRule="auto"/>
        <w:ind w:firstLine="480"/>
        <w:rPr>
          <w:rFonts w:ascii="宋体" w:hAnsi="宋体" w:eastAsia="宋体" w:cs="宋体"/>
          <w:sz w:val="24"/>
          <w:szCs w:val="24"/>
        </w:rPr>
      </w:pPr>
      <w:r>
        <w:rPr>
          <w:rFonts w:hint="eastAsia" w:ascii="宋体" w:hAnsi="宋体" w:eastAsia="宋体" w:cs="宋体"/>
          <w:sz w:val="24"/>
          <w:szCs w:val="24"/>
        </w:rPr>
        <w:t>关于贵方202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项目名称        </w:t>
      </w:r>
      <w:r>
        <w:rPr>
          <w:rFonts w:hint="eastAsia" w:ascii="宋体" w:hAnsi="宋体" w:eastAsia="宋体" w:cs="宋体"/>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sz w:val="24"/>
          <w:szCs w:val="24"/>
          <w:u w:val="single"/>
        </w:rPr>
        <w:t>（供应商名称）</w:t>
      </w:r>
      <w:r>
        <w:rPr>
          <w:rFonts w:hint="eastAsia" w:ascii="宋体" w:hAnsi="宋体" w:eastAsia="宋体" w:cs="宋体"/>
          <w:sz w:val="24"/>
          <w:szCs w:val="24"/>
        </w:rPr>
        <w:t>，在此作如下承诺：</w:t>
      </w:r>
    </w:p>
    <w:p w14:paraId="27DCE40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1、完全理解和接受磋商文件的一切规定和要求；</w:t>
      </w:r>
    </w:p>
    <w:p w14:paraId="78460E5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4100D7D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3、在整个磋商过程中我方若有违规行为，贵方可按磋商文件之规定给予处罚，我方完全接受。</w:t>
      </w:r>
    </w:p>
    <w:p w14:paraId="42B5AD68">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4、若成交，本承诺将成为合同不可分割的一部分，与合同具有同等的法律效力。</w:t>
      </w:r>
    </w:p>
    <w:p w14:paraId="0BD72445">
      <w:pPr>
        <w:spacing w:line="360" w:lineRule="auto"/>
        <w:ind w:firstLine="0" w:firstLineChars="0"/>
        <w:textAlignment w:val="baseline"/>
        <w:rPr>
          <w:rFonts w:ascii="宋体" w:hAnsi="宋体" w:eastAsia="宋体" w:cs="宋体"/>
          <w:sz w:val="24"/>
          <w:szCs w:val="24"/>
        </w:rPr>
      </w:pPr>
    </w:p>
    <w:p w14:paraId="38F506CC">
      <w:pPr>
        <w:pStyle w:val="10"/>
        <w:ind w:firstLine="480"/>
        <w:rPr>
          <w:rFonts w:hAnsi="宋体" w:eastAsia="宋体" w:cs="宋体"/>
          <w:sz w:val="24"/>
          <w:szCs w:val="24"/>
        </w:rPr>
      </w:pPr>
    </w:p>
    <w:p w14:paraId="4FDCC627">
      <w:pPr>
        <w:pStyle w:val="10"/>
        <w:ind w:firstLine="480"/>
        <w:rPr>
          <w:rFonts w:hAnsi="宋体" w:eastAsia="宋体" w:cs="宋体"/>
          <w:sz w:val="24"/>
          <w:szCs w:val="24"/>
        </w:rPr>
      </w:pPr>
    </w:p>
    <w:p w14:paraId="4F8CF931">
      <w:pPr>
        <w:spacing w:line="360" w:lineRule="auto"/>
        <w:ind w:firstLine="0" w:firstLineChars="0"/>
        <w:textAlignment w:val="baseline"/>
        <w:rPr>
          <w:rFonts w:ascii="宋体" w:hAnsi="宋体" w:eastAsia="宋体" w:cs="宋体"/>
          <w:sz w:val="24"/>
          <w:szCs w:val="24"/>
        </w:rPr>
      </w:pPr>
    </w:p>
    <w:p w14:paraId="3800770A">
      <w:pPr>
        <w:spacing w:line="360" w:lineRule="auto"/>
        <w:ind w:firstLine="0" w:firstLineChars="0"/>
        <w:textAlignment w:val="baseline"/>
        <w:rPr>
          <w:rFonts w:ascii="宋体" w:hAnsi="宋体" w:eastAsia="宋体" w:cs="宋体"/>
          <w:sz w:val="24"/>
          <w:szCs w:val="24"/>
        </w:rPr>
      </w:pPr>
    </w:p>
    <w:p w14:paraId="6BE8D08E">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5D70E1BF">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7B7B8349">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373CB7ED">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14:paraId="4C282D71">
      <w:pPr>
        <w:keepNext/>
        <w:pageBreakBefore/>
        <w:widowControl/>
        <w:spacing w:line="360" w:lineRule="auto"/>
        <w:ind w:firstLine="0" w:firstLineChars="0"/>
        <w:outlineLvl w:val="1"/>
        <w:rPr>
          <w:rFonts w:ascii="宋体" w:hAnsi="宋体" w:eastAsia="宋体" w:cs="宋体"/>
          <w:b/>
          <w:sz w:val="24"/>
          <w:szCs w:val="24"/>
        </w:rPr>
      </w:pPr>
      <w:bookmarkStart w:id="166" w:name="_Toc11173"/>
      <w:bookmarkStart w:id="167" w:name="_Toc11349"/>
      <w:r>
        <w:rPr>
          <w:rFonts w:hint="eastAsia" w:ascii="宋体" w:hAnsi="宋体" w:eastAsia="宋体" w:cs="宋体"/>
          <w:b/>
          <w:sz w:val="24"/>
          <w:szCs w:val="24"/>
        </w:rPr>
        <w:t>附件</w:t>
      </w:r>
      <w:bookmarkStart w:id="168" w:name="_Toc376936779"/>
      <w:bookmarkStart w:id="169" w:name="_Toc365019584"/>
      <w:bookmarkStart w:id="170" w:name="_Toc351475542"/>
      <w:r>
        <w:rPr>
          <w:rFonts w:hint="eastAsia" w:ascii="宋体" w:hAnsi="宋体" w:eastAsia="宋体" w:cs="宋体"/>
          <w:b/>
          <w:sz w:val="24"/>
          <w:szCs w:val="24"/>
        </w:rPr>
        <w:t>7：供应商诚信承诺书</w:t>
      </w:r>
      <w:bookmarkEnd w:id="166"/>
      <w:bookmarkEnd w:id="167"/>
      <w:bookmarkEnd w:id="168"/>
      <w:bookmarkEnd w:id="169"/>
      <w:bookmarkEnd w:id="170"/>
    </w:p>
    <w:p w14:paraId="485C72A8">
      <w:pPr>
        <w:spacing w:line="360" w:lineRule="auto"/>
        <w:ind w:firstLine="0" w:firstLineChars="0"/>
        <w:rPr>
          <w:rFonts w:ascii="宋体" w:hAnsi="宋体" w:eastAsia="宋体" w:cs="宋体"/>
          <w:sz w:val="24"/>
          <w:szCs w:val="24"/>
        </w:rPr>
      </w:pPr>
    </w:p>
    <w:p w14:paraId="3E7A8BFD">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供应商诚信承诺书</w:t>
      </w:r>
    </w:p>
    <w:p w14:paraId="60EAEB1D">
      <w:pPr>
        <w:spacing w:line="360" w:lineRule="auto"/>
        <w:ind w:firstLine="0" w:firstLineChars="0"/>
        <w:rPr>
          <w:rFonts w:ascii="宋体" w:hAnsi="宋体" w:eastAsia="宋体" w:cs="宋体"/>
          <w:b/>
          <w:sz w:val="24"/>
          <w:szCs w:val="24"/>
        </w:rPr>
      </w:pPr>
    </w:p>
    <w:p w14:paraId="7278DC39">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14:paraId="6CDE60B8">
      <w:pPr>
        <w:spacing w:line="360" w:lineRule="auto"/>
        <w:ind w:firstLine="480"/>
        <w:rPr>
          <w:rFonts w:ascii="宋体" w:hAnsi="宋体" w:eastAsia="宋体" w:cs="宋体"/>
          <w:sz w:val="24"/>
          <w:szCs w:val="24"/>
        </w:rPr>
      </w:pPr>
      <w:r>
        <w:rPr>
          <w:rFonts w:hint="eastAsia" w:ascii="宋体" w:hAnsi="宋体" w:eastAsia="宋体" w:cs="宋体"/>
          <w:sz w:val="24"/>
          <w:szCs w:val="24"/>
        </w:rPr>
        <w:t>为了诚实、客观、有序地参与青海省政府采购活动，愿就以下内容作出承诺：</w:t>
      </w:r>
    </w:p>
    <w:p w14:paraId="3A02C4DD">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一、自觉遵守各项法律、法规、规章、制度以及社会公德，维护廉洁环境，与同场竞争的供应商平等参加政府采购活动。</w:t>
      </w:r>
    </w:p>
    <w:p w14:paraId="71F5C80F">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二、参加青海品冠招标代理有限公司组织的政府采购活动时，严格按照磋商文件的规定和要求提供所需的相关材料，并对所提供的各类资料的真实性负责，不虚假应标，不虚列业绩。</w:t>
      </w:r>
    </w:p>
    <w:p w14:paraId="288FA062">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三、尊重参与政府采购活动各相关方的合法行为，接受政府采购活动依法形成的意见、结果。</w:t>
      </w:r>
    </w:p>
    <w:p w14:paraId="4B9BD74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四、依法参加政府采购活动，不围标、串标，维护市场秩序，不提供“三无”产品、以次充好。</w:t>
      </w:r>
    </w:p>
    <w:p w14:paraId="733DBB09">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19AC6DA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六、认真履行成交供应商应承担的责任和义务，全面执行采购合同规定的各项内容，保质保量地按时提供采购物品。</w:t>
      </w:r>
    </w:p>
    <w:p w14:paraId="5E06D816">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若本企业（单位）发生有悖于上述承诺的行为，愿意接受《中华人民共和国政府采购法》和《政府采购法实施条例》中对供应商的相关处理。</w:t>
      </w:r>
    </w:p>
    <w:p w14:paraId="0F3373F3">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本承诺是采购项目响应文件的组成部分。</w:t>
      </w:r>
    </w:p>
    <w:p w14:paraId="73F357DB">
      <w:pPr>
        <w:spacing w:line="360" w:lineRule="auto"/>
        <w:ind w:firstLine="0" w:firstLineChars="0"/>
        <w:rPr>
          <w:rFonts w:ascii="宋体" w:hAnsi="宋体" w:eastAsia="宋体" w:cs="宋体"/>
          <w:sz w:val="24"/>
          <w:szCs w:val="24"/>
        </w:rPr>
      </w:pPr>
    </w:p>
    <w:p w14:paraId="2B7C110A">
      <w:pPr>
        <w:spacing w:line="360" w:lineRule="auto"/>
        <w:ind w:firstLine="0" w:firstLineChars="0"/>
        <w:textAlignment w:val="baseline"/>
        <w:rPr>
          <w:rFonts w:ascii="宋体" w:hAnsi="宋体" w:eastAsia="宋体" w:cs="宋体"/>
          <w:sz w:val="24"/>
          <w:szCs w:val="24"/>
        </w:rPr>
      </w:pPr>
    </w:p>
    <w:p w14:paraId="5A2B66EC">
      <w:pPr>
        <w:spacing w:line="360" w:lineRule="auto"/>
        <w:ind w:firstLine="0" w:firstLineChars="0"/>
        <w:textAlignment w:val="baseline"/>
        <w:rPr>
          <w:rFonts w:ascii="宋体" w:hAnsi="宋体" w:eastAsia="宋体" w:cs="宋体"/>
          <w:sz w:val="24"/>
          <w:szCs w:val="24"/>
        </w:rPr>
      </w:pPr>
    </w:p>
    <w:p w14:paraId="7903F8E4">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23B6AA26">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2C5AAF89">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r>
        <w:rPr>
          <w:rFonts w:hint="eastAsia" w:ascii="宋体" w:hAnsi="宋体" w:eastAsia="宋体" w:cs="宋体"/>
          <w:b/>
          <w:sz w:val="24"/>
          <w:szCs w:val="24"/>
        </w:rPr>
        <w:br w:type="page"/>
      </w:r>
    </w:p>
    <w:p w14:paraId="1BDAB102">
      <w:pPr>
        <w:keepNext/>
        <w:pageBreakBefore/>
        <w:widowControl/>
        <w:spacing w:line="360" w:lineRule="auto"/>
        <w:ind w:firstLine="0" w:firstLineChars="0"/>
        <w:outlineLvl w:val="1"/>
        <w:rPr>
          <w:rFonts w:ascii="宋体" w:hAnsi="宋体" w:eastAsia="宋体" w:cs="宋体"/>
          <w:b/>
          <w:sz w:val="24"/>
          <w:szCs w:val="24"/>
        </w:rPr>
      </w:pPr>
      <w:bookmarkStart w:id="171" w:name="_Toc7486"/>
      <w:bookmarkStart w:id="172" w:name="_Toc25993"/>
      <w:r>
        <w:rPr>
          <w:rFonts w:hint="eastAsia" w:ascii="宋体" w:hAnsi="宋体" w:eastAsia="宋体" w:cs="宋体"/>
          <w:b/>
          <w:sz w:val="24"/>
          <w:szCs w:val="24"/>
        </w:rPr>
        <w:t>附件8：资格证明材料</w:t>
      </w:r>
      <w:bookmarkEnd w:id="171"/>
      <w:bookmarkEnd w:id="172"/>
    </w:p>
    <w:p w14:paraId="4411C53B">
      <w:pPr>
        <w:spacing w:line="360" w:lineRule="auto"/>
        <w:ind w:firstLine="0" w:firstLineChars="0"/>
        <w:rPr>
          <w:rFonts w:ascii="宋体" w:hAnsi="宋体" w:eastAsia="宋体" w:cs="宋体"/>
          <w:sz w:val="24"/>
          <w:szCs w:val="24"/>
        </w:rPr>
      </w:pPr>
    </w:p>
    <w:p w14:paraId="760807EB">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资格证明材料</w:t>
      </w:r>
    </w:p>
    <w:p w14:paraId="5D364A75">
      <w:pPr>
        <w:autoSpaceDE w:val="0"/>
        <w:autoSpaceDN w:val="0"/>
        <w:spacing w:line="360" w:lineRule="auto"/>
        <w:ind w:firstLine="0" w:firstLineChars="0"/>
        <w:rPr>
          <w:rFonts w:ascii="宋体" w:hAnsi="宋体" w:eastAsia="宋体" w:cs="宋体"/>
          <w:sz w:val="24"/>
          <w:szCs w:val="24"/>
          <w:lang w:val="zh-CN"/>
        </w:rPr>
      </w:pPr>
    </w:p>
    <w:p w14:paraId="108BF127">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14:paraId="789D2201">
      <w:pPr>
        <w:numPr>
          <w:ilvl w:val="0"/>
          <w:numId w:val="4"/>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提供有效的营业执照、税务登记证、机构代码证或三证（五证）合一统一社会代码证及其他资格证明文件（扫描或复印件）；</w:t>
      </w:r>
    </w:p>
    <w:p w14:paraId="6CDAD8F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71C779E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文件规定的有关资格证书、许可证书、认证等；</w:t>
      </w:r>
    </w:p>
    <w:p w14:paraId="3AE78AC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认为有必要提供的其他资格证明文件。</w:t>
      </w:r>
    </w:p>
    <w:p w14:paraId="6EC47418">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14:paraId="3C44A1B0">
      <w:pPr>
        <w:keepNext/>
        <w:pageBreakBefore/>
        <w:widowControl/>
        <w:spacing w:line="360" w:lineRule="auto"/>
        <w:ind w:firstLine="0" w:firstLineChars="0"/>
        <w:outlineLvl w:val="1"/>
        <w:rPr>
          <w:rFonts w:ascii="宋体" w:hAnsi="宋体" w:eastAsia="宋体" w:cs="宋体"/>
          <w:b/>
          <w:sz w:val="24"/>
          <w:szCs w:val="24"/>
        </w:rPr>
      </w:pPr>
      <w:bookmarkStart w:id="173" w:name="_Toc32130"/>
      <w:bookmarkStart w:id="174" w:name="_Toc19128"/>
      <w:r>
        <w:rPr>
          <w:rFonts w:hint="eastAsia" w:ascii="宋体" w:hAnsi="宋体" w:eastAsia="宋体" w:cs="宋体"/>
          <w:b/>
          <w:sz w:val="24"/>
          <w:szCs w:val="24"/>
        </w:rPr>
        <w:t>附件9：财务状况证明</w:t>
      </w:r>
      <w:bookmarkEnd w:id="173"/>
      <w:bookmarkEnd w:id="174"/>
    </w:p>
    <w:p w14:paraId="6A1EF91D">
      <w:pPr>
        <w:autoSpaceDE w:val="0"/>
        <w:autoSpaceDN w:val="0"/>
        <w:spacing w:line="360" w:lineRule="auto"/>
        <w:ind w:firstLine="0" w:firstLineChars="0"/>
        <w:jc w:val="center"/>
        <w:rPr>
          <w:rFonts w:ascii="宋体" w:hAnsi="宋体" w:eastAsia="宋体" w:cs="宋体"/>
          <w:b/>
          <w:sz w:val="24"/>
          <w:szCs w:val="24"/>
        </w:rPr>
      </w:pPr>
    </w:p>
    <w:p w14:paraId="34D0CFB6">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财务状况证明</w:t>
      </w:r>
    </w:p>
    <w:p w14:paraId="57BC4B63">
      <w:pPr>
        <w:autoSpaceDE w:val="0"/>
        <w:autoSpaceDN w:val="0"/>
        <w:spacing w:line="360" w:lineRule="auto"/>
        <w:ind w:firstLine="0" w:firstLineChars="0"/>
        <w:jc w:val="center"/>
        <w:rPr>
          <w:rFonts w:ascii="宋体" w:hAnsi="宋体" w:eastAsia="宋体" w:cs="宋体"/>
          <w:b/>
          <w:sz w:val="24"/>
          <w:szCs w:val="24"/>
        </w:rPr>
      </w:pPr>
    </w:p>
    <w:p w14:paraId="35E73111">
      <w:pPr>
        <w:autoSpaceDE w:val="0"/>
        <w:autoSpaceDN w:val="0"/>
        <w:spacing w:line="360" w:lineRule="auto"/>
        <w:ind w:firstLine="480"/>
        <w:jc w:val="left"/>
        <w:rPr>
          <w:rFonts w:ascii="宋体" w:hAnsi="宋体" w:eastAsia="宋体" w:cs="宋体"/>
          <w:sz w:val="24"/>
          <w:szCs w:val="24"/>
        </w:rPr>
      </w:pPr>
      <w:r>
        <w:rPr>
          <w:rFonts w:hint="eastAsia" w:ascii="宋体" w:hAnsi="宋体" w:eastAsia="宋体" w:cs="宋体"/>
          <w:sz w:val="24"/>
          <w:szCs w:val="24"/>
        </w:rPr>
        <w:t>按照磋商文件第2.2款（1）中第&lt;2&gt;条规定提供以下相关材料。</w:t>
      </w:r>
    </w:p>
    <w:p w14:paraId="23C3AC72">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供应商是法人的，提供基本开户银行近三个月内出具的资信证明（同时提供基本存款账户开户许可证）</w:t>
      </w:r>
      <w:r>
        <w:rPr>
          <w:rFonts w:hint="eastAsia" w:ascii="宋体" w:hAnsi="宋体" w:eastAsia="宋体" w:cs="宋体"/>
          <w:sz w:val="24"/>
          <w:szCs w:val="24"/>
          <w:lang w:val="en-US" w:eastAsia="zh-CN"/>
        </w:rPr>
        <w:t>或2023年度</w:t>
      </w:r>
      <w:r>
        <w:rPr>
          <w:rFonts w:hint="eastAsia" w:ascii="宋体" w:hAnsi="宋体" w:eastAsia="宋体" w:cs="宋体"/>
          <w:sz w:val="24"/>
          <w:szCs w:val="24"/>
        </w:rPr>
        <w:t>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14:paraId="4A3FDC91">
      <w:pPr>
        <w:wordWrap w:val="0"/>
        <w:spacing w:line="360" w:lineRule="auto"/>
        <w:ind w:firstLine="480"/>
        <w:rPr>
          <w:rFonts w:ascii="宋体" w:hAnsi="宋体" w:eastAsia="宋体" w:cs="宋体"/>
          <w:sz w:val="24"/>
          <w:lang w:val="zh-CN"/>
        </w:rPr>
      </w:pPr>
      <w:r>
        <w:rPr>
          <w:rFonts w:hint="eastAsia" w:ascii="宋体" w:hAnsi="宋体" w:eastAsia="宋体" w:cs="宋体"/>
          <w:sz w:val="24"/>
          <w:szCs w:val="24"/>
          <w:lang w:val="zh-CN"/>
        </w:rPr>
        <w:t>2、</w:t>
      </w:r>
      <w:r>
        <w:rPr>
          <w:rFonts w:hint="eastAsia" w:ascii="宋体" w:hAnsi="宋体" w:eastAsia="宋体" w:cs="宋体"/>
          <w:sz w:val="24"/>
          <w:lang w:val="zh-CN"/>
        </w:rPr>
        <w:t>近</w:t>
      </w:r>
      <w:r>
        <w:rPr>
          <w:rFonts w:hint="eastAsia" w:ascii="宋体" w:hAnsi="宋体" w:eastAsia="宋体" w:cs="宋体"/>
          <w:sz w:val="24"/>
        </w:rPr>
        <w:t>半年内任意</w:t>
      </w:r>
      <w:r>
        <w:rPr>
          <w:rFonts w:hint="eastAsia" w:ascii="宋体" w:hAnsi="宋体" w:eastAsia="宋体" w:cs="宋体"/>
          <w:sz w:val="24"/>
          <w:highlight w:val="none"/>
          <w:lang w:val="en-US" w:eastAsia="zh-CN"/>
        </w:rPr>
        <w:t>一</w:t>
      </w:r>
      <w:r>
        <w:rPr>
          <w:rFonts w:hint="eastAsia" w:ascii="宋体" w:hAnsi="宋体" w:eastAsia="宋体" w:cs="宋体"/>
          <w:sz w:val="24"/>
          <w:highlight w:val="none"/>
        </w:rPr>
        <w:t>个月</w:t>
      </w:r>
      <w:r>
        <w:rPr>
          <w:rFonts w:hint="eastAsia" w:ascii="宋体" w:hAnsi="宋体" w:eastAsia="宋体" w:cs="宋体"/>
          <w:sz w:val="24"/>
          <w:highlight w:val="none"/>
          <w:lang w:val="zh-CN"/>
        </w:rPr>
        <w:t>依法缴纳税</w:t>
      </w:r>
      <w:r>
        <w:rPr>
          <w:rFonts w:hint="eastAsia" w:ascii="宋体" w:hAnsi="宋体" w:eastAsia="宋体" w:cs="宋体"/>
          <w:sz w:val="24"/>
          <w:lang w:val="zh-CN"/>
        </w:rPr>
        <w:t>收和社会保障资金记录的证明材料；依法免税或不需要缴纳社会保障资金的供应商需提供相应文件证明其依法免税或不需要缴纳社会保障资金。</w:t>
      </w:r>
      <w:r>
        <w:rPr>
          <w:rFonts w:hint="eastAsia" w:ascii="宋体" w:hAnsi="宋体" w:eastAsia="宋体" w:cs="宋体"/>
          <w:sz w:val="24"/>
          <w:lang w:val="zh-CN"/>
        </w:rPr>
        <w:br w:type="page"/>
      </w:r>
    </w:p>
    <w:p w14:paraId="466BE4A5">
      <w:pPr>
        <w:keepNext/>
        <w:pageBreakBefore/>
        <w:widowControl/>
        <w:spacing w:line="360" w:lineRule="auto"/>
        <w:ind w:firstLine="0" w:firstLineChars="0"/>
        <w:outlineLvl w:val="1"/>
        <w:rPr>
          <w:rFonts w:ascii="宋体" w:hAnsi="宋体" w:eastAsia="宋体" w:cs="宋体"/>
          <w:b/>
          <w:sz w:val="24"/>
          <w:szCs w:val="24"/>
        </w:rPr>
      </w:pPr>
      <w:bookmarkStart w:id="175" w:name="_Toc27149"/>
      <w:bookmarkStart w:id="176" w:name="_Toc23114"/>
      <w:r>
        <w:rPr>
          <w:rFonts w:hint="eastAsia" w:ascii="宋体" w:hAnsi="宋体" w:eastAsia="宋体" w:cs="宋体"/>
          <w:b/>
          <w:sz w:val="24"/>
          <w:szCs w:val="24"/>
        </w:rPr>
        <w:t>附件10：具备履行合同所必须的设备和专业技术能力证明</w:t>
      </w:r>
    </w:p>
    <w:p w14:paraId="6ACE8587">
      <w:pPr>
        <w:autoSpaceDE w:val="0"/>
        <w:autoSpaceDN w:val="0"/>
        <w:spacing w:line="360" w:lineRule="auto"/>
        <w:ind w:firstLine="480"/>
        <w:rPr>
          <w:rFonts w:ascii="宋体" w:hAnsi="宋体" w:eastAsia="宋体" w:cs="宋体"/>
          <w:sz w:val="24"/>
          <w:szCs w:val="24"/>
          <w:lang w:val="zh-CN"/>
        </w:rPr>
      </w:pPr>
    </w:p>
    <w:p w14:paraId="02CDB561">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具备履行合同所必须的设备和专业技术能力证明</w:t>
      </w:r>
    </w:p>
    <w:p w14:paraId="4987C52D">
      <w:pPr>
        <w:autoSpaceDE w:val="0"/>
        <w:autoSpaceDN w:val="0"/>
        <w:spacing w:line="360" w:lineRule="auto"/>
        <w:ind w:firstLine="482"/>
        <w:rPr>
          <w:rFonts w:ascii="宋体" w:hAnsi="宋体" w:eastAsia="宋体" w:cs="宋体"/>
          <w:b/>
          <w:sz w:val="24"/>
          <w:szCs w:val="24"/>
          <w:lang w:val="zh-CN"/>
        </w:rPr>
      </w:pPr>
    </w:p>
    <w:p w14:paraId="5280AED0">
      <w:pPr>
        <w:autoSpaceDE w:val="0"/>
        <w:autoSpaceDN w:val="0"/>
        <w:spacing w:line="360" w:lineRule="auto"/>
        <w:ind w:firstLine="480"/>
        <w:rPr>
          <w:rFonts w:ascii="宋体" w:hAnsi="宋体" w:eastAsia="宋体" w:cs="宋体"/>
          <w:b/>
          <w:sz w:val="24"/>
          <w:szCs w:val="24"/>
          <w:lang w:val="zh-CN"/>
        </w:rPr>
      </w:pPr>
      <w:r>
        <w:rPr>
          <w:rFonts w:hint="eastAsia" w:ascii="宋体" w:hAnsi="宋体" w:eastAsia="宋体" w:cs="宋体"/>
          <w:bCs/>
          <w:sz w:val="24"/>
          <w:szCs w:val="24"/>
          <w:lang w:val="zh-CN"/>
        </w:rPr>
        <w:t>为保证本项目合同的顺利履行，</w:t>
      </w:r>
      <w:r>
        <w:rPr>
          <w:rFonts w:hint="eastAsia" w:ascii="宋体" w:hAnsi="宋体" w:eastAsia="宋体" w:cs="宋体"/>
          <w:bCs/>
          <w:sz w:val="24"/>
          <w:szCs w:val="24"/>
        </w:rPr>
        <w:t>供应商</w:t>
      </w:r>
      <w:r>
        <w:rPr>
          <w:rFonts w:hint="eastAsia" w:ascii="宋体" w:hAnsi="宋体" w:eastAsia="宋体" w:cs="宋体"/>
          <w:bCs/>
          <w:sz w:val="24"/>
          <w:szCs w:val="24"/>
          <w:lang w:val="zh-CN"/>
        </w:rPr>
        <w:t>必须具备履行合同的设备和专业技术能力，须提供必须具备履行合同的设备和专业技术能力的承诺函（格式自拟），并提供相关</w:t>
      </w:r>
      <w:r>
        <w:rPr>
          <w:rFonts w:hint="eastAsia" w:ascii="宋体" w:hAnsi="宋体" w:eastAsia="宋体" w:cs="宋体"/>
          <w:bCs/>
          <w:sz w:val="24"/>
          <w:szCs w:val="24"/>
        </w:rPr>
        <w:t>人员的</w:t>
      </w:r>
      <w:r>
        <w:rPr>
          <w:rFonts w:hint="eastAsia" w:ascii="宋体" w:hAnsi="宋体" w:eastAsia="宋体" w:cs="宋体"/>
          <w:bCs/>
          <w:sz w:val="24"/>
          <w:szCs w:val="24"/>
          <w:lang w:val="zh-CN"/>
        </w:rPr>
        <w:t>用工合同等证明材料。</w:t>
      </w:r>
    </w:p>
    <w:p w14:paraId="47C98298">
      <w:pPr>
        <w:autoSpaceDE w:val="0"/>
        <w:autoSpaceDN w:val="0"/>
        <w:spacing w:line="360" w:lineRule="auto"/>
        <w:ind w:firstLine="482"/>
        <w:rPr>
          <w:rFonts w:ascii="宋体" w:hAnsi="宋体" w:eastAsia="宋体" w:cs="宋体"/>
          <w:b/>
          <w:sz w:val="24"/>
          <w:szCs w:val="24"/>
        </w:rPr>
      </w:pPr>
    </w:p>
    <w:p w14:paraId="2A5CEC81">
      <w:pPr>
        <w:ind w:firstLine="0" w:firstLineChars="0"/>
        <w:rPr>
          <w:rFonts w:ascii="宋体" w:hAnsi="宋体" w:eastAsia="宋体" w:cs="宋体"/>
          <w:b/>
          <w:sz w:val="24"/>
          <w:szCs w:val="24"/>
        </w:rPr>
      </w:pPr>
    </w:p>
    <w:p w14:paraId="42E640C8">
      <w:pPr>
        <w:keepNext/>
        <w:pageBreakBefore/>
        <w:widowControl/>
        <w:spacing w:line="360" w:lineRule="auto"/>
        <w:ind w:firstLine="0" w:firstLineChars="0"/>
        <w:outlineLvl w:val="1"/>
        <w:rPr>
          <w:rFonts w:ascii="宋体" w:hAnsi="宋体" w:eastAsia="宋体" w:cs="宋体"/>
          <w:b/>
          <w:sz w:val="24"/>
          <w:szCs w:val="24"/>
        </w:rPr>
      </w:pPr>
      <w:r>
        <w:rPr>
          <w:rFonts w:hint="eastAsia" w:ascii="宋体" w:hAnsi="宋体" w:eastAsia="宋体" w:cs="宋体"/>
          <w:b/>
          <w:sz w:val="24"/>
          <w:szCs w:val="24"/>
        </w:rPr>
        <w:t>附件1</w:t>
      </w:r>
      <w:bookmarkStart w:id="177" w:name="_Toc376936781"/>
      <w:bookmarkStart w:id="178" w:name="_Toc325726049"/>
      <w:r>
        <w:rPr>
          <w:rFonts w:hint="eastAsia" w:ascii="宋体" w:hAnsi="宋体" w:eastAsia="宋体" w:cs="宋体"/>
          <w:b/>
          <w:sz w:val="24"/>
          <w:szCs w:val="24"/>
        </w:rPr>
        <w:t>1：</w:t>
      </w:r>
      <w:bookmarkEnd w:id="177"/>
      <w:bookmarkEnd w:id="178"/>
      <w:r>
        <w:rPr>
          <w:rFonts w:hint="eastAsia" w:ascii="宋体" w:hAnsi="宋体" w:eastAsia="宋体" w:cs="宋体"/>
          <w:b/>
          <w:sz w:val="24"/>
          <w:szCs w:val="24"/>
        </w:rPr>
        <w:t>无重大违法记录声明</w:t>
      </w:r>
      <w:bookmarkEnd w:id="175"/>
      <w:bookmarkEnd w:id="176"/>
    </w:p>
    <w:p w14:paraId="363A0D54">
      <w:pPr>
        <w:spacing w:line="360" w:lineRule="auto"/>
        <w:ind w:firstLine="0" w:firstLineChars="0"/>
        <w:rPr>
          <w:rFonts w:ascii="宋体" w:hAnsi="宋体" w:eastAsia="宋体" w:cs="宋体"/>
          <w:b/>
          <w:sz w:val="24"/>
          <w:szCs w:val="24"/>
        </w:rPr>
      </w:pPr>
    </w:p>
    <w:p w14:paraId="258531D4">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无重大违法记录声明</w:t>
      </w:r>
    </w:p>
    <w:p w14:paraId="1696150E">
      <w:pPr>
        <w:spacing w:line="360" w:lineRule="auto"/>
        <w:ind w:firstLine="482"/>
        <w:rPr>
          <w:rFonts w:ascii="宋体" w:hAnsi="宋体" w:eastAsia="宋体" w:cs="宋体"/>
          <w:b/>
          <w:bCs/>
          <w:sz w:val="24"/>
        </w:rPr>
      </w:pPr>
      <w:r>
        <w:rPr>
          <w:rFonts w:hint="eastAsia" w:ascii="宋体" w:hAnsi="宋体" w:eastAsia="宋体" w:cs="宋体"/>
          <w:b/>
          <w:bCs/>
          <w:sz w:val="24"/>
        </w:rPr>
        <w:t>致：青海品冠招标代理有限公司</w:t>
      </w:r>
    </w:p>
    <w:p w14:paraId="10C3F60B">
      <w:pPr>
        <w:spacing w:line="360" w:lineRule="auto"/>
        <w:ind w:firstLine="482"/>
        <w:rPr>
          <w:rFonts w:ascii="宋体" w:hAnsi="宋体" w:eastAsia="宋体" w:cs="宋体"/>
          <w:b/>
          <w:bCs/>
          <w:sz w:val="24"/>
        </w:rPr>
      </w:pPr>
    </w:p>
    <w:p w14:paraId="668A5EC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我单位参加本次政府采购项目活动前三年内，在经营活动中无重大违法活动 </w:t>
      </w:r>
    </w:p>
    <w:p w14:paraId="13E7FB44">
      <w:pPr>
        <w:keepNext w:val="0"/>
        <w:keepLines w:val="0"/>
        <w:widowControl/>
        <w:suppressLineNumbers w:val="0"/>
        <w:ind w:left="0" w:leftChars="0" w:firstLine="0" w:firstLineChars="0"/>
        <w:jc w:val="left"/>
      </w:pPr>
      <w:r>
        <w:rPr>
          <w:rFonts w:hint="eastAsia" w:ascii="宋体" w:hAnsi="宋体" w:eastAsia="宋体" w:cs="宋体"/>
          <w:color w:val="000000"/>
          <w:kern w:val="0"/>
          <w:sz w:val="24"/>
          <w:szCs w:val="24"/>
          <w:lang w:val="en-US" w:eastAsia="zh-CN" w:bidi="ar"/>
        </w:rPr>
        <w:t xml:space="preserve">记录，符合《政府采购法》规定的供应商资格条件。我方对此声明负全部法律责任。 </w:t>
      </w:r>
    </w:p>
    <w:p w14:paraId="7E6B23BF">
      <w:pPr>
        <w:keepNext w:val="0"/>
        <w:keepLines w:val="0"/>
        <w:widowControl/>
        <w:suppressLineNumbers w:val="0"/>
        <w:jc w:val="left"/>
      </w:pPr>
      <w:r>
        <w:rPr>
          <w:rFonts w:hint="eastAsia" w:ascii="宋体" w:hAnsi="宋体" w:eastAsia="宋体" w:cs="宋体"/>
          <w:color w:val="000000"/>
          <w:kern w:val="0"/>
          <w:sz w:val="24"/>
          <w:szCs w:val="24"/>
          <w:lang w:val="en-US" w:eastAsia="zh-CN" w:bidi="ar"/>
        </w:rPr>
        <w:t>特此声明。</w:t>
      </w:r>
    </w:p>
    <w:p w14:paraId="0CDDCF4A">
      <w:pPr>
        <w:spacing w:line="360" w:lineRule="auto"/>
        <w:ind w:firstLine="480"/>
        <w:rPr>
          <w:rFonts w:ascii="宋体" w:hAnsi="宋体" w:eastAsia="宋体" w:cs="宋体"/>
          <w:sz w:val="24"/>
        </w:rPr>
      </w:pPr>
    </w:p>
    <w:p w14:paraId="450E95E7">
      <w:pPr>
        <w:spacing w:line="360" w:lineRule="auto"/>
        <w:ind w:firstLine="480"/>
        <w:rPr>
          <w:rFonts w:ascii="宋体" w:hAnsi="宋体" w:eastAsia="宋体" w:cs="宋体"/>
          <w:sz w:val="24"/>
        </w:rPr>
      </w:pPr>
    </w:p>
    <w:p w14:paraId="6D14EED2">
      <w:pPr>
        <w:spacing w:line="360" w:lineRule="auto"/>
        <w:ind w:firstLine="480"/>
        <w:rPr>
          <w:rFonts w:ascii="宋体" w:hAnsi="宋体" w:eastAsia="宋体" w:cs="宋体"/>
          <w:sz w:val="24"/>
        </w:rPr>
      </w:pPr>
    </w:p>
    <w:p w14:paraId="6E4F719D">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126B5027">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2BDC2C47">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14:paraId="5467EC88">
      <w:pPr>
        <w:wordWrap w:val="0"/>
        <w:spacing w:line="360" w:lineRule="auto"/>
        <w:ind w:firstLine="0" w:firstLineChars="0"/>
        <w:rPr>
          <w:rFonts w:ascii="宋体" w:hAnsi="宋体" w:eastAsia="宋体" w:cs="宋体"/>
          <w:bCs/>
          <w:sz w:val="24"/>
          <w:szCs w:val="24"/>
        </w:rPr>
      </w:pPr>
      <w:r>
        <w:rPr>
          <w:rFonts w:hint="eastAsia" w:ascii="宋体" w:hAnsi="宋体" w:eastAsia="宋体" w:cs="宋体"/>
          <w:bCs/>
          <w:sz w:val="24"/>
          <w:szCs w:val="24"/>
        </w:rPr>
        <w:br w:type="page"/>
      </w:r>
    </w:p>
    <w:p w14:paraId="411ECB61">
      <w:pPr>
        <w:keepNext/>
        <w:pageBreakBefore/>
        <w:widowControl/>
        <w:spacing w:line="360" w:lineRule="auto"/>
        <w:ind w:firstLine="0" w:firstLineChars="0"/>
        <w:outlineLvl w:val="1"/>
        <w:rPr>
          <w:rFonts w:ascii="宋体" w:hAnsi="宋体" w:eastAsia="宋体" w:cs="宋体"/>
          <w:b/>
          <w:sz w:val="24"/>
          <w:szCs w:val="24"/>
        </w:rPr>
      </w:pPr>
      <w:bookmarkStart w:id="179" w:name="_Toc24531"/>
      <w:bookmarkStart w:id="180" w:name="_Toc22957"/>
      <w:r>
        <w:rPr>
          <w:rFonts w:hint="eastAsia" w:ascii="宋体" w:hAnsi="宋体" w:eastAsia="宋体" w:cs="宋体"/>
          <w:b/>
          <w:sz w:val="24"/>
          <w:szCs w:val="24"/>
        </w:rPr>
        <w:t>附件12：磋商保证金</w:t>
      </w:r>
      <w:bookmarkEnd w:id="179"/>
      <w:bookmarkEnd w:id="180"/>
    </w:p>
    <w:p w14:paraId="64F6394C">
      <w:pPr>
        <w:spacing w:line="360" w:lineRule="auto"/>
        <w:ind w:firstLine="0" w:firstLineChars="0"/>
        <w:rPr>
          <w:rFonts w:ascii="宋体" w:hAnsi="宋体" w:eastAsia="宋体" w:cs="宋体"/>
          <w:sz w:val="24"/>
          <w:szCs w:val="24"/>
        </w:rPr>
      </w:pPr>
    </w:p>
    <w:p w14:paraId="541F6FC2">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磋商保证金</w:t>
      </w:r>
    </w:p>
    <w:p w14:paraId="6EA96030">
      <w:pPr>
        <w:spacing w:line="360" w:lineRule="auto"/>
        <w:ind w:firstLine="0" w:firstLineChars="0"/>
        <w:rPr>
          <w:rFonts w:ascii="宋体" w:hAnsi="宋体" w:eastAsia="宋体" w:cs="宋体"/>
          <w:b/>
          <w:sz w:val="24"/>
          <w:szCs w:val="24"/>
        </w:rPr>
      </w:pPr>
    </w:p>
    <w:p w14:paraId="4370B66E">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t>针对本项目的磋商保证金证明扫描（或复印）件</w:t>
      </w:r>
      <w:r>
        <w:rPr>
          <w:rFonts w:hint="eastAsia" w:ascii="宋体" w:hAnsi="宋体" w:eastAsia="宋体" w:cs="宋体"/>
          <w:bCs/>
          <w:sz w:val="24"/>
          <w:szCs w:val="24"/>
          <w:lang w:val="en-US" w:eastAsia="zh-CN"/>
        </w:rPr>
        <w:t>附后</w:t>
      </w:r>
      <w:r>
        <w:rPr>
          <w:rFonts w:hint="eastAsia" w:ascii="宋体" w:hAnsi="宋体" w:eastAsia="宋体" w:cs="宋体"/>
          <w:bCs/>
          <w:sz w:val="24"/>
          <w:szCs w:val="24"/>
        </w:rPr>
        <w:t>。</w:t>
      </w:r>
    </w:p>
    <w:p w14:paraId="5CC3487E">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br w:type="page"/>
      </w:r>
    </w:p>
    <w:p w14:paraId="4078E367">
      <w:pPr>
        <w:keepNext/>
        <w:pageBreakBefore/>
        <w:widowControl/>
        <w:spacing w:line="360" w:lineRule="auto"/>
        <w:ind w:firstLine="0" w:firstLineChars="0"/>
        <w:outlineLvl w:val="1"/>
        <w:rPr>
          <w:rFonts w:ascii="宋体" w:hAnsi="宋体" w:eastAsia="宋体" w:cs="宋体"/>
          <w:b/>
          <w:bCs/>
          <w:sz w:val="24"/>
          <w:szCs w:val="24"/>
        </w:rPr>
      </w:pPr>
      <w:bookmarkStart w:id="181" w:name="_Toc1224"/>
      <w:bookmarkStart w:id="182" w:name="_Toc26743"/>
      <w:r>
        <w:rPr>
          <w:rFonts w:hint="eastAsia" w:ascii="宋体" w:hAnsi="宋体" w:eastAsia="宋体" w:cs="宋体"/>
          <w:b/>
          <w:sz w:val="24"/>
          <w:szCs w:val="24"/>
        </w:rPr>
        <w:t>附件13：供应商最后报价表</w:t>
      </w:r>
      <w:bookmarkEnd w:id="181"/>
    </w:p>
    <w:p w14:paraId="661457B8">
      <w:pPr>
        <w:spacing w:line="360" w:lineRule="auto"/>
        <w:ind w:firstLine="0" w:firstLineChars="0"/>
        <w:rPr>
          <w:rFonts w:ascii="宋体" w:hAnsi="宋体" w:eastAsia="宋体" w:cs="宋体"/>
          <w:b/>
          <w:sz w:val="24"/>
          <w:szCs w:val="24"/>
        </w:rPr>
      </w:pPr>
    </w:p>
    <w:p w14:paraId="5294CAF8">
      <w:pPr>
        <w:ind w:firstLine="482"/>
        <w:rPr>
          <w:rFonts w:ascii="宋体" w:hAnsi="宋体" w:eastAsia="宋体" w:cs="宋体"/>
          <w:b/>
          <w:sz w:val="24"/>
          <w:szCs w:val="24"/>
        </w:rPr>
      </w:pPr>
    </w:p>
    <w:p w14:paraId="2228B29E">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供应商最后报价表</w:t>
      </w:r>
    </w:p>
    <w:p w14:paraId="4815D30C">
      <w:pPr>
        <w:spacing w:line="360" w:lineRule="auto"/>
        <w:ind w:firstLine="0" w:firstLineChars="0"/>
        <w:rPr>
          <w:rFonts w:ascii="宋体" w:hAnsi="宋体" w:eastAsia="宋体" w:cs="宋体"/>
          <w:b/>
          <w:sz w:val="24"/>
          <w:szCs w:val="24"/>
        </w:rPr>
      </w:pPr>
    </w:p>
    <w:p w14:paraId="2175AD51">
      <w:pPr>
        <w:spacing w:line="360" w:lineRule="auto"/>
        <w:ind w:firstLine="0" w:firstLineChars="0"/>
        <w:rPr>
          <w:rFonts w:ascii="宋体" w:hAnsi="宋体" w:eastAsia="宋体" w:cs="宋体"/>
          <w:b/>
          <w:sz w:val="24"/>
          <w:szCs w:val="24"/>
        </w:rPr>
      </w:pPr>
      <w:r>
        <w:rPr>
          <w:rFonts w:hint="eastAsia" w:ascii="宋体" w:hAnsi="宋体" w:eastAsia="宋体" w:cs="宋体"/>
          <w:b/>
          <w:sz w:val="24"/>
          <w:szCs w:val="24"/>
        </w:rPr>
        <w:t>项目名称：</w:t>
      </w:r>
    </w:p>
    <w:tbl>
      <w:tblPr>
        <w:tblStyle w:val="2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2016"/>
        <w:gridCol w:w="3786"/>
      </w:tblGrid>
      <w:tr w14:paraId="2B80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558" w:type="dxa"/>
            <w:vAlign w:val="center"/>
          </w:tcPr>
          <w:p w14:paraId="5486D368">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最初报价</w:t>
            </w:r>
          </w:p>
        </w:tc>
        <w:tc>
          <w:tcPr>
            <w:tcW w:w="2016" w:type="dxa"/>
            <w:vAlign w:val="center"/>
          </w:tcPr>
          <w:p w14:paraId="6C26F7DE">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调整因素</w:t>
            </w:r>
          </w:p>
        </w:tc>
        <w:tc>
          <w:tcPr>
            <w:tcW w:w="3786" w:type="dxa"/>
            <w:vAlign w:val="center"/>
          </w:tcPr>
          <w:p w14:paraId="2F14C8ED">
            <w:pPr>
              <w:spacing w:line="360" w:lineRule="auto"/>
              <w:ind w:firstLine="0" w:firstLineChars="0"/>
              <w:jc w:val="center"/>
              <w:rPr>
                <w:rFonts w:ascii="宋体" w:hAnsi="宋体" w:eastAsia="宋体" w:cs="宋体"/>
                <w:bCs/>
                <w:sz w:val="24"/>
                <w:szCs w:val="24"/>
                <w:highlight w:val="yellow"/>
              </w:rPr>
            </w:pPr>
            <w:r>
              <w:rPr>
                <w:rFonts w:hint="eastAsia" w:ascii="宋体" w:hAnsi="宋体" w:eastAsia="宋体" w:cs="宋体"/>
                <w:bCs/>
                <w:sz w:val="24"/>
                <w:szCs w:val="24"/>
              </w:rPr>
              <w:t>最终报价</w:t>
            </w:r>
          </w:p>
        </w:tc>
      </w:tr>
      <w:tr w14:paraId="0C6A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3558" w:type="dxa"/>
          </w:tcPr>
          <w:p w14:paraId="7B7B96C2">
            <w:pPr>
              <w:spacing w:line="480" w:lineRule="auto"/>
              <w:ind w:firstLine="0" w:firstLineChars="0"/>
              <w:rPr>
                <w:rFonts w:hint="eastAsia" w:ascii="宋体" w:hAnsi="宋体" w:eastAsia="宋体" w:cs="宋体"/>
                <w:sz w:val="24"/>
                <w:szCs w:val="24"/>
              </w:rPr>
            </w:pPr>
            <w:r>
              <w:rPr>
                <w:rFonts w:hint="eastAsia" w:ascii="宋体" w:hAnsi="宋体" w:eastAsia="宋体" w:cs="宋体"/>
                <w:sz w:val="24"/>
                <w:szCs w:val="24"/>
              </w:rPr>
              <w:t>大写：</w:t>
            </w:r>
          </w:p>
          <w:p w14:paraId="49AEC424">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小写：</w:t>
            </w:r>
          </w:p>
        </w:tc>
        <w:tc>
          <w:tcPr>
            <w:tcW w:w="2016" w:type="dxa"/>
          </w:tcPr>
          <w:p w14:paraId="57C3B63F">
            <w:pPr>
              <w:spacing w:line="360" w:lineRule="auto"/>
              <w:ind w:firstLine="0" w:firstLineChars="0"/>
              <w:rPr>
                <w:rFonts w:ascii="宋体" w:hAnsi="宋体" w:eastAsia="宋体" w:cs="宋体"/>
                <w:sz w:val="24"/>
                <w:szCs w:val="24"/>
              </w:rPr>
            </w:pPr>
          </w:p>
        </w:tc>
        <w:tc>
          <w:tcPr>
            <w:tcW w:w="3786" w:type="dxa"/>
          </w:tcPr>
          <w:p w14:paraId="6ADB2A8B">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大写：</w:t>
            </w:r>
          </w:p>
          <w:p w14:paraId="6E3EDA3F">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小写：</w:t>
            </w:r>
          </w:p>
        </w:tc>
      </w:tr>
      <w:tr w14:paraId="321F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9360" w:type="dxa"/>
            <w:gridSpan w:val="3"/>
          </w:tcPr>
          <w:p w14:paraId="0953DB11">
            <w:pPr>
              <w:spacing w:line="360" w:lineRule="auto"/>
              <w:ind w:firstLine="0" w:firstLineChars="0"/>
              <w:rPr>
                <w:rFonts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t>交货及安装时间</w:t>
            </w:r>
            <w:r>
              <w:rPr>
                <w:rFonts w:hint="eastAsia" w:ascii="宋体" w:hAnsi="宋体" w:eastAsia="宋体" w:cs="宋体"/>
                <w:color w:val="000000" w:themeColor="text1"/>
                <w:sz w:val="24"/>
                <w:szCs w:val="24"/>
                <w14:textFill>
                  <w14:solidFill>
                    <w14:schemeClr w14:val="tx1"/>
                  </w14:solidFill>
                </w14:textFill>
              </w:rPr>
              <w:t>：</w:t>
            </w:r>
          </w:p>
        </w:tc>
      </w:tr>
      <w:tr w14:paraId="5082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3"/>
          </w:tcPr>
          <w:p w14:paraId="699096F1">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最终确定的质量保证及服务承诺（优惠条件）</w:t>
            </w:r>
          </w:p>
          <w:p w14:paraId="7131C76B">
            <w:pPr>
              <w:spacing w:line="360" w:lineRule="auto"/>
              <w:ind w:firstLine="0" w:firstLineChars="0"/>
              <w:rPr>
                <w:rFonts w:ascii="宋体" w:hAnsi="宋体" w:eastAsia="宋体" w:cs="宋体"/>
                <w:sz w:val="24"/>
                <w:szCs w:val="24"/>
              </w:rPr>
            </w:pPr>
          </w:p>
          <w:p w14:paraId="5283AA20">
            <w:pPr>
              <w:spacing w:line="360" w:lineRule="auto"/>
              <w:ind w:firstLine="0" w:firstLineChars="0"/>
              <w:rPr>
                <w:rFonts w:ascii="宋体" w:hAnsi="宋体" w:eastAsia="宋体" w:cs="宋体"/>
                <w:sz w:val="24"/>
                <w:szCs w:val="24"/>
              </w:rPr>
            </w:pPr>
          </w:p>
          <w:p w14:paraId="5B4DF12B">
            <w:pPr>
              <w:spacing w:line="360" w:lineRule="auto"/>
              <w:ind w:firstLine="0" w:firstLineChars="0"/>
              <w:rPr>
                <w:rFonts w:ascii="宋体" w:hAnsi="宋体" w:eastAsia="宋体" w:cs="宋体"/>
                <w:sz w:val="24"/>
                <w:szCs w:val="24"/>
              </w:rPr>
            </w:pPr>
          </w:p>
          <w:p w14:paraId="4A8A362D">
            <w:pPr>
              <w:spacing w:line="360" w:lineRule="auto"/>
              <w:ind w:firstLine="0" w:firstLineChars="0"/>
              <w:rPr>
                <w:rFonts w:ascii="宋体" w:hAnsi="宋体" w:eastAsia="宋体" w:cs="宋体"/>
                <w:sz w:val="24"/>
                <w:szCs w:val="24"/>
              </w:rPr>
            </w:pPr>
          </w:p>
          <w:p w14:paraId="4B65EED3">
            <w:pPr>
              <w:spacing w:line="360" w:lineRule="auto"/>
              <w:ind w:firstLine="0" w:firstLineChars="0"/>
              <w:rPr>
                <w:rFonts w:ascii="宋体" w:hAnsi="宋体" w:eastAsia="宋体" w:cs="宋体"/>
                <w:sz w:val="24"/>
                <w:szCs w:val="24"/>
              </w:rPr>
            </w:pPr>
          </w:p>
        </w:tc>
      </w:tr>
    </w:tbl>
    <w:p w14:paraId="1B94EF2F">
      <w:pPr>
        <w:keepNext w:val="0"/>
        <w:keepLines w:val="0"/>
        <w:widowControl/>
        <w:suppressLineNumbers w:val="0"/>
        <w:jc w:val="left"/>
        <w:rPr>
          <w:rFonts w:hint="eastAsia" w:ascii="宋体" w:hAnsi="宋体" w:eastAsia="宋体" w:cs="宋体"/>
          <w:color w:val="auto"/>
          <w:sz w:val="24"/>
          <w:szCs w:val="24"/>
          <w:lang w:eastAsia="zh-CN"/>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cs="宋体"/>
          <w:color w:val="auto"/>
          <w:sz w:val="24"/>
          <w:szCs w:val="24"/>
        </w:rPr>
        <w:t>此表不需装订在响应文件中，供应商事先须盖章、签字。在磋商期间，由磋商小组确定</w:t>
      </w:r>
      <w:r>
        <w:rPr>
          <w:rFonts w:hint="eastAsia" w:ascii="宋体" w:hAnsi="宋体" w:eastAsia="宋体" w:cs="宋体"/>
          <w:color w:val="000000"/>
          <w:kern w:val="0"/>
          <w:sz w:val="24"/>
          <w:szCs w:val="24"/>
          <w:lang w:val="en-US" w:eastAsia="zh-CN" w:bidi="ar"/>
        </w:rPr>
        <w:t>合格的供应商后填写并上传；</w:t>
      </w:r>
    </w:p>
    <w:p w14:paraId="6D279851">
      <w:pPr>
        <w:pStyle w:val="20"/>
        <w:rPr>
          <w:rFonts w:hint="default" w:eastAsiaTheme="minorEastAsia"/>
          <w:lang w:val="en-US" w:eastAsia="zh-CN"/>
        </w:rPr>
      </w:pPr>
      <w:r>
        <w:rPr>
          <w:rFonts w:hint="eastAsia" w:ascii="宋体" w:hAnsi="宋体" w:cs="宋体"/>
          <w:color w:val="auto"/>
          <w:sz w:val="24"/>
          <w:szCs w:val="24"/>
          <w:lang w:val="en-US" w:eastAsia="zh-CN"/>
        </w:rPr>
        <w:t>2、未在规定时间内提交最终报价的，磋商小组以最初报价为准。</w:t>
      </w:r>
    </w:p>
    <w:p w14:paraId="51E3CE1A">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14:paraId="73CD9763">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14:paraId="6201154B">
      <w:pPr>
        <w:wordWrap w:val="0"/>
        <w:spacing w:line="360" w:lineRule="auto"/>
        <w:ind w:firstLine="0" w:firstLineChars="0"/>
        <w:jc w:val="center"/>
      </w:pPr>
      <w:r>
        <w:rPr>
          <w:rFonts w:hint="eastAsia" w:ascii="宋体" w:hAnsi="宋体" w:eastAsia="宋体" w:cs="宋体"/>
          <w:b/>
          <w:sz w:val="24"/>
          <w:szCs w:val="24"/>
        </w:rPr>
        <w:t>年   月  日</w:t>
      </w:r>
    </w:p>
    <w:p w14:paraId="157A6948">
      <w:pPr>
        <w:keepNext/>
        <w:pageBreakBefore/>
        <w:widowControl/>
        <w:spacing w:line="360" w:lineRule="auto"/>
        <w:ind w:firstLine="0" w:firstLineChars="0"/>
        <w:outlineLvl w:val="1"/>
        <w:rPr>
          <w:rFonts w:ascii="宋体" w:hAnsi="宋体" w:eastAsia="宋体" w:cs="宋体"/>
          <w:kern w:val="2"/>
          <w:sz w:val="32"/>
          <w:szCs w:val="32"/>
        </w:rPr>
      </w:pPr>
      <w:r>
        <w:rPr>
          <w:rFonts w:hint="eastAsia" w:ascii="宋体" w:hAnsi="宋体" w:eastAsia="宋体" w:cs="宋体"/>
          <w:b/>
          <w:sz w:val="24"/>
          <w:szCs w:val="24"/>
        </w:rPr>
        <w:t>附件14：享受政府采购政策优惠的证明资料</w:t>
      </w:r>
    </w:p>
    <w:p w14:paraId="3026AAE4">
      <w:pPr>
        <w:autoSpaceDE w:val="0"/>
        <w:autoSpaceDN w:val="0"/>
        <w:spacing w:line="360" w:lineRule="auto"/>
        <w:ind w:firstLine="482"/>
        <w:jc w:val="center"/>
        <w:rPr>
          <w:rFonts w:ascii="宋体" w:hAnsi="宋体" w:eastAsia="宋体" w:cs="宋体"/>
          <w:b/>
          <w:bCs/>
          <w:sz w:val="36"/>
          <w:szCs w:val="36"/>
          <w:lang w:val="zh-CN"/>
        </w:rPr>
      </w:pPr>
      <w:bookmarkStart w:id="183" w:name="_Toc12160"/>
      <w:bookmarkStart w:id="184" w:name="_Toc14211_WPSOffice_Level3"/>
      <w:bookmarkStart w:id="185" w:name="_Toc11740"/>
      <w:r>
        <w:rPr>
          <w:rFonts w:hint="eastAsia" w:ascii="宋体" w:hAnsi="宋体" w:eastAsia="宋体" w:cs="宋体"/>
          <w:b/>
          <w:bCs/>
          <w:color w:val="000000"/>
          <w:sz w:val="24"/>
          <w:szCs w:val="24"/>
        </w:rPr>
        <w:t>（1）</w:t>
      </w:r>
      <w:r>
        <w:rPr>
          <w:rFonts w:hint="eastAsia" w:ascii="宋体" w:hAnsi="宋体" w:eastAsia="宋体" w:cs="宋体"/>
          <w:b/>
          <w:bCs/>
          <w:sz w:val="28"/>
          <w:szCs w:val="28"/>
        </w:rPr>
        <w:t>中小企业声明函</w:t>
      </w:r>
    </w:p>
    <w:p w14:paraId="64616690">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b/>
          <w:bCs/>
          <w:sz w:val="24"/>
          <w:szCs w:val="24"/>
          <w:lang w:val="zh-CN"/>
        </w:rPr>
        <w:t>致：青海品冠招标代理有限公司</w:t>
      </w:r>
    </w:p>
    <w:p w14:paraId="320E77D3">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本公司郑重声明，根据《政府采购促进中小企业发展管理办法》（财库﹝2020﹞46号）的规定，本公司参加</w:t>
      </w:r>
      <w:r>
        <w:rPr>
          <w:rFonts w:hint="eastAsia" w:ascii="宋体" w:hAnsi="宋体" w:eastAsia="宋体" w:cs="宋体"/>
          <w:sz w:val="24"/>
          <w:szCs w:val="24"/>
          <w:u w:val="single"/>
          <w:lang w:bidi="ar"/>
        </w:rPr>
        <w:t>（单位名称）的（项目名称）</w:t>
      </w:r>
      <w:r>
        <w:rPr>
          <w:rFonts w:hint="eastAsia" w:ascii="宋体" w:hAnsi="宋体" w:eastAsia="宋体" w:cs="宋体"/>
          <w:sz w:val="24"/>
          <w:szCs w:val="24"/>
          <w:lang w:bidi="ar"/>
        </w:rPr>
        <w:t>采购活动，提供的货物全部由符合政策要求的中小企业制造。相关企业的具体情况如下：</w:t>
      </w:r>
    </w:p>
    <w:p w14:paraId="21FBCB3C">
      <w:pPr>
        <w:widowControl/>
        <w:spacing w:line="360" w:lineRule="auto"/>
        <w:ind w:firstLine="480"/>
        <w:jc w:val="left"/>
        <w:rPr>
          <w:rFonts w:ascii="宋体" w:hAnsi="宋体" w:eastAsia="宋体" w:cs="宋体"/>
          <w:sz w:val="24"/>
          <w:szCs w:val="24"/>
          <w:lang w:bidi="ar"/>
        </w:rPr>
      </w:pPr>
      <w:r>
        <w:rPr>
          <w:rFonts w:hint="eastAsia" w:ascii="宋体" w:hAnsi="宋体" w:eastAsia="宋体" w:cs="宋体"/>
          <w:sz w:val="24"/>
          <w:szCs w:val="24"/>
          <w:lang w:bidi="ar"/>
        </w:rPr>
        <w:t>1.</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14:paraId="02C25AA7">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2.</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14:paraId="1B7987A9">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w:t>
      </w:r>
    </w:p>
    <w:p w14:paraId="0846CB37">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以上企业，不属于大企业的分支机构，不存在控股股东为大企业的情形，也不存在与大企业的负责人为同一人的情形。</w:t>
      </w:r>
    </w:p>
    <w:p w14:paraId="47AAA8C0">
      <w:pPr>
        <w:widowControl/>
        <w:spacing w:line="360" w:lineRule="auto"/>
        <w:ind w:firstLine="480"/>
        <w:jc w:val="left"/>
        <w:rPr>
          <w:rFonts w:hint="eastAsia" w:ascii="宋体" w:hAnsi="宋体" w:eastAsia="宋体" w:cs="宋体"/>
          <w:sz w:val="24"/>
          <w:szCs w:val="24"/>
          <w:lang w:bidi="ar"/>
        </w:rPr>
      </w:pPr>
      <w:r>
        <w:rPr>
          <w:rFonts w:hint="eastAsia" w:ascii="宋体" w:hAnsi="宋体" w:eastAsia="宋体" w:cs="宋体"/>
          <w:sz w:val="24"/>
          <w:szCs w:val="24"/>
          <w:lang w:bidi="ar"/>
        </w:rPr>
        <w:t>本企业对上述声明内容的真实性负责。如有虚假，将依法承担相应责任。</w:t>
      </w:r>
    </w:p>
    <w:p w14:paraId="2D22E346">
      <w:pPr>
        <w:widowControl/>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lang w:bidi="ar"/>
        </w:rPr>
        <w:t>企业名称（盖章）：</w:t>
      </w:r>
    </w:p>
    <w:p w14:paraId="3F8F852E">
      <w:pPr>
        <w:widowControl/>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lang w:bidi="ar"/>
        </w:rPr>
        <w:t>日 期：</w:t>
      </w:r>
    </w:p>
    <w:p w14:paraId="555431C3">
      <w:pPr>
        <w:widowControl/>
        <w:spacing w:line="360" w:lineRule="auto"/>
        <w:ind w:firstLine="480"/>
        <w:jc w:val="left"/>
        <w:rPr>
          <w:rFonts w:hint="eastAsia" w:ascii="宋体" w:hAnsi="宋体" w:eastAsia="宋体" w:cs="宋体"/>
          <w:sz w:val="24"/>
          <w:szCs w:val="24"/>
          <w:lang w:bidi="ar"/>
        </w:rPr>
      </w:pPr>
      <w:r>
        <w:rPr>
          <w:rFonts w:hint="eastAsia" w:ascii="宋体" w:hAnsi="宋体" w:eastAsia="宋体" w:cs="宋体"/>
          <w:sz w:val="24"/>
          <w:szCs w:val="24"/>
          <w:lang w:bidi="ar"/>
        </w:rPr>
        <w:t>注：1、从业人员、营业收入、资产总额填报上一年度数据，无上一年度数据的新成立企业可不填报。</w:t>
      </w:r>
    </w:p>
    <w:p w14:paraId="10456769">
      <w:pPr>
        <w:pStyle w:val="7"/>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 xml:space="preserve">    2、</w:t>
      </w:r>
      <w:r>
        <w:rPr>
          <w:rFonts w:hint="eastAsia" w:ascii="宋体" w:hAnsi="宋体" w:eastAsia="宋体" w:cs="宋体"/>
          <w:sz w:val="24"/>
          <w:szCs w:val="24"/>
        </w:rPr>
        <w:t>成交供应商享受</w:t>
      </w:r>
      <w:r>
        <w:rPr>
          <w:rFonts w:hint="eastAsia" w:ascii="宋体" w:hAnsi="宋体" w:eastAsia="宋体" w:cs="宋体"/>
          <w:sz w:val="24"/>
          <w:szCs w:val="24"/>
          <w:lang w:bidi="ar"/>
        </w:rPr>
        <w:t>《政府采购促进中小企业发展管理办法》规定的中小企业扶持政策的，采购代理机构应当随成交结果公开成交供应商的《中小企业声明函》。</w:t>
      </w:r>
    </w:p>
    <w:p w14:paraId="08CDD794">
      <w:pPr>
        <w:pStyle w:val="7"/>
        <w:spacing w:line="360" w:lineRule="auto"/>
        <w:ind w:firstLine="960" w:firstLineChars="400"/>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3、</w:t>
      </w:r>
      <w:r>
        <w:rPr>
          <w:rFonts w:hint="eastAsia" w:ascii="宋体" w:hAnsi="宋体" w:eastAsia="宋体" w:cs="宋体"/>
          <w:color w:val="auto"/>
          <w:sz w:val="24"/>
          <w:szCs w:val="24"/>
        </w:rPr>
        <w:t>若无此项内容，可不提供此函</w:t>
      </w:r>
      <w:r>
        <w:rPr>
          <w:rFonts w:hint="eastAsia" w:ascii="宋体" w:hAnsi="宋体" w:eastAsia="宋体" w:cs="宋体"/>
          <w:color w:val="auto"/>
        </w:rPr>
        <w:t>。</w:t>
      </w:r>
    </w:p>
    <w:p w14:paraId="3FDD7BAC">
      <w:pPr>
        <w:widowControl/>
        <w:adjustRightInd w:val="0"/>
        <w:snapToGrid w:val="0"/>
        <w:spacing w:line="560" w:lineRule="exact"/>
        <w:ind w:firstLine="504"/>
        <w:jc w:val="left"/>
        <w:rPr>
          <w:rFonts w:ascii="宋体" w:hAnsi="宋体" w:eastAsia="宋体" w:cs="宋体"/>
          <w:spacing w:val="6"/>
          <w:sz w:val="24"/>
          <w:szCs w:val="24"/>
        </w:rPr>
      </w:pPr>
    </w:p>
    <w:p w14:paraId="62BB234C">
      <w:pPr>
        <w:adjustRightInd w:val="0"/>
        <w:snapToGrid w:val="0"/>
        <w:spacing w:before="156" w:beforeLines="50" w:line="560" w:lineRule="exact"/>
        <w:ind w:firstLine="0" w:firstLineChars="0"/>
        <w:jc w:val="center"/>
        <w:rPr>
          <w:rFonts w:ascii="宋体" w:hAnsi="宋体" w:eastAsia="宋体" w:cs="宋体"/>
          <w:kern w:val="2"/>
          <w:sz w:val="32"/>
          <w:szCs w:val="32"/>
        </w:rPr>
      </w:pPr>
    </w:p>
    <w:p w14:paraId="56361BA4">
      <w:pPr>
        <w:adjustRightInd w:val="0"/>
        <w:snapToGrid w:val="0"/>
        <w:spacing w:before="156" w:beforeLines="50" w:line="560" w:lineRule="exact"/>
        <w:ind w:firstLine="0" w:firstLineChars="0"/>
        <w:jc w:val="center"/>
        <w:rPr>
          <w:rFonts w:ascii="宋体" w:hAnsi="宋体" w:eastAsia="宋体" w:cs="宋体"/>
          <w:kern w:val="2"/>
          <w:sz w:val="32"/>
          <w:szCs w:val="32"/>
        </w:rPr>
      </w:pPr>
    </w:p>
    <w:p w14:paraId="4E57164D">
      <w:pPr>
        <w:bidi w:val="0"/>
        <w:spacing w:line="360" w:lineRule="auto"/>
        <w:jc w:val="both"/>
        <w:rPr>
          <w:rFonts w:hint="eastAsia" w:ascii="宋体" w:hAnsi="宋体" w:eastAsia="宋体" w:cs="宋体"/>
          <w:b/>
          <w:i w:val="0"/>
          <w:caps w:val="0"/>
          <w:color w:val="auto"/>
          <w:spacing w:val="0"/>
          <w:kern w:val="0"/>
          <w:sz w:val="28"/>
          <w:szCs w:val="28"/>
          <w:shd w:val="clear" w:color="auto" w:fill="FFFFFF"/>
          <w:lang w:val="en-US" w:eastAsia="zh-CN" w:bidi="ar"/>
        </w:rPr>
      </w:pPr>
    </w:p>
    <w:p w14:paraId="271B2108">
      <w:pPr>
        <w:bidi w:val="0"/>
        <w:spacing w:line="360" w:lineRule="auto"/>
        <w:jc w:val="both"/>
        <w:rPr>
          <w:rFonts w:hint="eastAsia" w:ascii="宋体" w:hAnsi="宋体" w:eastAsia="宋体" w:cs="宋体"/>
          <w:b/>
          <w:i w:val="0"/>
          <w:caps w:val="0"/>
          <w:color w:val="auto"/>
          <w:spacing w:val="0"/>
          <w:kern w:val="0"/>
          <w:sz w:val="21"/>
          <w:szCs w:val="21"/>
          <w:shd w:val="clear" w:color="auto" w:fill="FFFFFF"/>
          <w:lang w:val="en-US" w:eastAsia="zh-CN" w:bidi="ar"/>
        </w:rPr>
      </w:pPr>
      <w:r>
        <w:rPr>
          <w:rFonts w:hint="eastAsia" w:ascii="宋体" w:hAnsi="宋体" w:eastAsia="宋体" w:cs="宋体"/>
          <w:b/>
          <w:i w:val="0"/>
          <w:caps w:val="0"/>
          <w:color w:val="auto"/>
          <w:spacing w:val="0"/>
          <w:kern w:val="0"/>
          <w:sz w:val="28"/>
          <w:szCs w:val="28"/>
          <w:shd w:val="clear" w:color="auto" w:fill="FFFFFF"/>
          <w:lang w:val="en-US" w:eastAsia="zh-CN" w:bidi="ar"/>
        </w:rPr>
        <w:t>大中小微企业划分标准</w:t>
      </w:r>
    </w:p>
    <w:p w14:paraId="228C2CDD">
      <w:pPr>
        <w:bidi w:val="0"/>
        <w:spacing w:line="360" w:lineRule="auto"/>
        <w:rPr>
          <w:rFonts w:hint="eastAsia" w:ascii="宋体" w:hAnsi="宋体" w:eastAsia="宋体" w:cs="宋体"/>
          <w:b w:val="0"/>
          <w:i w:val="0"/>
          <w:caps w:val="0"/>
          <w:color w:val="auto"/>
          <w:spacing w:val="0"/>
          <w:szCs w:val="24"/>
          <w:highlight w:val="yellow"/>
        </w:rPr>
      </w:pPr>
      <w:r>
        <w:rPr>
          <w:rFonts w:hint="eastAsia" w:ascii="宋体" w:hAnsi="宋体" w:eastAsia="宋体" w:cs="宋体"/>
          <w:b/>
          <w:bCs/>
          <w:color w:val="auto"/>
          <w:sz w:val="21"/>
          <w:szCs w:val="21"/>
          <w:lang w:val="en-US" w:eastAsia="zh-CN"/>
        </w:rPr>
        <w:t>注：大型、中型和小型企业须同时满足所列指标的下限，否则下划一档；微型企业只须满足所列指标中的一项即可。</w:t>
      </w:r>
    </w:p>
    <w:tbl>
      <w:tblPr>
        <w:tblStyle w:val="21"/>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0" w:type="dxa"/>
          <w:bottom w:w="0" w:type="dxa"/>
          <w:right w:w="0" w:type="dxa"/>
        </w:tblCellMar>
      </w:tblPr>
      <w:tblGrid>
        <w:gridCol w:w="1938"/>
        <w:gridCol w:w="1485"/>
        <w:gridCol w:w="1185"/>
        <w:gridCol w:w="1260"/>
        <w:gridCol w:w="1785"/>
        <w:gridCol w:w="1605"/>
        <w:gridCol w:w="947"/>
      </w:tblGrid>
      <w:tr w14:paraId="47A8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noWrap w:val="0"/>
            <w:tcMar>
              <w:top w:w="30" w:type="dxa"/>
              <w:left w:w="150" w:type="dxa"/>
              <w:bottom w:w="30" w:type="dxa"/>
              <w:right w:w="150" w:type="dxa"/>
            </w:tcMar>
            <w:vAlign w:val="center"/>
          </w:tcPr>
          <w:p w14:paraId="529E95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行业名称</w:t>
            </w:r>
          </w:p>
        </w:tc>
        <w:tc>
          <w:tcPr>
            <w:tcW w:w="1485" w:type="dxa"/>
            <w:noWrap w:val="0"/>
            <w:tcMar>
              <w:top w:w="30" w:type="dxa"/>
              <w:left w:w="150" w:type="dxa"/>
              <w:bottom w:w="30" w:type="dxa"/>
              <w:right w:w="150" w:type="dxa"/>
            </w:tcMar>
            <w:vAlign w:val="center"/>
          </w:tcPr>
          <w:p w14:paraId="36A32A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指标名称</w:t>
            </w:r>
          </w:p>
        </w:tc>
        <w:tc>
          <w:tcPr>
            <w:tcW w:w="1185" w:type="dxa"/>
            <w:noWrap w:val="0"/>
            <w:tcMar>
              <w:top w:w="30" w:type="dxa"/>
              <w:left w:w="150" w:type="dxa"/>
              <w:bottom w:w="30" w:type="dxa"/>
              <w:right w:w="150" w:type="dxa"/>
            </w:tcMar>
            <w:vAlign w:val="center"/>
          </w:tcPr>
          <w:p w14:paraId="171B0F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计量单位</w:t>
            </w:r>
          </w:p>
        </w:tc>
        <w:tc>
          <w:tcPr>
            <w:tcW w:w="1260" w:type="dxa"/>
            <w:noWrap w:val="0"/>
            <w:tcMar>
              <w:top w:w="30" w:type="dxa"/>
              <w:left w:w="150" w:type="dxa"/>
              <w:bottom w:w="30" w:type="dxa"/>
              <w:right w:w="150" w:type="dxa"/>
            </w:tcMar>
            <w:vAlign w:val="center"/>
          </w:tcPr>
          <w:p w14:paraId="68BE1B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大型</w:t>
            </w:r>
          </w:p>
        </w:tc>
        <w:tc>
          <w:tcPr>
            <w:tcW w:w="1785" w:type="dxa"/>
            <w:noWrap w:val="0"/>
            <w:tcMar>
              <w:top w:w="30" w:type="dxa"/>
              <w:left w:w="150" w:type="dxa"/>
              <w:bottom w:w="30" w:type="dxa"/>
              <w:right w:w="150" w:type="dxa"/>
            </w:tcMar>
            <w:vAlign w:val="center"/>
          </w:tcPr>
          <w:p w14:paraId="36A844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中型</w:t>
            </w:r>
          </w:p>
        </w:tc>
        <w:tc>
          <w:tcPr>
            <w:tcW w:w="1605" w:type="dxa"/>
            <w:noWrap w:val="0"/>
            <w:tcMar>
              <w:top w:w="30" w:type="dxa"/>
              <w:left w:w="150" w:type="dxa"/>
              <w:bottom w:w="30" w:type="dxa"/>
              <w:right w:w="150" w:type="dxa"/>
            </w:tcMar>
            <w:vAlign w:val="center"/>
          </w:tcPr>
          <w:p w14:paraId="2857E2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小型</w:t>
            </w:r>
          </w:p>
        </w:tc>
        <w:tc>
          <w:tcPr>
            <w:tcW w:w="947" w:type="dxa"/>
            <w:noWrap w:val="0"/>
            <w:tcMar>
              <w:top w:w="30" w:type="dxa"/>
              <w:left w:w="150" w:type="dxa"/>
              <w:bottom w:w="30" w:type="dxa"/>
              <w:right w:w="150" w:type="dxa"/>
            </w:tcMar>
            <w:vAlign w:val="center"/>
          </w:tcPr>
          <w:p w14:paraId="6AAE69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微型</w:t>
            </w:r>
          </w:p>
        </w:tc>
      </w:tr>
      <w:tr w14:paraId="52C5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noWrap w:val="0"/>
            <w:tcMar>
              <w:top w:w="30" w:type="dxa"/>
              <w:left w:w="150" w:type="dxa"/>
              <w:bottom w:w="30" w:type="dxa"/>
              <w:right w:w="150" w:type="dxa"/>
            </w:tcMar>
            <w:vAlign w:val="center"/>
          </w:tcPr>
          <w:p w14:paraId="191140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bCs w:val="0"/>
                <w:i w:val="0"/>
                <w:caps w:val="0"/>
                <w:color w:val="auto"/>
                <w:spacing w:val="0"/>
                <w:kern w:val="0"/>
                <w:sz w:val="21"/>
                <w:szCs w:val="21"/>
                <w:highlight w:val="none"/>
                <w:lang w:val="en-US" w:eastAsia="zh-CN" w:bidi="ar"/>
              </w:rPr>
              <w:t>农、林、牧、渔业</w:t>
            </w:r>
          </w:p>
        </w:tc>
        <w:tc>
          <w:tcPr>
            <w:tcW w:w="1485" w:type="dxa"/>
            <w:noWrap w:val="0"/>
            <w:tcMar>
              <w:top w:w="30" w:type="dxa"/>
              <w:left w:w="150" w:type="dxa"/>
              <w:bottom w:w="30" w:type="dxa"/>
              <w:right w:w="150" w:type="dxa"/>
            </w:tcMar>
            <w:vAlign w:val="center"/>
          </w:tcPr>
          <w:p w14:paraId="405C5A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04EFFB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5A7803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Y≥20000</w:t>
            </w:r>
          </w:p>
        </w:tc>
        <w:tc>
          <w:tcPr>
            <w:tcW w:w="1785" w:type="dxa"/>
            <w:noWrap w:val="0"/>
            <w:tcMar>
              <w:top w:w="30" w:type="dxa"/>
              <w:left w:w="150" w:type="dxa"/>
              <w:bottom w:w="30" w:type="dxa"/>
              <w:right w:w="150" w:type="dxa"/>
            </w:tcMar>
            <w:vAlign w:val="center"/>
          </w:tcPr>
          <w:p w14:paraId="73C6A8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500≤Y&lt;20000</w:t>
            </w:r>
          </w:p>
        </w:tc>
        <w:tc>
          <w:tcPr>
            <w:tcW w:w="1605" w:type="dxa"/>
            <w:noWrap w:val="0"/>
            <w:tcMar>
              <w:top w:w="30" w:type="dxa"/>
              <w:left w:w="150" w:type="dxa"/>
              <w:bottom w:w="30" w:type="dxa"/>
              <w:right w:w="150" w:type="dxa"/>
            </w:tcMar>
            <w:vAlign w:val="center"/>
          </w:tcPr>
          <w:p w14:paraId="792A7A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50≤Y&lt;500</w:t>
            </w:r>
          </w:p>
        </w:tc>
        <w:tc>
          <w:tcPr>
            <w:tcW w:w="947" w:type="dxa"/>
            <w:noWrap w:val="0"/>
            <w:tcMar>
              <w:top w:w="30" w:type="dxa"/>
              <w:left w:w="150" w:type="dxa"/>
              <w:bottom w:w="30" w:type="dxa"/>
              <w:right w:w="150" w:type="dxa"/>
            </w:tcMar>
            <w:vAlign w:val="center"/>
          </w:tcPr>
          <w:p w14:paraId="7809E9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Y&lt;50</w:t>
            </w:r>
          </w:p>
        </w:tc>
      </w:tr>
      <w:tr w14:paraId="4897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1A71DD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工业*</w:t>
            </w:r>
          </w:p>
        </w:tc>
        <w:tc>
          <w:tcPr>
            <w:tcW w:w="1485" w:type="dxa"/>
            <w:noWrap w:val="0"/>
            <w:tcMar>
              <w:top w:w="30" w:type="dxa"/>
              <w:left w:w="150" w:type="dxa"/>
              <w:bottom w:w="30" w:type="dxa"/>
              <w:right w:w="150" w:type="dxa"/>
            </w:tcMar>
            <w:vAlign w:val="center"/>
          </w:tcPr>
          <w:p w14:paraId="1CA6E5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4BB78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2C79C0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75B3C0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5089F8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20≤X&lt;300</w:t>
            </w:r>
          </w:p>
        </w:tc>
        <w:tc>
          <w:tcPr>
            <w:tcW w:w="947" w:type="dxa"/>
            <w:noWrap w:val="0"/>
            <w:tcMar>
              <w:top w:w="30" w:type="dxa"/>
              <w:left w:w="150" w:type="dxa"/>
              <w:bottom w:w="30" w:type="dxa"/>
              <w:right w:w="150" w:type="dxa"/>
            </w:tcMar>
            <w:vAlign w:val="center"/>
          </w:tcPr>
          <w:p w14:paraId="49C52D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X&lt;20</w:t>
            </w:r>
          </w:p>
        </w:tc>
      </w:tr>
      <w:tr w14:paraId="18CC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569136D4">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232F81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718BA0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5DC443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Y≥40000</w:t>
            </w:r>
          </w:p>
        </w:tc>
        <w:tc>
          <w:tcPr>
            <w:tcW w:w="1785" w:type="dxa"/>
            <w:noWrap w:val="0"/>
            <w:tcMar>
              <w:top w:w="30" w:type="dxa"/>
              <w:left w:w="150" w:type="dxa"/>
              <w:bottom w:w="30" w:type="dxa"/>
              <w:right w:w="150" w:type="dxa"/>
            </w:tcMar>
            <w:vAlign w:val="center"/>
          </w:tcPr>
          <w:p w14:paraId="67C2A0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2000≤Y&lt;40000</w:t>
            </w:r>
          </w:p>
        </w:tc>
        <w:tc>
          <w:tcPr>
            <w:tcW w:w="1605" w:type="dxa"/>
            <w:noWrap w:val="0"/>
            <w:tcMar>
              <w:top w:w="30" w:type="dxa"/>
              <w:left w:w="150" w:type="dxa"/>
              <w:bottom w:w="30" w:type="dxa"/>
              <w:right w:w="150" w:type="dxa"/>
            </w:tcMar>
            <w:vAlign w:val="center"/>
          </w:tcPr>
          <w:p w14:paraId="6B175B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300≤Y&lt;2000</w:t>
            </w:r>
          </w:p>
        </w:tc>
        <w:tc>
          <w:tcPr>
            <w:tcW w:w="947" w:type="dxa"/>
            <w:noWrap w:val="0"/>
            <w:tcMar>
              <w:top w:w="30" w:type="dxa"/>
              <w:left w:w="150" w:type="dxa"/>
              <w:bottom w:w="30" w:type="dxa"/>
              <w:right w:w="150" w:type="dxa"/>
            </w:tcMar>
            <w:vAlign w:val="center"/>
          </w:tcPr>
          <w:p w14:paraId="1F828D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bCs/>
                <w:i w:val="0"/>
                <w:caps w:val="0"/>
                <w:color w:val="auto"/>
                <w:spacing w:val="0"/>
                <w:sz w:val="21"/>
                <w:szCs w:val="21"/>
                <w:highlight w:val="none"/>
              </w:rPr>
            </w:pPr>
            <w:r>
              <w:rPr>
                <w:rFonts w:hint="eastAsia" w:ascii="宋体" w:hAnsi="宋体" w:eastAsia="宋体" w:cs="宋体"/>
                <w:b/>
                <w:bCs/>
                <w:i w:val="0"/>
                <w:caps w:val="0"/>
                <w:color w:val="auto"/>
                <w:spacing w:val="0"/>
                <w:kern w:val="0"/>
                <w:sz w:val="21"/>
                <w:szCs w:val="21"/>
                <w:highlight w:val="none"/>
                <w:lang w:val="en-US" w:eastAsia="zh-CN" w:bidi="ar"/>
              </w:rPr>
              <w:t>Y&lt;300</w:t>
            </w:r>
          </w:p>
        </w:tc>
      </w:tr>
      <w:tr w14:paraId="599F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A32D5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建筑业</w:t>
            </w:r>
          </w:p>
        </w:tc>
        <w:tc>
          <w:tcPr>
            <w:tcW w:w="1485" w:type="dxa"/>
            <w:noWrap w:val="0"/>
            <w:tcMar>
              <w:top w:w="30" w:type="dxa"/>
              <w:left w:w="150" w:type="dxa"/>
              <w:bottom w:w="30" w:type="dxa"/>
              <w:right w:w="150" w:type="dxa"/>
            </w:tcMar>
            <w:vAlign w:val="center"/>
          </w:tcPr>
          <w:p w14:paraId="50DD32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2C2DEE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3D6163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Y≥80000</w:t>
            </w:r>
          </w:p>
        </w:tc>
        <w:tc>
          <w:tcPr>
            <w:tcW w:w="1785" w:type="dxa"/>
            <w:noWrap w:val="0"/>
            <w:tcMar>
              <w:top w:w="30" w:type="dxa"/>
              <w:left w:w="150" w:type="dxa"/>
              <w:bottom w:w="30" w:type="dxa"/>
              <w:right w:w="150" w:type="dxa"/>
            </w:tcMar>
            <w:vAlign w:val="center"/>
          </w:tcPr>
          <w:p w14:paraId="4D440A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6000≤Y&lt;80000</w:t>
            </w:r>
          </w:p>
        </w:tc>
        <w:tc>
          <w:tcPr>
            <w:tcW w:w="1605" w:type="dxa"/>
            <w:noWrap w:val="0"/>
            <w:tcMar>
              <w:top w:w="30" w:type="dxa"/>
              <w:left w:w="150" w:type="dxa"/>
              <w:bottom w:w="30" w:type="dxa"/>
              <w:right w:w="150" w:type="dxa"/>
            </w:tcMar>
            <w:vAlign w:val="center"/>
          </w:tcPr>
          <w:p w14:paraId="756C1F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300≤Y&lt;6000</w:t>
            </w:r>
          </w:p>
        </w:tc>
        <w:tc>
          <w:tcPr>
            <w:tcW w:w="947" w:type="dxa"/>
            <w:noWrap w:val="0"/>
            <w:tcMar>
              <w:top w:w="30" w:type="dxa"/>
              <w:left w:w="150" w:type="dxa"/>
              <w:bottom w:w="30" w:type="dxa"/>
              <w:right w:w="150" w:type="dxa"/>
            </w:tcMar>
            <w:vAlign w:val="center"/>
          </w:tcPr>
          <w:p w14:paraId="352F9C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Y&lt;300</w:t>
            </w:r>
          </w:p>
        </w:tc>
      </w:tr>
      <w:tr w14:paraId="278E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30CBB6FD">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69F38D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资产总额(Z)</w:t>
            </w:r>
          </w:p>
        </w:tc>
        <w:tc>
          <w:tcPr>
            <w:tcW w:w="1185" w:type="dxa"/>
            <w:noWrap w:val="0"/>
            <w:tcMar>
              <w:top w:w="30" w:type="dxa"/>
              <w:left w:w="150" w:type="dxa"/>
              <w:bottom w:w="30" w:type="dxa"/>
              <w:right w:w="150" w:type="dxa"/>
            </w:tcMar>
            <w:vAlign w:val="center"/>
          </w:tcPr>
          <w:p w14:paraId="68DFE9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5E1E0D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Z≥80000</w:t>
            </w:r>
          </w:p>
        </w:tc>
        <w:tc>
          <w:tcPr>
            <w:tcW w:w="1785" w:type="dxa"/>
            <w:noWrap w:val="0"/>
            <w:tcMar>
              <w:top w:w="30" w:type="dxa"/>
              <w:left w:w="150" w:type="dxa"/>
              <w:bottom w:w="30" w:type="dxa"/>
              <w:right w:w="150" w:type="dxa"/>
            </w:tcMar>
            <w:vAlign w:val="center"/>
          </w:tcPr>
          <w:p w14:paraId="381FAC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5000≤Z&lt;80000</w:t>
            </w:r>
          </w:p>
        </w:tc>
        <w:tc>
          <w:tcPr>
            <w:tcW w:w="1605" w:type="dxa"/>
            <w:noWrap w:val="0"/>
            <w:tcMar>
              <w:top w:w="30" w:type="dxa"/>
              <w:left w:w="150" w:type="dxa"/>
              <w:bottom w:w="30" w:type="dxa"/>
              <w:right w:w="150" w:type="dxa"/>
            </w:tcMar>
            <w:vAlign w:val="center"/>
          </w:tcPr>
          <w:p w14:paraId="245AE2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300≤Z&lt;5000</w:t>
            </w:r>
          </w:p>
        </w:tc>
        <w:tc>
          <w:tcPr>
            <w:tcW w:w="947" w:type="dxa"/>
            <w:noWrap w:val="0"/>
            <w:tcMar>
              <w:top w:w="30" w:type="dxa"/>
              <w:left w:w="150" w:type="dxa"/>
              <w:bottom w:w="30" w:type="dxa"/>
              <w:right w:w="150" w:type="dxa"/>
            </w:tcMar>
            <w:vAlign w:val="center"/>
          </w:tcPr>
          <w:p w14:paraId="54F4BB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Z&lt;300</w:t>
            </w:r>
          </w:p>
        </w:tc>
      </w:tr>
      <w:tr w14:paraId="084A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5E14FF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批发业</w:t>
            </w:r>
          </w:p>
        </w:tc>
        <w:tc>
          <w:tcPr>
            <w:tcW w:w="1485" w:type="dxa"/>
            <w:noWrap w:val="0"/>
            <w:tcMar>
              <w:top w:w="30" w:type="dxa"/>
              <w:left w:w="150" w:type="dxa"/>
              <w:bottom w:w="30" w:type="dxa"/>
              <w:right w:w="150" w:type="dxa"/>
            </w:tcMar>
            <w:vAlign w:val="center"/>
          </w:tcPr>
          <w:p w14:paraId="143819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3B54F3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273247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X≥200</w:t>
            </w:r>
          </w:p>
        </w:tc>
        <w:tc>
          <w:tcPr>
            <w:tcW w:w="1785" w:type="dxa"/>
            <w:noWrap w:val="0"/>
            <w:tcMar>
              <w:top w:w="30" w:type="dxa"/>
              <w:left w:w="150" w:type="dxa"/>
              <w:bottom w:w="30" w:type="dxa"/>
              <w:right w:w="150" w:type="dxa"/>
            </w:tcMar>
            <w:vAlign w:val="center"/>
          </w:tcPr>
          <w:p w14:paraId="7ACA1A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20≤X&lt;200</w:t>
            </w:r>
          </w:p>
        </w:tc>
        <w:tc>
          <w:tcPr>
            <w:tcW w:w="1605" w:type="dxa"/>
            <w:noWrap w:val="0"/>
            <w:tcMar>
              <w:top w:w="30" w:type="dxa"/>
              <w:left w:w="150" w:type="dxa"/>
              <w:bottom w:w="30" w:type="dxa"/>
              <w:right w:w="150" w:type="dxa"/>
            </w:tcMar>
            <w:vAlign w:val="center"/>
          </w:tcPr>
          <w:p w14:paraId="2FFD20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5≤X&lt;20</w:t>
            </w:r>
          </w:p>
        </w:tc>
        <w:tc>
          <w:tcPr>
            <w:tcW w:w="947" w:type="dxa"/>
            <w:noWrap w:val="0"/>
            <w:tcMar>
              <w:top w:w="30" w:type="dxa"/>
              <w:left w:w="150" w:type="dxa"/>
              <w:bottom w:w="30" w:type="dxa"/>
              <w:right w:w="150" w:type="dxa"/>
            </w:tcMar>
            <w:vAlign w:val="center"/>
          </w:tcPr>
          <w:p w14:paraId="635AA6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X&lt;5</w:t>
            </w:r>
          </w:p>
        </w:tc>
      </w:tr>
      <w:tr w14:paraId="7D39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437B82E7">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0717F4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6DD70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6623F3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Y≥40000</w:t>
            </w:r>
          </w:p>
        </w:tc>
        <w:tc>
          <w:tcPr>
            <w:tcW w:w="1785" w:type="dxa"/>
            <w:noWrap w:val="0"/>
            <w:tcMar>
              <w:top w:w="30" w:type="dxa"/>
              <w:left w:w="150" w:type="dxa"/>
              <w:bottom w:w="30" w:type="dxa"/>
              <w:right w:w="150" w:type="dxa"/>
            </w:tcMar>
            <w:vAlign w:val="center"/>
          </w:tcPr>
          <w:p w14:paraId="7E1E9D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5000≤Y&lt;40000</w:t>
            </w:r>
          </w:p>
        </w:tc>
        <w:tc>
          <w:tcPr>
            <w:tcW w:w="1605" w:type="dxa"/>
            <w:noWrap w:val="0"/>
            <w:tcMar>
              <w:top w:w="30" w:type="dxa"/>
              <w:left w:w="150" w:type="dxa"/>
              <w:bottom w:w="30" w:type="dxa"/>
              <w:right w:w="150" w:type="dxa"/>
            </w:tcMar>
            <w:vAlign w:val="center"/>
          </w:tcPr>
          <w:p w14:paraId="0BEECB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1000≤Y&lt;5000</w:t>
            </w:r>
          </w:p>
        </w:tc>
        <w:tc>
          <w:tcPr>
            <w:tcW w:w="947" w:type="dxa"/>
            <w:noWrap w:val="0"/>
            <w:tcMar>
              <w:top w:w="30" w:type="dxa"/>
              <w:left w:w="150" w:type="dxa"/>
              <w:bottom w:w="30" w:type="dxa"/>
              <w:right w:w="150" w:type="dxa"/>
            </w:tcMar>
            <w:vAlign w:val="center"/>
          </w:tcPr>
          <w:p w14:paraId="6F5EB6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Y&lt;1000</w:t>
            </w:r>
          </w:p>
        </w:tc>
      </w:tr>
      <w:tr w14:paraId="43CF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30322B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零售业</w:t>
            </w:r>
          </w:p>
        </w:tc>
        <w:tc>
          <w:tcPr>
            <w:tcW w:w="1485" w:type="dxa"/>
            <w:noWrap w:val="0"/>
            <w:tcMar>
              <w:top w:w="30" w:type="dxa"/>
              <w:left w:w="150" w:type="dxa"/>
              <w:bottom w:w="30" w:type="dxa"/>
              <w:right w:w="150" w:type="dxa"/>
            </w:tcMar>
            <w:vAlign w:val="center"/>
          </w:tcPr>
          <w:p w14:paraId="694549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FE58B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656F5A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4E6D78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50≤X&lt;300</w:t>
            </w:r>
          </w:p>
        </w:tc>
        <w:tc>
          <w:tcPr>
            <w:tcW w:w="1605" w:type="dxa"/>
            <w:noWrap w:val="0"/>
            <w:tcMar>
              <w:top w:w="30" w:type="dxa"/>
              <w:left w:w="150" w:type="dxa"/>
              <w:bottom w:w="30" w:type="dxa"/>
              <w:right w:w="150" w:type="dxa"/>
            </w:tcMar>
            <w:vAlign w:val="center"/>
          </w:tcPr>
          <w:p w14:paraId="2AA0C8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10≤X&lt;50</w:t>
            </w:r>
          </w:p>
        </w:tc>
        <w:tc>
          <w:tcPr>
            <w:tcW w:w="947" w:type="dxa"/>
            <w:noWrap w:val="0"/>
            <w:tcMar>
              <w:top w:w="30" w:type="dxa"/>
              <w:left w:w="150" w:type="dxa"/>
              <w:bottom w:w="30" w:type="dxa"/>
              <w:right w:w="150" w:type="dxa"/>
            </w:tcMar>
            <w:vAlign w:val="center"/>
          </w:tcPr>
          <w:p w14:paraId="41B50C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7BA0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44D6E44E">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29A8E8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05A830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2861BB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Y≥20000</w:t>
            </w:r>
          </w:p>
        </w:tc>
        <w:tc>
          <w:tcPr>
            <w:tcW w:w="1785" w:type="dxa"/>
            <w:noWrap w:val="0"/>
            <w:tcMar>
              <w:top w:w="30" w:type="dxa"/>
              <w:left w:w="150" w:type="dxa"/>
              <w:bottom w:w="30" w:type="dxa"/>
              <w:right w:w="150" w:type="dxa"/>
            </w:tcMar>
            <w:vAlign w:val="center"/>
          </w:tcPr>
          <w:p w14:paraId="5B7CEC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500≤Y&lt;20000</w:t>
            </w:r>
          </w:p>
        </w:tc>
        <w:tc>
          <w:tcPr>
            <w:tcW w:w="1605" w:type="dxa"/>
            <w:noWrap w:val="0"/>
            <w:tcMar>
              <w:top w:w="30" w:type="dxa"/>
              <w:left w:w="150" w:type="dxa"/>
              <w:bottom w:w="30" w:type="dxa"/>
              <w:right w:w="150" w:type="dxa"/>
            </w:tcMar>
            <w:vAlign w:val="center"/>
          </w:tcPr>
          <w:p w14:paraId="2B8844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100≤Y&lt;500</w:t>
            </w:r>
          </w:p>
        </w:tc>
        <w:tc>
          <w:tcPr>
            <w:tcW w:w="947" w:type="dxa"/>
            <w:noWrap w:val="0"/>
            <w:tcMar>
              <w:top w:w="30" w:type="dxa"/>
              <w:left w:w="150" w:type="dxa"/>
              <w:bottom w:w="30" w:type="dxa"/>
              <w:right w:w="150" w:type="dxa"/>
            </w:tcMar>
            <w:vAlign w:val="center"/>
          </w:tcPr>
          <w:p w14:paraId="77C777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01DD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68911B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交通运输业*</w:t>
            </w:r>
          </w:p>
        </w:tc>
        <w:tc>
          <w:tcPr>
            <w:tcW w:w="1485" w:type="dxa"/>
            <w:noWrap w:val="0"/>
            <w:tcMar>
              <w:top w:w="30" w:type="dxa"/>
              <w:left w:w="150" w:type="dxa"/>
              <w:bottom w:w="30" w:type="dxa"/>
              <w:right w:w="150" w:type="dxa"/>
            </w:tcMar>
            <w:vAlign w:val="center"/>
          </w:tcPr>
          <w:p w14:paraId="317528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550725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3F1CD7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7581F6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3A8AF4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20≤X&lt;300</w:t>
            </w:r>
          </w:p>
        </w:tc>
        <w:tc>
          <w:tcPr>
            <w:tcW w:w="947" w:type="dxa"/>
            <w:noWrap w:val="0"/>
            <w:tcMar>
              <w:top w:w="30" w:type="dxa"/>
              <w:left w:w="150" w:type="dxa"/>
              <w:bottom w:w="30" w:type="dxa"/>
              <w:right w:w="150" w:type="dxa"/>
            </w:tcMar>
            <w:vAlign w:val="center"/>
          </w:tcPr>
          <w:p w14:paraId="7F0B4F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X&lt;20</w:t>
            </w:r>
          </w:p>
        </w:tc>
      </w:tr>
      <w:tr w14:paraId="7025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7D2FFF91">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50111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639DD5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6DA0F6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Y≥30000</w:t>
            </w:r>
          </w:p>
        </w:tc>
        <w:tc>
          <w:tcPr>
            <w:tcW w:w="1785" w:type="dxa"/>
            <w:noWrap w:val="0"/>
            <w:tcMar>
              <w:top w:w="30" w:type="dxa"/>
              <w:left w:w="150" w:type="dxa"/>
              <w:bottom w:w="30" w:type="dxa"/>
              <w:right w:w="150" w:type="dxa"/>
            </w:tcMar>
            <w:vAlign w:val="center"/>
          </w:tcPr>
          <w:p w14:paraId="78E686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3000≤Y&lt;30000</w:t>
            </w:r>
          </w:p>
        </w:tc>
        <w:tc>
          <w:tcPr>
            <w:tcW w:w="1605" w:type="dxa"/>
            <w:noWrap w:val="0"/>
            <w:tcMar>
              <w:top w:w="30" w:type="dxa"/>
              <w:left w:w="150" w:type="dxa"/>
              <w:bottom w:w="30" w:type="dxa"/>
              <w:right w:w="150" w:type="dxa"/>
            </w:tcMar>
            <w:vAlign w:val="center"/>
          </w:tcPr>
          <w:p w14:paraId="530F22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200≤Y&lt;3000</w:t>
            </w:r>
          </w:p>
        </w:tc>
        <w:tc>
          <w:tcPr>
            <w:tcW w:w="947" w:type="dxa"/>
            <w:noWrap w:val="0"/>
            <w:tcMar>
              <w:top w:w="30" w:type="dxa"/>
              <w:left w:w="150" w:type="dxa"/>
              <w:bottom w:w="30" w:type="dxa"/>
              <w:right w:w="150" w:type="dxa"/>
            </w:tcMar>
            <w:vAlign w:val="center"/>
          </w:tcPr>
          <w:p w14:paraId="683FD8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Y&lt;200</w:t>
            </w:r>
          </w:p>
        </w:tc>
      </w:tr>
      <w:tr w14:paraId="6EF7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358A5F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仓储业</w:t>
            </w:r>
          </w:p>
        </w:tc>
        <w:tc>
          <w:tcPr>
            <w:tcW w:w="1485" w:type="dxa"/>
            <w:noWrap w:val="0"/>
            <w:tcMar>
              <w:top w:w="30" w:type="dxa"/>
              <w:left w:w="150" w:type="dxa"/>
              <w:bottom w:w="30" w:type="dxa"/>
              <w:right w:w="150" w:type="dxa"/>
            </w:tcMar>
            <w:vAlign w:val="center"/>
          </w:tcPr>
          <w:p w14:paraId="267DD9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51E3B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18BD2D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X≥200</w:t>
            </w:r>
          </w:p>
        </w:tc>
        <w:tc>
          <w:tcPr>
            <w:tcW w:w="1785" w:type="dxa"/>
            <w:noWrap w:val="0"/>
            <w:tcMar>
              <w:top w:w="30" w:type="dxa"/>
              <w:left w:w="150" w:type="dxa"/>
              <w:bottom w:w="30" w:type="dxa"/>
              <w:right w:w="150" w:type="dxa"/>
            </w:tcMar>
            <w:vAlign w:val="center"/>
          </w:tcPr>
          <w:p w14:paraId="26950E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100≤X&lt;200</w:t>
            </w:r>
          </w:p>
        </w:tc>
        <w:tc>
          <w:tcPr>
            <w:tcW w:w="1605" w:type="dxa"/>
            <w:noWrap w:val="0"/>
            <w:tcMar>
              <w:top w:w="30" w:type="dxa"/>
              <w:left w:w="150" w:type="dxa"/>
              <w:bottom w:w="30" w:type="dxa"/>
              <w:right w:w="150" w:type="dxa"/>
            </w:tcMar>
            <w:vAlign w:val="center"/>
          </w:tcPr>
          <w:p w14:paraId="4C3D69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20≤X&lt;100</w:t>
            </w:r>
          </w:p>
        </w:tc>
        <w:tc>
          <w:tcPr>
            <w:tcW w:w="947" w:type="dxa"/>
            <w:noWrap w:val="0"/>
            <w:tcMar>
              <w:top w:w="30" w:type="dxa"/>
              <w:left w:w="150" w:type="dxa"/>
              <w:bottom w:w="30" w:type="dxa"/>
              <w:right w:w="150" w:type="dxa"/>
            </w:tcMar>
            <w:vAlign w:val="center"/>
          </w:tcPr>
          <w:p w14:paraId="60FD79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X&lt;20</w:t>
            </w:r>
          </w:p>
        </w:tc>
      </w:tr>
      <w:tr w14:paraId="4A5C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2E2D4C31">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334264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89FA0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0BA6B1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Y≥30000</w:t>
            </w:r>
          </w:p>
        </w:tc>
        <w:tc>
          <w:tcPr>
            <w:tcW w:w="1785" w:type="dxa"/>
            <w:noWrap w:val="0"/>
            <w:tcMar>
              <w:top w:w="30" w:type="dxa"/>
              <w:left w:w="150" w:type="dxa"/>
              <w:bottom w:w="30" w:type="dxa"/>
              <w:right w:w="150" w:type="dxa"/>
            </w:tcMar>
            <w:vAlign w:val="center"/>
          </w:tcPr>
          <w:p w14:paraId="16E75F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1000≤Y&lt;30000</w:t>
            </w:r>
          </w:p>
        </w:tc>
        <w:tc>
          <w:tcPr>
            <w:tcW w:w="1605" w:type="dxa"/>
            <w:noWrap w:val="0"/>
            <w:tcMar>
              <w:top w:w="30" w:type="dxa"/>
              <w:left w:w="150" w:type="dxa"/>
              <w:bottom w:w="30" w:type="dxa"/>
              <w:right w:w="150" w:type="dxa"/>
            </w:tcMar>
            <w:vAlign w:val="center"/>
          </w:tcPr>
          <w:p w14:paraId="3B700F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100≤Y&lt;1000</w:t>
            </w:r>
          </w:p>
        </w:tc>
        <w:tc>
          <w:tcPr>
            <w:tcW w:w="947" w:type="dxa"/>
            <w:noWrap w:val="0"/>
            <w:tcMar>
              <w:top w:w="30" w:type="dxa"/>
              <w:left w:w="150" w:type="dxa"/>
              <w:bottom w:w="30" w:type="dxa"/>
              <w:right w:w="150" w:type="dxa"/>
            </w:tcMar>
            <w:vAlign w:val="center"/>
          </w:tcPr>
          <w:p w14:paraId="0DE9A6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134C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20A109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邮政业</w:t>
            </w:r>
          </w:p>
        </w:tc>
        <w:tc>
          <w:tcPr>
            <w:tcW w:w="1485" w:type="dxa"/>
            <w:noWrap w:val="0"/>
            <w:tcMar>
              <w:top w:w="30" w:type="dxa"/>
              <w:left w:w="150" w:type="dxa"/>
              <w:bottom w:w="30" w:type="dxa"/>
              <w:right w:w="150" w:type="dxa"/>
            </w:tcMar>
            <w:vAlign w:val="center"/>
          </w:tcPr>
          <w:p w14:paraId="5BC6A5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4EDB8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09366A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3FA7E9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395BB1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20≤X&lt;300</w:t>
            </w:r>
          </w:p>
        </w:tc>
        <w:tc>
          <w:tcPr>
            <w:tcW w:w="947" w:type="dxa"/>
            <w:noWrap w:val="0"/>
            <w:tcMar>
              <w:top w:w="30" w:type="dxa"/>
              <w:left w:w="150" w:type="dxa"/>
              <w:bottom w:w="30" w:type="dxa"/>
              <w:right w:w="150" w:type="dxa"/>
            </w:tcMar>
            <w:vAlign w:val="center"/>
          </w:tcPr>
          <w:p w14:paraId="2AF947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X&lt;20</w:t>
            </w:r>
          </w:p>
        </w:tc>
      </w:tr>
      <w:tr w14:paraId="2F2D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7B158F5A">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2D2F5F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240FCD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260347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Y≥30000</w:t>
            </w:r>
          </w:p>
        </w:tc>
        <w:tc>
          <w:tcPr>
            <w:tcW w:w="1785" w:type="dxa"/>
            <w:noWrap w:val="0"/>
            <w:tcMar>
              <w:top w:w="30" w:type="dxa"/>
              <w:left w:w="150" w:type="dxa"/>
              <w:bottom w:w="30" w:type="dxa"/>
              <w:right w:w="150" w:type="dxa"/>
            </w:tcMar>
            <w:vAlign w:val="center"/>
          </w:tcPr>
          <w:p w14:paraId="6067A7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2000≤Y&lt;30000</w:t>
            </w:r>
          </w:p>
        </w:tc>
        <w:tc>
          <w:tcPr>
            <w:tcW w:w="1605" w:type="dxa"/>
            <w:noWrap w:val="0"/>
            <w:tcMar>
              <w:top w:w="30" w:type="dxa"/>
              <w:left w:w="150" w:type="dxa"/>
              <w:bottom w:w="30" w:type="dxa"/>
              <w:right w:w="150" w:type="dxa"/>
            </w:tcMar>
            <w:vAlign w:val="center"/>
          </w:tcPr>
          <w:p w14:paraId="253321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100≤Y&lt;2000</w:t>
            </w:r>
          </w:p>
        </w:tc>
        <w:tc>
          <w:tcPr>
            <w:tcW w:w="947" w:type="dxa"/>
            <w:noWrap w:val="0"/>
            <w:tcMar>
              <w:top w:w="30" w:type="dxa"/>
              <w:left w:w="150" w:type="dxa"/>
              <w:bottom w:w="30" w:type="dxa"/>
              <w:right w:w="150" w:type="dxa"/>
            </w:tcMar>
            <w:vAlign w:val="center"/>
          </w:tcPr>
          <w:p w14:paraId="490E51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32C2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774BF6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住宿业</w:t>
            </w:r>
          </w:p>
        </w:tc>
        <w:tc>
          <w:tcPr>
            <w:tcW w:w="1485" w:type="dxa"/>
            <w:noWrap w:val="0"/>
            <w:tcMar>
              <w:top w:w="30" w:type="dxa"/>
              <w:left w:w="150" w:type="dxa"/>
              <w:bottom w:w="30" w:type="dxa"/>
              <w:right w:w="150" w:type="dxa"/>
            </w:tcMar>
            <w:vAlign w:val="center"/>
          </w:tcPr>
          <w:p w14:paraId="74DC52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39814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5D4BB1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2E51BA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1661FF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3E61F1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523C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64ED5CC3">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898B2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424E88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3D9E30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w:t>
            </w:r>
          </w:p>
        </w:tc>
        <w:tc>
          <w:tcPr>
            <w:tcW w:w="1785" w:type="dxa"/>
            <w:noWrap w:val="0"/>
            <w:tcMar>
              <w:top w:w="30" w:type="dxa"/>
              <w:left w:w="150" w:type="dxa"/>
              <w:bottom w:w="30" w:type="dxa"/>
              <w:right w:w="150" w:type="dxa"/>
            </w:tcMar>
            <w:vAlign w:val="center"/>
          </w:tcPr>
          <w:p w14:paraId="56CE1D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2000≤Y&lt;10000</w:t>
            </w:r>
          </w:p>
        </w:tc>
        <w:tc>
          <w:tcPr>
            <w:tcW w:w="1605" w:type="dxa"/>
            <w:noWrap w:val="0"/>
            <w:tcMar>
              <w:top w:w="30" w:type="dxa"/>
              <w:left w:w="150" w:type="dxa"/>
              <w:bottom w:w="30" w:type="dxa"/>
              <w:right w:w="150" w:type="dxa"/>
            </w:tcMar>
            <w:vAlign w:val="center"/>
          </w:tcPr>
          <w:p w14:paraId="2F7210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100≤Y&lt;2000</w:t>
            </w:r>
          </w:p>
        </w:tc>
        <w:tc>
          <w:tcPr>
            <w:tcW w:w="947" w:type="dxa"/>
            <w:noWrap w:val="0"/>
            <w:tcMar>
              <w:top w:w="30" w:type="dxa"/>
              <w:left w:w="150" w:type="dxa"/>
              <w:bottom w:w="30" w:type="dxa"/>
              <w:right w:w="150" w:type="dxa"/>
            </w:tcMar>
            <w:vAlign w:val="center"/>
          </w:tcPr>
          <w:p w14:paraId="5A924C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702E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78BA30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餐饮业</w:t>
            </w:r>
          </w:p>
        </w:tc>
        <w:tc>
          <w:tcPr>
            <w:tcW w:w="1485" w:type="dxa"/>
            <w:noWrap w:val="0"/>
            <w:tcMar>
              <w:top w:w="30" w:type="dxa"/>
              <w:left w:w="150" w:type="dxa"/>
              <w:bottom w:w="30" w:type="dxa"/>
              <w:right w:w="150" w:type="dxa"/>
            </w:tcMar>
            <w:vAlign w:val="center"/>
          </w:tcPr>
          <w:p w14:paraId="0930ED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0C210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1A7A63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5D0DFE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6371E3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77FD76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25C9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2C22C70A">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1129AA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99007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14E697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w:t>
            </w:r>
          </w:p>
        </w:tc>
        <w:tc>
          <w:tcPr>
            <w:tcW w:w="1785" w:type="dxa"/>
            <w:noWrap w:val="0"/>
            <w:tcMar>
              <w:top w:w="30" w:type="dxa"/>
              <w:left w:w="150" w:type="dxa"/>
              <w:bottom w:w="30" w:type="dxa"/>
              <w:right w:w="150" w:type="dxa"/>
            </w:tcMar>
            <w:vAlign w:val="center"/>
          </w:tcPr>
          <w:p w14:paraId="28389D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2000≤Y&lt;10000</w:t>
            </w:r>
          </w:p>
        </w:tc>
        <w:tc>
          <w:tcPr>
            <w:tcW w:w="1605" w:type="dxa"/>
            <w:noWrap w:val="0"/>
            <w:tcMar>
              <w:top w:w="30" w:type="dxa"/>
              <w:left w:w="150" w:type="dxa"/>
              <w:bottom w:w="30" w:type="dxa"/>
              <w:right w:w="150" w:type="dxa"/>
            </w:tcMar>
            <w:vAlign w:val="center"/>
          </w:tcPr>
          <w:p w14:paraId="28099C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100≤Y&lt;2000</w:t>
            </w:r>
          </w:p>
        </w:tc>
        <w:tc>
          <w:tcPr>
            <w:tcW w:w="947" w:type="dxa"/>
            <w:noWrap w:val="0"/>
            <w:tcMar>
              <w:top w:w="30" w:type="dxa"/>
              <w:left w:w="150" w:type="dxa"/>
              <w:bottom w:w="30" w:type="dxa"/>
              <w:right w:w="150" w:type="dxa"/>
            </w:tcMar>
            <w:vAlign w:val="center"/>
          </w:tcPr>
          <w:p w14:paraId="602AE8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7780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9C281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信息传输业*</w:t>
            </w:r>
          </w:p>
        </w:tc>
        <w:tc>
          <w:tcPr>
            <w:tcW w:w="1485" w:type="dxa"/>
            <w:noWrap w:val="0"/>
            <w:tcMar>
              <w:top w:w="30" w:type="dxa"/>
              <w:left w:w="150" w:type="dxa"/>
              <w:bottom w:w="30" w:type="dxa"/>
              <w:right w:w="150" w:type="dxa"/>
            </w:tcMar>
            <w:vAlign w:val="center"/>
          </w:tcPr>
          <w:p w14:paraId="6BE1A4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037A6D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296BEE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X≥2000</w:t>
            </w:r>
          </w:p>
        </w:tc>
        <w:tc>
          <w:tcPr>
            <w:tcW w:w="1785" w:type="dxa"/>
            <w:noWrap w:val="0"/>
            <w:tcMar>
              <w:top w:w="30" w:type="dxa"/>
              <w:left w:w="150" w:type="dxa"/>
              <w:bottom w:w="30" w:type="dxa"/>
              <w:right w:w="150" w:type="dxa"/>
            </w:tcMar>
            <w:vAlign w:val="center"/>
          </w:tcPr>
          <w:p w14:paraId="1676DE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100≤X&lt;2000</w:t>
            </w:r>
          </w:p>
        </w:tc>
        <w:tc>
          <w:tcPr>
            <w:tcW w:w="1605" w:type="dxa"/>
            <w:noWrap w:val="0"/>
            <w:tcMar>
              <w:top w:w="30" w:type="dxa"/>
              <w:left w:w="150" w:type="dxa"/>
              <w:bottom w:w="30" w:type="dxa"/>
              <w:right w:w="150" w:type="dxa"/>
            </w:tcMar>
            <w:vAlign w:val="center"/>
          </w:tcPr>
          <w:p w14:paraId="74776E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08E1AC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1699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01BAE352">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756FE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46C152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40B738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Y≥100000</w:t>
            </w:r>
          </w:p>
        </w:tc>
        <w:tc>
          <w:tcPr>
            <w:tcW w:w="1785" w:type="dxa"/>
            <w:noWrap w:val="0"/>
            <w:tcMar>
              <w:top w:w="30" w:type="dxa"/>
              <w:left w:w="150" w:type="dxa"/>
              <w:bottom w:w="30" w:type="dxa"/>
              <w:right w:w="150" w:type="dxa"/>
            </w:tcMar>
            <w:vAlign w:val="center"/>
          </w:tcPr>
          <w:p w14:paraId="777A95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1000≤Y&lt;100000</w:t>
            </w:r>
          </w:p>
        </w:tc>
        <w:tc>
          <w:tcPr>
            <w:tcW w:w="1605" w:type="dxa"/>
            <w:noWrap w:val="0"/>
            <w:tcMar>
              <w:top w:w="30" w:type="dxa"/>
              <w:left w:w="150" w:type="dxa"/>
              <w:bottom w:w="30" w:type="dxa"/>
              <w:right w:w="150" w:type="dxa"/>
            </w:tcMar>
            <w:vAlign w:val="center"/>
          </w:tcPr>
          <w:p w14:paraId="1BA12D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100≤Y&lt;1000</w:t>
            </w:r>
          </w:p>
        </w:tc>
        <w:tc>
          <w:tcPr>
            <w:tcW w:w="947" w:type="dxa"/>
            <w:noWrap w:val="0"/>
            <w:tcMar>
              <w:top w:w="30" w:type="dxa"/>
              <w:left w:w="150" w:type="dxa"/>
              <w:bottom w:w="30" w:type="dxa"/>
              <w:right w:w="150" w:type="dxa"/>
            </w:tcMar>
            <w:vAlign w:val="center"/>
          </w:tcPr>
          <w:p w14:paraId="45F3D2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3C12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CD890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软件和信息技术服务业</w:t>
            </w:r>
          </w:p>
        </w:tc>
        <w:tc>
          <w:tcPr>
            <w:tcW w:w="1485" w:type="dxa"/>
            <w:noWrap w:val="0"/>
            <w:tcMar>
              <w:top w:w="30" w:type="dxa"/>
              <w:left w:w="150" w:type="dxa"/>
              <w:bottom w:w="30" w:type="dxa"/>
              <w:right w:w="150" w:type="dxa"/>
            </w:tcMar>
            <w:vAlign w:val="center"/>
          </w:tcPr>
          <w:p w14:paraId="0AA016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5845D4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53AC85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711237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25F3A3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368491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417B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316313A7">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CCB81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152738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43B718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Y≥10000</w:t>
            </w:r>
          </w:p>
        </w:tc>
        <w:tc>
          <w:tcPr>
            <w:tcW w:w="1785" w:type="dxa"/>
            <w:noWrap w:val="0"/>
            <w:tcMar>
              <w:top w:w="30" w:type="dxa"/>
              <w:left w:w="150" w:type="dxa"/>
              <w:bottom w:w="30" w:type="dxa"/>
              <w:right w:w="150" w:type="dxa"/>
            </w:tcMar>
            <w:vAlign w:val="center"/>
          </w:tcPr>
          <w:p w14:paraId="03E6D3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1000≤Y&lt;10000</w:t>
            </w:r>
          </w:p>
        </w:tc>
        <w:tc>
          <w:tcPr>
            <w:tcW w:w="1605" w:type="dxa"/>
            <w:noWrap w:val="0"/>
            <w:tcMar>
              <w:top w:w="30" w:type="dxa"/>
              <w:left w:w="150" w:type="dxa"/>
              <w:bottom w:w="30" w:type="dxa"/>
              <w:right w:w="150" w:type="dxa"/>
            </w:tcMar>
            <w:vAlign w:val="center"/>
          </w:tcPr>
          <w:p w14:paraId="55AE05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50≤Y&lt;1000</w:t>
            </w:r>
          </w:p>
        </w:tc>
        <w:tc>
          <w:tcPr>
            <w:tcW w:w="947" w:type="dxa"/>
            <w:noWrap w:val="0"/>
            <w:tcMar>
              <w:top w:w="30" w:type="dxa"/>
              <w:left w:w="150" w:type="dxa"/>
              <w:bottom w:w="30" w:type="dxa"/>
              <w:right w:w="150" w:type="dxa"/>
            </w:tcMar>
            <w:vAlign w:val="center"/>
          </w:tcPr>
          <w:p w14:paraId="76A1DB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Y&lt;50</w:t>
            </w:r>
          </w:p>
        </w:tc>
      </w:tr>
      <w:tr w14:paraId="28CB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9CE46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房地产开发经营</w:t>
            </w:r>
          </w:p>
        </w:tc>
        <w:tc>
          <w:tcPr>
            <w:tcW w:w="1485" w:type="dxa"/>
            <w:noWrap w:val="0"/>
            <w:tcMar>
              <w:top w:w="30" w:type="dxa"/>
              <w:left w:w="150" w:type="dxa"/>
              <w:bottom w:w="30" w:type="dxa"/>
              <w:right w:w="150" w:type="dxa"/>
            </w:tcMar>
            <w:vAlign w:val="center"/>
          </w:tcPr>
          <w:p w14:paraId="03CDD4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292A81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7B8413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Y≥200000</w:t>
            </w:r>
          </w:p>
        </w:tc>
        <w:tc>
          <w:tcPr>
            <w:tcW w:w="1785" w:type="dxa"/>
            <w:noWrap w:val="0"/>
            <w:tcMar>
              <w:top w:w="30" w:type="dxa"/>
              <w:left w:w="150" w:type="dxa"/>
              <w:bottom w:w="30" w:type="dxa"/>
              <w:right w:w="150" w:type="dxa"/>
            </w:tcMar>
            <w:vAlign w:val="center"/>
          </w:tcPr>
          <w:p w14:paraId="76B2D3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1000≤Y&lt;200000</w:t>
            </w:r>
          </w:p>
        </w:tc>
        <w:tc>
          <w:tcPr>
            <w:tcW w:w="1605" w:type="dxa"/>
            <w:noWrap w:val="0"/>
            <w:tcMar>
              <w:top w:w="30" w:type="dxa"/>
              <w:left w:w="150" w:type="dxa"/>
              <w:bottom w:w="30" w:type="dxa"/>
              <w:right w:w="150" w:type="dxa"/>
            </w:tcMar>
            <w:vAlign w:val="center"/>
          </w:tcPr>
          <w:p w14:paraId="5E6E57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100≤Y&lt;1000</w:t>
            </w:r>
          </w:p>
        </w:tc>
        <w:tc>
          <w:tcPr>
            <w:tcW w:w="947" w:type="dxa"/>
            <w:noWrap w:val="0"/>
            <w:tcMar>
              <w:top w:w="30" w:type="dxa"/>
              <w:left w:w="150" w:type="dxa"/>
              <w:bottom w:w="30" w:type="dxa"/>
              <w:right w:w="150" w:type="dxa"/>
            </w:tcMar>
            <w:vAlign w:val="center"/>
          </w:tcPr>
          <w:p w14:paraId="34BFFA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Y&lt;100</w:t>
            </w:r>
          </w:p>
        </w:tc>
      </w:tr>
      <w:tr w14:paraId="5401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5CB195E1">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05490D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资产总额(Z)</w:t>
            </w:r>
          </w:p>
        </w:tc>
        <w:tc>
          <w:tcPr>
            <w:tcW w:w="1185" w:type="dxa"/>
            <w:noWrap w:val="0"/>
            <w:tcMar>
              <w:top w:w="30" w:type="dxa"/>
              <w:left w:w="150" w:type="dxa"/>
              <w:bottom w:w="30" w:type="dxa"/>
              <w:right w:w="150" w:type="dxa"/>
            </w:tcMar>
            <w:vAlign w:val="center"/>
          </w:tcPr>
          <w:p w14:paraId="7E830F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72A72F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Z≥10000</w:t>
            </w:r>
          </w:p>
        </w:tc>
        <w:tc>
          <w:tcPr>
            <w:tcW w:w="1785" w:type="dxa"/>
            <w:noWrap w:val="0"/>
            <w:tcMar>
              <w:top w:w="30" w:type="dxa"/>
              <w:left w:w="150" w:type="dxa"/>
              <w:bottom w:w="30" w:type="dxa"/>
              <w:right w:w="150" w:type="dxa"/>
            </w:tcMar>
            <w:vAlign w:val="center"/>
          </w:tcPr>
          <w:p w14:paraId="674F1B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5000≤Z&lt;10000</w:t>
            </w:r>
          </w:p>
        </w:tc>
        <w:tc>
          <w:tcPr>
            <w:tcW w:w="1605" w:type="dxa"/>
            <w:noWrap w:val="0"/>
            <w:tcMar>
              <w:top w:w="30" w:type="dxa"/>
              <w:left w:w="150" w:type="dxa"/>
              <w:bottom w:w="30" w:type="dxa"/>
              <w:right w:w="150" w:type="dxa"/>
            </w:tcMar>
            <w:vAlign w:val="center"/>
          </w:tcPr>
          <w:p w14:paraId="4FF452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2000≤Z&lt;5000</w:t>
            </w:r>
          </w:p>
        </w:tc>
        <w:tc>
          <w:tcPr>
            <w:tcW w:w="947" w:type="dxa"/>
            <w:noWrap w:val="0"/>
            <w:tcMar>
              <w:top w:w="30" w:type="dxa"/>
              <w:left w:w="150" w:type="dxa"/>
              <w:bottom w:w="30" w:type="dxa"/>
              <w:right w:w="150" w:type="dxa"/>
            </w:tcMar>
            <w:vAlign w:val="center"/>
          </w:tcPr>
          <w:p w14:paraId="4B7AD5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Z&lt;2000</w:t>
            </w:r>
          </w:p>
        </w:tc>
      </w:tr>
      <w:tr w14:paraId="0174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00022E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物业管理</w:t>
            </w:r>
          </w:p>
        </w:tc>
        <w:tc>
          <w:tcPr>
            <w:tcW w:w="1485" w:type="dxa"/>
            <w:noWrap w:val="0"/>
            <w:tcMar>
              <w:top w:w="30" w:type="dxa"/>
              <w:left w:w="150" w:type="dxa"/>
              <w:bottom w:w="30" w:type="dxa"/>
              <w:right w:w="150" w:type="dxa"/>
            </w:tcMar>
            <w:vAlign w:val="center"/>
          </w:tcPr>
          <w:p w14:paraId="2C41FE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611682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485D5C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X≥1000</w:t>
            </w:r>
          </w:p>
        </w:tc>
        <w:tc>
          <w:tcPr>
            <w:tcW w:w="1785" w:type="dxa"/>
            <w:noWrap w:val="0"/>
            <w:tcMar>
              <w:top w:w="30" w:type="dxa"/>
              <w:left w:w="150" w:type="dxa"/>
              <w:bottom w:w="30" w:type="dxa"/>
              <w:right w:w="150" w:type="dxa"/>
            </w:tcMar>
            <w:vAlign w:val="center"/>
          </w:tcPr>
          <w:p w14:paraId="29DC22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300≤X&lt;1000</w:t>
            </w:r>
          </w:p>
        </w:tc>
        <w:tc>
          <w:tcPr>
            <w:tcW w:w="1605" w:type="dxa"/>
            <w:noWrap w:val="0"/>
            <w:tcMar>
              <w:top w:w="30" w:type="dxa"/>
              <w:left w:w="150" w:type="dxa"/>
              <w:bottom w:w="30" w:type="dxa"/>
              <w:right w:w="150" w:type="dxa"/>
            </w:tcMar>
            <w:vAlign w:val="center"/>
          </w:tcPr>
          <w:p w14:paraId="682B75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947" w:type="dxa"/>
            <w:noWrap w:val="0"/>
            <w:tcMar>
              <w:top w:w="30" w:type="dxa"/>
              <w:left w:w="150" w:type="dxa"/>
              <w:bottom w:w="30" w:type="dxa"/>
              <w:right w:w="150" w:type="dxa"/>
            </w:tcMar>
            <w:vAlign w:val="center"/>
          </w:tcPr>
          <w:p w14:paraId="77CC1B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X&lt;100</w:t>
            </w:r>
          </w:p>
        </w:tc>
      </w:tr>
      <w:tr w14:paraId="393C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7AA65259">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5D34F4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营业收入(Y)</w:t>
            </w:r>
          </w:p>
        </w:tc>
        <w:tc>
          <w:tcPr>
            <w:tcW w:w="1185" w:type="dxa"/>
            <w:noWrap w:val="0"/>
            <w:tcMar>
              <w:top w:w="30" w:type="dxa"/>
              <w:left w:w="150" w:type="dxa"/>
              <w:bottom w:w="30" w:type="dxa"/>
              <w:right w:w="150" w:type="dxa"/>
            </w:tcMar>
            <w:vAlign w:val="center"/>
          </w:tcPr>
          <w:p w14:paraId="427AC9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5C5C60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Y≥5000</w:t>
            </w:r>
          </w:p>
        </w:tc>
        <w:tc>
          <w:tcPr>
            <w:tcW w:w="1785" w:type="dxa"/>
            <w:noWrap w:val="0"/>
            <w:tcMar>
              <w:top w:w="30" w:type="dxa"/>
              <w:left w:w="150" w:type="dxa"/>
              <w:bottom w:w="30" w:type="dxa"/>
              <w:right w:w="150" w:type="dxa"/>
            </w:tcMar>
            <w:vAlign w:val="center"/>
          </w:tcPr>
          <w:p w14:paraId="33FEE1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1000≤Y&lt;5000</w:t>
            </w:r>
          </w:p>
        </w:tc>
        <w:tc>
          <w:tcPr>
            <w:tcW w:w="1605" w:type="dxa"/>
            <w:noWrap w:val="0"/>
            <w:tcMar>
              <w:top w:w="30" w:type="dxa"/>
              <w:left w:w="150" w:type="dxa"/>
              <w:bottom w:w="30" w:type="dxa"/>
              <w:right w:w="150" w:type="dxa"/>
            </w:tcMar>
            <w:vAlign w:val="center"/>
          </w:tcPr>
          <w:p w14:paraId="705FFC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500≤Y&lt;1000</w:t>
            </w:r>
          </w:p>
        </w:tc>
        <w:tc>
          <w:tcPr>
            <w:tcW w:w="947" w:type="dxa"/>
            <w:noWrap w:val="0"/>
            <w:tcMar>
              <w:top w:w="30" w:type="dxa"/>
              <w:left w:w="150" w:type="dxa"/>
              <w:bottom w:w="30" w:type="dxa"/>
              <w:right w:w="150" w:type="dxa"/>
            </w:tcMar>
            <w:vAlign w:val="center"/>
          </w:tcPr>
          <w:p w14:paraId="23DD13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Y&lt;500</w:t>
            </w:r>
          </w:p>
        </w:tc>
      </w:tr>
      <w:tr w14:paraId="6881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restart"/>
            <w:noWrap w:val="0"/>
            <w:tcMar>
              <w:top w:w="30" w:type="dxa"/>
              <w:left w:w="150" w:type="dxa"/>
              <w:bottom w:w="30" w:type="dxa"/>
              <w:right w:w="150" w:type="dxa"/>
            </w:tcMar>
            <w:vAlign w:val="center"/>
          </w:tcPr>
          <w:p w14:paraId="6B8AC6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租赁和商务服务业</w:t>
            </w:r>
          </w:p>
        </w:tc>
        <w:tc>
          <w:tcPr>
            <w:tcW w:w="1485" w:type="dxa"/>
            <w:noWrap w:val="0"/>
            <w:tcMar>
              <w:top w:w="30" w:type="dxa"/>
              <w:left w:w="150" w:type="dxa"/>
              <w:bottom w:w="30" w:type="dxa"/>
              <w:right w:w="150" w:type="dxa"/>
            </w:tcMar>
            <w:vAlign w:val="center"/>
          </w:tcPr>
          <w:p w14:paraId="79B402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0F12B3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386B71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6B0E56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789926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55CE6C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r w14:paraId="572C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vMerge w:val="continue"/>
            <w:noWrap w:val="0"/>
            <w:tcMar>
              <w:top w:w="30" w:type="dxa"/>
              <w:left w:w="150" w:type="dxa"/>
              <w:bottom w:w="30" w:type="dxa"/>
              <w:right w:w="150" w:type="dxa"/>
            </w:tcMar>
            <w:vAlign w:val="center"/>
          </w:tcPr>
          <w:p w14:paraId="364F0227">
            <w:pPr>
              <w:keepNext w:val="0"/>
              <w:keepLines w:val="0"/>
              <w:pageBreakBefore w:val="0"/>
              <w:kinsoku/>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p>
        </w:tc>
        <w:tc>
          <w:tcPr>
            <w:tcW w:w="1485" w:type="dxa"/>
            <w:noWrap w:val="0"/>
            <w:tcMar>
              <w:top w:w="30" w:type="dxa"/>
              <w:left w:w="150" w:type="dxa"/>
              <w:bottom w:w="30" w:type="dxa"/>
              <w:right w:w="150" w:type="dxa"/>
            </w:tcMar>
            <w:vAlign w:val="center"/>
          </w:tcPr>
          <w:p w14:paraId="435C2D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资产总额(Z)</w:t>
            </w:r>
          </w:p>
        </w:tc>
        <w:tc>
          <w:tcPr>
            <w:tcW w:w="1185" w:type="dxa"/>
            <w:noWrap w:val="0"/>
            <w:tcMar>
              <w:top w:w="30" w:type="dxa"/>
              <w:left w:w="150" w:type="dxa"/>
              <w:bottom w:w="30" w:type="dxa"/>
              <w:right w:w="150" w:type="dxa"/>
            </w:tcMar>
            <w:vAlign w:val="center"/>
          </w:tcPr>
          <w:p w14:paraId="01DFE0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万元</w:t>
            </w:r>
          </w:p>
        </w:tc>
        <w:tc>
          <w:tcPr>
            <w:tcW w:w="1260" w:type="dxa"/>
            <w:noWrap w:val="0"/>
            <w:tcMar>
              <w:top w:w="30" w:type="dxa"/>
              <w:left w:w="150" w:type="dxa"/>
              <w:bottom w:w="30" w:type="dxa"/>
              <w:right w:w="150" w:type="dxa"/>
            </w:tcMar>
            <w:vAlign w:val="center"/>
          </w:tcPr>
          <w:p w14:paraId="2E1280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Z≥120000</w:t>
            </w:r>
          </w:p>
        </w:tc>
        <w:tc>
          <w:tcPr>
            <w:tcW w:w="1785" w:type="dxa"/>
            <w:noWrap w:val="0"/>
            <w:tcMar>
              <w:top w:w="30" w:type="dxa"/>
              <w:left w:w="150" w:type="dxa"/>
              <w:bottom w:w="30" w:type="dxa"/>
              <w:right w:w="150" w:type="dxa"/>
            </w:tcMar>
            <w:vAlign w:val="center"/>
          </w:tcPr>
          <w:p w14:paraId="1402E8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8000≤Z&lt;120000</w:t>
            </w:r>
          </w:p>
        </w:tc>
        <w:tc>
          <w:tcPr>
            <w:tcW w:w="1605" w:type="dxa"/>
            <w:noWrap w:val="0"/>
            <w:tcMar>
              <w:top w:w="30" w:type="dxa"/>
              <w:left w:w="150" w:type="dxa"/>
              <w:bottom w:w="30" w:type="dxa"/>
              <w:right w:w="150" w:type="dxa"/>
            </w:tcMar>
            <w:vAlign w:val="center"/>
          </w:tcPr>
          <w:p w14:paraId="581A16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100≤Z&lt;8000</w:t>
            </w:r>
          </w:p>
        </w:tc>
        <w:tc>
          <w:tcPr>
            <w:tcW w:w="947" w:type="dxa"/>
            <w:noWrap w:val="0"/>
            <w:tcMar>
              <w:top w:w="30" w:type="dxa"/>
              <w:left w:w="150" w:type="dxa"/>
              <w:bottom w:w="30" w:type="dxa"/>
              <w:right w:w="150" w:type="dxa"/>
            </w:tcMar>
            <w:vAlign w:val="center"/>
          </w:tcPr>
          <w:p w14:paraId="54A118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Z&lt;100</w:t>
            </w:r>
          </w:p>
        </w:tc>
      </w:tr>
      <w:tr w14:paraId="2188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0" w:type="dxa"/>
            <w:bottom w:w="0" w:type="dxa"/>
            <w:right w:w="0" w:type="dxa"/>
          </w:tblCellMar>
        </w:tblPrEx>
        <w:trPr>
          <w:trHeight w:val="23" w:hRule="atLeast"/>
          <w:jc w:val="center"/>
        </w:trPr>
        <w:tc>
          <w:tcPr>
            <w:tcW w:w="1938" w:type="dxa"/>
            <w:noWrap w:val="0"/>
            <w:tcMar>
              <w:top w:w="30" w:type="dxa"/>
              <w:left w:w="150" w:type="dxa"/>
              <w:bottom w:w="30" w:type="dxa"/>
              <w:right w:w="150" w:type="dxa"/>
            </w:tcMar>
            <w:vAlign w:val="center"/>
          </w:tcPr>
          <w:p w14:paraId="032FF7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其他未列明行业*</w:t>
            </w:r>
          </w:p>
        </w:tc>
        <w:tc>
          <w:tcPr>
            <w:tcW w:w="1485" w:type="dxa"/>
            <w:noWrap w:val="0"/>
            <w:tcMar>
              <w:top w:w="30" w:type="dxa"/>
              <w:left w:w="150" w:type="dxa"/>
              <w:bottom w:w="30" w:type="dxa"/>
              <w:right w:w="150" w:type="dxa"/>
            </w:tcMar>
            <w:vAlign w:val="center"/>
          </w:tcPr>
          <w:p w14:paraId="59EE34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从业人员(X)</w:t>
            </w:r>
          </w:p>
        </w:tc>
        <w:tc>
          <w:tcPr>
            <w:tcW w:w="1185" w:type="dxa"/>
            <w:noWrap w:val="0"/>
            <w:tcMar>
              <w:top w:w="30" w:type="dxa"/>
              <w:left w:w="150" w:type="dxa"/>
              <w:bottom w:w="30" w:type="dxa"/>
              <w:right w:w="150" w:type="dxa"/>
            </w:tcMar>
            <w:vAlign w:val="center"/>
          </w:tcPr>
          <w:p w14:paraId="15E672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人</w:t>
            </w:r>
          </w:p>
        </w:tc>
        <w:tc>
          <w:tcPr>
            <w:tcW w:w="1260" w:type="dxa"/>
            <w:noWrap w:val="0"/>
            <w:tcMar>
              <w:top w:w="30" w:type="dxa"/>
              <w:left w:w="150" w:type="dxa"/>
              <w:bottom w:w="30" w:type="dxa"/>
              <w:right w:w="150" w:type="dxa"/>
            </w:tcMar>
            <w:vAlign w:val="center"/>
          </w:tcPr>
          <w:p w14:paraId="246CB6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X≥300</w:t>
            </w:r>
          </w:p>
        </w:tc>
        <w:tc>
          <w:tcPr>
            <w:tcW w:w="1785" w:type="dxa"/>
            <w:noWrap w:val="0"/>
            <w:tcMar>
              <w:top w:w="30" w:type="dxa"/>
              <w:left w:w="150" w:type="dxa"/>
              <w:bottom w:w="30" w:type="dxa"/>
              <w:right w:w="150" w:type="dxa"/>
            </w:tcMar>
            <w:vAlign w:val="center"/>
          </w:tcPr>
          <w:p w14:paraId="4C7466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100≤X&lt;300</w:t>
            </w:r>
          </w:p>
        </w:tc>
        <w:tc>
          <w:tcPr>
            <w:tcW w:w="1605" w:type="dxa"/>
            <w:noWrap w:val="0"/>
            <w:tcMar>
              <w:top w:w="30" w:type="dxa"/>
              <w:left w:w="150" w:type="dxa"/>
              <w:bottom w:w="30" w:type="dxa"/>
              <w:right w:w="150" w:type="dxa"/>
            </w:tcMar>
            <w:vAlign w:val="center"/>
          </w:tcPr>
          <w:p w14:paraId="094F56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10≤X&lt;100</w:t>
            </w:r>
          </w:p>
        </w:tc>
        <w:tc>
          <w:tcPr>
            <w:tcW w:w="947" w:type="dxa"/>
            <w:noWrap w:val="0"/>
            <w:tcMar>
              <w:top w:w="30" w:type="dxa"/>
              <w:left w:w="150" w:type="dxa"/>
              <w:bottom w:w="30" w:type="dxa"/>
              <w:right w:w="150" w:type="dxa"/>
            </w:tcMar>
            <w:vAlign w:val="center"/>
          </w:tcPr>
          <w:p w14:paraId="6BB51E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i w:val="0"/>
                <w:caps w:val="0"/>
                <w:color w:val="auto"/>
                <w:spacing w:val="0"/>
                <w:sz w:val="21"/>
                <w:szCs w:val="21"/>
                <w:highlight w:val="none"/>
              </w:rPr>
            </w:pPr>
            <w:r>
              <w:rPr>
                <w:rFonts w:hint="eastAsia" w:ascii="宋体" w:hAnsi="宋体" w:eastAsia="宋体" w:cs="宋体"/>
                <w:b w:val="0"/>
                <w:i w:val="0"/>
                <w:caps w:val="0"/>
                <w:color w:val="auto"/>
                <w:spacing w:val="0"/>
                <w:kern w:val="0"/>
                <w:sz w:val="21"/>
                <w:szCs w:val="21"/>
                <w:highlight w:val="none"/>
                <w:lang w:val="en-US" w:eastAsia="zh-CN" w:bidi="ar"/>
              </w:rPr>
              <w:t>X&lt;10</w:t>
            </w:r>
          </w:p>
        </w:tc>
      </w:tr>
    </w:tbl>
    <w:p w14:paraId="5D6D91DF">
      <w:pPr>
        <w:widowControl/>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b/>
          <w:bCs/>
          <w:color w:val="auto"/>
          <w:spacing w:val="8"/>
          <w:kern w:val="0"/>
          <w:sz w:val="24"/>
          <w:szCs w:val="24"/>
        </w:rPr>
        <w:t>说明：</w:t>
      </w:r>
    </w:p>
    <w:p w14:paraId="5B878B6D">
      <w:pPr>
        <w:keepNext w:val="0"/>
        <w:keepLines w:val="0"/>
        <w:pageBreakBefore w:val="0"/>
        <w:widowControl w:val="0"/>
        <w:kinsoku/>
        <w:wordWrap/>
        <w:overflowPunct/>
        <w:topLinePunct w:val="0"/>
        <w:autoSpaceDE/>
        <w:autoSpaceDN/>
        <w:bidi w:val="0"/>
        <w:spacing w:line="360" w:lineRule="auto"/>
        <w:ind w:left="0" w:leftChars="0"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1.大型、中型和小型企业须同时满足所列指标的</w:t>
      </w:r>
      <w:r>
        <w:rPr>
          <w:rFonts w:hint="eastAsia" w:ascii="宋体" w:hAnsi="宋体" w:eastAsia="宋体" w:cs="宋体"/>
          <w:b/>
          <w:bCs/>
          <w:color w:val="auto"/>
          <w:spacing w:val="8"/>
          <w:kern w:val="0"/>
          <w:sz w:val="24"/>
          <w:szCs w:val="24"/>
        </w:rPr>
        <w:t>下限</w:t>
      </w:r>
      <w:r>
        <w:rPr>
          <w:rFonts w:hint="eastAsia" w:ascii="宋体" w:hAnsi="宋体" w:eastAsia="宋体" w:cs="宋体"/>
          <w:color w:val="auto"/>
          <w:spacing w:val="8"/>
          <w:kern w:val="0"/>
          <w:sz w:val="24"/>
          <w:szCs w:val="24"/>
        </w:rPr>
        <w:t>，</w:t>
      </w:r>
      <w:r>
        <w:rPr>
          <w:rFonts w:hint="eastAsia" w:ascii="宋体" w:hAnsi="宋体" w:eastAsia="宋体" w:cs="宋体"/>
          <w:b/>
          <w:bCs/>
          <w:color w:val="auto"/>
          <w:spacing w:val="8"/>
          <w:kern w:val="0"/>
          <w:sz w:val="24"/>
          <w:szCs w:val="24"/>
        </w:rPr>
        <w:t>否则下划一档</w:t>
      </w:r>
      <w:r>
        <w:rPr>
          <w:rFonts w:hint="eastAsia" w:ascii="宋体" w:hAnsi="宋体" w:eastAsia="宋体" w:cs="宋体"/>
          <w:color w:val="auto"/>
          <w:spacing w:val="8"/>
          <w:kern w:val="0"/>
          <w:sz w:val="24"/>
          <w:szCs w:val="24"/>
        </w:rPr>
        <w:t>；微型企业只须满足所列指标中的</w:t>
      </w:r>
      <w:r>
        <w:rPr>
          <w:rFonts w:hint="eastAsia" w:ascii="宋体" w:hAnsi="宋体" w:eastAsia="宋体" w:cs="宋体"/>
          <w:b/>
          <w:bCs/>
          <w:color w:val="auto"/>
          <w:spacing w:val="8"/>
          <w:kern w:val="0"/>
          <w:sz w:val="24"/>
          <w:szCs w:val="24"/>
        </w:rPr>
        <w:t>一项</w:t>
      </w:r>
      <w:r>
        <w:rPr>
          <w:rFonts w:hint="eastAsia" w:ascii="宋体" w:hAnsi="宋体" w:eastAsia="宋体" w:cs="宋体"/>
          <w:color w:val="auto"/>
          <w:spacing w:val="8"/>
          <w:kern w:val="0"/>
          <w:sz w:val="24"/>
          <w:szCs w:val="24"/>
        </w:rPr>
        <w:t>即可。</w:t>
      </w:r>
    </w:p>
    <w:p w14:paraId="4875B3E8">
      <w:pPr>
        <w:keepNext w:val="0"/>
        <w:keepLines w:val="0"/>
        <w:pageBreakBefore w:val="0"/>
        <w:widowControl w:val="0"/>
        <w:kinsoku/>
        <w:wordWrap/>
        <w:overflowPunct/>
        <w:topLinePunct w:val="0"/>
        <w:autoSpaceDE/>
        <w:autoSpaceDN/>
        <w:bidi w:val="0"/>
        <w:spacing w:line="360" w:lineRule="auto"/>
        <w:ind w:left="0" w:leftChars="0" w:firstLine="512" w:firstLineChars="200"/>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2.附表中各行业的范围以《国民经济行业分类》（GB/T4754-2017）为准。带*的项为行业组合类别，其中，</w:t>
      </w:r>
      <w:r>
        <w:rPr>
          <w:rFonts w:hint="eastAsia" w:ascii="宋体" w:hAnsi="宋体" w:eastAsia="宋体" w:cs="宋体"/>
          <w:b/>
          <w:bCs/>
          <w:color w:val="auto"/>
          <w:spacing w:val="8"/>
          <w:kern w:val="0"/>
          <w:sz w:val="24"/>
          <w:szCs w:val="24"/>
        </w:rPr>
        <w:t>工业</w:t>
      </w:r>
      <w:r>
        <w:rPr>
          <w:rFonts w:hint="eastAsia" w:ascii="宋体" w:hAnsi="宋体" w:eastAsia="宋体" w:cs="宋体"/>
          <w:color w:val="auto"/>
          <w:spacing w:val="8"/>
          <w:kern w:val="0"/>
          <w:sz w:val="24"/>
          <w:szCs w:val="24"/>
        </w:rPr>
        <w:t>包括采矿业，制造业，电力、热力、燃气及水生产和供应业；</w:t>
      </w:r>
      <w:r>
        <w:rPr>
          <w:rFonts w:hint="eastAsia" w:ascii="宋体" w:hAnsi="宋体" w:eastAsia="宋体" w:cs="宋体"/>
          <w:b/>
          <w:bCs/>
          <w:color w:val="auto"/>
          <w:spacing w:val="8"/>
          <w:kern w:val="0"/>
          <w:sz w:val="24"/>
          <w:szCs w:val="24"/>
        </w:rPr>
        <w:t>交通运输业</w:t>
      </w:r>
      <w:r>
        <w:rPr>
          <w:rFonts w:hint="eastAsia" w:ascii="宋体" w:hAnsi="宋体" w:eastAsia="宋体" w:cs="宋体"/>
          <w:color w:val="auto"/>
          <w:spacing w:val="8"/>
          <w:kern w:val="0"/>
          <w:sz w:val="24"/>
          <w:szCs w:val="24"/>
        </w:rPr>
        <w:t>包括道路运输业，水上运输业，航空运输业，管道运输业，多式联运和运输代理业、装卸搬运，不包括铁路运输业；</w:t>
      </w:r>
      <w:r>
        <w:rPr>
          <w:rFonts w:hint="eastAsia" w:ascii="宋体" w:hAnsi="宋体" w:eastAsia="宋体" w:cs="宋体"/>
          <w:b/>
          <w:bCs/>
          <w:color w:val="auto"/>
          <w:spacing w:val="8"/>
          <w:kern w:val="0"/>
          <w:sz w:val="24"/>
          <w:szCs w:val="24"/>
        </w:rPr>
        <w:t>仓储业</w:t>
      </w:r>
      <w:r>
        <w:rPr>
          <w:rFonts w:hint="eastAsia" w:ascii="宋体" w:hAnsi="宋体" w:eastAsia="宋体" w:cs="宋体"/>
          <w:color w:val="auto"/>
          <w:spacing w:val="8"/>
          <w:kern w:val="0"/>
          <w:sz w:val="24"/>
          <w:szCs w:val="24"/>
        </w:rPr>
        <w:t>包括通用仓储，低温仓储，危险品仓储，谷物、棉花等农产品仓储，中药材仓储和其他仓储业</w:t>
      </w:r>
      <w:r>
        <w:rPr>
          <w:rFonts w:hint="eastAsia" w:ascii="宋体" w:hAnsi="宋体" w:eastAsia="宋体" w:cs="宋体"/>
          <w:color w:val="auto"/>
          <w:spacing w:val="8"/>
          <w:kern w:val="0"/>
          <w:sz w:val="24"/>
          <w:szCs w:val="24"/>
          <w:lang w:eastAsia="zh-CN"/>
        </w:rPr>
        <w:t>；</w:t>
      </w:r>
      <w:r>
        <w:rPr>
          <w:rFonts w:hint="eastAsia" w:ascii="宋体" w:hAnsi="宋体" w:eastAsia="宋体" w:cs="宋体"/>
          <w:b/>
          <w:bCs/>
          <w:color w:val="auto"/>
          <w:spacing w:val="8"/>
          <w:kern w:val="0"/>
          <w:sz w:val="24"/>
          <w:szCs w:val="24"/>
        </w:rPr>
        <w:t>信息传输业</w:t>
      </w:r>
      <w:r>
        <w:rPr>
          <w:rFonts w:hint="eastAsia" w:ascii="宋体" w:hAnsi="宋体" w:eastAsia="宋体" w:cs="宋体"/>
          <w:color w:val="auto"/>
          <w:spacing w:val="8"/>
          <w:kern w:val="0"/>
          <w:sz w:val="24"/>
          <w:szCs w:val="24"/>
        </w:rPr>
        <w:t>包括电信、广播电视和卫星传输服务，互联网和相关服务；</w:t>
      </w:r>
      <w:r>
        <w:rPr>
          <w:rFonts w:hint="eastAsia" w:ascii="宋体" w:hAnsi="宋体" w:eastAsia="宋体" w:cs="宋体"/>
          <w:b/>
          <w:bCs/>
          <w:color w:val="auto"/>
          <w:spacing w:val="8"/>
          <w:kern w:val="0"/>
          <w:sz w:val="24"/>
          <w:szCs w:val="24"/>
        </w:rPr>
        <w:t>其他未列明行业</w:t>
      </w:r>
      <w:r>
        <w:rPr>
          <w:rFonts w:hint="eastAsia" w:ascii="宋体" w:hAnsi="宋体" w:eastAsia="宋体" w:cs="宋体"/>
          <w:color w:val="auto"/>
          <w:spacing w:val="8"/>
          <w:kern w:val="0"/>
          <w:sz w:val="24"/>
          <w:szCs w:val="24"/>
        </w:rPr>
        <w:t>包括科学研究和技术服务业，水利、环境和公共设施管理业，居民服务、修理和其他服务业，社会工作，文化、体育和娱乐业，以及房地产中介服务，其他房地产业等，不包括自有房地产经营活动。</w:t>
      </w:r>
    </w:p>
    <w:p w14:paraId="258D8B35">
      <w:pPr>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center"/>
        <w:textAlignment w:val="auto"/>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3.企业划分指标以现行统计制度为准。（1）</w:t>
      </w:r>
      <w:r>
        <w:rPr>
          <w:rFonts w:hint="eastAsia" w:ascii="宋体" w:hAnsi="宋体" w:eastAsia="宋体" w:cs="宋体"/>
          <w:b/>
          <w:bCs/>
          <w:color w:val="auto"/>
          <w:spacing w:val="8"/>
          <w:kern w:val="0"/>
          <w:sz w:val="24"/>
          <w:szCs w:val="24"/>
        </w:rPr>
        <w:t>从业人员</w:t>
      </w:r>
      <w:r>
        <w:rPr>
          <w:rFonts w:hint="eastAsia" w:ascii="宋体" w:hAnsi="宋体" w:eastAsia="宋体" w:cs="宋体"/>
          <w:color w:val="auto"/>
          <w:spacing w:val="8"/>
          <w:kern w:val="0"/>
          <w:sz w:val="24"/>
          <w:szCs w:val="24"/>
        </w:rPr>
        <w:t>，是指期末从业人员数，没有期末从业人员数的，采用全年平均人员数代替。（2）</w:t>
      </w:r>
      <w:r>
        <w:rPr>
          <w:rFonts w:hint="eastAsia" w:ascii="宋体" w:hAnsi="宋体" w:eastAsia="宋体" w:cs="宋体"/>
          <w:b/>
          <w:bCs/>
          <w:color w:val="auto"/>
          <w:spacing w:val="8"/>
          <w:kern w:val="0"/>
          <w:sz w:val="24"/>
          <w:szCs w:val="24"/>
        </w:rPr>
        <w:t>营业收入</w:t>
      </w:r>
      <w:r>
        <w:rPr>
          <w:rFonts w:hint="eastAsia" w:ascii="宋体" w:hAnsi="宋体" w:eastAsia="宋体" w:cs="宋体"/>
          <w:color w:val="auto"/>
          <w:spacing w:val="8"/>
          <w:kern w:val="0"/>
          <w:sz w:val="24"/>
          <w:szCs w:val="24"/>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rFonts w:hint="eastAsia" w:ascii="宋体" w:hAnsi="宋体" w:eastAsia="宋体" w:cs="宋体"/>
          <w:b/>
          <w:bCs/>
          <w:color w:val="auto"/>
          <w:spacing w:val="8"/>
          <w:kern w:val="0"/>
          <w:sz w:val="24"/>
          <w:szCs w:val="24"/>
        </w:rPr>
        <w:t>资产总额</w:t>
      </w:r>
      <w:r>
        <w:rPr>
          <w:rFonts w:hint="eastAsia" w:ascii="宋体" w:hAnsi="宋体" w:eastAsia="宋体" w:cs="宋体"/>
          <w:color w:val="auto"/>
          <w:spacing w:val="8"/>
          <w:kern w:val="0"/>
          <w:sz w:val="24"/>
          <w:szCs w:val="24"/>
        </w:rPr>
        <w:t>，采用资产总计代替。</w:t>
      </w:r>
    </w:p>
    <w:p w14:paraId="7F07438A">
      <w:pPr>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br w:type="page"/>
      </w:r>
    </w:p>
    <w:p w14:paraId="1E2DE509">
      <w:pPr>
        <w:adjustRightInd w:val="0"/>
        <w:snapToGrid w:val="0"/>
        <w:spacing w:before="156" w:beforeLines="50" w:line="56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（2）残疾人福利性单位声明函</w:t>
      </w:r>
    </w:p>
    <w:p w14:paraId="3472AF6C">
      <w:pPr>
        <w:adjustRightInd w:val="0"/>
        <w:snapToGrid w:val="0"/>
        <w:spacing w:line="560" w:lineRule="exact"/>
        <w:ind w:firstLine="506"/>
        <w:jc w:val="center"/>
        <w:rPr>
          <w:rFonts w:ascii="宋体" w:hAnsi="宋体" w:eastAsia="宋体" w:cs="宋体"/>
          <w:spacing w:val="6"/>
          <w:sz w:val="24"/>
          <w:szCs w:val="24"/>
        </w:rPr>
      </w:pPr>
      <w:r>
        <w:rPr>
          <w:rFonts w:hint="eastAsia" w:ascii="宋体" w:hAnsi="宋体" w:eastAsia="宋体" w:cs="宋体"/>
          <w:b/>
          <w:spacing w:val="6"/>
          <w:sz w:val="24"/>
          <w:szCs w:val="24"/>
        </w:rPr>
        <w:t>(不属于残疾人福利性单位的无需填写)</w:t>
      </w:r>
    </w:p>
    <w:p w14:paraId="40623B7B">
      <w:pPr>
        <w:spacing w:line="560" w:lineRule="exact"/>
        <w:ind w:firstLine="480"/>
        <w:rPr>
          <w:rFonts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人，安置的残疾人人数</w:t>
      </w:r>
      <w:r>
        <w:rPr>
          <w:rFonts w:hint="eastAsia" w:ascii="宋体" w:hAnsi="宋体" w:eastAsia="宋体" w:cs="宋体"/>
          <w:sz w:val="24"/>
          <w:szCs w:val="24"/>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14:paraId="3EDC16AC">
      <w:pPr>
        <w:spacing w:line="560" w:lineRule="exact"/>
        <w:ind w:firstLine="48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4FF66CC5">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单位名称：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（公章）</w:t>
      </w:r>
    </w:p>
    <w:p w14:paraId="1C5B8B1A">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法定代表人或委托代理人：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（签字或盖章）</w:t>
      </w:r>
    </w:p>
    <w:p w14:paraId="67E0E9FE">
      <w:pPr>
        <w:spacing w:before="156" w:beforeLines="50" w:line="560" w:lineRule="exact"/>
        <w:ind w:firstLine="480"/>
        <w:jc w:val="center"/>
        <w:rPr>
          <w:rFonts w:hint="eastAsia" w:ascii="宋体" w:hAnsi="宋体" w:eastAsia="宋体" w:cs="宋体"/>
          <w:bCs/>
          <w:sz w:val="24"/>
          <w:szCs w:val="24"/>
        </w:rPr>
      </w:pPr>
      <w:r>
        <w:rPr>
          <w:rFonts w:hint="eastAsia" w:ascii="宋体" w:hAnsi="宋体" w:eastAsia="宋体" w:cs="宋体"/>
          <w:bCs/>
          <w:sz w:val="24"/>
          <w:szCs w:val="24"/>
        </w:rPr>
        <w:t xml:space="preserve">                                    年   月  日</w:t>
      </w:r>
    </w:p>
    <w:p w14:paraId="6E55E8ED">
      <w:pPr>
        <w:spacing w:before="156" w:beforeLines="50" w:line="560" w:lineRule="exact"/>
        <w:ind w:firstLine="480"/>
        <w:jc w:val="center"/>
        <w:rPr>
          <w:rFonts w:hint="eastAsia" w:ascii="宋体" w:hAnsi="宋体" w:eastAsia="宋体" w:cs="宋体"/>
          <w:bCs/>
          <w:sz w:val="24"/>
          <w:szCs w:val="24"/>
        </w:rPr>
      </w:pPr>
    </w:p>
    <w:p w14:paraId="7AF73318">
      <w:pPr>
        <w:adjustRightInd w:val="0"/>
        <w:snapToGrid w:val="0"/>
        <w:spacing w:before="156" w:beforeLines="50" w:line="560" w:lineRule="exact"/>
        <w:ind w:firstLine="0" w:firstLineChars="0"/>
        <w:jc w:val="center"/>
        <w:rPr>
          <w:rFonts w:ascii="宋体" w:hAnsi="宋体" w:eastAsia="宋体" w:cs="宋体"/>
          <w:kern w:val="2"/>
          <w:sz w:val="24"/>
          <w:szCs w:val="24"/>
        </w:rPr>
      </w:pPr>
      <w:r>
        <w:rPr>
          <w:rFonts w:hint="eastAsia" w:ascii="宋体" w:hAnsi="宋体" w:eastAsia="宋体" w:cs="宋体"/>
          <w:kern w:val="2"/>
          <w:sz w:val="32"/>
          <w:szCs w:val="32"/>
        </w:rPr>
        <w:br w:type="page"/>
      </w:r>
      <w:bookmarkEnd w:id="183"/>
      <w:bookmarkEnd w:id="184"/>
      <w:bookmarkEnd w:id="185"/>
      <w:r>
        <w:rPr>
          <w:rFonts w:hint="eastAsia" w:ascii="宋体" w:hAnsi="宋体" w:eastAsia="宋体" w:cs="宋体"/>
          <w:kern w:val="2"/>
          <w:sz w:val="24"/>
          <w:szCs w:val="24"/>
        </w:rPr>
        <w:t>（3）监狱企业证明资料</w:t>
      </w:r>
    </w:p>
    <w:p w14:paraId="2AA5069C">
      <w:pPr>
        <w:adjustRightInd w:val="0"/>
        <w:snapToGrid w:val="0"/>
        <w:spacing w:line="560" w:lineRule="exact"/>
        <w:ind w:firstLine="506"/>
        <w:jc w:val="center"/>
        <w:rPr>
          <w:rFonts w:ascii="宋体" w:hAnsi="宋体" w:eastAsia="宋体" w:cs="宋体"/>
          <w:sz w:val="24"/>
          <w:szCs w:val="24"/>
        </w:rPr>
      </w:pPr>
      <w:bookmarkStart w:id="186" w:name="_Toc28022_WPSOffice_Level3"/>
      <w:bookmarkStart w:id="187" w:name="_Toc25903_WPSOffice_Level3"/>
      <w:r>
        <w:rPr>
          <w:rFonts w:hint="eastAsia" w:ascii="宋体" w:hAnsi="宋体" w:eastAsia="宋体" w:cs="宋体"/>
          <w:b/>
          <w:spacing w:val="6"/>
          <w:sz w:val="24"/>
          <w:szCs w:val="24"/>
        </w:rPr>
        <w:t>(不属于监狱企业的无需提供)</w:t>
      </w:r>
      <w:bookmarkEnd w:id="186"/>
      <w:bookmarkEnd w:id="187"/>
    </w:p>
    <w:p w14:paraId="7BE65C74">
      <w:pPr>
        <w:adjustRightInd w:val="0"/>
        <w:snapToGrid w:val="0"/>
        <w:spacing w:line="560" w:lineRule="exact"/>
        <w:ind w:firstLine="504"/>
        <w:rPr>
          <w:rFonts w:ascii="宋体" w:hAnsi="宋体" w:eastAsia="宋体" w:cs="宋体"/>
          <w:sz w:val="24"/>
          <w:szCs w:val="24"/>
        </w:rPr>
      </w:pPr>
      <w:r>
        <w:rPr>
          <w:rFonts w:hint="eastAsia" w:ascii="宋体" w:hAnsi="宋体" w:eastAsia="宋体" w:cs="宋体"/>
          <w:bCs/>
          <w:spacing w:val="6"/>
          <w:sz w:val="24"/>
          <w:szCs w:val="24"/>
        </w:rPr>
        <w:t>备注：</w:t>
      </w:r>
      <w:r>
        <w:rPr>
          <w:rFonts w:hint="eastAsia" w:ascii="宋体" w:hAnsi="宋体" w:eastAsia="宋体" w:cs="宋体"/>
          <w:sz w:val="24"/>
          <w:szCs w:val="24"/>
        </w:rPr>
        <w:t>按</w:t>
      </w:r>
      <w:r>
        <w:rPr>
          <w:rFonts w:hint="eastAsia" w:ascii="宋体" w:hAnsi="宋体" w:eastAsia="宋体" w:cs="宋体"/>
          <w:spacing w:val="6"/>
          <w:sz w:val="24"/>
          <w:szCs w:val="24"/>
        </w:rPr>
        <w:t>《</w:t>
      </w:r>
      <w:r>
        <w:rPr>
          <w:rFonts w:hint="eastAsia" w:ascii="宋体" w:hAnsi="宋体" w:eastAsia="宋体" w:cs="宋体"/>
          <w:sz w:val="24"/>
          <w:szCs w:val="24"/>
        </w:rPr>
        <w:t>财政部 司法部关于政府采购支持监狱企业发展有关问题的通知</w:t>
      </w:r>
      <w:r>
        <w:rPr>
          <w:rFonts w:hint="eastAsia" w:ascii="宋体" w:hAnsi="宋体" w:eastAsia="宋体" w:cs="宋体"/>
          <w:spacing w:val="6"/>
          <w:sz w:val="24"/>
          <w:szCs w:val="24"/>
        </w:rPr>
        <w:t>》</w:t>
      </w:r>
      <w:r>
        <w:rPr>
          <w:rFonts w:hint="eastAsia" w:ascii="宋体" w:hAnsi="宋体" w:eastAsia="宋体" w:cs="宋体"/>
          <w:sz w:val="24"/>
          <w:szCs w:val="24"/>
        </w:rPr>
        <w:t>(财库〔2014〕68号)文件规定提供证明文件（复印件）。</w:t>
      </w:r>
    </w:p>
    <w:p w14:paraId="6605A1A7">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88" w:name="_Toc22071_WPSOffice_Level3"/>
      <w:r>
        <w:rPr>
          <w:rFonts w:hint="eastAsia" w:ascii="宋体" w:hAnsi="宋体" w:eastAsia="宋体" w:cs="宋体"/>
          <w:bCs/>
          <w:sz w:val="24"/>
          <w:szCs w:val="24"/>
        </w:rPr>
        <w:t>单位名称：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（公章）</w:t>
      </w:r>
      <w:bookmarkEnd w:id="188"/>
    </w:p>
    <w:p w14:paraId="17C5F4D5">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89" w:name="_Toc11539_WPSOffice_Level3"/>
      <w:r>
        <w:rPr>
          <w:rFonts w:hint="eastAsia" w:ascii="宋体" w:hAnsi="宋体" w:eastAsia="宋体" w:cs="宋体"/>
          <w:bCs/>
          <w:sz w:val="24"/>
          <w:szCs w:val="24"/>
        </w:rPr>
        <w:t>法定代表人或委托代理人：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（签字或盖章）</w:t>
      </w:r>
      <w:bookmarkEnd w:id="189"/>
    </w:p>
    <w:p w14:paraId="1B2FCB3D">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90" w:name="_Toc3285_WPSOffice_Level3"/>
      <w:r>
        <w:rPr>
          <w:rFonts w:hint="eastAsia" w:ascii="宋体" w:hAnsi="宋体" w:eastAsia="宋体" w:cs="宋体"/>
          <w:bCs/>
          <w:sz w:val="24"/>
          <w:szCs w:val="24"/>
        </w:rPr>
        <w:t>年   月  日</w:t>
      </w:r>
      <w:bookmarkEnd w:id="190"/>
    </w:p>
    <w:p w14:paraId="11A3F485">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br w:type="page"/>
      </w:r>
    </w:p>
    <w:p w14:paraId="09771593">
      <w:pPr>
        <w:adjustRightInd w:val="0"/>
        <w:snapToGrid w:val="0"/>
        <w:spacing w:before="156" w:beforeLines="50" w:line="560" w:lineRule="exact"/>
        <w:ind w:firstLine="0" w:firstLineChars="0"/>
        <w:jc w:val="center"/>
        <w:rPr>
          <w:rFonts w:ascii="宋体" w:hAnsi="宋体" w:eastAsia="宋体" w:cs="宋体"/>
          <w:b/>
          <w:kern w:val="2"/>
          <w:sz w:val="24"/>
          <w:szCs w:val="24"/>
        </w:rPr>
      </w:pPr>
      <w:r>
        <w:rPr>
          <w:rFonts w:hint="eastAsia" w:ascii="宋体" w:hAnsi="宋体" w:eastAsia="宋体" w:cs="宋体"/>
          <w:bCs/>
          <w:sz w:val="24"/>
          <w:szCs w:val="24"/>
        </w:rPr>
        <w:t>（4）</w:t>
      </w:r>
      <w:r>
        <w:rPr>
          <w:rFonts w:hint="eastAsia" w:ascii="宋体" w:hAnsi="宋体" w:eastAsia="宋体" w:cs="宋体"/>
          <w:bCs/>
          <w:kern w:val="2"/>
          <w:sz w:val="24"/>
          <w:szCs w:val="24"/>
        </w:rPr>
        <w:t>节能产品、环境标志产品证明材料</w:t>
      </w:r>
    </w:p>
    <w:p w14:paraId="3CAA2793">
      <w:pPr>
        <w:adjustRightInd w:val="0"/>
        <w:snapToGrid w:val="0"/>
        <w:spacing w:line="560" w:lineRule="exact"/>
        <w:ind w:firstLine="480"/>
        <w:rPr>
          <w:rFonts w:ascii="宋体" w:hAnsi="宋体" w:eastAsia="宋体" w:cs="宋体"/>
          <w:b/>
          <w:kern w:val="28"/>
          <w:sz w:val="36"/>
          <w:szCs w:val="36"/>
        </w:rPr>
      </w:pPr>
      <w:r>
        <w:rPr>
          <w:rFonts w:hint="eastAsia" w:ascii="宋体" w:hAnsi="宋体" w:eastAsia="宋体" w:cs="宋体"/>
          <w:sz w:val="24"/>
          <w:szCs w:val="24"/>
        </w:rPr>
        <w:t>产品</w:t>
      </w:r>
      <w:r>
        <w:rPr>
          <w:rFonts w:hint="eastAsia" w:ascii="宋体" w:hAnsi="宋体" w:eastAsia="宋体" w:cs="宋体"/>
          <w:bCs/>
          <w:sz w:val="24"/>
          <w:szCs w:val="24"/>
        </w:rPr>
        <w:t>属于品目清单范围的</w:t>
      </w:r>
      <w:r>
        <w:rPr>
          <w:rFonts w:hint="eastAsia" w:ascii="宋体" w:hAnsi="宋体" w:eastAsia="宋体" w:cs="宋体"/>
          <w:sz w:val="24"/>
          <w:szCs w:val="24"/>
        </w:rPr>
        <w:t>，</w:t>
      </w:r>
      <w:r>
        <w:rPr>
          <w:rFonts w:hint="eastAsia" w:ascii="宋体" w:hAnsi="宋体" w:eastAsia="宋体" w:cs="宋体"/>
          <w:bCs/>
          <w:sz w:val="24"/>
          <w:szCs w:val="24"/>
        </w:rPr>
        <w:t>实施政府优先采购和强制采购。</w:t>
      </w:r>
      <w:r>
        <w:rPr>
          <w:rFonts w:hint="eastAsia" w:ascii="宋体" w:hAnsi="宋体" w:eastAsia="宋体" w:cs="宋体"/>
          <w:sz w:val="24"/>
          <w:szCs w:val="24"/>
        </w:rPr>
        <w:t>供应商应提供国家确定的认证机构出具的、处于有效期之内的节能产品、环境标志产品认证证书，并加盖供应商单位公章。</w:t>
      </w:r>
    </w:p>
    <w:p w14:paraId="2BC9B3D8">
      <w:pPr>
        <w:pStyle w:val="10"/>
        <w:ind w:firstLine="723"/>
        <w:rPr>
          <w:rFonts w:hAnsi="宋体" w:eastAsia="宋体" w:cs="宋体"/>
          <w:b/>
          <w:kern w:val="28"/>
          <w:sz w:val="36"/>
          <w:szCs w:val="36"/>
        </w:rPr>
      </w:pPr>
    </w:p>
    <w:p w14:paraId="765FCC34">
      <w:pPr>
        <w:pStyle w:val="10"/>
        <w:ind w:firstLine="723"/>
        <w:rPr>
          <w:rFonts w:hAnsi="宋体" w:eastAsia="宋体" w:cs="宋体"/>
          <w:b/>
          <w:kern w:val="28"/>
          <w:sz w:val="36"/>
          <w:szCs w:val="36"/>
        </w:rPr>
      </w:pPr>
    </w:p>
    <w:p w14:paraId="34C89095">
      <w:pPr>
        <w:pStyle w:val="10"/>
        <w:ind w:firstLine="723"/>
        <w:rPr>
          <w:rFonts w:hAnsi="宋体" w:eastAsia="宋体" w:cs="宋体"/>
          <w:b/>
          <w:kern w:val="28"/>
          <w:sz w:val="36"/>
          <w:szCs w:val="36"/>
        </w:rPr>
      </w:pPr>
    </w:p>
    <w:p w14:paraId="0FDA4D5D">
      <w:pPr>
        <w:pStyle w:val="10"/>
        <w:ind w:firstLine="723"/>
        <w:rPr>
          <w:rFonts w:hAnsi="宋体" w:eastAsia="宋体" w:cs="宋体"/>
          <w:b/>
          <w:kern w:val="28"/>
          <w:sz w:val="36"/>
          <w:szCs w:val="36"/>
        </w:rPr>
      </w:pPr>
    </w:p>
    <w:p w14:paraId="30485258">
      <w:pPr>
        <w:pStyle w:val="10"/>
        <w:ind w:firstLine="723"/>
        <w:rPr>
          <w:rFonts w:hAnsi="宋体" w:eastAsia="宋体" w:cs="宋体"/>
          <w:b/>
          <w:kern w:val="28"/>
          <w:sz w:val="36"/>
          <w:szCs w:val="36"/>
        </w:rPr>
      </w:pPr>
    </w:p>
    <w:p w14:paraId="2740794D">
      <w:pPr>
        <w:pStyle w:val="10"/>
        <w:ind w:firstLine="723"/>
        <w:rPr>
          <w:rFonts w:hAnsi="宋体" w:eastAsia="宋体" w:cs="宋体"/>
          <w:b/>
          <w:kern w:val="28"/>
          <w:sz w:val="36"/>
          <w:szCs w:val="36"/>
        </w:rPr>
      </w:pPr>
    </w:p>
    <w:p w14:paraId="3B54398B">
      <w:pPr>
        <w:pStyle w:val="10"/>
        <w:ind w:firstLine="723"/>
        <w:rPr>
          <w:rFonts w:hAnsi="宋体" w:eastAsia="宋体" w:cs="宋体"/>
          <w:b/>
          <w:kern w:val="28"/>
          <w:sz w:val="36"/>
          <w:szCs w:val="36"/>
        </w:rPr>
      </w:pPr>
    </w:p>
    <w:p w14:paraId="6D54F8ED">
      <w:pPr>
        <w:pStyle w:val="10"/>
        <w:ind w:firstLine="723"/>
        <w:rPr>
          <w:rFonts w:hAnsi="宋体" w:eastAsia="宋体" w:cs="宋体"/>
          <w:b/>
          <w:kern w:val="28"/>
          <w:sz w:val="36"/>
          <w:szCs w:val="36"/>
        </w:rPr>
      </w:pPr>
    </w:p>
    <w:p w14:paraId="5F109ABE">
      <w:pPr>
        <w:pStyle w:val="10"/>
        <w:ind w:firstLine="723"/>
        <w:rPr>
          <w:rFonts w:hAnsi="宋体" w:eastAsia="宋体" w:cs="宋体"/>
          <w:b/>
          <w:kern w:val="28"/>
          <w:sz w:val="36"/>
          <w:szCs w:val="36"/>
        </w:rPr>
      </w:pPr>
    </w:p>
    <w:p w14:paraId="4963FD07">
      <w:pPr>
        <w:pStyle w:val="10"/>
        <w:ind w:firstLine="723"/>
        <w:rPr>
          <w:rFonts w:hAnsi="宋体" w:eastAsia="宋体" w:cs="宋体"/>
          <w:b/>
          <w:kern w:val="28"/>
          <w:sz w:val="36"/>
          <w:szCs w:val="36"/>
        </w:rPr>
      </w:pPr>
    </w:p>
    <w:p w14:paraId="72B6242B">
      <w:pPr>
        <w:pStyle w:val="10"/>
        <w:ind w:firstLine="723"/>
        <w:rPr>
          <w:rFonts w:hAnsi="宋体" w:eastAsia="宋体" w:cs="宋体"/>
          <w:b/>
          <w:kern w:val="28"/>
          <w:sz w:val="36"/>
          <w:szCs w:val="36"/>
        </w:rPr>
      </w:pPr>
    </w:p>
    <w:p w14:paraId="76F2F2E3">
      <w:pPr>
        <w:pStyle w:val="10"/>
        <w:ind w:firstLine="723"/>
        <w:rPr>
          <w:rFonts w:hAnsi="宋体" w:eastAsia="宋体" w:cs="宋体"/>
          <w:b/>
          <w:kern w:val="28"/>
          <w:sz w:val="36"/>
          <w:szCs w:val="36"/>
        </w:rPr>
      </w:pPr>
    </w:p>
    <w:p w14:paraId="6A21EB4A">
      <w:pPr>
        <w:pStyle w:val="10"/>
        <w:ind w:firstLine="723"/>
        <w:rPr>
          <w:rFonts w:hAnsi="宋体" w:eastAsia="宋体" w:cs="宋体"/>
          <w:b/>
          <w:kern w:val="28"/>
          <w:sz w:val="36"/>
          <w:szCs w:val="36"/>
        </w:rPr>
      </w:pPr>
    </w:p>
    <w:p w14:paraId="0D01D4CB">
      <w:pPr>
        <w:pStyle w:val="10"/>
        <w:ind w:firstLine="723"/>
        <w:rPr>
          <w:rFonts w:hAnsi="宋体" w:eastAsia="宋体" w:cs="宋体"/>
          <w:b/>
          <w:kern w:val="28"/>
          <w:sz w:val="36"/>
          <w:szCs w:val="36"/>
        </w:rPr>
      </w:pPr>
    </w:p>
    <w:p w14:paraId="1F2A0429">
      <w:pPr>
        <w:pStyle w:val="10"/>
        <w:ind w:firstLine="723"/>
        <w:rPr>
          <w:rFonts w:hAnsi="宋体" w:eastAsia="宋体" w:cs="宋体"/>
          <w:b/>
          <w:kern w:val="28"/>
          <w:sz w:val="36"/>
          <w:szCs w:val="36"/>
        </w:rPr>
      </w:pPr>
    </w:p>
    <w:p w14:paraId="72E6E2B3">
      <w:pPr>
        <w:pStyle w:val="10"/>
        <w:ind w:firstLine="723"/>
        <w:rPr>
          <w:rFonts w:hAnsi="宋体" w:eastAsia="宋体" w:cs="宋体"/>
          <w:b/>
          <w:kern w:val="28"/>
          <w:sz w:val="36"/>
          <w:szCs w:val="36"/>
        </w:rPr>
      </w:pPr>
    </w:p>
    <w:p w14:paraId="135D246D">
      <w:pPr>
        <w:pStyle w:val="10"/>
        <w:ind w:firstLine="723"/>
        <w:rPr>
          <w:rFonts w:hAnsi="宋体" w:eastAsia="宋体" w:cs="宋体"/>
          <w:b/>
          <w:kern w:val="28"/>
          <w:sz w:val="36"/>
          <w:szCs w:val="36"/>
        </w:rPr>
      </w:pPr>
    </w:p>
    <w:p w14:paraId="63C4CCCA">
      <w:pPr>
        <w:pStyle w:val="10"/>
        <w:ind w:firstLine="723"/>
        <w:rPr>
          <w:rFonts w:hAnsi="宋体" w:eastAsia="宋体" w:cs="宋体"/>
          <w:b/>
          <w:kern w:val="28"/>
          <w:sz w:val="36"/>
          <w:szCs w:val="36"/>
        </w:rPr>
      </w:pPr>
    </w:p>
    <w:p w14:paraId="3813E1A9">
      <w:pPr>
        <w:pStyle w:val="10"/>
        <w:ind w:firstLine="723"/>
        <w:rPr>
          <w:rFonts w:hAnsi="宋体" w:eastAsia="宋体" w:cs="宋体"/>
          <w:b/>
          <w:kern w:val="28"/>
          <w:sz w:val="36"/>
          <w:szCs w:val="36"/>
        </w:rPr>
      </w:pPr>
    </w:p>
    <w:p w14:paraId="2AE2A6A3">
      <w:pPr>
        <w:pStyle w:val="10"/>
        <w:ind w:firstLine="723"/>
        <w:rPr>
          <w:rFonts w:hAnsi="宋体" w:eastAsia="宋体" w:cs="宋体"/>
          <w:b/>
          <w:kern w:val="28"/>
          <w:sz w:val="36"/>
          <w:szCs w:val="36"/>
        </w:rPr>
      </w:pPr>
    </w:p>
    <w:p w14:paraId="1E7A66EF">
      <w:pPr>
        <w:pStyle w:val="10"/>
        <w:ind w:firstLine="723"/>
        <w:rPr>
          <w:rFonts w:hAnsi="宋体" w:eastAsia="宋体" w:cs="宋体"/>
          <w:b/>
          <w:kern w:val="28"/>
          <w:sz w:val="36"/>
          <w:szCs w:val="36"/>
        </w:rPr>
      </w:pPr>
    </w:p>
    <w:p w14:paraId="58DB63FE">
      <w:pPr>
        <w:pStyle w:val="10"/>
        <w:ind w:firstLine="723"/>
        <w:rPr>
          <w:rFonts w:hAnsi="宋体" w:eastAsia="宋体" w:cs="宋体"/>
          <w:b/>
          <w:kern w:val="28"/>
          <w:sz w:val="36"/>
          <w:szCs w:val="36"/>
        </w:rPr>
      </w:pPr>
    </w:p>
    <w:p w14:paraId="027B020A">
      <w:pPr>
        <w:pStyle w:val="10"/>
        <w:ind w:firstLine="723"/>
        <w:rPr>
          <w:rFonts w:hAnsi="宋体" w:eastAsia="宋体" w:cs="宋体"/>
          <w:b/>
          <w:kern w:val="28"/>
          <w:sz w:val="36"/>
          <w:szCs w:val="36"/>
        </w:rPr>
      </w:pPr>
    </w:p>
    <w:p w14:paraId="67394B53">
      <w:pPr>
        <w:pStyle w:val="10"/>
        <w:ind w:firstLine="723"/>
        <w:rPr>
          <w:rFonts w:hAnsi="宋体" w:eastAsia="宋体" w:cs="宋体"/>
          <w:b/>
          <w:kern w:val="28"/>
          <w:sz w:val="36"/>
          <w:szCs w:val="36"/>
        </w:rPr>
      </w:pPr>
    </w:p>
    <w:p w14:paraId="4D1DD27C">
      <w:pPr>
        <w:pStyle w:val="10"/>
        <w:ind w:firstLine="723"/>
        <w:rPr>
          <w:rFonts w:hAnsi="宋体" w:eastAsia="宋体" w:cs="宋体"/>
          <w:b/>
          <w:kern w:val="28"/>
          <w:sz w:val="36"/>
          <w:szCs w:val="36"/>
        </w:rPr>
      </w:pPr>
    </w:p>
    <w:p w14:paraId="00527F40">
      <w:pPr>
        <w:pStyle w:val="10"/>
        <w:ind w:firstLine="723"/>
        <w:rPr>
          <w:rFonts w:hAnsi="宋体" w:eastAsia="宋体" w:cs="宋体"/>
          <w:b/>
          <w:kern w:val="28"/>
          <w:sz w:val="36"/>
          <w:szCs w:val="36"/>
        </w:rPr>
      </w:pPr>
    </w:p>
    <w:p w14:paraId="0C69228B">
      <w:pPr>
        <w:pStyle w:val="10"/>
        <w:ind w:firstLine="723"/>
        <w:rPr>
          <w:rFonts w:hAnsi="宋体" w:eastAsia="宋体" w:cs="宋体"/>
          <w:b/>
          <w:kern w:val="28"/>
          <w:sz w:val="36"/>
          <w:szCs w:val="36"/>
        </w:rPr>
      </w:pPr>
    </w:p>
    <w:p w14:paraId="23944C55">
      <w:pPr>
        <w:keepNext/>
        <w:pageBreakBefore/>
        <w:widowControl/>
        <w:spacing w:line="360" w:lineRule="auto"/>
        <w:ind w:firstLine="0" w:firstLineChars="0"/>
        <w:outlineLvl w:val="1"/>
        <w:rPr>
          <w:rFonts w:ascii="宋体" w:hAnsi="宋体" w:eastAsia="宋体" w:cs="宋体"/>
          <w:b/>
          <w:bCs/>
          <w:sz w:val="24"/>
          <w:szCs w:val="24"/>
        </w:rPr>
      </w:pPr>
      <w:bookmarkStart w:id="191" w:name="_Toc7409"/>
      <w:r>
        <w:rPr>
          <w:rFonts w:hint="eastAsia" w:ascii="宋体" w:hAnsi="宋体" w:eastAsia="宋体" w:cs="宋体"/>
          <w:b/>
          <w:bCs/>
          <w:sz w:val="24"/>
          <w:szCs w:val="24"/>
        </w:rPr>
        <w:t>附件15：供应商认为在其他方面有必要说明的事项</w:t>
      </w:r>
      <w:bookmarkEnd w:id="191"/>
    </w:p>
    <w:p w14:paraId="26BCC7BF">
      <w:pPr>
        <w:pStyle w:val="20"/>
        <w:ind w:firstLine="480"/>
        <w:rPr>
          <w:rFonts w:ascii="宋体" w:hAnsi="宋体" w:eastAsia="宋体" w:cs="宋体"/>
          <w:sz w:val="24"/>
          <w:szCs w:val="24"/>
        </w:rPr>
      </w:pPr>
    </w:p>
    <w:p w14:paraId="2433847D">
      <w:pPr>
        <w:pStyle w:val="10"/>
        <w:ind w:firstLine="480"/>
        <w:rPr>
          <w:rFonts w:hAnsi="宋体" w:eastAsia="宋体" w:cs="宋体"/>
          <w:b/>
          <w:kern w:val="28"/>
          <w:sz w:val="36"/>
          <w:szCs w:val="36"/>
        </w:rPr>
      </w:pPr>
      <w:r>
        <w:rPr>
          <w:rFonts w:hint="eastAsia" w:hAnsi="宋体" w:eastAsia="宋体" w:cs="宋体"/>
          <w:sz w:val="24"/>
          <w:szCs w:val="24"/>
        </w:rPr>
        <w:t>供应商认为在其他方面有必要说明的事项，格式自拟</w:t>
      </w:r>
    </w:p>
    <w:p w14:paraId="5433CC30">
      <w:pPr>
        <w:keepNext/>
        <w:keepLines/>
        <w:widowControl/>
        <w:numPr>
          <w:ilvl w:val="0"/>
          <w:numId w:val="5"/>
        </w:numPr>
        <w:snapToGrid w:val="0"/>
        <w:spacing w:line="360" w:lineRule="auto"/>
        <w:ind w:firstLine="0" w:firstLineChars="0"/>
        <w:jc w:val="center"/>
        <w:outlineLvl w:val="0"/>
        <w:rPr>
          <w:rFonts w:ascii="宋体" w:hAnsi="宋体" w:eastAsia="宋体" w:cs="宋体"/>
          <w:b/>
          <w:kern w:val="28"/>
          <w:sz w:val="36"/>
          <w:szCs w:val="36"/>
        </w:rPr>
      </w:pPr>
      <w:r>
        <w:rPr>
          <w:rFonts w:hint="eastAsia" w:ascii="宋体" w:hAnsi="宋体" w:eastAsia="宋体" w:cs="宋体"/>
          <w:bCs/>
          <w:sz w:val="24"/>
          <w:szCs w:val="24"/>
        </w:rPr>
        <w:br w:type="page"/>
      </w:r>
      <w:bookmarkEnd w:id="182"/>
      <w:r>
        <w:rPr>
          <w:rFonts w:hint="eastAsia" w:ascii="宋体" w:hAnsi="宋体" w:eastAsia="宋体" w:cs="宋体"/>
          <w:b/>
          <w:kern w:val="28"/>
          <w:sz w:val="36"/>
          <w:szCs w:val="36"/>
        </w:rPr>
        <w:t xml:space="preserve">   采购项目要求及技术参数</w:t>
      </w:r>
    </w:p>
    <w:p w14:paraId="43B77790">
      <w:pPr>
        <w:pStyle w:val="18"/>
        <w:spacing w:before="0" w:after="0" w:line="360" w:lineRule="auto"/>
        <w:ind w:firstLine="480"/>
        <w:jc w:val="left"/>
        <w:outlineLvl w:val="1"/>
        <w:rPr>
          <w:rFonts w:ascii="宋体" w:hAnsi="宋体" w:eastAsia="宋体" w:cs="宋体"/>
          <w:b w:val="0"/>
          <w:bCs w:val="0"/>
          <w:sz w:val="24"/>
          <w:szCs w:val="24"/>
        </w:rPr>
      </w:pPr>
      <w:bookmarkStart w:id="192" w:name="_Toc4441"/>
      <w:r>
        <w:rPr>
          <w:rFonts w:hint="eastAsia" w:ascii="宋体" w:hAnsi="宋体" w:eastAsia="宋体" w:cs="宋体"/>
          <w:b w:val="0"/>
          <w:bCs w:val="0"/>
          <w:sz w:val="24"/>
          <w:szCs w:val="24"/>
        </w:rPr>
        <w:t>1.投标说明</w:t>
      </w:r>
      <w:bookmarkEnd w:id="192"/>
      <w:r>
        <w:rPr>
          <w:rFonts w:hint="eastAsia" w:ascii="宋体" w:hAnsi="宋体" w:eastAsia="宋体" w:cs="宋体"/>
          <w:b w:val="0"/>
          <w:bCs w:val="0"/>
          <w:sz w:val="24"/>
          <w:szCs w:val="24"/>
        </w:rPr>
        <w:t xml:space="preserve"> </w:t>
      </w:r>
    </w:p>
    <w:p w14:paraId="18CF5D4B">
      <w:pPr>
        <w:pStyle w:val="19"/>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1.1 供应商可以按照竞争性磋商文件规定投标，但必须对所投的所有内容作为一个整体进行投标，不能拆分或少报。否则，投标无效。 </w:t>
      </w:r>
    </w:p>
    <w:p w14:paraId="307617AA">
      <w:pPr>
        <w:pStyle w:val="18"/>
        <w:spacing w:before="0" w:after="0" w:line="360" w:lineRule="auto"/>
        <w:ind w:firstLine="480"/>
        <w:jc w:val="left"/>
        <w:outlineLvl w:val="1"/>
        <w:rPr>
          <w:rFonts w:ascii="宋体" w:hAnsi="宋体" w:eastAsia="宋体" w:cs="宋体"/>
          <w:b w:val="0"/>
          <w:bCs w:val="0"/>
          <w:sz w:val="24"/>
          <w:szCs w:val="24"/>
        </w:rPr>
      </w:pPr>
      <w:bookmarkStart w:id="193" w:name="_Toc7646"/>
      <w:r>
        <w:rPr>
          <w:rFonts w:hint="eastAsia" w:ascii="宋体" w:hAnsi="宋体" w:eastAsia="宋体" w:cs="宋体"/>
          <w:b w:val="0"/>
          <w:bCs w:val="0"/>
          <w:sz w:val="24"/>
          <w:szCs w:val="24"/>
        </w:rPr>
        <w:t>2.报价说明</w:t>
      </w:r>
      <w:bookmarkEnd w:id="193"/>
      <w:r>
        <w:rPr>
          <w:rFonts w:hint="eastAsia" w:ascii="宋体" w:hAnsi="宋体" w:eastAsia="宋体" w:cs="宋体"/>
          <w:b w:val="0"/>
          <w:bCs w:val="0"/>
          <w:sz w:val="24"/>
          <w:szCs w:val="24"/>
        </w:rPr>
        <w:t xml:space="preserve"> </w:t>
      </w:r>
    </w:p>
    <w:p w14:paraId="46E7D73C">
      <w:pPr>
        <w:pStyle w:val="19"/>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2.1本次竞争性磋商文件中规定的采购预算额度为磋商最高限价，供应商的磋商报价不得超出此额度。否则，投标无效。 </w:t>
      </w:r>
    </w:p>
    <w:p w14:paraId="4DEA0095">
      <w:pPr>
        <w:pStyle w:val="18"/>
        <w:spacing w:before="0" w:after="0" w:line="360" w:lineRule="auto"/>
        <w:ind w:firstLine="480"/>
        <w:jc w:val="left"/>
        <w:outlineLvl w:val="1"/>
        <w:rPr>
          <w:rFonts w:ascii="宋体" w:hAnsi="宋体" w:eastAsia="宋体" w:cs="宋体"/>
          <w:b w:val="0"/>
          <w:bCs w:val="0"/>
          <w:sz w:val="24"/>
          <w:szCs w:val="24"/>
        </w:rPr>
      </w:pPr>
      <w:bookmarkStart w:id="194" w:name="_Toc9782"/>
      <w:r>
        <w:rPr>
          <w:rFonts w:hint="eastAsia" w:ascii="宋体" w:hAnsi="宋体" w:eastAsia="宋体" w:cs="宋体"/>
          <w:b w:val="0"/>
          <w:bCs w:val="0"/>
          <w:sz w:val="24"/>
          <w:szCs w:val="24"/>
        </w:rPr>
        <w:t>3.商务要求</w:t>
      </w:r>
      <w:bookmarkEnd w:id="194"/>
      <w:r>
        <w:rPr>
          <w:rFonts w:hint="eastAsia" w:ascii="宋体" w:hAnsi="宋体" w:eastAsia="宋体" w:cs="宋体"/>
          <w:b w:val="0"/>
          <w:bCs w:val="0"/>
          <w:sz w:val="24"/>
          <w:szCs w:val="24"/>
        </w:rPr>
        <w:t xml:space="preserve"> </w:t>
      </w:r>
    </w:p>
    <w:p w14:paraId="0DE80F2A">
      <w:pPr>
        <w:pStyle w:val="19"/>
        <w:spacing w:line="360" w:lineRule="auto"/>
        <w:ind w:firstLine="480" w:firstLineChars="200"/>
        <w:jc w:val="left"/>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3.1 </w:t>
      </w:r>
      <w:r>
        <w:rPr>
          <w:rFonts w:hint="eastAsia" w:ascii="宋体" w:hAnsi="宋体" w:eastAsia="宋体" w:cs="宋体"/>
          <w:color w:val="000000" w:themeColor="text1"/>
          <w:szCs w:val="24"/>
          <w:lang w:eastAsia="zh-CN"/>
          <w14:textFill>
            <w14:solidFill>
              <w14:schemeClr w14:val="tx1"/>
            </w14:solidFill>
          </w14:textFill>
        </w:rPr>
        <w:t>交货及安装时间</w:t>
      </w:r>
      <w:r>
        <w:rPr>
          <w:rFonts w:hint="eastAsia" w:ascii="宋体" w:hAnsi="宋体" w:eastAsia="宋体" w:cs="宋体"/>
          <w:color w:val="000000" w:themeColor="text1"/>
          <w:szCs w:val="24"/>
          <w14:textFill>
            <w14:solidFill>
              <w14:schemeClr w14:val="tx1"/>
            </w14:solidFill>
          </w14:textFill>
        </w:rPr>
        <w:t>：</w:t>
      </w:r>
      <w:bookmarkStart w:id="195" w:name="OLE_LINK4"/>
      <w:r>
        <w:rPr>
          <w:rFonts w:hint="eastAsia" w:ascii="宋体" w:hAnsi="宋体" w:eastAsia="宋体" w:cs="宋体"/>
          <w:color w:val="000000" w:themeColor="text1"/>
          <w:szCs w:val="24"/>
          <w:lang w:val="en-US" w:eastAsia="zh-CN"/>
          <w14:textFill>
            <w14:solidFill>
              <w14:schemeClr w14:val="tx1"/>
            </w14:solidFill>
          </w14:textFill>
        </w:rPr>
        <w:t>合同签订后200日历</w:t>
      </w:r>
      <w:r>
        <w:rPr>
          <w:rFonts w:hint="eastAsia" w:ascii="宋体" w:hAnsi="宋体" w:eastAsia="宋体" w:cs="宋体"/>
          <w:color w:val="000000" w:themeColor="text1"/>
          <w:szCs w:val="24"/>
          <w:lang w:eastAsia="zh-CN"/>
          <w14:textFill>
            <w14:solidFill>
              <w14:schemeClr w14:val="tx1"/>
            </w14:solidFill>
          </w14:textFill>
        </w:rPr>
        <w:t>天</w:t>
      </w:r>
      <w:bookmarkEnd w:id="195"/>
      <w:r>
        <w:rPr>
          <w:rFonts w:hint="eastAsia" w:ascii="宋体" w:hAnsi="宋体" w:eastAsia="宋体" w:cs="宋体"/>
          <w:color w:val="000000" w:themeColor="text1"/>
          <w:szCs w:val="24"/>
          <w:lang w:eastAsia="zh-CN"/>
          <w14:textFill>
            <w14:solidFill>
              <w14:schemeClr w14:val="tx1"/>
            </w14:solidFill>
          </w14:textFill>
        </w:rPr>
        <w:t>；</w:t>
      </w:r>
    </w:p>
    <w:p w14:paraId="3105A436">
      <w:pPr>
        <w:pStyle w:val="19"/>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3.2 交货地点：采购人指定地点</w:t>
      </w:r>
    </w:p>
    <w:p w14:paraId="04B2F425">
      <w:pPr>
        <w:pStyle w:val="19"/>
        <w:spacing w:line="360" w:lineRule="auto"/>
        <w:ind w:firstLine="480" w:firstLineChars="200"/>
        <w:jc w:val="left"/>
        <w:rPr>
          <w:rFonts w:hint="default" w:ascii="宋体" w:hAnsi="宋体" w:eastAsia="宋体" w:cs="宋体"/>
          <w:color w:val="000000" w:themeColor="text1"/>
          <w:szCs w:val="24"/>
          <w:lang w:val="en-US" w:eastAsia="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w:t>
      </w:r>
      <w:r>
        <w:rPr>
          <w:rFonts w:hint="eastAsia" w:ascii="宋体" w:hAnsi="宋体" w:eastAsia="宋体" w:cs="宋体"/>
          <w:color w:val="000000" w:themeColor="text1"/>
          <w:szCs w:val="24"/>
          <w:highlight w:val="none"/>
          <w14:textFill>
            <w14:solidFill>
              <w14:schemeClr w14:val="tx1"/>
            </w14:solidFill>
          </w14:textFill>
        </w:rPr>
        <w:t>.3免费质保期：验收合格后1年</w:t>
      </w:r>
    </w:p>
    <w:p w14:paraId="2E93D995">
      <w:pPr>
        <w:pStyle w:val="19"/>
        <w:spacing w:line="360" w:lineRule="auto"/>
        <w:ind w:firstLine="480" w:firstLineChars="200"/>
        <w:jc w:val="left"/>
        <w:rPr>
          <w:rFonts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4</w:t>
      </w:r>
      <w:r>
        <w:rPr>
          <w:rFonts w:hint="eastAsia" w:ascii="宋体" w:hAnsi="宋体" w:eastAsia="宋体" w:cs="宋体"/>
          <w:szCs w:val="24"/>
        </w:rPr>
        <w:t xml:space="preserve">付款方式：详见“第四部分 青海省政府采购项目合同书”中“四、付 </w:t>
      </w:r>
    </w:p>
    <w:p w14:paraId="2E68E976">
      <w:pPr>
        <w:pStyle w:val="19"/>
        <w:spacing w:line="360" w:lineRule="auto"/>
        <w:ind w:left="0" w:leftChars="0" w:firstLine="0" w:firstLineChars="0"/>
        <w:jc w:val="left"/>
        <w:rPr>
          <w:rFonts w:hint="eastAsia" w:ascii="宋体" w:hAnsi="宋体" w:eastAsia="宋体" w:cs="宋体"/>
          <w:szCs w:val="24"/>
        </w:rPr>
      </w:pPr>
      <w:r>
        <w:rPr>
          <w:rFonts w:hint="eastAsia" w:ascii="宋体" w:hAnsi="宋体" w:eastAsia="宋体" w:cs="宋体"/>
          <w:szCs w:val="24"/>
        </w:rPr>
        <w:t>款方式”的规定</w:t>
      </w:r>
    </w:p>
    <w:p w14:paraId="30F48D8C">
      <w:pPr>
        <w:pStyle w:val="18"/>
        <w:spacing w:before="0" w:after="0" w:line="360" w:lineRule="auto"/>
        <w:ind w:firstLine="480"/>
        <w:jc w:val="left"/>
        <w:outlineLvl w:val="1"/>
        <w:rPr>
          <w:rFonts w:ascii="宋体" w:hAnsi="宋体" w:eastAsia="宋体" w:cs="宋体"/>
          <w:b w:val="0"/>
          <w:bCs w:val="0"/>
          <w:color w:val="000000"/>
          <w:sz w:val="24"/>
          <w:szCs w:val="24"/>
          <w:lang w:val="zh-CN"/>
        </w:rPr>
      </w:pPr>
      <w:bookmarkStart w:id="196" w:name="_Toc26125"/>
      <w:bookmarkStart w:id="197" w:name="_Toc515908233"/>
      <w:bookmarkStart w:id="198" w:name="_Toc5035"/>
      <w:r>
        <w:rPr>
          <w:rFonts w:hint="eastAsia" w:ascii="宋体" w:hAnsi="宋体" w:eastAsia="宋体" w:cs="宋体"/>
          <w:b w:val="0"/>
          <w:bCs w:val="0"/>
          <w:color w:val="000000"/>
          <w:sz w:val="24"/>
          <w:szCs w:val="24"/>
        </w:rPr>
        <w:t>4.</w:t>
      </w:r>
      <w:bookmarkEnd w:id="196"/>
      <w:bookmarkStart w:id="199" w:name="_Toc1475"/>
      <w:r>
        <w:rPr>
          <w:rFonts w:hint="eastAsia" w:ascii="宋体" w:hAnsi="宋体" w:eastAsia="宋体" w:cs="宋体"/>
          <w:b w:val="0"/>
          <w:bCs w:val="0"/>
          <w:color w:val="000000"/>
          <w:sz w:val="24"/>
          <w:szCs w:val="24"/>
          <w:lang w:val="zh-CN"/>
        </w:rPr>
        <w:t>重要指标</w:t>
      </w:r>
      <w:bookmarkEnd w:id="197"/>
      <w:bookmarkEnd w:id="198"/>
      <w:bookmarkEnd w:id="199"/>
    </w:p>
    <w:p w14:paraId="1511DC9A">
      <w:pPr>
        <w:pStyle w:val="19"/>
        <w:spacing w:line="360" w:lineRule="auto"/>
        <w:ind w:firstLine="482" w:firstLineChars="200"/>
        <w:jc w:val="left"/>
        <w:rPr>
          <w:rFonts w:ascii="宋体" w:hAnsi="宋体" w:eastAsia="宋体" w:cs="宋体"/>
          <w:color w:val="000000"/>
          <w:szCs w:val="24"/>
          <w:lang w:val="zh-CN"/>
        </w:rPr>
      </w:pPr>
      <w:r>
        <w:rPr>
          <w:rFonts w:hint="eastAsia" w:ascii="宋体" w:hAnsi="宋体" w:eastAsia="宋体" w:cs="宋体"/>
          <w:b/>
          <w:bCs/>
          <w:color w:val="000000"/>
          <w:szCs w:val="24"/>
        </w:rPr>
        <w:t>4</w:t>
      </w:r>
      <w:r>
        <w:rPr>
          <w:rFonts w:hint="eastAsia" w:ascii="宋体" w:hAnsi="宋体" w:eastAsia="宋体" w:cs="宋体"/>
          <w:b/>
          <w:bCs/>
          <w:color w:val="000000"/>
          <w:szCs w:val="24"/>
          <w:lang w:val="zh-CN"/>
        </w:rPr>
        <w:t>.1</w:t>
      </w:r>
      <w:r>
        <w:rPr>
          <w:rFonts w:hint="eastAsia" w:ascii="宋体" w:hAnsi="宋体" w:eastAsia="宋体" w:cs="宋体"/>
          <w:b/>
          <w:bCs/>
          <w:color w:val="000000"/>
          <w:szCs w:val="24"/>
        </w:rPr>
        <w:t xml:space="preserve"> </w:t>
      </w:r>
      <w:r>
        <w:rPr>
          <w:rFonts w:hint="eastAsia" w:ascii="宋体" w:hAnsi="宋体" w:eastAsia="宋体" w:cs="宋体"/>
          <w:b/>
          <w:bCs/>
          <w:color w:val="000000"/>
          <w:szCs w:val="24"/>
          <w:lang w:val="zh-CN"/>
        </w:rPr>
        <w:t>“技术参数”中用“</w:t>
      </w:r>
      <w:r>
        <w:rPr>
          <w:rFonts w:hint="eastAsia" w:ascii="宋体" w:hAnsi="宋体" w:eastAsia="宋体" w:cs="宋体"/>
          <w:b/>
          <w:bCs/>
          <w:color w:val="000000"/>
          <w:szCs w:val="24"/>
          <w:lang w:val="zh-CN" w:eastAsia="en-US"/>
        </w:rPr>
        <w:t>★</w:t>
      </w:r>
      <w:r>
        <w:rPr>
          <w:rFonts w:hint="eastAsia" w:ascii="宋体" w:hAnsi="宋体" w:eastAsia="宋体" w:cs="宋体"/>
          <w:b/>
          <w:bCs/>
          <w:color w:val="000000"/>
          <w:szCs w:val="24"/>
          <w:lang w:val="zh-CN"/>
        </w:rPr>
        <w:t>”符号标注的属于重要技术参数、指标，必须完全响应（须提供相关证明材料）。否则，投标无效</w:t>
      </w:r>
      <w:r>
        <w:rPr>
          <w:rFonts w:hint="eastAsia" w:ascii="宋体" w:hAnsi="宋体" w:eastAsia="宋体" w:cs="宋体"/>
          <w:color w:val="000000"/>
          <w:szCs w:val="24"/>
          <w:lang w:val="zh-CN"/>
        </w:rPr>
        <w:t>。</w:t>
      </w:r>
    </w:p>
    <w:p w14:paraId="5CBC9BA9">
      <w:pPr>
        <w:pStyle w:val="19"/>
        <w:spacing w:line="360" w:lineRule="auto"/>
        <w:ind w:firstLine="480" w:firstLineChars="200"/>
        <w:jc w:val="left"/>
        <w:rPr>
          <w:rFonts w:hint="eastAsia" w:ascii="宋体" w:hAnsi="宋体" w:eastAsia="宋体" w:cs="宋体"/>
          <w:color w:val="000000"/>
          <w:szCs w:val="24"/>
          <w:lang w:val="zh-CN"/>
        </w:rPr>
      </w:pPr>
      <w:r>
        <w:rPr>
          <w:rFonts w:hint="eastAsia" w:ascii="宋体" w:hAnsi="宋体" w:eastAsia="宋体" w:cs="宋体"/>
          <w:color w:val="000000"/>
          <w:szCs w:val="24"/>
        </w:rPr>
        <w:t>4</w:t>
      </w:r>
      <w:r>
        <w:rPr>
          <w:rFonts w:hint="eastAsia" w:ascii="宋体" w:hAnsi="宋体" w:eastAsia="宋体" w:cs="宋体"/>
          <w:color w:val="000000"/>
          <w:szCs w:val="24"/>
          <w:lang w:val="zh-CN"/>
        </w:rPr>
        <w:t>.2</w:t>
      </w:r>
      <w:r>
        <w:rPr>
          <w:rFonts w:hint="eastAsia" w:ascii="宋体" w:hAnsi="宋体" w:eastAsia="宋体" w:cs="宋体"/>
          <w:color w:val="000000"/>
          <w:szCs w:val="24"/>
        </w:rPr>
        <w:t xml:space="preserve"> </w:t>
      </w:r>
      <w:r>
        <w:rPr>
          <w:rFonts w:hint="eastAsia" w:ascii="宋体" w:hAnsi="宋体" w:eastAsia="宋体" w:cs="宋体"/>
          <w:color w:val="000000"/>
          <w:szCs w:val="24"/>
          <w:lang w:val="zh-CN"/>
        </w:rPr>
        <w:t>磋商文件中凡需与原有设备、系统并机、兼容、匹配等要求的，请主动和采购人联系，取得原有设备、系统相关资料。若有磋商文件未提及或变更内容的，请及时与采购人或者采购代理机构联系。</w:t>
      </w:r>
    </w:p>
    <w:p w14:paraId="54A8CB1F">
      <w:pPr>
        <w:pStyle w:val="19"/>
        <w:spacing w:line="360" w:lineRule="auto"/>
        <w:ind w:firstLine="480" w:firstLineChars="200"/>
        <w:jc w:val="left"/>
        <w:rPr>
          <w:rFonts w:hint="eastAsia" w:ascii="宋体" w:hAnsi="宋体" w:eastAsia="宋体" w:cs="宋体"/>
          <w:szCs w:val="24"/>
        </w:rPr>
        <w:sectPr>
          <w:footerReference r:id="rId7" w:type="default"/>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2" w:charSpace="0"/>
        </w:sectPr>
      </w:pPr>
    </w:p>
    <w:p w14:paraId="25164609">
      <w:pPr>
        <w:pStyle w:val="19"/>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5.技术参数</w:t>
      </w:r>
    </w:p>
    <w:tbl>
      <w:tblPr>
        <w:tblStyle w:val="2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646"/>
        <w:gridCol w:w="629"/>
        <w:gridCol w:w="663"/>
        <w:gridCol w:w="7128"/>
      </w:tblGrid>
      <w:tr w14:paraId="40B1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7233F191">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序号</w:t>
            </w:r>
          </w:p>
        </w:tc>
        <w:tc>
          <w:tcPr>
            <w:tcW w:w="646" w:type="dxa"/>
            <w:vAlign w:val="center"/>
          </w:tcPr>
          <w:p w14:paraId="66F539AF">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产品名称</w:t>
            </w:r>
          </w:p>
        </w:tc>
        <w:tc>
          <w:tcPr>
            <w:tcW w:w="629" w:type="dxa"/>
            <w:vAlign w:val="center"/>
          </w:tcPr>
          <w:p w14:paraId="3CBAE0EC">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单位</w:t>
            </w:r>
          </w:p>
        </w:tc>
        <w:tc>
          <w:tcPr>
            <w:tcW w:w="663" w:type="dxa"/>
            <w:vAlign w:val="center"/>
          </w:tcPr>
          <w:p w14:paraId="47B70EC3">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数量</w:t>
            </w:r>
          </w:p>
        </w:tc>
        <w:tc>
          <w:tcPr>
            <w:tcW w:w="7128" w:type="dxa"/>
            <w:vAlign w:val="center"/>
          </w:tcPr>
          <w:p w14:paraId="4AA29953">
            <w:pPr>
              <w:keepNext w:val="0"/>
              <w:keepLines w:val="0"/>
              <w:pageBreakBefore w:val="0"/>
              <w:kinsoku/>
              <w:wordWrap/>
              <w:overflowPunct/>
              <w:topLinePunct w:val="0"/>
              <w:bidi w:val="0"/>
              <w:spacing w:beforeAutospacing="0" w:line="240" w:lineRule="auto"/>
              <w:ind w:left="0" w:leftChars="0" w:right="0" w:rightChars="0" w:firstLine="0" w:firstLineChars="0"/>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技术参数</w:t>
            </w:r>
          </w:p>
        </w:tc>
      </w:tr>
      <w:tr w14:paraId="2A72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01FD7B18">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646" w:type="dxa"/>
            <w:vAlign w:val="center"/>
          </w:tcPr>
          <w:p w14:paraId="65B8755E">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气相色谱仪</w:t>
            </w:r>
          </w:p>
        </w:tc>
        <w:tc>
          <w:tcPr>
            <w:tcW w:w="629" w:type="dxa"/>
            <w:vAlign w:val="center"/>
          </w:tcPr>
          <w:p w14:paraId="68BD54AC">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组</w:t>
            </w:r>
          </w:p>
        </w:tc>
        <w:tc>
          <w:tcPr>
            <w:tcW w:w="663" w:type="dxa"/>
            <w:vAlign w:val="center"/>
          </w:tcPr>
          <w:p w14:paraId="0756A5D9">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128" w:type="dxa"/>
            <w:vAlign w:val="top"/>
          </w:tcPr>
          <w:p w14:paraId="3A20DEA6">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一、性能描述：</w:t>
            </w:r>
          </w:p>
          <w:p w14:paraId="397E7723">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w:t>
            </w:r>
            <w:r>
              <w:rPr>
                <w:rFonts w:hint="eastAsia" w:ascii="宋体" w:hAnsi="宋体" w:eastAsia="宋体" w:cs="宋体"/>
                <w:b w:val="0"/>
                <w:bCs w:val="0"/>
                <w:kern w:val="0"/>
                <w:sz w:val="24"/>
                <w:szCs w:val="24"/>
                <w:highlight w:val="none"/>
                <w:lang w:val="en-US" w:eastAsia="zh-CN"/>
              </w:rPr>
              <w:t>简洁直观的</w:t>
            </w:r>
            <w:r>
              <w:rPr>
                <w:rFonts w:hint="eastAsia" w:ascii="宋体" w:hAnsi="宋体" w:eastAsia="宋体" w:cs="宋体"/>
                <w:b w:val="0"/>
                <w:bCs w:val="0"/>
                <w:kern w:val="0"/>
                <w:sz w:val="24"/>
                <w:szCs w:val="24"/>
                <w:highlight w:val="none"/>
              </w:rPr>
              <w:t>显示画面</w:t>
            </w:r>
          </w:p>
          <w:p w14:paraId="7A1C0AEF">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大屏幕显示器，实现中文菜单式对话，使得显示更明了，操作更简单。可显示色谱谱图和程升曲线、基流电平，在一屏画面内同时显示柱箱、进样器、检测器等的温度设定值和实际值，能提供更为丰富多彩的仪器信息。</w:t>
            </w:r>
          </w:p>
          <w:p w14:paraId="34082CB0">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2、数字化的载气流量监测系统</w:t>
            </w:r>
          </w:p>
          <w:p w14:paraId="6285ECE8">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气路系统可选配最新的数字化流量监测单元，通过屏幕显示载气流量、毛细管分流流量值，最多可显示四组流量，且流量参数可自动存储，便于分析条件的记录和调用。方便了分流调节与分流比计算，无需使用皂膜流量计</w:t>
            </w:r>
          </w:p>
          <w:p w14:paraId="6ACEC285">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3、丰富的进样器/检测器单元组合</w:t>
            </w:r>
          </w:p>
          <w:p w14:paraId="55A4DFCD">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更优异的拓展配置，可满足各种需要。根据分析样品的多样性、复杂性，选择更多的进样器/检测器系列。</w:t>
            </w:r>
          </w:p>
          <w:p w14:paraId="611D20ED">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可从填充柱进样单元、毛细管分流/不分流进样单元，实现4种进样器的配置，最多可同时装载3个进样器。</w:t>
            </w:r>
          </w:p>
          <w:p w14:paraId="0E698D03">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可提供多达</w:t>
            </w:r>
            <w:r>
              <w:rPr>
                <w:rFonts w:hint="eastAsia" w:ascii="宋体" w:hAnsi="宋体" w:eastAsia="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rPr>
              <w:t>种高性能检测器选择，即FID、TCD、ECD、FPD、NPD，最多可同时安装3种检测器。也可采用检测器追加方式，在仪器购入后很方便的选购安装其它检测器。</w:t>
            </w:r>
          </w:p>
          <w:p w14:paraId="00412121">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4.全新的内置式采集系统</w:t>
            </w:r>
          </w:p>
          <w:p w14:paraId="08971B8E">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先进的内置式采集装置，可采集仪器控制状态和色谱输出信号，实现用一根通讯线连接外部电脑，进行仪器实时控制和数据处理。</w:t>
            </w:r>
          </w:p>
          <w:p w14:paraId="6258ECBA">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仪器实时控制包括各路温度控制、检测器选择与设置、程序升温控制和程升曲线跟踪、流量值显示（选配）等功能。</w:t>
            </w:r>
          </w:p>
          <w:p w14:paraId="4E83420E">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数据处理包括双通道（可扩充至多通道）色谱数据高速采集、积分参数自动或手动设置、多达5种定量方法、基线扣除、报告编制等功能</w:t>
            </w:r>
          </w:p>
          <w:p w14:paraId="743AFAC3">
            <w:pPr>
              <w:keepNext w:val="0"/>
              <w:keepLines w:val="0"/>
              <w:pageBreakBefore w:val="0"/>
              <w:kinsoku/>
              <w:wordWrap/>
              <w:overflowPunct/>
              <w:topLinePunct w:val="0"/>
              <w:bidi w:val="0"/>
              <w:adjustRightInd w:val="0"/>
              <w:snapToGrid w:val="0"/>
              <w:spacing w:beforeAutospacing="0" w:line="240" w:lineRule="auto"/>
              <w:ind w:left="0" w:leftChars="0" w:right="0" w:rightChars="0" w:firstLine="0" w:firstLineChars="0"/>
              <w:jc w:val="left"/>
              <w:rPr>
                <w:rFonts w:hint="eastAsia" w:ascii="宋体" w:hAnsi="宋体" w:eastAsia="宋体" w:cs="宋体"/>
                <w:bCs/>
                <w:iCs/>
                <w:sz w:val="24"/>
                <w:szCs w:val="24"/>
                <w:highlight w:val="none"/>
              </w:rPr>
            </w:pPr>
            <w:r>
              <w:rPr>
                <w:rFonts w:hint="eastAsia" w:ascii="宋体" w:hAnsi="宋体" w:eastAsia="宋体" w:cs="宋体"/>
                <w:bCs/>
                <w:iCs/>
                <w:sz w:val="24"/>
                <w:szCs w:val="24"/>
                <w:highlight w:val="none"/>
              </w:rPr>
              <w:t>二、气相色谱技术参数</w:t>
            </w:r>
          </w:p>
          <w:p w14:paraId="74FEC0E4">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1．柱温箱</w:t>
            </w:r>
          </w:p>
          <w:p w14:paraId="20FB6D64">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1.1 控温范围：室温上7℃至400℃（增量1℃）</w:t>
            </w:r>
          </w:p>
          <w:p w14:paraId="250BB839">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1.2 恒温时间：0 min-655 min(增量1min)</w:t>
            </w:r>
          </w:p>
          <w:p w14:paraId="6CBC96F0">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1.3 程序升温阶数：7阶，通过软件可实现10阶</w:t>
            </w:r>
          </w:p>
          <w:p w14:paraId="362C84E4">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1.4 程序升温速率：0.1-40℃/min(增量1℃)</w:t>
            </w:r>
          </w:p>
          <w:p w14:paraId="49116E30">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 加热区域：共6路，柱箱、前/后检测器、前/后进样器、辅助</w:t>
            </w:r>
          </w:p>
          <w:p w14:paraId="55DE45E5">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 进样口</w:t>
            </w:r>
          </w:p>
          <w:p w14:paraId="7113911B">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3.1 进样口可安装数量3</w:t>
            </w:r>
          </w:p>
          <w:p w14:paraId="3CD10999">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3.2 进样口类型：分流/不分流毛细柱进样口</w:t>
            </w:r>
          </w:p>
          <w:p w14:paraId="1B5E26A4">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3.3 气路控制模式：稳压阀、恒流阀</w:t>
            </w:r>
          </w:p>
          <w:p w14:paraId="484BC06C">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4 检测器：可同时安装检测器数量3个</w:t>
            </w:r>
          </w:p>
          <w:p w14:paraId="7AD94E20">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xml:space="preserve">4.1 </w:t>
            </w:r>
            <w:r>
              <w:rPr>
                <w:rFonts w:hint="eastAsia" w:ascii="宋体" w:hAnsi="宋体" w:eastAsia="宋体" w:cs="宋体"/>
                <w:b w:val="0"/>
                <w:bCs w:val="0"/>
                <w:kern w:val="0"/>
                <w:sz w:val="24"/>
                <w:szCs w:val="24"/>
                <w:highlight w:val="none"/>
                <w:lang w:val="en-US" w:eastAsia="zh-CN"/>
              </w:rPr>
              <w:t>E</w:t>
            </w:r>
            <w:r>
              <w:rPr>
                <w:rFonts w:hint="eastAsia" w:ascii="宋体" w:hAnsi="宋体" w:eastAsia="宋体" w:cs="宋体"/>
                <w:b w:val="0"/>
                <w:bCs w:val="0"/>
                <w:kern w:val="0"/>
                <w:sz w:val="24"/>
                <w:szCs w:val="24"/>
                <w:highlight w:val="none"/>
              </w:rPr>
              <w:t>CD检测器</w:t>
            </w:r>
          </w:p>
          <w:p w14:paraId="15A58A5C">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4.1.1 检测限：≤1×10</w:t>
            </w:r>
            <w:r>
              <w:rPr>
                <w:rFonts w:hint="eastAsia" w:ascii="宋体" w:hAnsi="宋体" w:eastAsia="宋体" w:cs="宋体"/>
                <w:b w:val="0"/>
                <w:bCs w:val="0"/>
                <w:kern w:val="0"/>
                <w:sz w:val="24"/>
                <w:szCs w:val="24"/>
                <w:highlight w:val="none"/>
                <w:vertAlign w:val="superscript"/>
              </w:rPr>
              <w:t>-13</w:t>
            </w:r>
            <w:r>
              <w:rPr>
                <w:rFonts w:hint="eastAsia" w:ascii="宋体" w:hAnsi="宋体" w:eastAsia="宋体" w:cs="宋体"/>
                <w:b w:val="0"/>
                <w:bCs w:val="0"/>
                <w:kern w:val="0"/>
                <w:sz w:val="24"/>
                <w:szCs w:val="24"/>
                <w:highlight w:val="none"/>
              </w:rPr>
              <w:t>g／ml         样品：γ-666</w:t>
            </w:r>
          </w:p>
          <w:p w14:paraId="2E48B1DE">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4.1.2最高使用温度：350℃</w:t>
            </w:r>
          </w:p>
          <w:p w14:paraId="62AFC467">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4.1.3线性范围：≥10</w:t>
            </w:r>
            <w:r>
              <w:rPr>
                <w:rFonts w:hint="eastAsia" w:ascii="宋体" w:hAnsi="宋体" w:eastAsia="宋体" w:cs="宋体"/>
                <w:b w:val="0"/>
                <w:bCs w:val="0"/>
                <w:kern w:val="0"/>
                <w:sz w:val="24"/>
                <w:szCs w:val="24"/>
                <w:highlight w:val="none"/>
                <w:vertAlign w:val="superscript"/>
              </w:rPr>
              <w:t>3</w:t>
            </w:r>
          </w:p>
          <w:p w14:paraId="2B681DD3">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4.1.4</w:t>
            </w:r>
            <w:r>
              <w:rPr>
                <w:rFonts w:hint="eastAsia" w:ascii="宋体" w:hAnsi="宋体" w:eastAsia="宋体" w:cs="宋体"/>
                <w:b w:val="0"/>
                <w:bCs w:val="0"/>
                <w:kern w:val="0"/>
                <w:sz w:val="24"/>
                <w:szCs w:val="24"/>
                <w:highlight w:val="none"/>
              </w:rPr>
              <w:t>放射源：</w:t>
            </w:r>
            <w:r>
              <w:rPr>
                <w:rFonts w:hint="eastAsia" w:ascii="宋体" w:hAnsi="宋体" w:eastAsia="宋体" w:cs="宋体"/>
                <w:b w:val="0"/>
                <w:bCs w:val="0"/>
                <w:kern w:val="0"/>
                <w:sz w:val="24"/>
                <w:szCs w:val="24"/>
                <w:highlight w:val="none"/>
                <w:lang w:val="en-US" w:eastAsia="zh-CN"/>
              </w:rPr>
              <w:t>＜</w:t>
            </w:r>
            <w:r>
              <w:rPr>
                <w:rFonts w:hint="eastAsia" w:ascii="宋体" w:hAnsi="宋体" w:eastAsia="宋体" w:cs="宋体"/>
                <w:b w:val="0"/>
                <w:bCs w:val="0"/>
                <w:kern w:val="0"/>
                <w:sz w:val="24"/>
                <w:szCs w:val="24"/>
                <w:highlight w:val="none"/>
              </w:rPr>
              <w:t>10mCi的63Ni的β射线，保障实验室环安全</w:t>
            </w:r>
          </w:p>
          <w:p w14:paraId="0BEA7C1D">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4.2 FID检测器</w:t>
            </w:r>
          </w:p>
          <w:p w14:paraId="2D5FE717">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4.</w:t>
            </w:r>
            <w:r>
              <w:rPr>
                <w:rFonts w:hint="eastAsia" w:ascii="宋体" w:hAnsi="宋体" w:eastAsia="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rPr>
              <w:t>.1 检测限：M≤7×10</w:t>
            </w:r>
            <w:r>
              <w:rPr>
                <w:rFonts w:hint="eastAsia" w:ascii="宋体" w:hAnsi="宋体" w:eastAsia="宋体" w:cs="宋体"/>
                <w:b w:val="0"/>
                <w:bCs w:val="0"/>
                <w:kern w:val="0"/>
                <w:sz w:val="24"/>
                <w:szCs w:val="24"/>
                <w:highlight w:val="none"/>
                <w:vertAlign w:val="superscript"/>
              </w:rPr>
              <w:t>-12</w:t>
            </w:r>
            <w:r>
              <w:rPr>
                <w:rFonts w:hint="eastAsia" w:ascii="宋体" w:hAnsi="宋体" w:eastAsia="宋体" w:cs="宋体"/>
                <w:b w:val="0"/>
                <w:bCs w:val="0"/>
                <w:kern w:val="0"/>
                <w:sz w:val="24"/>
                <w:szCs w:val="24"/>
                <w:highlight w:val="none"/>
              </w:rPr>
              <w:t>g/s          样品：正十六烷</w:t>
            </w:r>
          </w:p>
          <w:p w14:paraId="72A2BCFF">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4.</w:t>
            </w:r>
            <w:r>
              <w:rPr>
                <w:rFonts w:hint="eastAsia" w:ascii="宋体" w:hAnsi="宋体" w:eastAsia="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rPr>
              <w:t>.</w:t>
            </w:r>
            <w:r>
              <w:rPr>
                <w:rFonts w:hint="eastAsia" w:ascii="宋体" w:hAnsi="宋体" w:eastAsia="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rPr>
              <w:t>最佳测试结果：M≤3×10</w:t>
            </w:r>
            <w:r>
              <w:rPr>
                <w:rFonts w:hint="eastAsia" w:ascii="宋体" w:hAnsi="宋体" w:eastAsia="宋体" w:cs="宋体"/>
                <w:b w:val="0"/>
                <w:bCs w:val="0"/>
                <w:kern w:val="0"/>
                <w:sz w:val="24"/>
                <w:szCs w:val="24"/>
                <w:highlight w:val="none"/>
                <w:vertAlign w:val="superscript"/>
              </w:rPr>
              <w:t>-12</w:t>
            </w:r>
            <w:r>
              <w:rPr>
                <w:rFonts w:hint="eastAsia" w:ascii="宋体" w:hAnsi="宋体" w:eastAsia="宋体" w:cs="宋体"/>
                <w:b w:val="0"/>
                <w:bCs w:val="0"/>
                <w:kern w:val="0"/>
                <w:sz w:val="24"/>
                <w:szCs w:val="24"/>
                <w:highlight w:val="none"/>
              </w:rPr>
              <w:t>g/s    样品：正十六烷</w:t>
            </w:r>
          </w:p>
          <w:p w14:paraId="06E70A18">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4.</w:t>
            </w:r>
            <w:r>
              <w:rPr>
                <w:rFonts w:hint="eastAsia" w:ascii="宋体" w:hAnsi="宋体" w:eastAsia="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rPr>
              <w:t>.</w:t>
            </w:r>
            <w:r>
              <w:rPr>
                <w:rFonts w:hint="eastAsia" w:ascii="宋体" w:hAnsi="宋体" w:eastAsia="宋体" w:cs="宋体"/>
                <w:b w:val="0"/>
                <w:bCs w:val="0"/>
                <w:kern w:val="0"/>
                <w:sz w:val="24"/>
                <w:szCs w:val="24"/>
                <w:highlight w:val="none"/>
                <w:lang w:val="en-US" w:eastAsia="zh-CN"/>
              </w:rPr>
              <w:t>3</w:t>
            </w:r>
            <w:r>
              <w:rPr>
                <w:rFonts w:hint="eastAsia" w:ascii="宋体" w:hAnsi="宋体" w:eastAsia="宋体" w:cs="宋体"/>
                <w:b w:val="0"/>
                <w:bCs w:val="0"/>
                <w:kern w:val="0"/>
                <w:sz w:val="24"/>
                <w:szCs w:val="24"/>
                <w:highlight w:val="none"/>
              </w:rPr>
              <w:t>噪声：≤2×10</w:t>
            </w:r>
            <w:r>
              <w:rPr>
                <w:rFonts w:hint="eastAsia" w:ascii="宋体" w:hAnsi="宋体" w:eastAsia="宋体" w:cs="宋体"/>
                <w:b w:val="0"/>
                <w:bCs w:val="0"/>
                <w:kern w:val="0"/>
                <w:sz w:val="24"/>
                <w:szCs w:val="24"/>
                <w:highlight w:val="none"/>
                <w:vertAlign w:val="superscript"/>
              </w:rPr>
              <w:t>-13</w:t>
            </w:r>
            <w:r>
              <w:rPr>
                <w:rFonts w:hint="eastAsia" w:ascii="宋体" w:hAnsi="宋体" w:eastAsia="宋体" w:cs="宋体"/>
                <w:b w:val="0"/>
                <w:bCs w:val="0"/>
                <w:kern w:val="0"/>
                <w:sz w:val="24"/>
                <w:szCs w:val="24"/>
                <w:highlight w:val="none"/>
              </w:rPr>
              <w:t>A</w:t>
            </w:r>
          </w:p>
          <w:p w14:paraId="75F5C2C2">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4.</w:t>
            </w:r>
            <w:r>
              <w:rPr>
                <w:rFonts w:hint="eastAsia" w:ascii="宋体" w:hAnsi="宋体" w:eastAsia="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rPr>
              <w:t>.</w:t>
            </w:r>
            <w:r>
              <w:rPr>
                <w:rFonts w:hint="eastAsia" w:ascii="宋体" w:hAnsi="宋体" w:eastAsia="宋体" w:cs="宋体"/>
                <w:b w:val="0"/>
                <w:bCs w:val="0"/>
                <w:kern w:val="0"/>
                <w:sz w:val="24"/>
                <w:szCs w:val="24"/>
                <w:highlight w:val="none"/>
                <w:lang w:val="en-US" w:eastAsia="zh-CN"/>
              </w:rPr>
              <w:t>4</w:t>
            </w:r>
            <w:r>
              <w:rPr>
                <w:rFonts w:hint="eastAsia" w:ascii="宋体" w:hAnsi="宋体" w:eastAsia="宋体" w:cs="宋体"/>
                <w:b w:val="0"/>
                <w:bCs w:val="0"/>
                <w:kern w:val="0"/>
                <w:sz w:val="24"/>
                <w:szCs w:val="24"/>
                <w:highlight w:val="none"/>
              </w:rPr>
              <w:t>漂移：≤4×10</w:t>
            </w:r>
            <w:r>
              <w:rPr>
                <w:rFonts w:hint="eastAsia" w:ascii="宋体" w:hAnsi="宋体" w:eastAsia="宋体" w:cs="宋体"/>
                <w:b w:val="0"/>
                <w:bCs w:val="0"/>
                <w:kern w:val="0"/>
                <w:sz w:val="24"/>
                <w:szCs w:val="24"/>
                <w:highlight w:val="none"/>
                <w:vertAlign w:val="superscript"/>
              </w:rPr>
              <w:t>-12</w:t>
            </w:r>
            <w:r>
              <w:rPr>
                <w:rFonts w:hint="eastAsia" w:ascii="宋体" w:hAnsi="宋体" w:eastAsia="宋体" w:cs="宋体"/>
                <w:b w:val="0"/>
                <w:bCs w:val="0"/>
                <w:kern w:val="0"/>
                <w:sz w:val="24"/>
                <w:szCs w:val="24"/>
                <w:highlight w:val="none"/>
              </w:rPr>
              <w:t>A/30min</w:t>
            </w:r>
          </w:p>
          <w:p w14:paraId="46E76B78">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4.</w:t>
            </w:r>
            <w:r>
              <w:rPr>
                <w:rFonts w:hint="eastAsia" w:ascii="宋体" w:hAnsi="宋体" w:eastAsia="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rPr>
              <w:t>.</w:t>
            </w:r>
            <w:r>
              <w:rPr>
                <w:rFonts w:hint="eastAsia" w:ascii="宋体" w:hAnsi="宋体" w:eastAsia="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rPr>
              <w:t>线性范围：10</w:t>
            </w:r>
            <w:r>
              <w:rPr>
                <w:rFonts w:hint="eastAsia" w:ascii="宋体" w:hAnsi="宋体" w:eastAsia="宋体" w:cs="宋体"/>
                <w:b w:val="0"/>
                <w:bCs w:val="0"/>
                <w:kern w:val="0"/>
                <w:sz w:val="24"/>
                <w:szCs w:val="24"/>
                <w:highlight w:val="none"/>
                <w:vertAlign w:val="superscript"/>
              </w:rPr>
              <w:t>4</w:t>
            </w:r>
          </w:p>
          <w:p w14:paraId="336EC102">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 xml:space="preserve">5 </w:t>
            </w:r>
            <w:r>
              <w:rPr>
                <w:rFonts w:hint="eastAsia" w:ascii="宋体" w:hAnsi="宋体" w:eastAsia="宋体" w:cs="宋体"/>
                <w:b w:val="0"/>
                <w:bCs w:val="0"/>
                <w:kern w:val="0"/>
                <w:sz w:val="24"/>
                <w:szCs w:val="24"/>
                <w:highlight w:val="none"/>
                <w:lang w:val="en-US" w:eastAsia="zh-CN"/>
              </w:rPr>
              <w:t>全自动顶空进样器</w:t>
            </w:r>
          </w:p>
          <w:p w14:paraId="30AEBD5D">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5.1.1 全自动一键式启动，无人值守</w:t>
            </w:r>
          </w:p>
          <w:p w14:paraId="69F37EE5">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5.1.2 通过时间编程，自动实现加压、取样、进样、分析和分析后的反吹清洗等功能；</w:t>
            </w:r>
          </w:p>
          <w:p w14:paraId="1CE5366A">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5.1.3 采用压力平衡进样技术顶空进样峰形窄、重复性好；</w:t>
            </w:r>
          </w:p>
          <w:p w14:paraId="350B8194">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5.1.4 样品传输管和进样阀有自动反吹功能，避免了不同样品的交叉污染；</w:t>
            </w:r>
          </w:p>
          <w:p w14:paraId="5E4B59B2">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5.1.5 为了配套进口气相色谱仪使用起来更方便精确，本仪器还配有针对各种进口仪器的专用接口，连接方便；</w:t>
            </w:r>
          </w:p>
          <w:p w14:paraId="017D5D78">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5.1.6 可根据客户要分析的样品的浓度高低随时调整进样量；</w:t>
            </w:r>
          </w:p>
          <w:p w14:paraId="751D6D77">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5.1.7 进样针头更换方便，可连接国内外所有型号的GC进样口。</w:t>
            </w:r>
          </w:p>
          <w:p w14:paraId="00A0F943">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5.1.8 温度控制精度：±0.1℃；</w:t>
            </w:r>
          </w:p>
          <w:p w14:paraId="338E60D1">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5.1.9 温度控制梯度：±0.1℃；</w:t>
            </w:r>
          </w:p>
          <w:p w14:paraId="6B109A4E">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5.1.10顶空瓶工位：20位；</w:t>
            </w:r>
          </w:p>
          <w:p w14:paraId="1FD6E613">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5.1.11顶空瓶规格：10ml、20ml任选 ；</w:t>
            </w:r>
          </w:p>
          <w:p w14:paraId="7701B55E">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5.1.12重复性：RSD ≤1.5%（200ppm水中乙醇，N=5）；</w:t>
            </w:r>
          </w:p>
          <w:p w14:paraId="3610E0AF">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5.1.13进样量控制模式：进样时间和加压压力控制进样量；</w:t>
            </w:r>
          </w:p>
          <w:p w14:paraId="49876F0E">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5.1.14进样加压范围：0～0.4Mpa（连续可调）；</w:t>
            </w:r>
          </w:p>
          <w:p w14:paraId="06EE793E">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5.1.15反吹清洗流量：0～400ml/min（连续可调）；</w:t>
            </w:r>
          </w:p>
          <w:p w14:paraId="153D29D0">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三、主要配置：</w:t>
            </w:r>
          </w:p>
          <w:p w14:paraId="0852261E">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气相主机一台</w:t>
            </w:r>
          </w:p>
          <w:p w14:paraId="29CEAEFC">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毛细进样口</w:t>
            </w:r>
            <w:r>
              <w:rPr>
                <w:rFonts w:hint="eastAsia" w:ascii="宋体" w:hAnsi="宋体" w:eastAsia="宋体" w:cs="宋体"/>
                <w:b w:val="0"/>
                <w:bCs w:val="0"/>
                <w:kern w:val="0"/>
                <w:sz w:val="24"/>
                <w:szCs w:val="24"/>
                <w:highlight w:val="none"/>
                <w:lang w:val="en-US" w:eastAsia="zh-CN"/>
              </w:rPr>
              <w:t>二套</w:t>
            </w:r>
          </w:p>
          <w:p w14:paraId="790018FD">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kern w:val="0"/>
                <w:sz w:val="24"/>
                <w:szCs w:val="24"/>
                <w:highlight w:val="none"/>
              </w:rPr>
              <w:t>F</w:t>
            </w:r>
            <w:r>
              <w:rPr>
                <w:rFonts w:hint="eastAsia" w:ascii="宋体" w:hAnsi="宋体" w:eastAsia="宋体" w:cs="宋体"/>
                <w:b w:val="0"/>
                <w:bCs w:val="0"/>
                <w:kern w:val="0"/>
                <w:sz w:val="24"/>
                <w:szCs w:val="24"/>
                <w:highlight w:val="none"/>
                <w:lang w:val="en-US" w:eastAsia="zh-CN"/>
              </w:rPr>
              <w:t>ID</w:t>
            </w:r>
            <w:r>
              <w:rPr>
                <w:rFonts w:hint="eastAsia" w:ascii="宋体" w:hAnsi="宋体" w:eastAsia="宋体" w:cs="宋体"/>
                <w:b w:val="0"/>
                <w:bCs w:val="0"/>
                <w:kern w:val="0"/>
                <w:sz w:val="24"/>
                <w:szCs w:val="24"/>
                <w:highlight w:val="none"/>
              </w:rPr>
              <w:t>检测器一</w:t>
            </w:r>
            <w:r>
              <w:rPr>
                <w:rFonts w:hint="eastAsia" w:ascii="宋体" w:hAnsi="宋体" w:eastAsia="宋体" w:cs="宋体"/>
                <w:b w:val="0"/>
                <w:bCs w:val="0"/>
                <w:kern w:val="0"/>
                <w:sz w:val="24"/>
                <w:szCs w:val="24"/>
                <w:highlight w:val="none"/>
                <w:lang w:val="en-US" w:eastAsia="zh-CN"/>
              </w:rPr>
              <w:t>套</w:t>
            </w:r>
          </w:p>
          <w:p w14:paraId="7B40342E">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ECD检测器一套</w:t>
            </w:r>
          </w:p>
          <w:p w14:paraId="3CD54FF4">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全自动顶空进样器一套</w:t>
            </w:r>
          </w:p>
          <w:p w14:paraId="625F3A53">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色谱工作站一套（含</w:t>
            </w:r>
            <w:r>
              <w:rPr>
                <w:rFonts w:hint="eastAsia" w:ascii="宋体" w:hAnsi="宋体" w:eastAsia="宋体" w:cs="宋体"/>
                <w:b w:val="0"/>
                <w:bCs w:val="0"/>
                <w:kern w:val="0"/>
                <w:sz w:val="24"/>
                <w:szCs w:val="24"/>
                <w:highlight w:val="none"/>
                <w:lang w:val="en-US" w:eastAsia="zh-CN"/>
              </w:rPr>
              <w:t>软件</w:t>
            </w:r>
            <w:r>
              <w:rPr>
                <w:rFonts w:hint="eastAsia" w:ascii="宋体" w:hAnsi="宋体" w:eastAsia="宋体" w:cs="宋体"/>
                <w:b w:val="0"/>
                <w:bCs w:val="0"/>
                <w:kern w:val="0"/>
                <w:sz w:val="24"/>
                <w:szCs w:val="24"/>
                <w:highlight w:val="none"/>
              </w:rPr>
              <w:t>电脑打印机）</w:t>
            </w:r>
          </w:p>
          <w:p w14:paraId="2DE3A30E">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色谱柱</w:t>
            </w:r>
            <w:r>
              <w:rPr>
                <w:rFonts w:hint="eastAsia" w:ascii="宋体" w:hAnsi="宋体" w:eastAsia="宋体" w:cs="宋体"/>
                <w:b w:val="0"/>
                <w:bCs w:val="0"/>
                <w:kern w:val="0"/>
                <w:sz w:val="24"/>
                <w:szCs w:val="24"/>
                <w:highlight w:val="none"/>
                <w:lang w:val="en-US" w:eastAsia="zh-CN"/>
              </w:rPr>
              <w:t>两</w:t>
            </w:r>
            <w:r>
              <w:rPr>
                <w:rFonts w:hint="eastAsia" w:ascii="宋体" w:hAnsi="宋体" w:eastAsia="宋体" w:cs="宋体"/>
                <w:b w:val="0"/>
                <w:bCs w:val="0"/>
                <w:kern w:val="0"/>
                <w:sz w:val="24"/>
                <w:szCs w:val="24"/>
                <w:highlight w:val="none"/>
              </w:rPr>
              <w:t>根</w:t>
            </w:r>
          </w:p>
          <w:p w14:paraId="44FFF6A8">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空气发生器一套</w:t>
            </w:r>
          </w:p>
          <w:p w14:paraId="4D08E6D6">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氢气发生器一套</w:t>
            </w:r>
          </w:p>
          <w:p w14:paraId="0126FDCE">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rPr>
              <w:t>氮气钢瓶一套（带减压阀）</w:t>
            </w:r>
          </w:p>
        </w:tc>
      </w:tr>
      <w:tr w14:paraId="4D1B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5E7E77F1">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646" w:type="dxa"/>
            <w:vAlign w:val="center"/>
          </w:tcPr>
          <w:p w14:paraId="54AB3A33">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液相色谱仪</w:t>
            </w:r>
          </w:p>
        </w:tc>
        <w:tc>
          <w:tcPr>
            <w:tcW w:w="629" w:type="dxa"/>
            <w:vAlign w:val="center"/>
          </w:tcPr>
          <w:p w14:paraId="4D42E8FC">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组</w:t>
            </w:r>
          </w:p>
        </w:tc>
        <w:tc>
          <w:tcPr>
            <w:tcW w:w="663" w:type="dxa"/>
            <w:vAlign w:val="center"/>
          </w:tcPr>
          <w:p w14:paraId="4233D144">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128" w:type="dxa"/>
          </w:tcPr>
          <w:p w14:paraId="513EC2CA">
            <w:pPr>
              <w:keepNext w:val="0"/>
              <w:keepLines w:val="0"/>
              <w:pageBreakBefore w:val="0"/>
              <w:kinsoku/>
              <w:wordWrap/>
              <w:overflowPunct/>
              <w:topLinePunct w:val="0"/>
              <w:bidi w:val="0"/>
              <w:snapToGrid w:val="0"/>
              <w:spacing w:beforeAutospacing="0" w:line="240" w:lineRule="auto"/>
              <w:ind w:left="0" w:leftChars="0" w:right="0" w:rightChars="0" w:firstLine="0" w:firstLineChars="0"/>
              <w:jc w:val="left"/>
              <w:rPr>
                <w:rStyle w:val="51"/>
                <w:rFonts w:hint="eastAsia" w:ascii="宋体" w:hAnsi="宋体" w:eastAsia="宋体" w:cs="宋体"/>
                <w:b w:val="0"/>
                <w:bCs/>
                <w:sz w:val="24"/>
                <w:szCs w:val="24"/>
                <w:highlight w:val="none"/>
              </w:rPr>
            </w:pPr>
            <w:r>
              <w:rPr>
                <w:rStyle w:val="51"/>
                <w:rFonts w:hint="eastAsia" w:ascii="宋体" w:hAnsi="宋体" w:eastAsia="宋体" w:cs="宋体"/>
                <w:b w:val="0"/>
                <w:bCs/>
                <w:sz w:val="24"/>
                <w:szCs w:val="24"/>
                <w:highlight w:val="none"/>
              </w:rPr>
              <w:t>1、高压恒流泵：</w:t>
            </w:r>
          </w:p>
          <w:p w14:paraId="307634DD">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1.1二元四流路设计，泵头采用浮动式柱塞安装方式，大幅度延长柱塞杆和密封圈使用寿命；双柱塞往复式串联泵设计，大大减少泵单向阀故障率（降低50%），有效节约维护成本；</w:t>
            </w:r>
          </w:p>
          <w:p w14:paraId="6BFE570B">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1.2采用小凸轮驱动的浮动式柱塞杆设计，极大降低输液脉动，提高流量精度；双泵头设计大大减少泵的压力脉动，增加了输液稳定性；</w:t>
            </w:r>
          </w:p>
          <w:p w14:paraId="32F223F5">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1.3</w:t>
            </w:r>
            <w:r>
              <w:rPr>
                <w:rFonts w:hint="eastAsia" w:ascii="宋体" w:hAnsi="宋体" w:eastAsia="宋体" w:cs="宋体"/>
                <w:b w:val="0"/>
                <w:bCs/>
                <w:color w:val="auto"/>
                <w:sz w:val="24"/>
                <w:szCs w:val="24"/>
                <w:highlight w:val="none"/>
              </w:rPr>
              <w:t>泵头材料全部采用316L进口不锈钢，耐磨、耐腐蚀性强；泵头外置，便于维护。</w:t>
            </w:r>
          </w:p>
          <w:p w14:paraId="79EBC59A">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1.4密封圈采用耐腐蚀、密封性好的新型高分子材料，延长了密封圈和活塞杆的使用寿命；</w:t>
            </w:r>
          </w:p>
          <w:p w14:paraId="2A4DB60D">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1.5输液泵具有自动清洗柱塞杆功能，可设置不同的清洗方案，实现自动在线清洗；柱塞杆自动缩进，方便更换密封圈；</w:t>
            </w:r>
          </w:p>
          <w:p w14:paraId="23871634">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1.6整体性单向阀，结构简单，密封性好；</w:t>
            </w:r>
          </w:p>
          <w:p w14:paraId="5BDF63CE">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1.7具有切换阀切换（非比例阀切换）流路功能；嵌入式芯片控制技术；嵌入式芯片控制技术，可实现单接口对多模块的共同控制；</w:t>
            </w:r>
          </w:p>
          <w:p w14:paraId="023D42B4">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1.8过程检测和报警功能，实时显示运行参数；</w:t>
            </w:r>
          </w:p>
          <w:p w14:paraId="2A2D1A2E">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1.9三种压力单位互换显示功能（MPa/Pa/bar）</w:t>
            </w:r>
          </w:p>
          <w:p w14:paraId="64509055">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1.10可设置的流量范围：0.001~9.999mL/min，增量：0.001mL/min</w:t>
            </w:r>
          </w:p>
          <w:p w14:paraId="5BC0EE54">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1.11流量准确度：≤0.2%；流量精密度：≤0.06%</w:t>
            </w:r>
          </w:p>
          <w:p w14:paraId="70474EB5">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1.12压力范围：0~42MPa；显示压力误差：≤0.5MPa；要求可设定压力上下限，具有自动报警功能</w:t>
            </w:r>
          </w:p>
          <w:p w14:paraId="2217DFD6">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1.13压力脉动≤1.0%</w:t>
            </w:r>
          </w:p>
          <w:p w14:paraId="66808F07">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1.14梯度混合准确度：±0.5%</w:t>
            </w:r>
          </w:p>
          <w:p w14:paraId="09A6852E">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1.15梯度混合精密度：±0.1%</w:t>
            </w:r>
          </w:p>
          <w:p w14:paraId="2C454AF7">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2、双波长紫外可见光检测器：</w:t>
            </w:r>
          </w:p>
          <w:p w14:paraId="6DF68D56">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2.1双光路光学系统，可实现双波长同时检测，同时具备波长时间程序和静态波长扫描功能，满足不同样品的检测需求；</w:t>
            </w:r>
          </w:p>
          <w:p w14:paraId="13D669C5">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2.2单色器采用进口高精度控制，有效提高波长精度；</w:t>
            </w:r>
          </w:p>
          <w:p w14:paraId="6D744DA1">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2.3全新的波长校准方式，可实现波长的自动校正；</w:t>
            </w:r>
          </w:p>
          <w:p w14:paraId="1FADE961">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2.4多模式波长扫描：3种扫描模式，波长可编程；</w:t>
            </w:r>
          </w:p>
          <w:p w14:paraId="4E3BF277">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2.5同时具备数字信号和模拟信号输出：数字信号输出模式：避免信号造成的畸变和干扰；全程数字滤波，降低基线噪声和漂移，提高信噪比和抗干扰能力；模拟信号输出：可友好兼容第三方软件控制；</w:t>
            </w:r>
          </w:p>
          <w:p w14:paraId="6BD82DAE">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2.6可实现时间波长程序，具备自动基线归零功能，在线分析波长实时切换操作，能够获得不同吸光度化合物测定的最大灵敏度；</w:t>
            </w:r>
          </w:p>
          <w:p w14:paraId="106CAE6E">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2.7静态波长扫描，可扫描样品光谱信息，得到未知化合物的紫外特征光谱图，获取未知化合物的特征波长；</w:t>
            </w:r>
          </w:p>
          <w:p w14:paraId="1E755380">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2.8具有氘灯散热功能，有效降低氘灯的热效应影响，减少基线漂移；</w:t>
            </w:r>
          </w:p>
          <w:p w14:paraId="286D19EF">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2.9具备自动记录仪器报错，部件更换，氘灯使用时间等记录功能；</w:t>
            </w:r>
          </w:p>
          <w:p w14:paraId="1265A8CF">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2.10波长范围：190~700nm；单双波长模式可选；</w:t>
            </w:r>
          </w:p>
          <w:p w14:paraId="0B3285A8">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2.11光谱宽度：8nm</w:t>
            </w:r>
          </w:p>
          <w:p w14:paraId="44D6C68C">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2.12波长准确度：±1nm</w:t>
            </w:r>
          </w:p>
          <w:p w14:paraId="1EAC7ACE">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2.13波长重复性：≤0.1nm</w:t>
            </w:r>
          </w:p>
          <w:p w14:paraId="4E493B95">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2.14流通池体积：8μL</w:t>
            </w:r>
          </w:p>
          <w:p w14:paraId="2980A6E1">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2.15基线噪声：≤1×10</w:t>
            </w:r>
            <w:r>
              <w:rPr>
                <w:rFonts w:hint="eastAsia" w:ascii="宋体" w:hAnsi="宋体" w:eastAsia="宋体" w:cs="宋体"/>
                <w:b w:val="0"/>
                <w:bCs/>
                <w:sz w:val="24"/>
                <w:szCs w:val="24"/>
                <w:highlight w:val="none"/>
                <w:vertAlign w:val="superscript"/>
              </w:rPr>
              <w:t>-5</w:t>
            </w:r>
          </w:p>
          <w:p w14:paraId="626718BB">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2.16基线漂移：≤1×10</w:t>
            </w:r>
            <w:r>
              <w:rPr>
                <w:rFonts w:hint="eastAsia" w:ascii="宋体" w:hAnsi="宋体" w:eastAsia="宋体" w:cs="宋体"/>
                <w:b w:val="0"/>
                <w:bCs/>
                <w:sz w:val="24"/>
                <w:szCs w:val="24"/>
                <w:highlight w:val="none"/>
                <w:vertAlign w:val="superscript"/>
              </w:rPr>
              <w:t>-4</w:t>
            </w:r>
            <w:r>
              <w:rPr>
                <w:rFonts w:hint="eastAsia" w:ascii="宋体" w:hAnsi="宋体" w:eastAsia="宋体" w:cs="宋体"/>
                <w:b w:val="0"/>
                <w:bCs/>
                <w:sz w:val="24"/>
                <w:szCs w:val="24"/>
                <w:highlight w:val="none"/>
              </w:rPr>
              <w:t>AU</w:t>
            </w:r>
          </w:p>
          <w:p w14:paraId="305167F5">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2.17最小检测量：1×10</w:t>
            </w:r>
            <w:r>
              <w:rPr>
                <w:rFonts w:hint="eastAsia" w:ascii="宋体" w:hAnsi="宋体" w:eastAsia="宋体" w:cs="宋体"/>
                <w:b w:val="0"/>
                <w:bCs/>
                <w:sz w:val="24"/>
                <w:szCs w:val="24"/>
                <w:highlight w:val="none"/>
                <w:vertAlign w:val="superscript"/>
              </w:rPr>
              <w:t>-9</w:t>
            </w:r>
            <w:r>
              <w:rPr>
                <w:rFonts w:hint="eastAsia" w:ascii="宋体" w:hAnsi="宋体" w:eastAsia="宋体" w:cs="宋体"/>
                <w:b w:val="0"/>
                <w:bCs/>
                <w:sz w:val="24"/>
                <w:szCs w:val="24"/>
                <w:highlight w:val="none"/>
              </w:rPr>
              <w:t>g/mL</w:t>
            </w:r>
          </w:p>
          <w:p w14:paraId="7D463F28">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2.18光源：氘灯+钨灯</w:t>
            </w:r>
          </w:p>
          <w:p w14:paraId="6D505B06">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 柱温箱：</w:t>
            </w:r>
          </w:p>
          <w:p w14:paraId="07153BBC">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3.1全反控模块化柱温箱设计，色谱软件在线设置温度，实时显示温度。</w:t>
            </w:r>
          </w:p>
          <w:p w14:paraId="4AFC8434">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3.2控温范围（℃）：室温至100℃；</w:t>
            </w:r>
          </w:p>
          <w:p w14:paraId="6F0E1DCA">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3.3上限温度保护（℃）：110 ℃；</w:t>
            </w:r>
          </w:p>
          <w:p w14:paraId="29BA2FCC">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3.4控温精度（℃）：±0.1；</w:t>
            </w:r>
          </w:p>
          <w:p w14:paraId="5474813B">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3.5温度稳定性（℃）： ±0.1；</w:t>
            </w:r>
          </w:p>
          <w:p w14:paraId="0C5769C2">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3.6高容量柱温箱，可同时容纳至少2根色谱柱；</w:t>
            </w:r>
          </w:p>
          <w:p w14:paraId="5DD40676">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3.7须具有超温自动断电保护、漏液报警功能；</w:t>
            </w:r>
          </w:p>
          <w:p w14:paraId="5149BAA2">
            <w:pPr>
              <w:keepNext w:val="0"/>
              <w:keepLines w:val="0"/>
              <w:pageBreakBefore w:val="0"/>
              <w:widowControl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4、自动进样器</w:t>
            </w:r>
          </w:p>
          <w:p w14:paraId="2304A48B">
            <w:pPr>
              <w:pStyle w:val="39"/>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4.1</w:t>
            </w:r>
            <w:r>
              <w:rPr>
                <w:rFonts w:hint="eastAsia" w:ascii="宋体" w:hAnsi="宋体" w:eastAsia="宋体" w:cs="宋体"/>
                <w:b w:val="0"/>
                <w:bCs/>
                <w:color w:val="000000" w:themeColor="text1"/>
                <w:kern w:val="0"/>
                <w:sz w:val="24"/>
                <w:szCs w:val="24"/>
                <w:highlight w:val="none"/>
                <w14:textFill>
                  <w14:solidFill>
                    <w14:schemeClr w14:val="tx1"/>
                  </w14:solidFill>
                </w14:textFill>
              </w:rPr>
              <w:t>进样方式：计量泵样品环进样，进样量可变式，不浪费样品。</w:t>
            </w:r>
          </w:p>
          <w:p w14:paraId="161BF670">
            <w:pPr>
              <w:pStyle w:val="39"/>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4.2</w:t>
            </w:r>
            <w:r>
              <w:rPr>
                <w:rFonts w:hint="eastAsia" w:ascii="宋体" w:hAnsi="宋体" w:eastAsia="宋体" w:cs="宋体"/>
                <w:b w:val="0"/>
                <w:bCs/>
                <w:kern w:val="0"/>
                <w:sz w:val="24"/>
                <w:szCs w:val="24"/>
                <w:highlight w:val="none"/>
              </w:rPr>
              <w:t>耐压：35MPa。</w:t>
            </w:r>
          </w:p>
          <w:p w14:paraId="2BB573CB">
            <w:pPr>
              <w:pStyle w:val="39"/>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4.3</w:t>
            </w:r>
            <w:r>
              <w:rPr>
                <w:rFonts w:hint="eastAsia" w:ascii="宋体" w:hAnsi="宋体" w:eastAsia="宋体" w:cs="宋体"/>
                <w:b w:val="0"/>
                <w:bCs/>
                <w:kern w:val="0"/>
                <w:sz w:val="24"/>
                <w:szCs w:val="24"/>
                <w:highlight w:val="none"/>
              </w:rPr>
              <w:t>进样量设定范围：0.1-99.9 μL。</w:t>
            </w:r>
          </w:p>
          <w:p w14:paraId="08241086">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4</w:t>
            </w:r>
            <w:r>
              <w:rPr>
                <w:rFonts w:hint="eastAsia" w:ascii="宋体" w:hAnsi="宋体" w:eastAsia="宋体" w:cs="宋体"/>
                <w:b w:val="0"/>
                <w:bCs/>
                <w:kern w:val="0"/>
                <w:sz w:val="24"/>
                <w:szCs w:val="24"/>
                <w:highlight w:val="none"/>
                <w:lang w:val="en-US" w:eastAsia="zh-CN"/>
              </w:rPr>
              <w:t>.4</w:t>
            </w:r>
            <w:r>
              <w:rPr>
                <w:rFonts w:hint="eastAsia" w:ascii="宋体" w:hAnsi="宋体" w:eastAsia="宋体" w:cs="宋体"/>
                <w:b w:val="0"/>
                <w:bCs/>
                <w:kern w:val="0"/>
                <w:sz w:val="24"/>
                <w:szCs w:val="24"/>
                <w:highlight w:val="none"/>
              </w:rPr>
              <w:t>进样体积：</w:t>
            </w:r>
          </w:p>
          <w:p w14:paraId="74B852DA">
            <w:pPr>
              <w:pStyle w:val="39"/>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rPr>
              <w:t>标配：0.1– 99.9 时，设定步进值为 0.1</w:t>
            </w:r>
          </w:p>
          <w:p w14:paraId="601FCB22">
            <w:pPr>
              <w:pStyle w:val="39"/>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4.5</w:t>
            </w:r>
            <w:r>
              <w:rPr>
                <w:rFonts w:hint="eastAsia" w:ascii="宋体" w:hAnsi="宋体" w:eastAsia="宋体" w:cs="宋体"/>
                <w:b w:val="0"/>
                <w:bCs/>
                <w:color w:val="000000" w:themeColor="text1"/>
                <w:kern w:val="0"/>
                <w:sz w:val="24"/>
                <w:szCs w:val="24"/>
                <w:highlight w:val="none"/>
                <w14:textFill>
                  <w14:solidFill>
                    <w14:schemeClr w14:val="tx1"/>
                  </w14:solidFill>
                </w14:textFill>
              </w:rPr>
              <w:t>样品容量: 1.5mL样品瓶（样品数542位）；4.0mL样品瓶（样品数282位）；96孔板2块（样品数＞190个）。</w:t>
            </w:r>
          </w:p>
          <w:p w14:paraId="4F4EED8B">
            <w:pPr>
              <w:pStyle w:val="39"/>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4.6</w:t>
            </w:r>
            <w:r>
              <w:rPr>
                <w:rFonts w:hint="eastAsia" w:ascii="宋体" w:hAnsi="宋体" w:eastAsia="宋体" w:cs="宋体"/>
                <w:b w:val="0"/>
                <w:bCs/>
                <w:kern w:val="0"/>
                <w:sz w:val="24"/>
                <w:szCs w:val="24"/>
                <w:highlight w:val="none"/>
              </w:rPr>
              <w:t>进样重现性：0.25%RSD以下(10μL进样时）</w:t>
            </w:r>
          </w:p>
          <w:p w14:paraId="05E64F8F">
            <w:pPr>
              <w:pStyle w:val="39"/>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4.7</w:t>
            </w:r>
            <w:r>
              <w:rPr>
                <w:rFonts w:hint="eastAsia" w:ascii="宋体" w:hAnsi="宋体" w:eastAsia="宋体" w:cs="宋体"/>
                <w:b w:val="0"/>
                <w:bCs/>
                <w:kern w:val="0"/>
                <w:sz w:val="24"/>
                <w:szCs w:val="24"/>
                <w:highlight w:val="none"/>
              </w:rPr>
              <w:t>进样速度：最快10s以下（10μL进样时）</w:t>
            </w:r>
          </w:p>
          <w:p w14:paraId="1C285B17">
            <w:pPr>
              <w:pStyle w:val="39"/>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4.8</w:t>
            </w:r>
            <w:r>
              <w:rPr>
                <w:rFonts w:hint="eastAsia" w:ascii="宋体" w:hAnsi="宋体" w:eastAsia="宋体" w:cs="宋体"/>
                <w:b w:val="0"/>
                <w:bCs/>
                <w:kern w:val="0"/>
                <w:sz w:val="24"/>
                <w:szCs w:val="24"/>
                <w:highlight w:val="none"/>
              </w:rPr>
              <w:t>清洗模式(进样针浸渍清洗)：选择样品进样过程中进样针的清洗方法。 可以选择的方式有：不清洗、样品吸出前清洗、样品吸出后清洗、样品吸出前后都清洗。</w:t>
            </w:r>
          </w:p>
          <w:p w14:paraId="395DCC80">
            <w:pPr>
              <w:pStyle w:val="39"/>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4.9</w:t>
            </w:r>
            <w:r>
              <w:rPr>
                <w:rFonts w:hint="eastAsia" w:ascii="宋体" w:hAnsi="宋体" w:eastAsia="宋体" w:cs="宋体"/>
                <w:b w:val="0"/>
                <w:bCs/>
                <w:kern w:val="0"/>
                <w:sz w:val="24"/>
                <w:szCs w:val="24"/>
                <w:highlight w:val="none"/>
              </w:rPr>
              <w:t>使用pH范围：pH 1-9</w:t>
            </w:r>
          </w:p>
          <w:p w14:paraId="38868D8A">
            <w:pPr>
              <w:pStyle w:val="39"/>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4.10</w:t>
            </w:r>
            <w:r>
              <w:rPr>
                <w:rFonts w:hint="eastAsia" w:ascii="宋体" w:hAnsi="宋体" w:eastAsia="宋体" w:cs="宋体"/>
                <w:b w:val="0"/>
                <w:bCs/>
                <w:kern w:val="0"/>
                <w:sz w:val="24"/>
                <w:szCs w:val="24"/>
                <w:highlight w:val="none"/>
              </w:rPr>
              <w:t>样品预处理功能：可以在控制软件上编制简单的程序执行预处理操作，在进样分析前进行预处理 (例如：执行进样针清洗、样品稀释、试剂添加、混合和反应时间等待)。</w:t>
            </w:r>
          </w:p>
          <w:p w14:paraId="2CA908CC">
            <w:pPr>
              <w:pStyle w:val="39"/>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4.12</w:t>
            </w:r>
            <w:r>
              <w:rPr>
                <w:rFonts w:hint="eastAsia" w:ascii="宋体" w:hAnsi="宋体" w:eastAsia="宋体" w:cs="宋体"/>
                <w:b w:val="0"/>
                <w:bCs/>
                <w:kern w:val="0"/>
                <w:sz w:val="24"/>
                <w:szCs w:val="24"/>
                <w:highlight w:val="none"/>
              </w:rPr>
              <w:t>漏液传感器：有</w:t>
            </w:r>
          </w:p>
          <w:p w14:paraId="70D5C07B">
            <w:pPr>
              <w:pStyle w:val="39"/>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kern w:val="0"/>
                <w:sz w:val="24"/>
                <w:szCs w:val="24"/>
                <w:highlight w:val="none"/>
                <w:lang w:val="en-US" w:eastAsia="zh-CN"/>
              </w:rPr>
              <w:t>4.</w:t>
            </w:r>
            <w:r>
              <w:rPr>
                <w:rFonts w:hint="eastAsia" w:ascii="宋体" w:hAnsi="宋体" w:eastAsia="宋体" w:cs="宋体"/>
                <w:b w:val="0"/>
                <w:bCs/>
                <w:kern w:val="0"/>
                <w:sz w:val="24"/>
                <w:szCs w:val="24"/>
                <w:highlight w:val="none"/>
              </w:rPr>
              <w:t>13具有样品瓶状态指示功能：以不同的颜色指示样品瓶所处的选择状态或分析状态。等待分析用浅蓝色表示、正在分析 用深蓝色表示、分析结束用灰色表示。</w:t>
            </w:r>
          </w:p>
          <w:p w14:paraId="1F4F75A1">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5、整机性能</w:t>
            </w:r>
          </w:p>
          <w:p w14:paraId="47729CEB">
            <w:pPr>
              <w:pStyle w:val="39"/>
              <w:keepNext w:val="0"/>
              <w:keepLines w:val="0"/>
              <w:pageBreakBefore w:val="0"/>
              <w:numPr>
                <w:ilvl w:val="0"/>
                <w:numId w:val="0"/>
              </w:numPr>
              <w:kinsoku/>
              <w:wordWrap/>
              <w:overflowPunct/>
              <w:topLinePunct w:val="0"/>
              <w:bidi w:val="0"/>
              <w:spacing w:beforeAutospacing="0" w:line="240" w:lineRule="auto"/>
              <w:ind w:leftChars="0" w:right="0" w:rightChars="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5.1</w:t>
            </w:r>
            <w:r>
              <w:rPr>
                <w:rFonts w:hint="eastAsia" w:ascii="宋体" w:hAnsi="宋体" w:eastAsia="宋体" w:cs="宋体"/>
                <w:b w:val="0"/>
                <w:bCs/>
                <w:kern w:val="0"/>
                <w:sz w:val="24"/>
                <w:szCs w:val="24"/>
                <w:highlight w:val="none"/>
              </w:rPr>
              <w:t>定性重复性：RSD</w:t>
            </w:r>
            <w:r>
              <w:rPr>
                <w:rFonts w:hint="eastAsia" w:ascii="宋体" w:hAnsi="宋体" w:eastAsia="宋体" w:cs="宋体"/>
                <w:b w:val="0"/>
                <w:bCs/>
                <w:kern w:val="0"/>
                <w:sz w:val="24"/>
                <w:szCs w:val="24"/>
                <w:highlight w:val="none"/>
                <w:vertAlign w:val="subscript"/>
              </w:rPr>
              <w:t>6</w:t>
            </w:r>
            <w:r>
              <w:rPr>
                <w:rFonts w:hint="eastAsia" w:ascii="宋体" w:hAnsi="宋体" w:eastAsia="宋体" w:cs="宋体"/>
                <w:b w:val="0"/>
                <w:bCs/>
                <w:kern w:val="0"/>
                <w:sz w:val="24"/>
                <w:szCs w:val="24"/>
                <w:highlight w:val="none"/>
              </w:rPr>
              <w:t>≤0.06%；</w:t>
            </w:r>
          </w:p>
          <w:p w14:paraId="6C26B6C7">
            <w:pPr>
              <w:pStyle w:val="39"/>
              <w:keepNext w:val="0"/>
              <w:keepLines w:val="0"/>
              <w:pageBreakBefore w:val="0"/>
              <w:numPr>
                <w:ilvl w:val="0"/>
                <w:numId w:val="0"/>
              </w:numPr>
              <w:kinsoku/>
              <w:wordWrap/>
              <w:overflowPunct/>
              <w:topLinePunct w:val="0"/>
              <w:bidi w:val="0"/>
              <w:spacing w:beforeAutospacing="0" w:line="240" w:lineRule="auto"/>
              <w:ind w:leftChars="0" w:right="0" w:rightChars="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5.2</w:t>
            </w:r>
            <w:r>
              <w:rPr>
                <w:rFonts w:hint="eastAsia" w:ascii="宋体" w:hAnsi="宋体" w:eastAsia="宋体" w:cs="宋体"/>
                <w:b w:val="0"/>
                <w:bCs/>
                <w:kern w:val="0"/>
                <w:sz w:val="24"/>
                <w:szCs w:val="24"/>
                <w:highlight w:val="none"/>
              </w:rPr>
              <w:t>定量重复性；RSD</w:t>
            </w:r>
            <w:r>
              <w:rPr>
                <w:rFonts w:hint="eastAsia" w:ascii="宋体" w:hAnsi="宋体" w:eastAsia="宋体" w:cs="宋体"/>
                <w:b w:val="0"/>
                <w:bCs/>
                <w:kern w:val="0"/>
                <w:sz w:val="24"/>
                <w:szCs w:val="24"/>
                <w:highlight w:val="none"/>
                <w:vertAlign w:val="subscript"/>
              </w:rPr>
              <w:t>6</w:t>
            </w:r>
            <w:r>
              <w:rPr>
                <w:rFonts w:hint="eastAsia" w:ascii="宋体" w:hAnsi="宋体" w:eastAsia="宋体" w:cs="宋体"/>
                <w:b w:val="0"/>
                <w:bCs/>
                <w:kern w:val="0"/>
                <w:sz w:val="24"/>
                <w:szCs w:val="24"/>
                <w:highlight w:val="none"/>
              </w:rPr>
              <w:t>≤1%</w:t>
            </w:r>
          </w:p>
          <w:p w14:paraId="06C45082">
            <w:pPr>
              <w:pStyle w:val="39"/>
              <w:keepNext w:val="0"/>
              <w:keepLines w:val="0"/>
              <w:pageBreakBefore w:val="0"/>
              <w:numPr>
                <w:ilvl w:val="0"/>
                <w:numId w:val="0"/>
              </w:numPr>
              <w:kinsoku/>
              <w:wordWrap/>
              <w:overflowPunct/>
              <w:topLinePunct w:val="0"/>
              <w:bidi w:val="0"/>
              <w:spacing w:beforeAutospacing="0" w:line="240" w:lineRule="auto"/>
              <w:ind w:leftChars="0" w:right="0" w:rightChars="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5.3</w:t>
            </w:r>
            <w:r>
              <w:rPr>
                <w:rFonts w:hint="eastAsia" w:ascii="宋体" w:hAnsi="宋体" w:eastAsia="宋体" w:cs="宋体"/>
                <w:b w:val="0"/>
                <w:bCs/>
                <w:kern w:val="0"/>
                <w:sz w:val="24"/>
                <w:szCs w:val="24"/>
                <w:highlight w:val="none"/>
              </w:rPr>
              <w:t>全新的无按键外观设计，色谱工作站全反控所有模块（泵、检测器、柱温箱、自动进样器）操作模式，仪器的运行参数和状态，均可控制和监测。</w:t>
            </w:r>
          </w:p>
          <w:p w14:paraId="0E6C5954">
            <w:pPr>
              <w:pStyle w:val="39"/>
              <w:keepNext w:val="0"/>
              <w:keepLines w:val="0"/>
              <w:pageBreakBefore w:val="0"/>
              <w:numPr>
                <w:ilvl w:val="0"/>
                <w:numId w:val="0"/>
              </w:numPr>
              <w:kinsoku/>
              <w:wordWrap/>
              <w:overflowPunct/>
              <w:topLinePunct w:val="0"/>
              <w:bidi w:val="0"/>
              <w:spacing w:beforeAutospacing="0" w:line="240" w:lineRule="auto"/>
              <w:ind w:leftChars="0" w:right="0" w:rightChars="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5.4</w:t>
            </w:r>
            <w:r>
              <w:rPr>
                <w:rFonts w:hint="eastAsia" w:ascii="宋体" w:hAnsi="宋体" w:eastAsia="宋体" w:cs="宋体"/>
                <w:b w:val="0"/>
                <w:bCs/>
                <w:kern w:val="0"/>
                <w:sz w:val="24"/>
                <w:szCs w:val="24"/>
                <w:highlight w:val="none"/>
              </w:rPr>
              <w:t>全面兼容GLP规范，配件使用及更换信息实时记录在案。</w:t>
            </w:r>
          </w:p>
          <w:p w14:paraId="0067045B">
            <w:pPr>
              <w:pStyle w:val="39"/>
              <w:keepNext w:val="0"/>
              <w:keepLines w:val="0"/>
              <w:pageBreakBefore w:val="0"/>
              <w:numPr>
                <w:ilvl w:val="0"/>
                <w:numId w:val="0"/>
              </w:numPr>
              <w:kinsoku/>
              <w:wordWrap/>
              <w:overflowPunct/>
              <w:topLinePunct w:val="0"/>
              <w:bidi w:val="0"/>
              <w:spacing w:beforeAutospacing="0" w:line="240" w:lineRule="auto"/>
              <w:ind w:leftChars="0" w:right="0" w:rightChars="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5.5</w:t>
            </w:r>
            <w:r>
              <w:rPr>
                <w:rFonts w:hint="eastAsia" w:ascii="宋体" w:hAnsi="宋体" w:eastAsia="宋体" w:cs="宋体"/>
                <w:b w:val="0"/>
                <w:bCs/>
                <w:kern w:val="0"/>
                <w:sz w:val="24"/>
                <w:szCs w:val="24"/>
                <w:highlight w:val="none"/>
              </w:rPr>
              <w:t>全新的串口通讯模式，大大提高色谱工作站与整机的通讯速率，确保数据采集的准确性。</w:t>
            </w:r>
          </w:p>
          <w:p w14:paraId="5254E2E2">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 色谱工作站：</w:t>
            </w:r>
          </w:p>
          <w:p w14:paraId="599D084C">
            <w:pPr>
              <w:pStyle w:val="39"/>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6.1</w:t>
            </w:r>
            <w:r>
              <w:rPr>
                <w:rFonts w:hint="eastAsia" w:ascii="宋体" w:hAnsi="宋体" w:eastAsia="宋体" w:cs="宋体"/>
                <w:b w:val="0"/>
                <w:bCs/>
                <w:kern w:val="0"/>
                <w:sz w:val="24"/>
                <w:szCs w:val="24"/>
                <w:highlight w:val="none"/>
              </w:rPr>
              <w:t>仪器控制，包括泵、检测器、自动进样器、柱温箱等仪器各项参数的控制，仪器实现全反控；</w:t>
            </w:r>
          </w:p>
          <w:p w14:paraId="615F8E9F">
            <w:pPr>
              <w:pStyle w:val="39"/>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6.2</w:t>
            </w:r>
            <w:r>
              <w:rPr>
                <w:rFonts w:hint="eastAsia" w:ascii="宋体" w:hAnsi="宋体" w:eastAsia="宋体" w:cs="宋体"/>
                <w:b w:val="0"/>
                <w:bCs/>
                <w:kern w:val="0"/>
                <w:sz w:val="24"/>
                <w:szCs w:val="24"/>
                <w:highlight w:val="none"/>
              </w:rPr>
              <w:t>状态反馈，能实时反馈泵（流量、压力）、检测器（波长、灯开/关状态、运行时间、开启次数、能量等）的状态、柱温箱（实时温度显示）；</w:t>
            </w:r>
          </w:p>
          <w:p w14:paraId="3AEFB9B0">
            <w:pPr>
              <w:pStyle w:val="39"/>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6.3</w:t>
            </w:r>
            <w:r>
              <w:rPr>
                <w:rFonts w:hint="eastAsia" w:ascii="宋体" w:hAnsi="宋体" w:eastAsia="宋体" w:cs="宋体"/>
                <w:b w:val="0"/>
                <w:bCs/>
                <w:kern w:val="0"/>
                <w:sz w:val="24"/>
                <w:szCs w:val="24"/>
                <w:highlight w:val="none"/>
              </w:rPr>
              <w:t>基线监测、序列分析、数据处理、报告打印等诸多功能都可通过软件实现，实现软件分析自动化</w:t>
            </w:r>
          </w:p>
          <w:p w14:paraId="2AD9B03E">
            <w:pPr>
              <w:pStyle w:val="39"/>
              <w:keepNext w:val="0"/>
              <w:keepLines w:val="0"/>
              <w:pageBreakBefore w:val="0"/>
              <w:numPr>
                <w:ilvl w:val="0"/>
                <w:numId w:val="0"/>
              </w:numPr>
              <w:kinsoku/>
              <w:wordWrap/>
              <w:overflowPunct/>
              <w:topLinePunct w:val="0"/>
              <w:bidi w:val="0"/>
              <w:spacing w:beforeAutospacing="0" w:line="240" w:lineRule="auto"/>
              <w:ind w:leftChars="0" w:right="0" w:rightChars="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6.4</w:t>
            </w:r>
            <w:r>
              <w:rPr>
                <w:rFonts w:hint="eastAsia" w:ascii="宋体" w:hAnsi="宋体" w:eastAsia="宋体" w:cs="宋体"/>
                <w:b w:val="0"/>
                <w:bCs/>
                <w:kern w:val="0"/>
                <w:sz w:val="24"/>
                <w:szCs w:val="24"/>
                <w:highlight w:val="none"/>
              </w:rPr>
              <w:t>色谱数据处理系统具有严格的权限管理功能，内置数据库管理数据，可实现审计追踪，保证了数据的安全可靠性，符合相关法规。</w:t>
            </w:r>
          </w:p>
          <w:p w14:paraId="5B5A8623">
            <w:pPr>
              <w:pStyle w:val="39"/>
              <w:keepNext w:val="0"/>
              <w:keepLines w:val="0"/>
              <w:pageBreakBefore w:val="0"/>
              <w:numPr>
                <w:ilvl w:val="0"/>
                <w:numId w:val="0"/>
              </w:numPr>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color w:val="000000"/>
                <w:kern w:val="0"/>
                <w:sz w:val="24"/>
                <w:szCs w:val="24"/>
                <w:highlight w:val="none"/>
                <w:lang w:val="en-US" w:eastAsia="zh-CN" w:bidi="ar-SA"/>
              </w:rPr>
            </w:pPr>
            <w:r>
              <w:rPr>
                <w:rFonts w:hint="eastAsia" w:ascii="宋体" w:hAnsi="宋体" w:eastAsia="宋体" w:cs="宋体"/>
                <w:b w:val="0"/>
                <w:bCs/>
                <w:color w:val="000000"/>
                <w:kern w:val="0"/>
                <w:sz w:val="24"/>
                <w:szCs w:val="24"/>
                <w:highlight w:val="none"/>
                <w:lang w:val="en-US" w:eastAsia="zh-CN" w:bidi="ar-SA"/>
              </w:rPr>
              <w:t>7、仪器配置要求</w:t>
            </w:r>
          </w:p>
          <w:p w14:paraId="46C23F04">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color w:val="000000"/>
                <w:kern w:val="0"/>
                <w:sz w:val="24"/>
                <w:szCs w:val="24"/>
                <w:highlight w:val="none"/>
                <w:lang w:val="en-US" w:eastAsia="zh-CN" w:bidi="ar-SA"/>
              </w:rPr>
            </w:pPr>
            <w:r>
              <w:rPr>
                <w:rFonts w:hint="eastAsia" w:ascii="宋体" w:hAnsi="宋体" w:eastAsia="宋体" w:cs="宋体"/>
                <w:b w:val="0"/>
                <w:bCs/>
                <w:color w:val="000000"/>
                <w:kern w:val="0"/>
                <w:sz w:val="24"/>
                <w:szCs w:val="24"/>
                <w:highlight w:val="none"/>
                <w:lang w:val="en-US" w:eastAsia="zh-CN" w:bidi="ar-SA"/>
              </w:rPr>
              <w:t>7.1 双流路高压输液泵                 2台</w:t>
            </w:r>
          </w:p>
          <w:p w14:paraId="11F5C21C">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color w:val="000000"/>
                <w:kern w:val="0"/>
                <w:sz w:val="24"/>
                <w:szCs w:val="24"/>
                <w:highlight w:val="none"/>
                <w:lang w:val="en-US" w:eastAsia="zh-CN" w:bidi="ar-SA"/>
              </w:rPr>
            </w:pPr>
            <w:r>
              <w:rPr>
                <w:rFonts w:hint="eastAsia" w:ascii="宋体" w:hAnsi="宋体" w:eastAsia="宋体" w:cs="宋体"/>
                <w:b w:val="0"/>
                <w:bCs/>
                <w:color w:val="000000"/>
                <w:kern w:val="0"/>
                <w:sz w:val="24"/>
                <w:szCs w:val="24"/>
                <w:highlight w:val="none"/>
                <w:lang w:val="en-US" w:eastAsia="zh-CN" w:bidi="ar-SA"/>
              </w:rPr>
              <w:t>7.2 双波长紫外检测器                 1台</w:t>
            </w:r>
          </w:p>
          <w:p w14:paraId="5CD50A82">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color w:val="000000"/>
                <w:kern w:val="0"/>
                <w:sz w:val="24"/>
                <w:szCs w:val="24"/>
                <w:highlight w:val="none"/>
                <w:lang w:val="en-US" w:eastAsia="zh-CN" w:bidi="ar-SA"/>
              </w:rPr>
            </w:pPr>
            <w:r>
              <w:rPr>
                <w:rFonts w:hint="eastAsia" w:ascii="宋体" w:hAnsi="宋体" w:eastAsia="宋体" w:cs="宋体"/>
                <w:b w:val="0"/>
                <w:bCs/>
                <w:color w:val="000000"/>
                <w:kern w:val="0"/>
                <w:sz w:val="24"/>
                <w:szCs w:val="24"/>
                <w:highlight w:val="none"/>
                <w:lang w:val="en-US" w:eastAsia="zh-CN" w:bidi="ar-SA"/>
              </w:rPr>
              <w:t>7.3 自动进样器                       1个</w:t>
            </w:r>
          </w:p>
          <w:p w14:paraId="154ACC48">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color w:val="000000"/>
                <w:kern w:val="0"/>
                <w:sz w:val="24"/>
                <w:szCs w:val="24"/>
                <w:highlight w:val="none"/>
                <w:lang w:val="en-US" w:eastAsia="zh-CN" w:bidi="ar-SA"/>
              </w:rPr>
            </w:pPr>
            <w:r>
              <w:rPr>
                <w:rFonts w:hint="eastAsia" w:ascii="宋体" w:hAnsi="宋体" w:eastAsia="宋体" w:cs="宋体"/>
                <w:b w:val="0"/>
                <w:bCs/>
                <w:color w:val="000000"/>
                <w:kern w:val="0"/>
                <w:sz w:val="24"/>
                <w:szCs w:val="24"/>
                <w:highlight w:val="none"/>
                <w:lang w:val="en-US" w:eastAsia="zh-CN" w:bidi="ar-SA"/>
              </w:rPr>
              <w:t>7.4色谱柱恒温箱                     1台</w:t>
            </w:r>
          </w:p>
          <w:p w14:paraId="21DDFA41">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color w:val="000000"/>
                <w:kern w:val="0"/>
                <w:sz w:val="24"/>
                <w:szCs w:val="24"/>
                <w:highlight w:val="none"/>
                <w:lang w:val="en-US" w:eastAsia="zh-CN" w:bidi="ar-SA"/>
              </w:rPr>
            </w:pPr>
            <w:r>
              <w:rPr>
                <w:rFonts w:hint="eastAsia" w:ascii="宋体" w:hAnsi="宋体" w:eastAsia="宋体" w:cs="宋体"/>
                <w:b w:val="0"/>
                <w:bCs/>
                <w:color w:val="000000"/>
                <w:kern w:val="0"/>
                <w:sz w:val="24"/>
                <w:szCs w:val="24"/>
                <w:highlight w:val="none"/>
                <w:lang w:val="en-US" w:eastAsia="zh-CN" w:bidi="ar-SA"/>
              </w:rPr>
              <w:t>7.5 C18 5um 4.6mm×250mm色谱柱      1支</w:t>
            </w:r>
          </w:p>
          <w:p w14:paraId="0EFF826E">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color w:val="000000"/>
                <w:kern w:val="0"/>
                <w:sz w:val="24"/>
                <w:szCs w:val="24"/>
                <w:highlight w:val="none"/>
                <w:lang w:val="en-US" w:eastAsia="zh-CN" w:bidi="ar-SA"/>
              </w:rPr>
            </w:pPr>
            <w:r>
              <w:rPr>
                <w:rFonts w:hint="eastAsia" w:ascii="宋体" w:hAnsi="宋体" w:eastAsia="宋体" w:cs="宋体"/>
                <w:b w:val="0"/>
                <w:bCs/>
                <w:color w:val="000000"/>
                <w:kern w:val="0"/>
                <w:sz w:val="24"/>
                <w:szCs w:val="24"/>
                <w:highlight w:val="none"/>
                <w:lang w:val="en-US" w:eastAsia="zh-CN" w:bidi="ar-SA"/>
              </w:rPr>
              <w:t>7.6 溶剂瓶托盘                       1台</w:t>
            </w:r>
          </w:p>
          <w:p w14:paraId="0226D74E">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color w:val="000000"/>
                <w:kern w:val="0"/>
                <w:sz w:val="24"/>
                <w:szCs w:val="24"/>
                <w:highlight w:val="none"/>
                <w:lang w:val="en-US" w:eastAsia="zh-CN" w:bidi="ar-SA"/>
              </w:rPr>
            </w:pPr>
            <w:r>
              <w:rPr>
                <w:rFonts w:hint="eastAsia" w:ascii="宋体" w:hAnsi="宋体" w:eastAsia="宋体" w:cs="宋体"/>
                <w:b w:val="0"/>
                <w:bCs/>
                <w:color w:val="000000"/>
                <w:kern w:val="0"/>
                <w:sz w:val="24"/>
                <w:szCs w:val="24"/>
                <w:highlight w:val="none"/>
                <w:lang w:val="en-US" w:eastAsia="zh-CN" w:bidi="ar-SA"/>
              </w:rPr>
              <w:t>7.7 500ml溶剂瓶                     4个</w:t>
            </w:r>
          </w:p>
          <w:p w14:paraId="0CA1A06E">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color w:val="000000"/>
                <w:kern w:val="0"/>
                <w:sz w:val="24"/>
                <w:szCs w:val="24"/>
                <w:highlight w:val="none"/>
                <w:lang w:val="en-US" w:eastAsia="zh-CN" w:bidi="ar-SA"/>
              </w:rPr>
              <w:t>7.8色谱工作站                       1套</w:t>
            </w:r>
          </w:p>
        </w:tc>
      </w:tr>
      <w:tr w14:paraId="789E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14:paraId="1AC0927D">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646" w:type="dxa"/>
            <w:tcBorders>
              <w:top w:val="single" w:color="auto" w:sz="4" w:space="0"/>
              <w:left w:val="single" w:color="auto" w:sz="4" w:space="0"/>
              <w:bottom w:val="single" w:color="auto" w:sz="4" w:space="0"/>
              <w:right w:val="single" w:color="auto" w:sz="4" w:space="0"/>
            </w:tcBorders>
            <w:vAlign w:val="center"/>
          </w:tcPr>
          <w:p w14:paraId="329AE77D">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试剂柜/带锁（冷藏）</w:t>
            </w:r>
          </w:p>
        </w:tc>
        <w:tc>
          <w:tcPr>
            <w:tcW w:w="629" w:type="dxa"/>
            <w:tcBorders>
              <w:top w:val="single" w:color="auto" w:sz="4" w:space="0"/>
              <w:left w:val="single" w:color="auto" w:sz="4" w:space="0"/>
              <w:bottom w:val="single" w:color="auto" w:sz="4" w:space="0"/>
              <w:right w:val="single" w:color="auto" w:sz="4" w:space="0"/>
            </w:tcBorders>
            <w:vAlign w:val="center"/>
          </w:tcPr>
          <w:p w14:paraId="28F74CC6">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663" w:type="dxa"/>
            <w:tcBorders>
              <w:top w:val="single" w:color="auto" w:sz="4" w:space="0"/>
              <w:left w:val="single" w:color="auto" w:sz="4" w:space="0"/>
              <w:bottom w:val="single" w:color="auto" w:sz="4" w:space="0"/>
              <w:right w:val="single" w:color="auto" w:sz="4" w:space="0"/>
            </w:tcBorders>
            <w:vAlign w:val="center"/>
          </w:tcPr>
          <w:p w14:paraId="59F45448">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7128" w:type="dxa"/>
            <w:tcBorders>
              <w:top w:val="single" w:color="auto" w:sz="4" w:space="0"/>
              <w:left w:val="single" w:color="auto" w:sz="4" w:space="0"/>
              <w:bottom w:val="single" w:color="auto" w:sz="4" w:space="0"/>
              <w:right w:val="single" w:color="auto" w:sz="4" w:space="0"/>
            </w:tcBorders>
            <w:vAlign w:val="top"/>
          </w:tcPr>
          <w:p w14:paraId="3630825F">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一、</w:t>
            </w:r>
            <w:r>
              <w:rPr>
                <w:rFonts w:hint="eastAsia" w:ascii="宋体" w:hAnsi="宋体" w:eastAsia="宋体" w:cs="宋体"/>
                <w:b w:val="0"/>
                <w:bCs w:val="0"/>
                <w:sz w:val="24"/>
                <w:szCs w:val="24"/>
                <w:highlight w:val="none"/>
              </w:rPr>
              <w:t>产品特点：</w:t>
            </w:r>
          </w:p>
          <w:p w14:paraId="47E58D81">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1、完全符合 GSP认证标准 有国家相关部门出具的第三方</w:t>
            </w:r>
            <w:r>
              <w:rPr>
                <w:rFonts w:hint="eastAsia" w:ascii="宋体" w:hAnsi="宋体" w:eastAsia="宋体" w:cs="宋体"/>
                <w:b w:val="0"/>
                <w:bCs w:val="0"/>
                <w:sz w:val="24"/>
                <w:szCs w:val="24"/>
                <w:highlight w:val="none"/>
                <w:lang w:eastAsia="zh-CN"/>
              </w:rPr>
              <w:t>校准证书</w:t>
            </w:r>
            <w:r>
              <w:rPr>
                <w:rFonts w:hint="eastAsia" w:ascii="宋体" w:hAnsi="宋体" w:eastAsia="宋体" w:cs="宋体"/>
                <w:b w:val="0"/>
                <w:bCs w:val="0"/>
                <w:sz w:val="24"/>
                <w:szCs w:val="24"/>
                <w:highlight w:val="none"/>
              </w:rPr>
              <w:t>。</w:t>
            </w:r>
          </w:p>
          <w:p w14:paraId="72799F1C">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2、压缩机风机配有减震棉，环保制冷剂，运行噪音低。</w:t>
            </w:r>
          </w:p>
          <w:p w14:paraId="0042BEDE">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3、专业风冷风道，箱内温度均匀性±2℃，宽电压带，可在1</w:t>
            </w:r>
            <w:r>
              <w:rPr>
                <w:rFonts w:hint="eastAsia" w:ascii="宋体" w:hAnsi="宋体" w:eastAsia="宋体" w:cs="宋体"/>
                <w:b w:val="0"/>
                <w:bCs w:val="0"/>
                <w:sz w:val="24"/>
                <w:szCs w:val="24"/>
                <w:highlight w:val="none"/>
                <w:lang w:val="en-US" w:eastAsia="zh-CN"/>
              </w:rPr>
              <w:t>87</w:t>
            </w:r>
            <w:r>
              <w:rPr>
                <w:rFonts w:hint="eastAsia" w:ascii="宋体" w:hAnsi="宋体" w:eastAsia="宋体" w:cs="宋体"/>
                <w:b w:val="0"/>
                <w:bCs w:val="0"/>
                <w:sz w:val="24"/>
                <w:szCs w:val="24"/>
                <w:highlight w:val="none"/>
              </w:rPr>
              <w:t>V～230V范围内正常使用，立体冷风循环冷风保证</w:t>
            </w:r>
            <w:r>
              <w:rPr>
                <w:rFonts w:hint="eastAsia" w:ascii="宋体" w:hAnsi="宋体" w:eastAsia="宋体" w:cs="宋体"/>
                <w:b w:val="0"/>
                <w:bCs w:val="0"/>
                <w:sz w:val="24"/>
                <w:szCs w:val="24"/>
                <w:highlight w:val="none"/>
                <w:lang w:eastAsia="zh-CN"/>
              </w:rPr>
              <w:t>箱</w:t>
            </w:r>
            <w:r>
              <w:rPr>
                <w:rFonts w:hint="eastAsia" w:ascii="宋体" w:hAnsi="宋体" w:eastAsia="宋体" w:cs="宋体"/>
                <w:b w:val="0"/>
                <w:bCs w:val="0"/>
                <w:sz w:val="24"/>
                <w:szCs w:val="24"/>
                <w:highlight w:val="none"/>
              </w:rPr>
              <w:t>内温度无死角，</w:t>
            </w:r>
            <w:r>
              <w:rPr>
                <w:rFonts w:hint="eastAsia" w:ascii="宋体" w:hAnsi="宋体" w:eastAsia="宋体" w:cs="宋体"/>
                <w:b w:val="0"/>
                <w:bCs w:val="0"/>
                <w:sz w:val="24"/>
                <w:szCs w:val="24"/>
                <w:highlight w:val="none"/>
                <w:lang w:eastAsia="zh-CN"/>
              </w:rPr>
              <w:t>箱</w:t>
            </w:r>
            <w:r>
              <w:rPr>
                <w:rFonts w:hint="eastAsia" w:ascii="宋体" w:hAnsi="宋体" w:eastAsia="宋体" w:cs="宋体"/>
                <w:b w:val="0"/>
                <w:bCs w:val="0"/>
                <w:sz w:val="24"/>
                <w:szCs w:val="24"/>
                <w:highlight w:val="none"/>
              </w:rPr>
              <w:t>内不会结霜，无需手工除霜，确保</w:t>
            </w:r>
            <w:r>
              <w:rPr>
                <w:rFonts w:hint="eastAsia" w:ascii="宋体" w:hAnsi="宋体" w:eastAsia="宋体" w:cs="宋体"/>
                <w:b w:val="0"/>
                <w:bCs w:val="0"/>
                <w:sz w:val="24"/>
                <w:szCs w:val="24"/>
                <w:highlight w:val="none"/>
                <w:lang w:eastAsia="zh-CN"/>
              </w:rPr>
              <w:t>箱</w:t>
            </w:r>
            <w:r>
              <w:rPr>
                <w:rFonts w:hint="eastAsia" w:ascii="宋体" w:hAnsi="宋体" w:eastAsia="宋体" w:cs="宋体"/>
                <w:b w:val="0"/>
                <w:bCs w:val="0"/>
                <w:sz w:val="24"/>
                <w:szCs w:val="24"/>
                <w:highlight w:val="none"/>
              </w:rPr>
              <w:t>内温度湿度均匀稳定。</w:t>
            </w:r>
          </w:p>
          <w:p w14:paraId="425C5E6C">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4、先进的微电脑控制器，五路传感器，可精确控制温湿度，密码锁设计，以确保温湿度设置安全性，温度可控范围2-8℃，湿度可控范围35-75%。</w:t>
            </w:r>
          </w:p>
          <w:p w14:paraId="6DEF3821">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5、温湿度大屏幕数字显示，观看方便，温度感应精度0.1℃，湿度感应精度1%。</w:t>
            </w:r>
          </w:p>
          <w:p w14:paraId="1E4A7321">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6、温湿度自动记录存储功能，自带除湿功能，自带USB接口，数据可通过</w:t>
            </w:r>
            <w:r>
              <w:rPr>
                <w:rFonts w:hint="eastAsia" w:ascii="宋体" w:hAnsi="宋体" w:eastAsia="宋体" w:cs="宋体"/>
                <w:b w:val="0"/>
                <w:bCs w:val="0"/>
                <w:sz w:val="24"/>
                <w:szCs w:val="24"/>
                <w:highlight w:val="none"/>
                <w:lang w:eastAsia="zh-CN"/>
              </w:rPr>
              <w:t>箱</w:t>
            </w:r>
            <w:r>
              <w:rPr>
                <w:rFonts w:hint="eastAsia" w:ascii="宋体" w:hAnsi="宋体" w:eastAsia="宋体" w:cs="宋体"/>
                <w:b w:val="0"/>
                <w:bCs w:val="0"/>
                <w:sz w:val="24"/>
                <w:szCs w:val="24"/>
                <w:highlight w:val="none"/>
              </w:rPr>
              <w:t>体的USB接口导出保存。</w:t>
            </w:r>
          </w:p>
          <w:p w14:paraId="587550CF">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7、具有多重故障报警功能，能够实现高低温报警传感器故障报警，湿度异常报警等功能报警时有声光提示，可及时提醒异常情况。</w:t>
            </w:r>
          </w:p>
          <w:p w14:paraId="30B8AA49">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8、除湿功能蒸发器是沁水铝的，管道采用铜管，永远不会生锈。</w:t>
            </w:r>
          </w:p>
          <w:p w14:paraId="367A18D4">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9、双层中空玻璃门,Low-e材质，保温性能好，配有安全门锁。</w:t>
            </w:r>
          </w:p>
          <w:p w14:paraId="14F731F2">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kern w:val="0"/>
                <w:sz w:val="24"/>
                <w:szCs w:val="24"/>
                <w:highlight w:val="none"/>
              </w:rPr>
              <w:t>10、内胆过氧铝：内胆颜色不会氧化变黑与发泡体融合牢固，保温性能更好，无异味（不会对储存药品造成污染）</w:t>
            </w:r>
            <w:r>
              <w:rPr>
                <w:rFonts w:hint="eastAsia" w:ascii="宋体" w:hAnsi="宋体" w:eastAsia="宋体" w:cs="宋体"/>
                <w:b w:val="0"/>
                <w:bCs w:val="0"/>
                <w:sz w:val="24"/>
                <w:szCs w:val="24"/>
                <w:highlight w:val="none"/>
              </w:rPr>
              <w:t>。</w:t>
            </w:r>
          </w:p>
          <w:p w14:paraId="30439F10">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11、</w:t>
            </w:r>
            <w:r>
              <w:rPr>
                <w:rFonts w:hint="eastAsia" w:ascii="宋体" w:hAnsi="宋体" w:eastAsia="宋体" w:cs="宋体"/>
                <w:b w:val="0"/>
                <w:bCs w:val="0"/>
                <w:sz w:val="24"/>
                <w:szCs w:val="24"/>
                <w:highlight w:val="none"/>
                <w:lang w:eastAsia="zh-CN"/>
              </w:rPr>
              <w:t>箱</w:t>
            </w:r>
            <w:r>
              <w:rPr>
                <w:rFonts w:hint="eastAsia" w:ascii="宋体" w:hAnsi="宋体" w:eastAsia="宋体" w:cs="宋体"/>
                <w:b w:val="0"/>
                <w:bCs w:val="0"/>
                <w:sz w:val="24"/>
                <w:szCs w:val="24"/>
                <w:highlight w:val="none"/>
              </w:rPr>
              <w:t>体内保温层采用高密度聚氨酯整体发泡，具有重量轻、保温性能好等特点。</w:t>
            </w:r>
          </w:p>
          <w:p w14:paraId="59C7EFC3">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12、蒸发器配置加热丝。</w:t>
            </w:r>
          </w:p>
          <w:p w14:paraId="0B2D0EF4">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二、技术参数</w:t>
            </w:r>
          </w:p>
          <w:p w14:paraId="276AC261">
            <w:pPr>
              <w:pStyle w:val="17"/>
              <w:keepNext w:val="0"/>
              <w:keepLines w:val="0"/>
              <w:pageBreakBefore w:val="0"/>
              <w:widowControl/>
              <w:kinsoku/>
              <w:wordWrap/>
              <w:overflowPunct/>
              <w:topLinePunct w:val="0"/>
              <w:bidi w:val="0"/>
              <w:spacing w:before="0" w:beforeAutospacing="0" w:after="0" w:afterAutospacing="0" w:line="240" w:lineRule="auto"/>
              <w:ind w:left="0" w:leftChars="0" w:right="0" w:rightChars="0"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rPr>
              <w:t>温度范围（℃)</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冷藏(2~8)</w:t>
            </w:r>
          </w:p>
          <w:p w14:paraId="050C330D">
            <w:pPr>
              <w:pStyle w:val="17"/>
              <w:keepNext w:val="0"/>
              <w:keepLines w:val="0"/>
              <w:pageBreakBefore w:val="0"/>
              <w:widowControl/>
              <w:kinsoku/>
              <w:wordWrap/>
              <w:overflowPunct/>
              <w:topLinePunct w:val="0"/>
              <w:bidi w:val="0"/>
              <w:spacing w:before="0" w:beforeAutospacing="0" w:after="0" w:afterAutospacing="0" w:line="240" w:lineRule="auto"/>
              <w:ind w:left="0" w:leftChars="0" w:right="0" w:rightChars="0" w:firstLine="0" w:firstLineChars="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湿度范围（RH)</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35%~75%</w:t>
            </w:r>
          </w:p>
          <w:p w14:paraId="448E78FE">
            <w:pPr>
              <w:pStyle w:val="17"/>
              <w:keepNext w:val="0"/>
              <w:keepLines w:val="0"/>
              <w:pageBreakBefore w:val="0"/>
              <w:widowControl/>
              <w:kinsoku/>
              <w:wordWrap/>
              <w:overflowPunct/>
              <w:topLinePunct w:val="0"/>
              <w:bidi w:val="0"/>
              <w:spacing w:before="0" w:beforeAutospacing="0" w:after="0" w:afterAutospacing="0" w:line="240" w:lineRule="auto"/>
              <w:ind w:left="0" w:leftChars="0" w:right="0" w:righ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额定电压</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220V/50HZ</w:t>
            </w:r>
          </w:p>
          <w:p w14:paraId="0DA97C4E">
            <w:pPr>
              <w:pStyle w:val="17"/>
              <w:keepNext w:val="0"/>
              <w:keepLines w:val="0"/>
              <w:pageBreakBefore w:val="0"/>
              <w:widowControl/>
              <w:kinsoku/>
              <w:wordWrap/>
              <w:overflowPunct/>
              <w:topLinePunct w:val="0"/>
              <w:bidi w:val="0"/>
              <w:spacing w:before="0" w:beforeAutospacing="0" w:after="0" w:afterAutospacing="0" w:line="240" w:lineRule="auto"/>
              <w:ind w:left="0" w:leftChars="0" w:right="0" w:rightChars="0" w:firstLine="0" w:firstLineChars="0"/>
              <w:jc w:val="lef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lang w:eastAsia="zh-CN"/>
              </w:rPr>
              <w:t>入总</w:t>
            </w:r>
            <w:r>
              <w:rPr>
                <w:rFonts w:hint="eastAsia" w:ascii="宋体" w:hAnsi="宋体" w:eastAsia="宋体" w:cs="宋体"/>
                <w:b w:val="0"/>
                <w:bCs w:val="0"/>
                <w:color w:val="000000"/>
                <w:sz w:val="24"/>
                <w:szCs w:val="24"/>
                <w:highlight w:val="none"/>
              </w:rPr>
              <w:t>功率(W)</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rPr>
              <w:t>3</w:t>
            </w:r>
            <w:r>
              <w:rPr>
                <w:rFonts w:hint="eastAsia" w:ascii="宋体" w:hAnsi="宋体" w:eastAsia="宋体" w:cs="宋体"/>
                <w:b w:val="0"/>
                <w:bCs w:val="0"/>
                <w:color w:val="000000"/>
                <w:sz w:val="24"/>
                <w:szCs w:val="24"/>
                <w:highlight w:val="none"/>
                <w:lang w:val="en-US" w:eastAsia="zh-CN"/>
              </w:rPr>
              <w:t>40</w:t>
            </w:r>
          </w:p>
          <w:p w14:paraId="295B6537">
            <w:pPr>
              <w:pStyle w:val="17"/>
              <w:keepNext w:val="0"/>
              <w:keepLines w:val="0"/>
              <w:pageBreakBefore w:val="0"/>
              <w:widowControl/>
              <w:kinsoku/>
              <w:wordWrap/>
              <w:overflowPunct/>
              <w:topLinePunct w:val="0"/>
              <w:bidi w:val="0"/>
              <w:spacing w:before="0" w:beforeAutospacing="0" w:after="0" w:afterAutospacing="0" w:line="240" w:lineRule="auto"/>
              <w:ind w:left="0" w:leftChars="0" w:right="0" w:rightChars="0" w:firstLine="0" w:firstLineChars="0"/>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rPr>
              <w:t>容积(L)</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rPr>
              <w:t>680</w:t>
            </w:r>
          </w:p>
        </w:tc>
      </w:tr>
      <w:tr w14:paraId="0AEA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14:paraId="00FFE6D7">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646" w:type="dxa"/>
            <w:tcBorders>
              <w:top w:val="single" w:color="auto" w:sz="4" w:space="0"/>
              <w:left w:val="single" w:color="auto" w:sz="4" w:space="0"/>
              <w:bottom w:val="single" w:color="auto" w:sz="4" w:space="0"/>
              <w:right w:val="single" w:color="auto" w:sz="4" w:space="0"/>
            </w:tcBorders>
            <w:vAlign w:val="center"/>
          </w:tcPr>
          <w:p w14:paraId="54CF4E35">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紫外分光光度仪</w:t>
            </w:r>
          </w:p>
        </w:tc>
        <w:tc>
          <w:tcPr>
            <w:tcW w:w="629" w:type="dxa"/>
            <w:tcBorders>
              <w:top w:val="single" w:color="auto" w:sz="4" w:space="0"/>
              <w:left w:val="single" w:color="auto" w:sz="4" w:space="0"/>
              <w:bottom w:val="single" w:color="auto" w:sz="4" w:space="0"/>
              <w:right w:val="single" w:color="auto" w:sz="4" w:space="0"/>
            </w:tcBorders>
            <w:vAlign w:val="center"/>
          </w:tcPr>
          <w:p w14:paraId="1791305E">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663" w:type="dxa"/>
            <w:tcBorders>
              <w:top w:val="single" w:color="auto" w:sz="4" w:space="0"/>
              <w:left w:val="single" w:color="auto" w:sz="4" w:space="0"/>
              <w:bottom w:val="single" w:color="auto" w:sz="4" w:space="0"/>
              <w:right w:val="single" w:color="auto" w:sz="4" w:space="0"/>
            </w:tcBorders>
            <w:vAlign w:val="center"/>
          </w:tcPr>
          <w:p w14:paraId="7CB13331">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128" w:type="dxa"/>
            <w:tcBorders>
              <w:top w:val="single" w:color="auto" w:sz="4" w:space="0"/>
              <w:left w:val="single" w:color="auto" w:sz="4" w:space="0"/>
              <w:bottom w:val="single" w:color="auto" w:sz="4" w:space="0"/>
              <w:right w:val="single" w:color="auto" w:sz="4" w:space="0"/>
            </w:tcBorders>
            <w:vAlign w:val="top"/>
          </w:tcPr>
          <w:p w14:paraId="21A46F08">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一、性能参数</w:t>
            </w:r>
          </w:p>
          <w:p w14:paraId="13412D63">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1.光学系统：准双光束光学系统</w:t>
            </w:r>
          </w:p>
          <w:p w14:paraId="4EF51A1E">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2.光谱带宽：2.0nm</w:t>
            </w:r>
          </w:p>
          <w:p w14:paraId="3419DDE3">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3.工作模式：PC联机模式</w:t>
            </w:r>
          </w:p>
          <w:p w14:paraId="20AA5C18">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4.波长范围：190-1100nm</w:t>
            </w:r>
          </w:p>
          <w:p w14:paraId="1D606A5C">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5.波长准确度：±0.5nm</w:t>
            </w:r>
          </w:p>
          <w:p w14:paraId="376C5475">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6.杂散光：＜0.02%T(220nm，NaI)</w:t>
            </w:r>
          </w:p>
          <w:p w14:paraId="162A6169">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7.光度方式：透过率，吸光度，能量</w:t>
            </w:r>
          </w:p>
          <w:p w14:paraId="7E6720BC">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8.光度范围：-4～4.0Abs</w:t>
            </w:r>
          </w:p>
          <w:p w14:paraId="43792F5E">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9.透色比最大允许误差：±0.3%T(0～100%T)</w:t>
            </w:r>
          </w:p>
          <w:p w14:paraId="4F8D7713">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10.透色比重复性：0.1%T</w:t>
            </w:r>
          </w:p>
          <w:p w14:paraId="7A13ABEB">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11.波长扫描速度：最快可达30000nm/min</w:t>
            </w:r>
          </w:p>
          <w:p w14:paraId="6C077520">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12.基线平直度：±0.0005Abs（190-1100nm）</w:t>
            </w:r>
          </w:p>
          <w:p w14:paraId="5F61D654">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13.基线漂移：0.1%/h（500nm,预热1h）</w:t>
            </w:r>
          </w:p>
          <w:p w14:paraId="0EB459A3">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14.光度噪声：≤0.05%</w:t>
            </w:r>
          </w:p>
          <w:p w14:paraId="213B3352">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15.波长扫描速度：</w:t>
            </w:r>
            <w:r>
              <w:rPr>
                <w:rFonts w:hint="eastAsia" w:ascii="宋体" w:hAnsi="宋体" w:eastAsia="宋体" w:cs="宋体"/>
                <w:sz w:val="24"/>
                <w:szCs w:val="24"/>
                <w:highlight w:val="none"/>
              </w:rPr>
              <w:t>最快可达30000nm/min</w:t>
            </w:r>
          </w:p>
          <w:p w14:paraId="468CCFAE">
            <w:pPr>
              <w:keepNext w:val="0"/>
              <w:keepLines w:val="0"/>
              <w:pageBreakBefore w:val="0"/>
              <w:tabs>
                <w:tab w:val="left" w:pos="1800"/>
              </w:tabs>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二、特点</w:t>
            </w:r>
          </w:p>
          <w:p w14:paraId="65F2EC27">
            <w:pPr>
              <w:keepNext w:val="0"/>
              <w:keepLines w:val="0"/>
              <w:pageBreakBefore w:val="0"/>
              <w:numPr>
                <w:ilvl w:val="0"/>
                <w:numId w:val="0"/>
              </w:numPr>
              <w:tabs>
                <w:tab w:val="left" w:pos="1800"/>
              </w:tabs>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ar-SA"/>
              </w:rPr>
              <w:t>1.</w:t>
            </w:r>
            <w:r>
              <w:rPr>
                <w:rFonts w:hint="eastAsia" w:ascii="宋体" w:hAnsi="宋体" w:eastAsia="宋体" w:cs="宋体"/>
                <w:sz w:val="24"/>
                <w:szCs w:val="24"/>
                <w:highlight w:val="none"/>
              </w:rPr>
              <w:t>分析准确：采用全息高分辨率衍射光栅，进一步降低仪器的杂散光，使镐仪器分析更加准确；</w:t>
            </w:r>
          </w:p>
          <w:p w14:paraId="6F14B60D">
            <w:pPr>
              <w:keepNext w:val="0"/>
              <w:keepLines w:val="0"/>
              <w:pageBreakBefore w:val="0"/>
              <w:numPr>
                <w:ilvl w:val="0"/>
                <w:numId w:val="0"/>
              </w:numPr>
              <w:tabs>
                <w:tab w:val="left" w:pos="1800"/>
              </w:tabs>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ar-SA"/>
              </w:rPr>
              <w:t>2.</w:t>
            </w:r>
            <w:r>
              <w:rPr>
                <w:rFonts w:hint="eastAsia" w:ascii="宋体" w:hAnsi="宋体" w:eastAsia="宋体" w:cs="宋体"/>
                <w:sz w:val="24"/>
                <w:szCs w:val="24"/>
                <w:highlight w:val="none"/>
              </w:rPr>
              <w:t>性能稳定：双光束比例监测/双光束光学系统保证了良好的稳定性；</w:t>
            </w:r>
          </w:p>
          <w:p w14:paraId="67CC17E4">
            <w:pPr>
              <w:keepNext w:val="0"/>
              <w:keepLines w:val="0"/>
              <w:pageBreakBefore w:val="0"/>
              <w:numPr>
                <w:ilvl w:val="0"/>
                <w:numId w:val="0"/>
              </w:numPr>
              <w:tabs>
                <w:tab w:val="left" w:pos="1800"/>
              </w:tabs>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ar-SA"/>
              </w:rPr>
              <w:t>3.</w:t>
            </w:r>
            <w:r>
              <w:rPr>
                <w:rFonts w:hint="eastAsia" w:ascii="宋体" w:hAnsi="宋体" w:eastAsia="宋体" w:cs="宋体"/>
                <w:sz w:val="24"/>
                <w:szCs w:val="24"/>
                <w:highlight w:val="none"/>
              </w:rPr>
              <w:t>测量速度快：最快扫描速度达到30000nm/min。</w:t>
            </w:r>
          </w:p>
          <w:p w14:paraId="0EE3103F">
            <w:pPr>
              <w:keepNext w:val="0"/>
              <w:keepLines w:val="0"/>
              <w:pageBreakBefore w:val="0"/>
              <w:numPr>
                <w:ilvl w:val="0"/>
                <w:numId w:val="0"/>
              </w:numPr>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ar-SA"/>
              </w:rPr>
              <w:t>4.</w:t>
            </w:r>
            <w:r>
              <w:rPr>
                <w:rFonts w:hint="eastAsia" w:ascii="宋体" w:hAnsi="宋体" w:eastAsia="宋体" w:cs="宋体"/>
                <w:sz w:val="24"/>
                <w:szCs w:val="24"/>
                <w:highlight w:val="none"/>
              </w:rPr>
              <w:t>软件：能够实现多模式同时显示，测量方式瞬间完成</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主要测量功能：光度测量、光谱扫描、定量计算、时间扫描、三维图谱功能、DNA蛋白质测定。</w:t>
            </w:r>
          </w:p>
          <w:p w14:paraId="6496A313">
            <w:pPr>
              <w:keepNext w:val="0"/>
              <w:keepLines w:val="0"/>
              <w:pageBreakBefore w:val="0"/>
              <w:numPr>
                <w:ilvl w:val="0"/>
                <w:numId w:val="0"/>
              </w:numPr>
              <w:tabs>
                <w:tab w:val="left" w:pos="1800"/>
              </w:tabs>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ar-SA"/>
              </w:rPr>
              <w:t>5.</w:t>
            </w:r>
            <w:r>
              <w:rPr>
                <w:rFonts w:hint="eastAsia" w:ascii="宋体" w:hAnsi="宋体" w:eastAsia="宋体" w:cs="宋体"/>
                <w:sz w:val="24"/>
                <w:szCs w:val="24"/>
                <w:highlight w:val="none"/>
              </w:rPr>
              <w:t>轻松的人机对话：基于WINDOWS环境设计的UVWIN中文版操作软件，提供丰富的仪器控制和操作功能。灵活简单，轻松满足使用者的分析需求。</w:t>
            </w:r>
          </w:p>
          <w:p w14:paraId="484D714E">
            <w:pPr>
              <w:keepNext w:val="0"/>
              <w:keepLines w:val="0"/>
              <w:pageBreakBefore w:val="0"/>
              <w:numPr>
                <w:ilvl w:val="0"/>
                <w:numId w:val="0"/>
              </w:numPr>
              <w:tabs>
                <w:tab w:val="left" w:pos="1800"/>
              </w:tabs>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ar-SA"/>
              </w:rPr>
              <w:t>6.</w:t>
            </w:r>
            <w:r>
              <w:rPr>
                <w:rFonts w:hint="eastAsia" w:ascii="宋体" w:hAnsi="宋体" w:eastAsia="宋体" w:cs="宋体"/>
                <w:sz w:val="24"/>
                <w:szCs w:val="24"/>
                <w:highlight w:val="none"/>
              </w:rPr>
              <w:t>维护方便：采用人性化机械结构及模块化电器设计理念，电器系统维护更加快捷。</w:t>
            </w:r>
          </w:p>
          <w:p w14:paraId="737A9002">
            <w:pPr>
              <w:keepNext w:val="0"/>
              <w:keepLines w:val="0"/>
              <w:pageBreakBefore w:val="0"/>
              <w:numPr>
                <w:ilvl w:val="0"/>
                <w:numId w:val="0"/>
              </w:numPr>
              <w:tabs>
                <w:tab w:val="left" w:pos="1800"/>
              </w:tabs>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ar-SA"/>
              </w:rPr>
              <w:t>7.</w:t>
            </w:r>
            <w:r>
              <w:rPr>
                <w:rFonts w:hint="eastAsia" w:ascii="宋体" w:hAnsi="宋体" w:eastAsia="宋体" w:cs="宋体"/>
                <w:sz w:val="24"/>
                <w:szCs w:val="24"/>
                <w:highlight w:val="none"/>
              </w:rPr>
              <w:t>宽泛的检测对象：高吸光度范围，可用于无法稀释的高吸光度固体样本，也适用于高吸光度液体样本避免繁琐的反复稀释。</w:t>
            </w:r>
          </w:p>
          <w:p w14:paraId="640B2E07">
            <w:pPr>
              <w:keepNext w:val="0"/>
              <w:keepLines w:val="0"/>
              <w:pageBreakBefore w:val="0"/>
              <w:tabs>
                <w:tab w:val="left" w:pos="1800"/>
              </w:tabs>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8.</w:t>
            </w:r>
            <w:r>
              <w:rPr>
                <w:rFonts w:hint="eastAsia" w:ascii="宋体" w:hAnsi="宋体" w:eastAsia="宋体" w:cs="宋体"/>
                <w:sz w:val="24"/>
                <w:szCs w:val="24"/>
                <w:highlight w:val="none"/>
              </w:rPr>
              <w:t>仪器制造商具备国家相关机构颁发的NTC分析检测（全国分析检测人员能力培训）培训资质。（附全国分析检测人员能力培训委员会颁发的培训资质证书）</w:t>
            </w:r>
          </w:p>
          <w:p w14:paraId="51071ECC">
            <w:pPr>
              <w:keepNext w:val="0"/>
              <w:keepLines w:val="0"/>
              <w:pageBreakBefore w:val="0"/>
              <w:tabs>
                <w:tab w:val="left" w:pos="420"/>
                <w:tab w:val="left" w:pos="1800"/>
              </w:tabs>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三、仪器配置要求</w:t>
            </w:r>
          </w:p>
          <w:p w14:paraId="137076C4">
            <w:pPr>
              <w:keepNext w:val="0"/>
              <w:keepLines w:val="0"/>
              <w:pageBreakBefore w:val="0"/>
              <w:tabs>
                <w:tab w:val="left" w:pos="420"/>
                <w:tab w:val="left" w:pos="1800"/>
              </w:tabs>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1.紫外可见分光光度计1台；</w:t>
            </w:r>
          </w:p>
          <w:p w14:paraId="46806F1F">
            <w:pPr>
              <w:keepNext w:val="0"/>
              <w:keepLines w:val="0"/>
              <w:pageBreakBefore w:val="0"/>
              <w:tabs>
                <w:tab w:val="left" w:pos="420"/>
                <w:tab w:val="left" w:pos="1800"/>
              </w:tabs>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2.UVWIN紫外控制软件1套；</w:t>
            </w:r>
          </w:p>
          <w:p w14:paraId="24A736DC">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3.10mm10mm石英比色皿1对。</w:t>
            </w:r>
          </w:p>
          <w:p w14:paraId="6D42EB92">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4.电脑打印机一套</w:t>
            </w:r>
          </w:p>
        </w:tc>
      </w:tr>
      <w:tr w14:paraId="7536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14:paraId="17E8E369">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646" w:type="dxa"/>
            <w:tcBorders>
              <w:top w:val="single" w:color="auto" w:sz="4" w:space="0"/>
              <w:left w:val="single" w:color="auto" w:sz="4" w:space="0"/>
              <w:bottom w:val="single" w:color="auto" w:sz="4" w:space="0"/>
              <w:right w:val="single" w:color="auto" w:sz="4" w:space="0"/>
            </w:tcBorders>
            <w:vAlign w:val="center"/>
          </w:tcPr>
          <w:p w14:paraId="559D8D88">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显微镜</w:t>
            </w:r>
          </w:p>
        </w:tc>
        <w:tc>
          <w:tcPr>
            <w:tcW w:w="629" w:type="dxa"/>
            <w:tcBorders>
              <w:top w:val="single" w:color="auto" w:sz="4" w:space="0"/>
              <w:left w:val="single" w:color="auto" w:sz="4" w:space="0"/>
              <w:bottom w:val="single" w:color="auto" w:sz="4" w:space="0"/>
              <w:right w:val="single" w:color="auto" w:sz="4" w:space="0"/>
            </w:tcBorders>
            <w:vAlign w:val="center"/>
          </w:tcPr>
          <w:p w14:paraId="2A77BA0A">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663" w:type="dxa"/>
            <w:tcBorders>
              <w:top w:val="single" w:color="auto" w:sz="4" w:space="0"/>
              <w:left w:val="single" w:color="auto" w:sz="4" w:space="0"/>
              <w:bottom w:val="single" w:color="auto" w:sz="4" w:space="0"/>
              <w:right w:val="single" w:color="auto" w:sz="4" w:space="0"/>
            </w:tcBorders>
            <w:vAlign w:val="center"/>
          </w:tcPr>
          <w:p w14:paraId="6FCB1B50">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7128" w:type="dxa"/>
            <w:tcBorders>
              <w:top w:val="single" w:color="auto" w:sz="4" w:space="0"/>
              <w:left w:val="single" w:color="auto" w:sz="4" w:space="0"/>
              <w:bottom w:val="single" w:color="auto" w:sz="4" w:space="0"/>
              <w:right w:val="single" w:color="auto" w:sz="4" w:space="0"/>
            </w:tcBorders>
            <w:vAlign w:val="top"/>
          </w:tcPr>
          <w:p w14:paraId="390AA0F5">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1、大视野目镜：10×/</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mm；</w:t>
            </w:r>
          </w:p>
          <w:p w14:paraId="7079A976">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2、镜筒：铰链式</w:t>
            </w:r>
            <w:r>
              <w:rPr>
                <w:rFonts w:hint="eastAsia" w:ascii="宋体" w:hAnsi="宋体" w:eastAsia="宋体" w:cs="宋体"/>
                <w:sz w:val="24"/>
                <w:szCs w:val="24"/>
                <w:highlight w:val="none"/>
                <w:lang w:val="en-US" w:eastAsia="zh-CN"/>
              </w:rPr>
              <w:t>双</w:t>
            </w:r>
            <w:r>
              <w:rPr>
                <w:rFonts w:hint="eastAsia" w:ascii="宋体" w:hAnsi="宋体" w:eastAsia="宋体" w:cs="宋体"/>
                <w:sz w:val="24"/>
                <w:szCs w:val="24"/>
                <w:highlight w:val="none"/>
              </w:rPr>
              <w:t>目镜筒，30°倾斜，瞳距调节范围</w:t>
            </w:r>
            <w:r>
              <w:rPr>
                <w:rFonts w:hint="eastAsia" w:ascii="宋体" w:hAnsi="宋体" w:eastAsia="宋体" w:cs="宋体"/>
                <w:sz w:val="24"/>
                <w:szCs w:val="24"/>
                <w:highlight w:val="none"/>
                <w:lang w:val="en-US" w:eastAsia="zh-CN"/>
              </w:rPr>
              <w:t>≥48</w:t>
            </w:r>
            <w:r>
              <w:rPr>
                <w:rFonts w:hint="eastAsia" w:ascii="宋体" w:hAnsi="宋体" w:eastAsia="宋体" w:cs="宋体"/>
                <w:sz w:val="24"/>
                <w:szCs w:val="24"/>
                <w:highlight w:val="none"/>
              </w:rPr>
              <w:t>mm-75mm；</w:t>
            </w:r>
          </w:p>
          <w:p w14:paraId="0D9EAC0F">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3、N.A.1.25阿贝聚光镜，带可变光栏及滤色片托架。</w:t>
            </w:r>
          </w:p>
          <w:p w14:paraId="46DF76BE">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4、转换器：内倾四孔转换器，增加载物台可操作面积。</w:t>
            </w:r>
          </w:p>
          <w:p w14:paraId="001DF530">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无限远消色差</w:t>
            </w:r>
            <w:r>
              <w:rPr>
                <w:rFonts w:hint="eastAsia" w:ascii="宋体" w:hAnsi="宋体" w:eastAsia="宋体" w:cs="宋体"/>
                <w:sz w:val="24"/>
                <w:szCs w:val="24"/>
                <w:highlight w:val="none"/>
              </w:rPr>
              <w:t>物镜</w:t>
            </w:r>
          </w:p>
          <w:p w14:paraId="5D2F4CE2">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X物镜成像圆直径不小于</w:t>
            </w:r>
            <w:r>
              <w:rPr>
                <w:rFonts w:hint="eastAsia" w:ascii="宋体" w:hAnsi="宋体" w:eastAsia="宋体" w:cs="宋体"/>
                <w:sz w:val="24"/>
                <w:szCs w:val="24"/>
                <w:highlight w:val="none"/>
                <w:lang w:val="en-US" w:eastAsia="zh-CN"/>
              </w:rPr>
              <w:t>14.5</w:t>
            </w:r>
            <w:r>
              <w:rPr>
                <w:rFonts w:hint="eastAsia" w:ascii="宋体" w:hAnsi="宋体" w:eastAsia="宋体" w:cs="宋体"/>
                <w:sz w:val="24"/>
                <w:szCs w:val="24"/>
                <w:highlight w:val="none"/>
              </w:rPr>
              <w:t>mm</w:t>
            </w:r>
          </w:p>
          <w:p w14:paraId="165D5E73">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0X物镜成像圆直径不小于</w:t>
            </w:r>
            <w:r>
              <w:rPr>
                <w:rFonts w:hint="eastAsia" w:ascii="宋体" w:hAnsi="宋体" w:eastAsia="宋体" w:cs="宋体"/>
                <w:sz w:val="24"/>
                <w:szCs w:val="24"/>
                <w:highlight w:val="none"/>
                <w:lang w:val="en-US" w:eastAsia="zh-CN"/>
              </w:rPr>
              <w:t>14.5</w:t>
            </w:r>
            <w:r>
              <w:rPr>
                <w:rFonts w:hint="eastAsia" w:ascii="宋体" w:hAnsi="宋体" w:eastAsia="宋体" w:cs="宋体"/>
                <w:sz w:val="24"/>
                <w:szCs w:val="24"/>
                <w:highlight w:val="none"/>
              </w:rPr>
              <w:t>mm；</w:t>
            </w:r>
          </w:p>
          <w:p w14:paraId="7E2A65B4">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8、40X（弹簧）物镜成像圆直径不小于</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mm。</w:t>
            </w:r>
          </w:p>
          <w:p w14:paraId="2D0159A5">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9、100X物镜（弹簧、油）成像圆直径不小于</w:t>
            </w:r>
            <w:r>
              <w:rPr>
                <w:rFonts w:hint="eastAsia" w:ascii="宋体" w:hAnsi="宋体" w:eastAsia="宋体" w:cs="宋体"/>
                <w:sz w:val="24"/>
                <w:szCs w:val="24"/>
                <w:highlight w:val="none"/>
                <w:lang w:val="en-US" w:eastAsia="zh-CN"/>
              </w:rPr>
              <w:t>10.5</w:t>
            </w:r>
            <w:r>
              <w:rPr>
                <w:rFonts w:hint="eastAsia" w:ascii="宋体" w:hAnsi="宋体" w:eastAsia="宋体" w:cs="宋体"/>
                <w:sz w:val="24"/>
                <w:szCs w:val="24"/>
                <w:highlight w:val="none"/>
              </w:rPr>
              <w:t>mm</w:t>
            </w:r>
          </w:p>
          <w:p w14:paraId="467C675B">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10、双层活动载物台:尺寸不小于140mm × 140mm,活动范围为X轴向75mm × Y轴向50mm, 精度0.1 mm；</w:t>
            </w:r>
          </w:p>
          <w:p w14:paraId="1DD4580F">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11、焦距调节：粗微调同轴，上限位装置防挤压切片；带任意位置可上限位扳手装置，方便快速对焦。</w:t>
            </w:r>
            <w:r>
              <w:rPr>
                <w:rFonts w:hint="eastAsia" w:ascii="宋体" w:hAnsi="宋体" w:eastAsia="宋体" w:cs="宋体"/>
                <w:bCs/>
                <w:sz w:val="24"/>
                <w:szCs w:val="24"/>
                <w:highlight w:val="none"/>
              </w:rPr>
              <w:t>松紧可调装置（可通过松紧扳手进行调节，防止载物因自重台下滑）；微调最小读数值2μm</w:t>
            </w:r>
          </w:p>
          <w:p w14:paraId="443CE25C">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12、照明：原装长寿命LED冷光源照明系统，寿命6万小时。</w:t>
            </w:r>
            <w:r>
              <w:rPr>
                <w:rFonts w:hint="eastAsia" w:ascii="宋体" w:hAnsi="宋体" w:eastAsia="宋体" w:cs="宋体"/>
                <w:sz w:val="24"/>
                <w:szCs w:val="24"/>
                <w:highlight w:val="none"/>
                <w:lang w:val="en-US" w:eastAsia="zh-CN"/>
              </w:rPr>
              <w:t>背部设计有绕线装置，保证电源线整洁、安全。</w:t>
            </w:r>
          </w:p>
          <w:p w14:paraId="311A5E5A">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14、转换器定位稳定性≤0.005mm</w:t>
            </w:r>
          </w:p>
          <w:p w14:paraId="2187F3C1">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15、载物台侧向受5N水平方向作用力最大位移≤0.012mm</w:t>
            </w:r>
          </w:p>
          <w:p w14:paraId="34F65CF6">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16、载物台侧向受5N水平方向作用力不重复性≤0.001mm</w:t>
            </w:r>
          </w:p>
          <w:p w14:paraId="378DB2BA">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17、倾斜式目镜筒做360度旋转时目镜焦平面上像中心的位移≤ 0.</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mm。</w:t>
            </w:r>
          </w:p>
          <w:p w14:paraId="7C508584">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18、左右两系统放大率差≤0.03％</w:t>
            </w:r>
          </w:p>
          <w:p w14:paraId="51C8BC14">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19、零视度时，左右系统的目镜端面位置差0.</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mm</w:t>
            </w:r>
          </w:p>
          <w:p w14:paraId="78E0A50B">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20、电器安全性能抗电强度：接电阻抗≤0.02</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Ω</w:t>
            </w:r>
          </w:p>
          <w:p w14:paraId="796BDD71">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rPr>
              <w:t>21、电器安全性能抗电强度：泄漏电流≤0.01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mA</w:t>
            </w:r>
          </w:p>
        </w:tc>
      </w:tr>
      <w:tr w14:paraId="61C3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14:paraId="51D3E7D2">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w:t>
            </w:r>
          </w:p>
        </w:tc>
        <w:tc>
          <w:tcPr>
            <w:tcW w:w="646" w:type="dxa"/>
            <w:tcBorders>
              <w:top w:val="single" w:color="auto" w:sz="4" w:space="0"/>
              <w:left w:val="single" w:color="auto" w:sz="4" w:space="0"/>
              <w:bottom w:val="single" w:color="auto" w:sz="4" w:space="0"/>
              <w:right w:val="single" w:color="auto" w:sz="4" w:space="0"/>
            </w:tcBorders>
            <w:vAlign w:val="center"/>
          </w:tcPr>
          <w:p w14:paraId="63CAF104">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干燥箱（电热鼓风干燥箱）</w:t>
            </w:r>
          </w:p>
        </w:tc>
        <w:tc>
          <w:tcPr>
            <w:tcW w:w="629" w:type="dxa"/>
            <w:tcBorders>
              <w:top w:val="single" w:color="auto" w:sz="4" w:space="0"/>
              <w:left w:val="single" w:color="auto" w:sz="4" w:space="0"/>
              <w:bottom w:val="single" w:color="auto" w:sz="4" w:space="0"/>
              <w:right w:val="single" w:color="auto" w:sz="4" w:space="0"/>
            </w:tcBorders>
            <w:vAlign w:val="center"/>
          </w:tcPr>
          <w:p w14:paraId="78C3BB21">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663" w:type="dxa"/>
            <w:tcBorders>
              <w:top w:val="single" w:color="auto" w:sz="4" w:space="0"/>
              <w:left w:val="single" w:color="auto" w:sz="4" w:space="0"/>
              <w:bottom w:val="single" w:color="auto" w:sz="4" w:space="0"/>
              <w:right w:val="single" w:color="auto" w:sz="4" w:space="0"/>
            </w:tcBorders>
            <w:vAlign w:val="center"/>
          </w:tcPr>
          <w:p w14:paraId="7649ACEA">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128" w:type="dxa"/>
            <w:tcBorders>
              <w:top w:val="single" w:color="auto" w:sz="4" w:space="0"/>
              <w:left w:val="single" w:color="auto" w:sz="4" w:space="0"/>
              <w:bottom w:val="single" w:color="auto" w:sz="4" w:space="0"/>
              <w:right w:val="single" w:color="auto" w:sz="4" w:space="0"/>
            </w:tcBorders>
            <w:vAlign w:val="top"/>
          </w:tcPr>
          <w:p w14:paraId="66851C2E">
            <w:pPr>
              <w:pStyle w:val="39"/>
              <w:keepNext w:val="0"/>
              <w:keepLines w:val="0"/>
              <w:pageBreakBefore w:val="0"/>
              <w:widowControl/>
              <w:numPr>
                <w:ilvl w:val="0"/>
                <w:numId w:val="6"/>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外形尺寸：</w:t>
            </w:r>
            <w:r>
              <w:rPr>
                <w:rFonts w:hint="eastAsia" w:ascii="宋体" w:hAnsi="宋体" w:eastAsia="宋体" w:cs="宋体"/>
                <w:caps w:val="0"/>
                <w:smallCaps w:val="0"/>
                <w:vanish w:val="0"/>
                <w:color w:val="auto"/>
                <w:sz w:val="24"/>
                <w:szCs w:val="24"/>
                <w:highlight w:val="none"/>
                <w:lang w:val="en-US" w:eastAsia="zh-CN"/>
              </w:rPr>
              <w:t>≥900×880×890mm；</w:t>
            </w:r>
          </w:p>
          <w:p w14:paraId="2E3A5465">
            <w:pPr>
              <w:pStyle w:val="39"/>
              <w:keepNext w:val="0"/>
              <w:keepLines w:val="0"/>
              <w:pageBreakBefore w:val="0"/>
              <w:widowControl/>
              <w:numPr>
                <w:ilvl w:val="0"/>
                <w:numId w:val="6"/>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lang w:val="en-US" w:eastAsia="zh-CN"/>
              </w:rPr>
            </w:pPr>
            <w:r>
              <w:rPr>
                <w:rFonts w:hint="eastAsia" w:ascii="宋体" w:hAnsi="宋体" w:eastAsia="宋体" w:cs="宋体"/>
                <w:color w:val="auto"/>
                <w:sz w:val="24"/>
                <w:szCs w:val="24"/>
                <w:highlight w:val="none"/>
              </w:rPr>
              <w:t>工作区尺寸：</w:t>
            </w:r>
            <w:r>
              <w:rPr>
                <w:rFonts w:hint="eastAsia" w:ascii="宋体" w:hAnsi="宋体" w:eastAsia="宋体" w:cs="宋体"/>
                <w:caps w:val="0"/>
                <w:smallCaps w:val="0"/>
                <w:vanish w:val="0"/>
                <w:color w:val="auto"/>
                <w:sz w:val="24"/>
                <w:szCs w:val="24"/>
                <w:highlight w:val="none"/>
                <w:lang w:val="en-US" w:eastAsia="zh-CN"/>
              </w:rPr>
              <w:t>≥660×700×590mm</w:t>
            </w:r>
          </w:p>
          <w:p w14:paraId="3CDD6D80">
            <w:pPr>
              <w:pStyle w:val="39"/>
              <w:keepNext w:val="0"/>
              <w:keepLines w:val="0"/>
              <w:pageBreakBefore w:val="0"/>
              <w:widowControl/>
              <w:numPr>
                <w:ilvl w:val="0"/>
                <w:numId w:val="6"/>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温度选择范围：</w:t>
            </w:r>
            <w:r>
              <w:rPr>
                <w:rFonts w:hint="eastAsia" w:ascii="宋体" w:hAnsi="宋体" w:eastAsia="宋体" w:cs="宋体"/>
                <w:color w:val="auto"/>
                <w:sz w:val="24"/>
                <w:szCs w:val="24"/>
                <w:highlight w:val="none"/>
                <w:lang w:val="en-US" w:eastAsia="zh-CN"/>
              </w:rPr>
              <w:t>RT+10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300</w:t>
            </w:r>
            <w:r>
              <w:rPr>
                <w:rFonts w:hint="eastAsia" w:ascii="宋体" w:hAnsi="宋体" w:eastAsia="宋体" w:cs="宋体"/>
                <w:color w:val="auto"/>
                <w:sz w:val="24"/>
                <w:szCs w:val="24"/>
                <w:highlight w:val="none"/>
              </w:rPr>
              <w:t>℃。</w:t>
            </w:r>
          </w:p>
          <w:p w14:paraId="010C3E4E">
            <w:pPr>
              <w:pStyle w:val="39"/>
              <w:keepNext w:val="0"/>
              <w:keepLines w:val="0"/>
              <w:pageBreakBefore w:val="0"/>
              <w:widowControl/>
              <w:numPr>
                <w:ilvl w:val="0"/>
                <w:numId w:val="6"/>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rPr>
            </w:pPr>
            <w:r>
              <w:rPr>
                <w:rFonts w:hint="eastAsia" w:ascii="宋体" w:hAnsi="宋体" w:eastAsia="宋体" w:cs="宋体"/>
                <w:caps w:val="0"/>
                <w:smallCaps w:val="0"/>
                <w:vanish w:val="0"/>
                <w:color w:val="auto"/>
                <w:sz w:val="24"/>
                <w:szCs w:val="24"/>
                <w:highlight w:val="none"/>
                <w:lang w:val="en-US" w:eastAsia="zh-CN"/>
              </w:rPr>
              <w:t>设备容积；≥270L。</w:t>
            </w:r>
          </w:p>
          <w:p w14:paraId="53C5E44C">
            <w:pPr>
              <w:pStyle w:val="39"/>
              <w:keepNext w:val="0"/>
              <w:keepLines w:val="0"/>
              <w:pageBreakBefore w:val="0"/>
              <w:widowControl/>
              <w:numPr>
                <w:ilvl w:val="0"/>
                <w:numId w:val="6"/>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温度显示</w:t>
            </w:r>
            <w:r>
              <w:rPr>
                <w:rFonts w:hint="eastAsia" w:ascii="宋体" w:hAnsi="宋体" w:eastAsia="宋体" w:cs="宋体"/>
                <w:color w:val="auto"/>
                <w:sz w:val="24"/>
                <w:szCs w:val="24"/>
                <w:highlight w:val="none"/>
                <w:lang w:val="en-US" w:eastAsia="zh-CN"/>
              </w:rPr>
              <w:t>分辨力</w:t>
            </w:r>
            <w:r>
              <w:rPr>
                <w:rFonts w:hint="eastAsia" w:ascii="宋体" w:hAnsi="宋体" w:eastAsia="宋体" w:cs="宋体"/>
                <w:color w:val="auto"/>
                <w:sz w:val="24"/>
                <w:szCs w:val="24"/>
                <w:highlight w:val="none"/>
              </w:rPr>
              <w:t>：0.1℃。</w:t>
            </w:r>
          </w:p>
          <w:p w14:paraId="21953B6D">
            <w:pPr>
              <w:pStyle w:val="39"/>
              <w:keepNext w:val="0"/>
              <w:keepLines w:val="0"/>
              <w:pageBreakBefore w:val="0"/>
              <w:widowControl/>
              <w:numPr>
                <w:ilvl w:val="0"/>
                <w:numId w:val="6"/>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rPr>
            </w:pPr>
            <w:r>
              <w:rPr>
                <w:rFonts w:hint="eastAsia" w:ascii="宋体" w:hAnsi="宋体" w:eastAsia="宋体" w:cs="宋体"/>
                <w:caps w:val="0"/>
                <w:smallCaps w:val="0"/>
                <w:vanish w:val="0"/>
                <w:color w:val="auto"/>
                <w:sz w:val="24"/>
                <w:szCs w:val="24"/>
                <w:highlight w:val="none"/>
              </w:rPr>
              <w:t>温度均匀性</w:t>
            </w:r>
            <w:r>
              <w:rPr>
                <w:rFonts w:hint="eastAsia" w:ascii="宋体" w:hAnsi="宋体" w:eastAsia="宋体" w:cs="宋体"/>
                <w:caps w:val="0"/>
                <w:smallCaps w:val="0"/>
                <w:vanish w:val="0"/>
                <w:color w:val="auto"/>
                <w:sz w:val="24"/>
                <w:szCs w:val="24"/>
                <w:highlight w:val="none"/>
                <w:lang w:val="en-US" w:eastAsia="zh-CN"/>
              </w:rPr>
              <w:t>：≤最高温度±2.5％</w:t>
            </w:r>
          </w:p>
          <w:p w14:paraId="2AA0ADCC">
            <w:pPr>
              <w:pStyle w:val="39"/>
              <w:keepNext w:val="0"/>
              <w:keepLines w:val="0"/>
              <w:pageBreakBefore w:val="0"/>
              <w:widowControl/>
              <w:numPr>
                <w:ilvl w:val="0"/>
                <w:numId w:val="6"/>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rPr>
            </w:pPr>
            <w:r>
              <w:rPr>
                <w:rFonts w:hint="eastAsia" w:ascii="宋体" w:hAnsi="宋体" w:eastAsia="宋体" w:cs="宋体"/>
                <w:caps w:val="0"/>
                <w:smallCaps w:val="0"/>
                <w:vanish w:val="0"/>
                <w:color w:val="auto"/>
                <w:sz w:val="24"/>
                <w:szCs w:val="24"/>
                <w:highlight w:val="none"/>
                <w:lang w:val="en-US" w:eastAsia="zh-CN"/>
              </w:rPr>
              <w:t>功率；3000W</w:t>
            </w:r>
          </w:p>
          <w:p w14:paraId="379E3F46">
            <w:pPr>
              <w:pStyle w:val="39"/>
              <w:keepNext w:val="0"/>
              <w:keepLines w:val="0"/>
              <w:pageBreakBefore w:val="0"/>
              <w:widowControl/>
              <w:numPr>
                <w:ilvl w:val="0"/>
                <w:numId w:val="6"/>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lang w:val="en-US" w:eastAsia="zh-CN"/>
              </w:rPr>
            </w:pPr>
            <w:r>
              <w:rPr>
                <w:rFonts w:hint="eastAsia" w:ascii="宋体" w:hAnsi="宋体" w:eastAsia="宋体" w:cs="宋体"/>
                <w:caps w:val="0"/>
                <w:smallCaps w:val="0"/>
                <w:vanish w:val="0"/>
                <w:color w:val="auto"/>
                <w:sz w:val="24"/>
                <w:szCs w:val="24"/>
                <w:highlight w:val="none"/>
                <w:lang w:val="en-US" w:eastAsia="zh-CN"/>
              </w:rPr>
              <w:t>具有定时功能，声光报警提示，0-9999h/min</w:t>
            </w:r>
          </w:p>
          <w:p w14:paraId="445E9070">
            <w:pPr>
              <w:pStyle w:val="39"/>
              <w:keepNext w:val="0"/>
              <w:keepLines w:val="0"/>
              <w:pageBreakBefore w:val="0"/>
              <w:widowControl/>
              <w:numPr>
                <w:ilvl w:val="0"/>
                <w:numId w:val="6"/>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舱体采用不锈钢面板材质，多层可调节搁架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标配3件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箱体外部为碳钢喷塑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采用背部加热，强制对流结构</w:t>
            </w:r>
            <w:r>
              <w:rPr>
                <w:rFonts w:hint="eastAsia" w:ascii="宋体" w:hAnsi="宋体" w:eastAsia="宋体" w:cs="宋体"/>
                <w:color w:val="auto"/>
                <w:sz w:val="24"/>
                <w:szCs w:val="24"/>
                <w:highlight w:val="none"/>
                <w:lang w:eastAsia="zh-CN"/>
              </w:rPr>
              <w:t>。</w:t>
            </w:r>
          </w:p>
          <w:p w14:paraId="68C7B22A">
            <w:pPr>
              <w:pStyle w:val="39"/>
              <w:keepNext w:val="0"/>
              <w:keepLines w:val="0"/>
              <w:pageBreakBefore w:val="0"/>
              <w:widowControl/>
              <w:numPr>
                <w:ilvl w:val="0"/>
                <w:numId w:val="6"/>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保温层采用</w:t>
            </w:r>
            <w:r>
              <w:rPr>
                <w:rFonts w:hint="eastAsia" w:ascii="宋体" w:hAnsi="宋体" w:eastAsia="宋体" w:cs="宋体"/>
                <w:color w:val="auto"/>
                <w:sz w:val="24"/>
                <w:szCs w:val="24"/>
                <w:highlight w:val="none"/>
                <w:lang w:val="en-US" w:eastAsia="zh-CN"/>
              </w:rPr>
              <w:t>硅酸铝棉</w:t>
            </w:r>
            <w:r>
              <w:rPr>
                <w:rFonts w:hint="eastAsia" w:ascii="宋体" w:hAnsi="宋体" w:eastAsia="宋体" w:cs="宋体"/>
                <w:color w:val="auto"/>
                <w:sz w:val="24"/>
                <w:szCs w:val="24"/>
                <w:highlight w:val="none"/>
              </w:rPr>
              <w:t>，保温性能好，</w:t>
            </w:r>
            <w:r>
              <w:rPr>
                <w:rFonts w:hint="eastAsia" w:ascii="宋体" w:hAnsi="宋体" w:eastAsia="宋体" w:cs="宋体"/>
                <w:color w:val="auto"/>
                <w:sz w:val="24"/>
                <w:szCs w:val="24"/>
                <w:highlight w:val="none"/>
                <w:lang w:val="en-US" w:eastAsia="zh-CN"/>
              </w:rPr>
              <w:t>设备表面温度低，</w:t>
            </w:r>
            <w:r>
              <w:rPr>
                <w:rFonts w:hint="eastAsia" w:ascii="宋体" w:hAnsi="宋体" w:eastAsia="宋体" w:cs="宋体"/>
                <w:color w:val="auto"/>
                <w:sz w:val="24"/>
                <w:szCs w:val="24"/>
                <w:highlight w:val="none"/>
              </w:rPr>
              <w:t>减少受外界环境温度的影响。</w:t>
            </w:r>
          </w:p>
          <w:p w14:paraId="02015374">
            <w:pPr>
              <w:pStyle w:val="39"/>
              <w:keepNext w:val="0"/>
              <w:keepLines w:val="0"/>
              <w:pageBreakBefore w:val="0"/>
              <w:widowControl/>
              <w:numPr>
                <w:ilvl w:val="0"/>
                <w:numId w:val="6"/>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耐高温硅胶密封条设计，采用高硼硅耐高温玻璃，透视窗结构设计，</w:t>
            </w:r>
            <w:r>
              <w:rPr>
                <w:rFonts w:hint="eastAsia" w:ascii="宋体" w:hAnsi="宋体" w:eastAsia="宋体" w:cs="宋体"/>
                <w:color w:val="auto"/>
                <w:sz w:val="24"/>
                <w:szCs w:val="24"/>
                <w:highlight w:val="none"/>
                <w:lang w:val="zh-CN"/>
              </w:rPr>
              <w:t>便于观察设备内部情况。</w:t>
            </w:r>
          </w:p>
          <w:p w14:paraId="14E6D7B9">
            <w:pPr>
              <w:pStyle w:val="39"/>
              <w:keepNext w:val="0"/>
              <w:keepLines w:val="0"/>
              <w:pageBreakBefore w:val="0"/>
              <w:widowControl/>
              <w:numPr>
                <w:ilvl w:val="0"/>
                <w:numId w:val="6"/>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超</w:t>
            </w:r>
            <w:r>
              <w:rPr>
                <w:rFonts w:hint="eastAsia" w:ascii="宋体" w:hAnsi="宋体" w:eastAsia="宋体" w:cs="宋体"/>
                <w:color w:val="auto"/>
                <w:sz w:val="24"/>
                <w:szCs w:val="24"/>
                <w:highlight w:val="none"/>
              </w:rPr>
              <w:t>温报警系统功能，</w:t>
            </w:r>
            <w:r>
              <w:rPr>
                <w:rFonts w:hint="eastAsia" w:ascii="宋体" w:hAnsi="宋体" w:eastAsia="宋体" w:cs="宋体"/>
                <w:color w:val="auto"/>
                <w:sz w:val="24"/>
                <w:szCs w:val="24"/>
                <w:highlight w:val="none"/>
                <w:lang w:val="en-US" w:eastAsia="zh-CN"/>
              </w:rPr>
              <w:t>可设定限制温度，</w:t>
            </w:r>
            <w:r>
              <w:rPr>
                <w:rFonts w:hint="eastAsia" w:ascii="宋体" w:hAnsi="宋体" w:eastAsia="宋体" w:cs="宋体"/>
                <w:color w:val="auto"/>
                <w:sz w:val="24"/>
                <w:szCs w:val="24"/>
                <w:highlight w:val="none"/>
              </w:rPr>
              <w:t>超过限制温度即自动中断</w:t>
            </w:r>
            <w:r>
              <w:rPr>
                <w:rFonts w:hint="eastAsia" w:ascii="宋体" w:hAnsi="宋体" w:eastAsia="宋体" w:cs="宋体"/>
                <w:color w:val="auto"/>
                <w:sz w:val="24"/>
                <w:szCs w:val="24"/>
                <w:highlight w:val="none"/>
                <w:lang w:val="en-US" w:eastAsia="zh-CN"/>
              </w:rPr>
              <w:t>加热输出</w:t>
            </w:r>
            <w:r>
              <w:rPr>
                <w:rFonts w:hint="eastAsia" w:ascii="宋体" w:hAnsi="宋体" w:eastAsia="宋体" w:cs="宋体"/>
                <w:caps w:val="0"/>
                <w:smallCaps w:val="0"/>
                <w:vanish w:val="0"/>
                <w:color w:val="auto"/>
                <w:sz w:val="24"/>
                <w:szCs w:val="24"/>
                <w:highlight w:val="none"/>
              </w:rPr>
              <w:t>，</w:t>
            </w:r>
            <w:r>
              <w:rPr>
                <w:rFonts w:hint="eastAsia" w:ascii="宋体" w:hAnsi="宋体" w:eastAsia="宋体" w:cs="宋体"/>
                <w:caps w:val="0"/>
                <w:smallCaps w:val="0"/>
                <w:vanish w:val="0"/>
                <w:color w:val="auto"/>
                <w:sz w:val="24"/>
                <w:szCs w:val="24"/>
                <w:highlight w:val="none"/>
                <w:lang w:val="en-US" w:eastAsia="zh-CN"/>
              </w:rPr>
              <w:t>防止温度过高对仪器产生损害</w:t>
            </w:r>
            <w:r>
              <w:rPr>
                <w:rFonts w:hint="eastAsia" w:ascii="宋体" w:hAnsi="宋体" w:eastAsia="宋体" w:cs="宋体"/>
                <w:caps w:val="0"/>
                <w:smallCaps w:val="0"/>
                <w:vanish w:val="0"/>
                <w:color w:val="auto"/>
                <w:sz w:val="24"/>
                <w:szCs w:val="24"/>
                <w:highlight w:val="none"/>
              </w:rPr>
              <w:t>。</w:t>
            </w:r>
          </w:p>
          <w:p w14:paraId="7E04AE19">
            <w:pPr>
              <w:pStyle w:val="39"/>
              <w:keepNext w:val="0"/>
              <w:keepLines w:val="0"/>
              <w:pageBreakBefore w:val="0"/>
              <w:widowControl/>
              <w:numPr>
                <w:ilvl w:val="0"/>
                <w:numId w:val="6"/>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caps w:val="0"/>
                <w:smallCaps w:val="0"/>
                <w:vanish w:val="0"/>
                <w:color w:val="auto"/>
                <w:sz w:val="24"/>
                <w:szCs w:val="24"/>
                <w:highlight w:val="none"/>
                <w:lang w:val="en-US" w:eastAsia="zh-CN"/>
              </w:rPr>
              <w:t>采用PID微电脑控温技术，有温度自整定功能，以及自动故障检测报警功能。LCD液晶温度显示，自带温度偏差校准功能</w:t>
            </w:r>
          </w:p>
        </w:tc>
      </w:tr>
      <w:tr w14:paraId="6349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14:paraId="2A947109">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7</w:t>
            </w:r>
          </w:p>
        </w:tc>
        <w:tc>
          <w:tcPr>
            <w:tcW w:w="646" w:type="dxa"/>
            <w:tcBorders>
              <w:top w:val="single" w:color="auto" w:sz="4" w:space="0"/>
              <w:left w:val="single" w:color="auto" w:sz="4" w:space="0"/>
              <w:bottom w:val="single" w:color="auto" w:sz="4" w:space="0"/>
              <w:right w:val="single" w:color="auto" w:sz="4" w:space="0"/>
            </w:tcBorders>
            <w:vAlign w:val="center"/>
          </w:tcPr>
          <w:p w14:paraId="009D4D89">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电热恒温培养箱</w:t>
            </w:r>
          </w:p>
        </w:tc>
        <w:tc>
          <w:tcPr>
            <w:tcW w:w="629" w:type="dxa"/>
            <w:tcBorders>
              <w:top w:val="single" w:color="auto" w:sz="4" w:space="0"/>
              <w:left w:val="single" w:color="auto" w:sz="4" w:space="0"/>
              <w:bottom w:val="single" w:color="auto" w:sz="4" w:space="0"/>
              <w:right w:val="single" w:color="auto" w:sz="4" w:space="0"/>
            </w:tcBorders>
            <w:vAlign w:val="center"/>
          </w:tcPr>
          <w:p w14:paraId="7D40D060">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663" w:type="dxa"/>
            <w:tcBorders>
              <w:top w:val="single" w:color="auto" w:sz="4" w:space="0"/>
              <w:left w:val="single" w:color="auto" w:sz="4" w:space="0"/>
              <w:bottom w:val="single" w:color="auto" w:sz="4" w:space="0"/>
              <w:right w:val="single" w:color="auto" w:sz="4" w:space="0"/>
            </w:tcBorders>
            <w:vAlign w:val="center"/>
          </w:tcPr>
          <w:p w14:paraId="27EE9684">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128" w:type="dxa"/>
            <w:tcBorders>
              <w:top w:val="single" w:color="auto" w:sz="4" w:space="0"/>
              <w:left w:val="single" w:color="auto" w:sz="4" w:space="0"/>
              <w:bottom w:val="single" w:color="auto" w:sz="4" w:space="0"/>
              <w:right w:val="single" w:color="auto" w:sz="4" w:space="0"/>
            </w:tcBorders>
            <w:vAlign w:val="top"/>
          </w:tcPr>
          <w:p w14:paraId="5936C0E2">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rPr>
              <w:t>外形尺寸：</w:t>
            </w:r>
            <w:r>
              <w:rPr>
                <w:rFonts w:hint="eastAsia" w:ascii="宋体" w:hAnsi="宋体" w:eastAsia="宋体" w:cs="宋体"/>
                <w:color w:val="auto"/>
                <w:sz w:val="24"/>
                <w:szCs w:val="24"/>
                <w:highlight w:val="none"/>
                <w:lang w:val="en-US" w:eastAsia="zh-CN"/>
              </w:rPr>
              <w:t>≥</w:t>
            </w:r>
            <w:r>
              <w:rPr>
                <w:rFonts w:hint="eastAsia" w:ascii="宋体" w:hAnsi="宋体" w:eastAsia="宋体" w:cs="宋体"/>
                <w:caps w:val="0"/>
                <w:smallCaps w:val="0"/>
                <w:vanish w:val="0"/>
                <w:color w:val="auto"/>
                <w:sz w:val="24"/>
                <w:szCs w:val="24"/>
                <w:highlight w:val="none"/>
                <w:lang w:val="en-US" w:eastAsia="zh-CN"/>
              </w:rPr>
              <w:t>522626587mm；</w:t>
            </w:r>
          </w:p>
          <w:p w14:paraId="0AEE5B25">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lang w:val="en-US" w:eastAsia="zh-CN"/>
              </w:rPr>
            </w:pPr>
            <w:r>
              <w:rPr>
                <w:rFonts w:hint="eastAsia" w:ascii="宋体" w:hAnsi="宋体" w:eastAsia="宋体" w:cs="宋体"/>
                <w:caps w:val="0"/>
                <w:smallCaps w:val="0"/>
                <w:vanish w:val="0"/>
                <w:color w:val="auto"/>
                <w:sz w:val="24"/>
                <w:szCs w:val="24"/>
                <w:highlight w:val="none"/>
                <w:lang w:val="en-US" w:eastAsia="zh-CN" w:bidi="ar-SA"/>
              </w:rPr>
              <w:t>2.</w:t>
            </w:r>
            <w:r>
              <w:rPr>
                <w:rFonts w:hint="eastAsia" w:ascii="宋体" w:hAnsi="宋体" w:eastAsia="宋体" w:cs="宋体"/>
                <w:color w:val="auto"/>
                <w:sz w:val="24"/>
                <w:szCs w:val="24"/>
                <w:highlight w:val="none"/>
              </w:rPr>
              <w:t>工作区尺寸：</w:t>
            </w:r>
            <w:r>
              <w:rPr>
                <w:rFonts w:hint="eastAsia" w:ascii="宋体" w:hAnsi="宋体" w:eastAsia="宋体" w:cs="宋体"/>
                <w:color w:val="auto"/>
                <w:sz w:val="24"/>
                <w:szCs w:val="24"/>
                <w:highlight w:val="none"/>
                <w:lang w:val="en-US" w:eastAsia="zh-CN"/>
              </w:rPr>
              <w:t>≥</w:t>
            </w:r>
            <w:r>
              <w:rPr>
                <w:rFonts w:hint="eastAsia" w:ascii="宋体" w:hAnsi="宋体" w:eastAsia="宋体" w:cs="宋体"/>
                <w:caps w:val="0"/>
                <w:smallCaps w:val="0"/>
                <w:vanish w:val="0"/>
                <w:color w:val="auto"/>
                <w:sz w:val="24"/>
                <w:szCs w:val="24"/>
                <w:highlight w:val="none"/>
                <w:lang w:val="en-US" w:eastAsia="zh-CN"/>
              </w:rPr>
              <w:t>395364395mm</w:t>
            </w:r>
          </w:p>
          <w:p w14:paraId="299841CA">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rPr>
              <w:t>温度选择范围：</w:t>
            </w:r>
            <w:r>
              <w:rPr>
                <w:rFonts w:hint="eastAsia" w:ascii="宋体" w:hAnsi="宋体" w:eastAsia="宋体" w:cs="宋体"/>
                <w:color w:val="auto"/>
                <w:sz w:val="24"/>
                <w:szCs w:val="24"/>
                <w:highlight w:val="none"/>
                <w:lang w:val="en-US" w:eastAsia="zh-CN"/>
              </w:rPr>
              <w:t>RT+5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85</w:t>
            </w:r>
            <w:r>
              <w:rPr>
                <w:rFonts w:hint="eastAsia" w:ascii="宋体" w:hAnsi="宋体" w:eastAsia="宋体" w:cs="宋体"/>
                <w:color w:val="auto"/>
                <w:sz w:val="24"/>
                <w:szCs w:val="24"/>
                <w:highlight w:val="none"/>
              </w:rPr>
              <w:t>℃。</w:t>
            </w:r>
          </w:p>
          <w:p w14:paraId="275457B4">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rPr>
            </w:pPr>
            <w:r>
              <w:rPr>
                <w:rFonts w:hint="eastAsia" w:ascii="宋体" w:hAnsi="宋体" w:eastAsia="宋体" w:cs="宋体"/>
                <w:caps w:val="0"/>
                <w:smallCaps w:val="0"/>
                <w:vanish w:val="0"/>
                <w:color w:val="auto"/>
                <w:sz w:val="24"/>
                <w:szCs w:val="24"/>
                <w:highlight w:val="none"/>
                <w:lang w:val="en-US" w:eastAsia="zh-CN" w:bidi="ar-SA"/>
              </w:rPr>
              <w:t>4.</w:t>
            </w:r>
            <w:r>
              <w:rPr>
                <w:rFonts w:hint="eastAsia" w:ascii="宋体" w:hAnsi="宋体" w:eastAsia="宋体" w:cs="宋体"/>
                <w:caps w:val="0"/>
                <w:smallCaps w:val="0"/>
                <w:vanish w:val="0"/>
                <w:color w:val="auto"/>
                <w:sz w:val="24"/>
                <w:szCs w:val="24"/>
                <w:highlight w:val="none"/>
                <w:lang w:val="en-US" w:eastAsia="zh-CN"/>
              </w:rPr>
              <w:t>设备容积；≥54L。</w:t>
            </w:r>
          </w:p>
          <w:p w14:paraId="34768FF3">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rPr>
              <w:t>温度显示精度：0.1℃。</w:t>
            </w:r>
          </w:p>
          <w:p w14:paraId="74CCC401">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rPr>
            </w:pPr>
            <w:r>
              <w:rPr>
                <w:rFonts w:hint="eastAsia" w:ascii="宋体" w:hAnsi="宋体" w:eastAsia="宋体" w:cs="宋体"/>
                <w:caps w:val="0"/>
                <w:smallCaps w:val="0"/>
                <w:vanish w:val="0"/>
                <w:color w:val="auto"/>
                <w:sz w:val="24"/>
                <w:szCs w:val="24"/>
                <w:highlight w:val="none"/>
                <w:lang w:val="en-US" w:eastAsia="zh-CN" w:bidi="ar-SA"/>
              </w:rPr>
              <w:t>6.</w:t>
            </w:r>
            <w:r>
              <w:rPr>
                <w:rFonts w:hint="eastAsia" w:ascii="宋体" w:hAnsi="宋体" w:eastAsia="宋体" w:cs="宋体"/>
                <w:caps w:val="0"/>
                <w:smallCaps w:val="0"/>
                <w:vanish w:val="0"/>
                <w:color w:val="auto"/>
                <w:sz w:val="24"/>
                <w:szCs w:val="24"/>
                <w:highlight w:val="none"/>
              </w:rPr>
              <w:t>温度均匀性：±</w:t>
            </w:r>
            <w:r>
              <w:rPr>
                <w:rFonts w:hint="eastAsia" w:ascii="宋体" w:hAnsi="宋体" w:eastAsia="宋体" w:cs="宋体"/>
                <w:caps w:val="0"/>
                <w:smallCaps w:val="0"/>
                <w:vanish w:val="0"/>
                <w:color w:val="auto"/>
                <w:sz w:val="24"/>
                <w:szCs w:val="24"/>
                <w:highlight w:val="none"/>
                <w:lang w:val="en-US" w:eastAsia="zh-CN"/>
              </w:rPr>
              <w:t>2</w:t>
            </w:r>
            <w:r>
              <w:rPr>
                <w:rFonts w:hint="eastAsia" w:ascii="宋体" w:hAnsi="宋体" w:eastAsia="宋体" w:cs="宋体"/>
                <w:caps w:val="0"/>
                <w:smallCaps w:val="0"/>
                <w:vanish w:val="0"/>
                <w:color w:val="auto"/>
                <w:sz w:val="24"/>
                <w:szCs w:val="24"/>
                <w:highlight w:val="none"/>
              </w:rPr>
              <w:t>℃。</w:t>
            </w:r>
          </w:p>
          <w:p w14:paraId="0DFF1E30">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rPr>
            </w:pPr>
            <w:r>
              <w:rPr>
                <w:rFonts w:hint="eastAsia" w:ascii="宋体" w:hAnsi="宋体" w:eastAsia="宋体" w:cs="宋体"/>
                <w:caps w:val="0"/>
                <w:smallCaps w:val="0"/>
                <w:vanish w:val="0"/>
                <w:color w:val="auto"/>
                <w:sz w:val="24"/>
                <w:szCs w:val="24"/>
                <w:highlight w:val="none"/>
                <w:lang w:val="en-US" w:eastAsia="zh-CN" w:bidi="ar-SA"/>
              </w:rPr>
              <w:t>7.</w:t>
            </w:r>
            <w:r>
              <w:rPr>
                <w:rFonts w:hint="eastAsia" w:ascii="宋体" w:hAnsi="宋体" w:eastAsia="宋体" w:cs="宋体"/>
                <w:caps w:val="0"/>
                <w:smallCaps w:val="0"/>
                <w:vanish w:val="0"/>
                <w:color w:val="auto"/>
                <w:sz w:val="24"/>
                <w:szCs w:val="24"/>
                <w:highlight w:val="none"/>
              </w:rPr>
              <w:t>温</w:t>
            </w:r>
            <w:r>
              <w:rPr>
                <w:rFonts w:hint="eastAsia" w:ascii="宋体" w:hAnsi="宋体" w:eastAsia="宋体" w:cs="宋体"/>
                <w:color w:val="auto"/>
                <w:sz w:val="24"/>
                <w:szCs w:val="24"/>
                <w:highlight w:val="none"/>
              </w:rPr>
              <w:t>度波动度：±</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p>
          <w:p w14:paraId="58BCA547">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lang w:val="zh-CN"/>
              </w:rPr>
            </w:pPr>
            <w:r>
              <w:rPr>
                <w:rFonts w:hint="eastAsia" w:ascii="宋体" w:hAnsi="宋体" w:eastAsia="宋体" w:cs="宋体"/>
                <w:caps w:val="0"/>
                <w:smallCaps w:val="0"/>
                <w:vanish w:val="0"/>
                <w:color w:val="auto"/>
                <w:sz w:val="24"/>
                <w:szCs w:val="24"/>
                <w:highlight w:val="none"/>
                <w:lang w:val="zh-CN" w:eastAsia="zh-CN" w:bidi="ar-SA"/>
              </w:rPr>
              <w:t>8.</w:t>
            </w:r>
            <w:r>
              <w:rPr>
                <w:rFonts w:hint="eastAsia" w:ascii="宋体" w:hAnsi="宋体" w:eastAsia="宋体" w:cs="宋体"/>
                <w:caps w:val="0"/>
                <w:smallCaps w:val="0"/>
                <w:vanish w:val="0"/>
                <w:color w:val="auto"/>
                <w:sz w:val="24"/>
                <w:szCs w:val="24"/>
                <w:highlight w:val="none"/>
                <w:lang w:val="en-US" w:eastAsia="zh-CN"/>
              </w:rPr>
              <w:t>箱体侧面标配测试孔，可根据实际需求检测工作室内温度。</w:t>
            </w:r>
            <w:r>
              <w:rPr>
                <w:rFonts w:hint="eastAsia" w:ascii="宋体" w:hAnsi="宋体" w:eastAsia="宋体" w:cs="宋体"/>
                <w:caps w:val="0"/>
                <w:smallCaps w:val="0"/>
                <w:vanish w:val="0"/>
                <w:color w:val="auto"/>
                <w:sz w:val="24"/>
                <w:szCs w:val="24"/>
                <w:highlight w:val="none"/>
                <w:lang w:val="zh-CN"/>
              </w:rPr>
              <w:t>。</w:t>
            </w:r>
          </w:p>
          <w:p w14:paraId="17291846">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9.</w:t>
            </w:r>
            <w:r>
              <w:rPr>
                <w:rFonts w:hint="eastAsia" w:ascii="宋体" w:hAnsi="宋体" w:eastAsia="宋体" w:cs="宋体"/>
                <w:caps w:val="0"/>
                <w:smallCaps w:val="0"/>
                <w:vanish w:val="0"/>
                <w:color w:val="auto"/>
                <w:sz w:val="24"/>
                <w:szCs w:val="24"/>
                <w:highlight w:val="none"/>
                <w:lang w:val="en-US" w:eastAsia="zh-CN"/>
              </w:rPr>
              <w:t>采用PID微电脑控温技术，多点校温，温度更精准</w:t>
            </w:r>
            <w:r>
              <w:rPr>
                <w:rFonts w:hint="eastAsia" w:ascii="宋体" w:hAnsi="宋体" w:eastAsia="宋体" w:cs="宋体"/>
                <w:color w:val="auto"/>
                <w:sz w:val="24"/>
                <w:szCs w:val="24"/>
                <w:highlight w:val="none"/>
              </w:rPr>
              <w:t>。</w:t>
            </w:r>
          </w:p>
          <w:p w14:paraId="1056CAD9">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10.</w:t>
            </w:r>
            <w:r>
              <w:rPr>
                <w:rFonts w:hint="eastAsia" w:ascii="宋体" w:hAnsi="宋体" w:eastAsia="宋体" w:cs="宋体"/>
                <w:caps w:val="0"/>
                <w:smallCaps w:val="0"/>
                <w:vanish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3.5寸显示屏，</w:t>
            </w:r>
            <w:r>
              <w:rPr>
                <w:rFonts w:hint="eastAsia" w:ascii="宋体" w:hAnsi="宋体" w:eastAsia="宋体" w:cs="宋体"/>
                <w:caps w:val="0"/>
                <w:smallCaps w:val="0"/>
                <w:vanish w:val="0"/>
                <w:color w:val="auto"/>
                <w:sz w:val="24"/>
                <w:szCs w:val="24"/>
                <w:highlight w:val="none"/>
                <w:lang w:val="en-US" w:eastAsia="zh-CN"/>
              </w:rPr>
              <w:t>简单易懂易操作，便于观察</w:t>
            </w:r>
          </w:p>
          <w:p w14:paraId="382FCE6C">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11.</w:t>
            </w:r>
            <w:r>
              <w:rPr>
                <w:rFonts w:hint="eastAsia" w:ascii="宋体" w:hAnsi="宋体" w:eastAsia="宋体" w:cs="宋体"/>
                <w:caps w:val="0"/>
                <w:smallCaps w:val="0"/>
                <w:vanish w:val="0"/>
                <w:color w:val="auto"/>
                <w:sz w:val="24"/>
                <w:szCs w:val="24"/>
                <w:highlight w:val="none"/>
                <w:lang w:val="en-US" w:eastAsia="zh-CN"/>
              </w:rPr>
              <w:t>二类医疗器械注册证</w:t>
            </w:r>
          </w:p>
          <w:p w14:paraId="7AC2182E">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lang w:val="en-US" w:eastAsia="zh-CN"/>
              </w:rPr>
            </w:pPr>
            <w:r>
              <w:rPr>
                <w:rFonts w:hint="eastAsia" w:ascii="宋体" w:hAnsi="宋体" w:eastAsia="宋体" w:cs="宋体"/>
                <w:caps w:val="0"/>
                <w:smallCaps w:val="0"/>
                <w:vanish w:val="0"/>
                <w:color w:val="auto"/>
                <w:sz w:val="24"/>
                <w:szCs w:val="24"/>
                <w:highlight w:val="none"/>
                <w:lang w:val="en-US" w:eastAsia="zh-CN" w:bidi="ar-SA"/>
              </w:rPr>
              <w:t>12.</w:t>
            </w:r>
            <w:r>
              <w:rPr>
                <w:rFonts w:hint="eastAsia" w:ascii="宋体" w:hAnsi="宋体" w:eastAsia="宋体" w:cs="宋体"/>
                <w:caps w:val="0"/>
                <w:smallCaps w:val="0"/>
                <w:vanish w:val="0"/>
                <w:color w:val="auto"/>
                <w:sz w:val="24"/>
                <w:szCs w:val="24"/>
                <w:highlight w:val="none"/>
                <w:lang w:val="en-US" w:eastAsia="zh-CN"/>
              </w:rPr>
              <w:t>具有定时功能，声光报警提示，0-99.9H；具备开门报警，超温报警功能</w:t>
            </w:r>
          </w:p>
          <w:p w14:paraId="02CFD393">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lang w:val="en-US" w:eastAsia="zh-CN"/>
              </w:rPr>
            </w:pPr>
            <w:r>
              <w:rPr>
                <w:rFonts w:hint="eastAsia" w:ascii="宋体" w:hAnsi="宋体" w:eastAsia="宋体" w:cs="宋体"/>
                <w:caps w:val="0"/>
                <w:smallCaps w:val="0"/>
                <w:vanish w:val="0"/>
                <w:color w:val="auto"/>
                <w:sz w:val="24"/>
                <w:szCs w:val="24"/>
                <w:highlight w:val="none"/>
                <w:lang w:val="en-US" w:eastAsia="zh-CN" w:bidi="ar-SA"/>
              </w:rPr>
              <w:t>13.</w:t>
            </w:r>
            <w:r>
              <w:rPr>
                <w:rFonts w:hint="eastAsia" w:ascii="宋体" w:hAnsi="宋体" w:eastAsia="宋体" w:cs="宋体"/>
                <w:caps w:val="0"/>
                <w:smallCaps w:val="0"/>
                <w:vanish w:val="0"/>
                <w:color w:val="auto"/>
                <w:sz w:val="24"/>
                <w:szCs w:val="24"/>
                <w:highlight w:val="none"/>
                <w:lang w:val="en-US" w:eastAsia="zh-CN"/>
              </w:rPr>
              <w:t>选配；可选配紫外线杀菌，可选配福马脚轮，移动更方便</w:t>
            </w:r>
          </w:p>
          <w:p w14:paraId="5A2D4E78">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14.</w:t>
            </w:r>
            <w:r>
              <w:rPr>
                <w:rFonts w:hint="eastAsia" w:ascii="宋体" w:hAnsi="宋体" w:eastAsia="宋体" w:cs="宋体"/>
                <w:color w:val="auto"/>
                <w:sz w:val="24"/>
                <w:szCs w:val="24"/>
                <w:highlight w:val="none"/>
              </w:rPr>
              <w:t>具有限温报警系统功能，超过限制温度即自动中断</w:t>
            </w:r>
            <w:r>
              <w:rPr>
                <w:rFonts w:hint="eastAsia" w:ascii="宋体" w:hAnsi="宋体" w:eastAsia="宋体" w:cs="宋体"/>
                <w:caps w:val="0"/>
                <w:smallCaps w:val="0"/>
                <w:vanish w:val="0"/>
                <w:color w:val="auto"/>
                <w:sz w:val="24"/>
                <w:szCs w:val="24"/>
                <w:highlight w:val="none"/>
              </w:rPr>
              <w:t>，</w:t>
            </w:r>
            <w:r>
              <w:rPr>
                <w:rFonts w:hint="eastAsia" w:ascii="宋体" w:hAnsi="宋体" w:eastAsia="宋体" w:cs="宋体"/>
                <w:caps w:val="0"/>
                <w:smallCaps w:val="0"/>
                <w:vanish w:val="0"/>
                <w:color w:val="auto"/>
                <w:sz w:val="24"/>
                <w:szCs w:val="24"/>
                <w:highlight w:val="none"/>
                <w:lang w:val="en-US" w:eastAsia="zh-CN"/>
              </w:rPr>
              <w:t>防止温度过高对仪器产生损害</w:t>
            </w:r>
            <w:r>
              <w:rPr>
                <w:rFonts w:hint="eastAsia" w:ascii="宋体" w:hAnsi="宋体" w:eastAsia="宋体" w:cs="宋体"/>
                <w:caps w:val="0"/>
                <w:smallCaps w:val="0"/>
                <w:vanish w:val="0"/>
                <w:color w:val="auto"/>
                <w:sz w:val="24"/>
                <w:szCs w:val="24"/>
                <w:highlight w:val="none"/>
              </w:rPr>
              <w:t>。</w:t>
            </w:r>
          </w:p>
          <w:p w14:paraId="39C2047A">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15.</w:t>
            </w:r>
            <w:r>
              <w:rPr>
                <w:rFonts w:hint="eastAsia" w:ascii="宋体" w:hAnsi="宋体" w:eastAsia="宋体" w:cs="宋体"/>
                <w:color w:val="auto"/>
                <w:sz w:val="24"/>
                <w:szCs w:val="24"/>
                <w:highlight w:val="none"/>
              </w:rPr>
              <w:t>舱体采用不锈钢面板材质，多层可调节搁架，</w:t>
            </w:r>
            <w:r>
              <w:rPr>
                <w:rFonts w:hint="eastAsia" w:ascii="宋体" w:hAnsi="宋体" w:eastAsia="宋体" w:cs="宋体"/>
                <w:caps w:val="0"/>
                <w:smallCaps w:val="0"/>
                <w:vanish w:val="0"/>
                <w:color w:val="auto"/>
                <w:sz w:val="24"/>
                <w:szCs w:val="24"/>
                <w:highlight w:val="none"/>
                <w:lang w:val="en-US" w:eastAsia="zh-CN"/>
              </w:rPr>
              <w:t>防滑脱隔板设计，</w:t>
            </w:r>
            <w:r>
              <w:rPr>
                <w:rFonts w:hint="eastAsia" w:ascii="宋体" w:hAnsi="宋体" w:eastAsia="宋体" w:cs="宋体"/>
                <w:color w:val="auto"/>
                <w:sz w:val="24"/>
                <w:szCs w:val="24"/>
                <w:highlight w:val="none"/>
              </w:rPr>
              <w:t>方便装载。箱体外部为碳钢喷塑</w:t>
            </w:r>
          </w:p>
          <w:p w14:paraId="2B069C98">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16.</w:t>
            </w:r>
            <w:r>
              <w:rPr>
                <w:rFonts w:hint="eastAsia" w:ascii="宋体" w:hAnsi="宋体" w:eastAsia="宋体" w:cs="宋体"/>
                <w:color w:val="auto"/>
                <w:sz w:val="24"/>
                <w:szCs w:val="24"/>
                <w:highlight w:val="none"/>
              </w:rPr>
              <w:t>保温层采用</w:t>
            </w:r>
            <w:r>
              <w:rPr>
                <w:rFonts w:hint="eastAsia" w:ascii="宋体" w:hAnsi="宋体" w:eastAsia="宋体" w:cs="宋体"/>
                <w:color w:val="auto"/>
                <w:sz w:val="24"/>
                <w:szCs w:val="24"/>
                <w:highlight w:val="none"/>
                <w:lang w:val="en-US" w:eastAsia="zh-CN"/>
              </w:rPr>
              <w:t>硅酸铝棉</w:t>
            </w:r>
            <w:r>
              <w:rPr>
                <w:rFonts w:hint="eastAsia" w:ascii="宋体" w:hAnsi="宋体" w:eastAsia="宋体" w:cs="宋体"/>
                <w:color w:val="auto"/>
                <w:sz w:val="24"/>
                <w:szCs w:val="24"/>
                <w:highlight w:val="none"/>
              </w:rPr>
              <w:t>，保温性能好，减少受外界环境温度的影响。</w:t>
            </w:r>
          </w:p>
          <w:p w14:paraId="54475CBC">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bidi="ar-SA"/>
              </w:rPr>
              <w:t>17.</w:t>
            </w:r>
            <w:r>
              <w:rPr>
                <w:rFonts w:hint="eastAsia" w:ascii="宋体" w:hAnsi="宋体" w:eastAsia="宋体" w:cs="宋体"/>
                <w:color w:val="auto"/>
                <w:sz w:val="24"/>
                <w:szCs w:val="24"/>
                <w:highlight w:val="none"/>
                <w:lang w:val="en-US" w:eastAsia="zh-CN"/>
              </w:rPr>
              <w:t>单层门透视窗结构，采用硅胶密封条贴合密封设计，</w:t>
            </w:r>
            <w:r>
              <w:rPr>
                <w:rFonts w:hint="eastAsia" w:ascii="宋体" w:hAnsi="宋体" w:eastAsia="宋体" w:cs="宋体"/>
                <w:color w:val="auto"/>
                <w:sz w:val="24"/>
                <w:szCs w:val="24"/>
                <w:highlight w:val="none"/>
                <w:lang w:val="zh-CN"/>
              </w:rPr>
              <w:t>便于观察设备内部情况。</w:t>
            </w:r>
          </w:p>
        </w:tc>
      </w:tr>
      <w:tr w14:paraId="4164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14:paraId="688F9ED9">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646" w:type="dxa"/>
            <w:tcBorders>
              <w:top w:val="single" w:color="auto" w:sz="4" w:space="0"/>
              <w:left w:val="single" w:color="auto" w:sz="4" w:space="0"/>
              <w:bottom w:val="single" w:color="auto" w:sz="4" w:space="0"/>
              <w:right w:val="single" w:color="auto" w:sz="4" w:space="0"/>
            </w:tcBorders>
            <w:vAlign w:val="center"/>
          </w:tcPr>
          <w:p w14:paraId="48557DB7">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生化培养箱</w:t>
            </w:r>
          </w:p>
        </w:tc>
        <w:tc>
          <w:tcPr>
            <w:tcW w:w="629" w:type="dxa"/>
            <w:tcBorders>
              <w:top w:val="single" w:color="auto" w:sz="4" w:space="0"/>
              <w:left w:val="single" w:color="auto" w:sz="4" w:space="0"/>
              <w:bottom w:val="single" w:color="auto" w:sz="4" w:space="0"/>
              <w:right w:val="single" w:color="auto" w:sz="4" w:space="0"/>
            </w:tcBorders>
            <w:vAlign w:val="center"/>
          </w:tcPr>
          <w:p w14:paraId="64F46F29">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663" w:type="dxa"/>
            <w:tcBorders>
              <w:top w:val="single" w:color="auto" w:sz="4" w:space="0"/>
              <w:left w:val="single" w:color="auto" w:sz="4" w:space="0"/>
              <w:bottom w:val="single" w:color="auto" w:sz="4" w:space="0"/>
              <w:right w:val="single" w:color="auto" w:sz="4" w:space="0"/>
            </w:tcBorders>
            <w:vAlign w:val="center"/>
          </w:tcPr>
          <w:p w14:paraId="489AA7CC">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128" w:type="dxa"/>
            <w:tcBorders>
              <w:top w:val="single" w:color="auto" w:sz="4" w:space="0"/>
              <w:left w:val="single" w:color="auto" w:sz="4" w:space="0"/>
              <w:bottom w:val="single" w:color="auto" w:sz="4" w:space="0"/>
              <w:right w:val="single" w:color="auto" w:sz="4" w:space="0"/>
            </w:tcBorders>
            <w:vAlign w:val="top"/>
          </w:tcPr>
          <w:p w14:paraId="560FB0C5">
            <w:pPr>
              <w:pStyle w:val="39"/>
              <w:keepNext w:val="0"/>
              <w:keepLines w:val="0"/>
              <w:pageBreakBefore w:val="0"/>
              <w:widowControl/>
              <w:numPr>
                <w:ilvl w:val="0"/>
                <w:numId w:val="7"/>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外形尺寸：</w:t>
            </w:r>
            <w:r>
              <w:rPr>
                <w:rFonts w:hint="eastAsia" w:ascii="宋体" w:hAnsi="宋体" w:eastAsia="宋体" w:cs="宋体"/>
                <w:caps w:val="0"/>
                <w:smallCaps w:val="0"/>
                <w:vanish w:val="0"/>
                <w:color w:val="auto"/>
                <w:sz w:val="24"/>
                <w:szCs w:val="24"/>
                <w:highlight w:val="none"/>
                <w:lang w:val="en-US" w:eastAsia="zh-CN"/>
              </w:rPr>
              <w:t>≥6446471170mm；</w:t>
            </w:r>
          </w:p>
          <w:p w14:paraId="5A780828">
            <w:pPr>
              <w:pStyle w:val="39"/>
              <w:keepNext w:val="0"/>
              <w:keepLines w:val="0"/>
              <w:pageBreakBefore w:val="0"/>
              <w:widowControl/>
              <w:numPr>
                <w:ilvl w:val="0"/>
                <w:numId w:val="7"/>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lang w:val="en-US" w:eastAsia="zh-CN"/>
              </w:rPr>
            </w:pPr>
            <w:r>
              <w:rPr>
                <w:rFonts w:hint="eastAsia" w:ascii="宋体" w:hAnsi="宋体" w:eastAsia="宋体" w:cs="宋体"/>
                <w:color w:val="auto"/>
                <w:sz w:val="24"/>
                <w:szCs w:val="24"/>
                <w:highlight w:val="none"/>
              </w:rPr>
              <w:t>工作区尺寸：</w:t>
            </w:r>
            <w:r>
              <w:rPr>
                <w:rFonts w:hint="eastAsia" w:ascii="宋体" w:hAnsi="宋体" w:eastAsia="宋体" w:cs="宋体"/>
                <w:caps w:val="0"/>
                <w:smallCaps w:val="0"/>
                <w:vanish w:val="0"/>
                <w:color w:val="auto"/>
                <w:sz w:val="24"/>
                <w:szCs w:val="24"/>
                <w:highlight w:val="none"/>
                <w:lang w:val="en-US" w:eastAsia="zh-CN"/>
              </w:rPr>
              <w:t>≥500350580mm</w:t>
            </w:r>
          </w:p>
          <w:p w14:paraId="75ABECC6">
            <w:pPr>
              <w:pStyle w:val="39"/>
              <w:keepNext w:val="0"/>
              <w:keepLines w:val="0"/>
              <w:pageBreakBefore w:val="0"/>
              <w:widowControl/>
              <w:numPr>
                <w:ilvl w:val="0"/>
                <w:numId w:val="7"/>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温度选择范围：</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w:t>
            </w:r>
          </w:p>
          <w:p w14:paraId="0F77EEB5">
            <w:pPr>
              <w:pStyle w:val="39"/>
              <w:keepNext w:val="0"/>
              <w:keepLines w:val="0"/>
              <w:pageBreakBefore w:val="0"/>
              <w:widowControl/>
              <w:numPr>
                <w:ilvl w:val="0"/>
                <w:numId w:val="7"/>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rPr>
            </w:pPr>
            <w:r>
              <w:rPr>
                <w:rFonts w:hint="eastAsia" w:ascii="宋体" w:hAnsi="宋体" w:eastAsia="宋体" w:cs="宋体"/>
                <w:caps w:val="0"/>
                <w:smallCaps w:val="0"/>
                <w:vanish w:val="0"/>
                <w:color w:val="auto"/>
                <w:sz w:val="24"/>
                <w:szCs w:val="24"/>
                <w:highlight w:val="none"/>
                <w:lang w:val="en-US" w:eastAsia="zh-CN"/>
              </w:rPr>
              <w:t>设备容积；≥100L。</w:t>
            </w:r>
          </w:p>
          <w:p w14:paraId="377E405F">
            <w:pPr>
              <w:pStyle w:val="39"/>
              <w:keepNext w:val="0"/>
              <w:keepLines w:val="0"/>
              <w:pageBreakBefore w:val="0"/>
              <w:widowControl/>
              <w:numPr>
                <w:ilvl w:val="0"/>
                <w:numId w:val="7"/>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温度显示精度：0.1℃。</w:t>
            </w:r>
          </w:p>
          <w:p w14:paraId="4002AE25">
            <w:pPr>
              <w:pStyle w:val="39"/>
              <w:keepNext w:val="0"/>
              <w:keepLines w:val="0"/>
              <w:pageBreakBefore w:val="0"/>
              <w:widowControl/>
              <w:numPr>
                <w:ilvl w:val="0"/>
                <w:numId w:val="7"/>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rPr>
            </w:pPr>
            <w:r>
              <w:rPr>
                <w:rFonts w:hint="eastAsia" w:ascii="宋体" w:hAnsi="宋体" w:eastAsia="宋体" w:cs="宋体"/>
                <w:caps w:val="0"/>
                <w:smallCaps w:val="0"/>
                <w:vanish w:val="0"/>
                <w:color w:val="auto"/>
                <w:sz w:val="24"/>
                <w:szCs w:val="24"/>
                <w:highlight w:val="none"/>
              </w:rPr>
              <w:t>温度均匀性：±</w:t>
            </w:r>
            <w:r>
              <w:rPr>
                <w:rFonts w:hint="eastAsia" w:ascii="宋体" w:hAnsi="宋体" w:eastAsia="宋体" w:cs="宋体"/>
                <w:caps w:val="0"/>
                <w:smallCaps w:val="0"/>
                <w:vanish w:val="0"/>
                <w:color w:val="auto"/>
                <w:sz w:val="24"/>
                <w:szCs w:val="24"/>
                <w:highlight w:val="none"/>
                <w:lang w:val="en-US" w:eastAsia="zh-CN"/>
              </w:rPr>
              <w:t>2</w:t>
            </w:r>
            <w:r>
              <w:rPr>
                <w:rFonts w:hint="eastAsia" w:ascii="宋体" w:hAnsi="宋体" w:eastAsia="宋体" w:cs="宋体"/>
                <w:caps w:val="0"/>
                <w:smallCaps w:val="0"/>
                <w:vanish w:val="0"/>
                <w:color w:val="auto"/>
                <w:sz w:val="24"/>
                <w:szCs w:val="24"/>
                <w:highlight w:val="none"/>
              </w:rPr>
              <w:t>℃。</w:t>
            </w:r>
          </w:p>
          <w:p w14:paraId="295560FE">
            <w:pPr>
              <w:pStyle w:val="39"/>
              <w:keepNext w:val="0"/>
              <w:keepLines w:val="0"/>
              <w:pageBreakBefore w:val="0"/>
              <w:widowControl/>
              <w:numPr>
                <w:ilvl w:val="0"/>
                <w:numId w:val="7"/>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b w:val="0"/>
                <w:caps w:val="0"/>
                <w:smallCaps w:val="0"/>
                <w:vanish w:val="0"/>
                <w:color w:val="000000"/>
                <w:w w:val="100"/>
                <w:sz w:val="24"/>
                <w:szCs w:val="24"/>
                <w:highlight w:val="none"/>
                <w:lang w:val="en-US" w:eastAsia="zh-CN"/>
              </w:rPr>
            </w:pPr>
            <w:r>
              <w:rPr>
                <w:rFonts w:hint="eastAsia" w:ascii="宋体" w:hAnsi="宋体" w:eastAsia="宋体" w:cs="宋体"/>
                <w:caps w:val="0"/>
                <w:smallCaps w:val="0"/>
                <w:vanish w:val="0"/>
                <w:color w:val="auto"/>
                <w:sz w:val="24"/>
                <w:szCs w:val="24"/>
                <w:highlight w:val="none"/>
              </w:rPr>
              <w:t>温</w:t>
            </w:r>
            <w:r>
              <w:rPr>
                <w:rFonts w:hint="eastAsia" w:ascii="宋体" w:hAnsi="宋体" w:eastAsia="宋体" w:cs="宋体"/>
                <w:color w:val="auto"/>
                <w:sz w:val="24"/>
                <w:szCs w:val="24"/>
                <w:highlight w:val="none"/>
              </w:rPr>
              <w:t>度波动度：±</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p>
          <w:p w14:paraId="18A8B484">
            <w:pPr>
              <w:pStyle w:val="39"/>
              <w:keepNext w:val="0"/>
              <w:keepLines w:val="0"/>
              <w:pageBreakBefore w:val="0"/>
              <w:widowControl/>
              <w:numPr>
                <w:ilvl w:val="0"/>
                <w:numId w:val="7"/>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lang w:val="en-US" w:eastAsia="zh-CN"/>
              </w:rPr>
            </w:pPr>
            <w:r>
              <w:rPr>
                <w:rFonts w:hint="eastAsia" w:ascii="宋体" w:hAnsi="宋体" w:eastAsia="宋体" w:cs="宋体"/>
                <w:caps w:val="0"/>
                <w:smallCaps w:val="0"/>
                <w:vanish w:val="0"/>
                <w:color w:val="auto"/>
                <w:sz w:val="24"/>
                <w:szCs w:val="24"/>
                <w:highlight w:val="none"/>
                <w:lang w:val="en-US" w:eastAsia="zh-CN"/>
              </w:rPr>
              <w:t>选配；可选配紫外线杀菌，可选配隔板架，可选配USB接口</w:t>
            </w:r>
          </w:p>
          <w:p w14:paraId="27BE4291">
            <w:pPr>
              <w:pStyle w:val="39"/>
              <w:keepNext w:val="0"/>
              <w:keepLines w:val="0"/>
              <w:pageBreakBefore w:val="0"/>
              <w:widowControl/>
              <w:numPr>
                <w:ilvl w:val="0"/>
                <w:numId w:val="7"/>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lang w:val="en-US" w:eastAsia="zh-CN"/>
              </w:rPr>
            </w:pPr>
            <w:r>
              <w:rPr>
                <w:rFonts w:hint="eastAsia" w:ascii="宋体" w:hAnsi="宋体" w:eastAsia="宋体" w:cs="宋体"/>
                <w:caps w:val="0"/>
                <w:smallCaps w:val="0"/>
                <w:vanish w:val="0"/>
                <w:color w:val="auto"/>
                <w:sz w:val="24"/>
                <w:szCs w:val="24"/>
                <w:highlight w:val="none"/>
                <w:lang w:val="en-US" w:eastAsia="zh-CN"/>
              </w:rPr>
              <w:t>二类医疗器械注册证</w:t>
            </w:r>
          </w:p>
          <w:p w14:paraId="0D91E95B">
            <w:pPr>
              <w:pStyle w:val="39"/>
              <w:keepNext w:val="0"/>
              <w:keepLines w:val="0"/>
              <w:pageBreakBefore w:val="0"/>
              <w:widowControl/>
              <w:numPr>
                <w:ilvl w:val="0"/>
                <w:numId w:val="7"/>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lang w:val="zh-CN"/>
              </w:rPr>
            </w:pPr>
            <w:r>
              <w:rPr>
                <w:rFonts w:hint="eastAsia" w:ascii="宋体" w:hAnsi="宋体" w:eastAsia="宋体" w:cs="宋体"/>
                <w:caps w:val="0"/>
                <w:smallCaps w:val="0"/>
                <w:vanish w:val="0"/>
                <w:color w:val="auto"/>
                <w:sz w:val="24"/>
                <w:szCs w:val="24"/>
                <w:highlight w:val="none"/>
                <w:lang w:val="en-US" w:eastAsia="zh-CN"/>
              </w:rPr>
              <w:t>箱体两侧标配测试孔，可根据实际需求检测工作室内温度</w:t>
            </w:r>
            <w:r>
              <w:rPr>
                <w:rFonts w:hint="eastAsia" w:ascii="宋体" w:hAnsi="宋体" w:eastAsia="宋体" w:cs="宋体"/>
                <w:caps w:val="0"/>
                <w:smallCaps w:val="0"/>
                <w:vanish w:val="0"/>
                <w:color w:val="auto"/>
                <w:sz w:val="24"/>
                <w:szCs w:val="24"/>
                <w:highlight w:val="none"/>
                <w:lang w:val="zh-CN"/>
              </w:rPr>
              <w:t>。</w:t>
            </w:r>
          </w:p>
          <w:p w14:paraId="566DCBE4">
            <w:pPr>
              <w:pStyle w:val="39"/>
              <w:keepNext w:val="0"/>
              <w:keepLines w:val="0"/>
              <w:pageBreakBefore w:val="0"/>
              <w:widowControl/>
              <w:numPr>
                <w:ilvl w:val="0"/>
                <w:numId w:val="7"/>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lang w:val="zh-CN"/>
              </w:rPr>
            </w:pPr>
            <w:r>
              <w:rPr>
                <w:rFonts w:hint="eastAsia" w:ascii="宋体" w:hAnsi="宋体" w:eastAsia="宋体" w:cs="宋体"/>
                <w:color w:val="auto"/>
                <w:sz w:val="24"/>
                <w:szCs w:val="24"/>
                <w:highlight w:val="none"/>
                <w:lang w:val="en-US" w:eastAsia="zh-CN"/>
              </w:rPr>
              <w:t>≥7.0寸显示屏，</w:t>
            </w:r>
            <w:r>
              <w:rPr>
                <w:rFonts w:hint="eastAsia" w:ascii="宋体" w:hAnsi="宋体" w:eastAsia="宋体" w:cs="宋体"/>
                <w:caps w:val="0"/>
                <w:smallCaps w:val="0"/>
                <w:vanish w:val="0"/>
                <w:color w:val="auto"/>
                <w:sz w:val="24"/>
                <w:szCs w:val="24"/>
                <w:highlight w:val="none"/>
                <w:lang w:val="en-US" w:eastAsia="zh-CN"/>
              </w:rPr>
              <w:t>显示2h温度变化曲线，标配打印机，标配BOD插座，方便内部供电使用。</w:t>
            </w:r>
          </w:p>
          <w:p w14:paraId="7DE2EAC1">
            <w:pPr>
              <w:pStyle w:val="39"/>
              <w:keepNext w:val="0"/>
              <w:keepLines w:val="0"/>
              <w:pageBreakBefore w:val="0"/>
              <w:widowControl/>
              <w:numPr>
                <w:ilvl w:val="0"/>
                <w:numId w:val="7"/>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lang w:val="en-US" w:eastAsia="zh-CN"/>
              </w:rPr>
            </w:pPr>
            <w:r>
              <w:rPr>
                <w:rFonts w:hint="eastAsia" w:ascii="宋体" w:hAnsi="宋体" w:eastAsia="宋体" w:cs="宋体"/>
                <w:caps w:val="0"/>
                <w:smallCaps w:val="0"/>
                <w:vanish w:val="0"/>
                <w:color w:val="auto"/>
                <w:sz w:val="24"/>
                <w:szCs w:val="24"/>
                <w:highlight w:val="none"/>
                <w:lang w:val="en-US" w:eastAsia="zh-CN"/>
              </w:rPr>
              <w:t>独特的制冷回路，具备自动化霜功能，化霜温度波动小。</w:t>
            </w:r>
          </w:p>
          <w:p w14:paraId="4FB03CAA">
            <w:pPr>
              <w:pStyle w:val="39"/>
              <w:keepNext w:val="0"/>
              <w:keepLines w:val="0"/>
              <w:pageBreakBefore w:val="0"/>
              <w:widowControl/>
              <w:numPr>
                <w:ilvl w:val="0"/>
                <w:numId w:val="7"/>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lang w:val="en-US" w:eastAsia="zh-CN"/>
              </w:rPr>
            </w:pPr>
            <w:r>
              <w:rPr>
                <w:rFonts w:hint="eastAsia" w:ascii="宋体" w:hAnsi="宋体" w:eastAsia="宋体" w:cs="宋体"/>
                <w:color w:val="auto"/>
                <w:sz w:val="24"/>
                <w:szCs w:val="24"/>
                <w:highlight w:val="none"/>
              </w:rPr>
              <w:t>具有限温报警系统功能，超过限制温度即自动中断</w:t>
            </w:r>
            <w:r>
              <w:rPr>
                <w:rFonts w:hint="eastAsia" w:ascii="宋体" w:hAnsi="宋体" w:eastAsia="宋体" w:cs="宋体"/>
                <w:caps w:val="0"/>
                <w:smallCaps w:val="0"/>
                <w:vanish w:val="0"/>
                <w:color w:val="auto"/>
                <w:sz w:val="24"/>
                <w:szCs w:val="24"/>
                <w:highlight w:val="none"/>
              </w:rPr>
              <w:t>，</w:t>
            </w:r>
            <w:r>
              <w:rPr>
                <w:rFonts w:hint="eastAsia" w:ascii="宋体" w:hAnsi="宋体" w:eastAsia="宋体" w:cs="宋体"/>
                <w:caps w:val="0"/>
                <w:smallCaps w:val="0"/>
                <w:vanish w:val="0"/>
                <w:color w:val="auto"/>
                <w:sz w:val="24"/>
                <w:szCs w:val="24"/>
                <w:highlight w:val="none"/>
                <w:lang w:val="en-US" w:eastAsia="zh-CN"/>
              </w:rPr>
              <w:t>防止温度过高对仪器产生损害</w:t>
            </w:r>
            <w:r>
              <w:rPr>
                <w:rFonts w:hint="eastAsia" w:ascii="宋体" w:hAnsi="宋体" w:eastAsia="宋体" w:cs="宋体"/>
                <w:caps w:val="0"/>
                <w:smallCaps w:val="0"/>
                <w:vanish w:val="0"/>
                <w:color w:val="auto"/>
                <w:sz w:val="24"/>
                <w:szCs w:val="24"/>
                <w:highlight w:val="none"/>
              </w:rPr>
              <w:t>。</w:t>
            </w:r>
          </w:p>
          <w:p w14:paraId="7499311F">
            <w:pPr>
              <w:pStyle w:val="39"/>
              <w:keepNext w:val="0"/>
              <w:keepLines w:val="0"/>
              <w:pageBreakBefore w:val="0"/>
              <w:widowControl/>
              <w:numPr>
                <w:ilvl w:val="0"/>
                <w:numId w:val="7"/>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lang w:val="en-US" w:eastAsia="zh-CN"/>
              </w:rPr>
            </w:pPr>
            <w:r>
              <w:rPr>
                <w:rFonts w:hint="eastAsia" w:ascii="宋体" w:hAnsi="宋体" w:eastAsia="宋体" w:cs="宋体"/>
                <w:caps w:val="0"/>
                <w:smallCaps w:val="0"/>
                <w:vanish w:val="0"/>
                <w:color w:val="auto"/>
                <w:sz w:val="24"/>
                <w:szCs w:val="24"/>
                <w:highlight w:val="none"/>
                <w:lang w:val="en-US" w:eastAsia="zh-CN"/>
              </w:rPr>
              <w:t>采用镜面不锈钢内胆，四角圆弧过渡，防滑脱隔板设计，可拆卸调节高度，便于清洁，</w:t>
            </w:r>
            <w:r>
              <w:rPr>
                <w:rFonts w:hint="eastAsia" w:ascii="宋体" w:hAnsi="宋体" w:eastAsia="宋体" w:cs="宋体"/>
                <w:caps w:val="0"/>
                <w:smallCaps w:val="0"/>
                <w:vanish w:val="0"/>
                <w:color w:val="auto"/>
                <w:sz w:val="24"/>
                <w:szCs w:val="24"/>
                <w:highlight w:val="none"/>
              </w:rPr>
              <w:t>箱体外部为碳钢喷塑</w:t>
            </w:r>
            <w:r>
              <w:rPr>
                <w:rFonts w:hint="eastAsia" w:ascii="宋体" w:hAnsi="宋体" w:eastAsia="宋体" w:cs="宋体"/>
                <w:caps w:val="0"/>
                <w:smallCaps w:val="0"/>
                <w:vanish w:val="0"/>
                <w:color w:val="auto"/>
                <w:sz w:val="24"/>
                <w:szCs w:val="24"/>
                <w:highlight w:val="none"/>
                <w:lang w:eastAsia="zh-CN"/>
              </w:rPr>
              <w:t>。</w:t>
            </w:r>
          </w:p>
          <w:p w14:paraId="50AA960D">
            <w:pPr>
              <w:pStyle w:val="39"/>
              <w:keepNext w:val="0"/>
              <w:keepLines w:val="0"/>
              <w:pageBreakBefore w:val="0"/>
              <w:widowControl/>
              <w:numPr>
                <w:ilvl w:val="0"/>
                <w:numId w:val="7"/>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双层门结构，</w:t>
            </w:r>
            <w:r>
              <w:rPr>
                <w:rFonts w:hint="eastAsia" w:ascii="宋体" w:hAnsi="宋体" w:eastAsia="宋体" w:cs="宋体"/>
                <w:color w:val="auto"/>
                <w:sz w:val="24"/>
                <w:szCs w:val="24"/>
                <w:highlight w:val="none"/>
                <w:lang w:val="zh-CN"/>
              </w:rPr>
              <w:t>密封门</w:t>
            </w:r>
            <w:r>
              <w:rPr>
                <w:rFonts w:hint="eastAsia" w:ascii="宋体" w:hAnsi="宋体" w:eastAsia="宋体" w:cs="宋体"/>
                <w:color w:val="auto"/>
                <w:sz w:val="24"/>
                <w:szCs w:val="24"/>
                <w:highlight w:val="none"/>
                <w:lang w:val="en-US" w:eastAsia="zh-CN"/>
              </w:rPr>
              <w:t>为钢化玻璃内门，外门采用磁性门封设计，</w:t>
            </w:r>
            <w:r>
              <w:rPr>
                <w:rFonts w:hint="eastAsia" w:ascii="宋体" w:hAnsi="宋体" w:eastAsia="宋体" w:cs="宋体"/>
                <w:color w:val="auto"/>
                <w:sz w:val="24"/>
                <w:szCs w:val="24"/>
                <w:highlight w:val="none"/>
                <w:lang w:val="zh-CN"/>
              </w:rPr>
              <w:t>便于观察设备内部情况。</w:t>
            </w:r>
          </w:p>
          <w:p w14:paraId="7741843F">
            <w:pPr>
              <w:pStyle w:val="39"/>
              <w:keepNext w:val="0"/>
              <w:keepLines w:val="0"/>
              <w:pageBreakBefore w:val="0"/>
              <w:widowControl/>
              <w:numPr>
                <w:ilvl w:val="0"/>
                <w:numId w:val="7"/>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caps w:val="0"/>
                <w:smallCaps w:val="0"/>
                <w:vanish w:val="0"/>
                <w:color w:val="auto"/>
                <w:sz w:val="24"/>
                <w:szCs w:val="24"/>
                <w:highlight w:val="none"/>
                <w:lang w:val="en-US" w:eastAsia="zh-CN"/>
              </w:rPr>
              <w:t>采用PID微电脑控温技术，带有定时功能，定时范围0-999小时59分钟，可进行多段温度设置，最多可设置12段，每段运行时间可设定。</w:t>
            </w:r>
          </w:p>
        </w:tc>
      </w:tr>
      <w:tr w14:paraId="5B26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14:paraId="796ABE46">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w:t>
            </w:r>
          </w:p>
        </w:tc>
        <w:tc>
          <w:tcPr>
            <w:tcW w:w="646" w:type="dxa"/>
            <w:tcBorders>
              <w:top w:val="single" w:color="auto" w:sz="4" w:space="0"/>
              <w:left w:val="single" w:color="auto" w:sz="4" w:space="0"/>
              <w:bottom w:val="single" w:color="auto" w:sz="4" w:space="0"/>
              <w:right w:val="single" w:color="auto" w:sz="4" w:space="0"/>
            </w:tcBorders>
            <w:vAlign w:val="center"/>
          </w:tcPr>
          <w:p w14:paraId="1B113BF5">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生物安全柜</w:t>
            </w:r>
          </w:p>
        </w:tc>
        <w:tc>
          <w:tcPr>
            <w:tcW w:w="629" w:type="dxa"/>
            <w:tcBorders>
              <w:top w:val="single" w:color="auto" w:sz="4" w:space="0"/>
              <w:left w:val="single" w:color="auto" w:sz="4" w:space="0"/>
              <w:bottom w:val="single" w:color="auto" w:sz="4" w:space="0"/>
              <w:right w:val="single" w:color="auto" w:sz="4" w:space="0"/>
            </w:tcBorders>
            <w:vAlign w:val="center"/>
          </w:tcPr>
          <w:p w14:paraId="74AC7C86">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663" w:type="dxa"/>
            <w:tcBorders>
              <w:top w:val="single" w:color="auto" w:sz="4" w:space="0"/>
              <w:left w:val="single" w:color="auto" w:sz="4" w:space="0"/>
              <w:bottom w:val="single" w:color="auto" w:sz="4" w:space="0"/>
              <w:right w:val="single" w:color="auto" w:sz="4" w:space="0"/>
            </w:tcBorders>
            <w:vAlign w:val="center"/>
          </w:tcPr>
          <w:p w14:paraId="2EBE3750">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7128" w:type="dxa"/>
            <w:tcBorders>
              <w:top w:val="single" w:color="auto" w:sz="4" w:space="0"/>
              <w:left w:val="single" w:color="auto" w:sz="4" w:space="0"/>
              <w:bottom w:val="single" w:color="auto" w:sz="4" w:space="0"/>
              <w:right w:val="single" w:color="auto" w:sz="4" w:space="0"/>
            </w:tcBorders>
            <w:vAlign w:val="top"/>
          </w:tcPr>
          <w:p w14:paraId="50759888">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一、技术参数</w:t>
            </w:r>
          </w:p>
          <w:p w14:paraId="2676932E">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1、安全柜基本参数：</w:t>
            </w:r>
          </w:p>
          <w:p w14:paraId="69A485B4">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（1）分类：A2型，30%外排，70%循环</w:t>
            </w:r>
          </w:p>
          <w:p w14:paraId="282D1773">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（2）外部尺寸≥（L×D×H）1</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00mm×7</w:t>
            </w:r>
            <w:r>
              <w:rPr>
                <w:rFonts w:hint="eastAsia" w:ascii="宋体" w:hAnsi="宋体" w:eastAsia="宋体" w:cs="宋体"/>
                <w:bCs/>
                <w:color w:val="auto"/>
                <w:kern w:val="0"/>
                <w:sz w:val="24"/>
                <w:szCs w:val="24"/>
                <w:highlight w:val="none"/>
                <w:lang w:val="en-US" w:eastAsia="zh-CN"/>
              </w:rPr>
              <w:t>50</w:t>
            </w:r>
            <w:r>
              <w:rPr>
                <w:rFonts w:hint="eastAsia" w:ascii="宋体" w:hAnsi="宋体" w:eastAsia="宋体" w:cs="宋体"/>
                <w:bCs/>
                <w:color w:val="auto"/>
                <w:kern w:val="0"/>
                <w:sz w:val="24"/>
                <w:szCs w:val="24"/>
                <w:highlight w:val="none"/>
              </w:rPr>
              <w:t>mm×22</w:t>
            </w:r>
            <w:r>
              <w:rPr>
                <w:rFonts w:hint="eastAsia" w:ascii="宋体" w:hAnsi="宋体" w:eastAsia="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rPr>
              <w:t>0mm；</w:t>
            </w:r>
          </w:p>
          <w:p w14:paraId="3514209D">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（3）内部尺寸≥（L×D×H）</w:t>
            </w:r>
            <w:r>
              <w:rPr>
                <w:rFonts w:hint="eastAsia" w:ascii="宋体" w:hAnsi="宋体" w:eastAsia="宋体" w:cs="宋体"/>
                <w:bCs/>
                <w:color w:val="auto"/>
                <w:kern w:val="0"/>
                <w:sz w:val="24"/>
                <w:szCs w:val="24"/>
                <w:highlight w:val="none"/>
                <w:lang w:val="en-US" w:eastAsia="zh-CN"/>
              </w:rPr>
              <w:t>94</w:t>
            </w:r>
            <w:r>
              <w:rPr>
                <w:rFonts w:hint="eastAsia" w:ascii="宋体" w:hAnsi="宋体" w:eastAsia="宋体" w:cs="宋体"/>
                <w:bCs/>
                <w:color w:val="auto"/>
                <w:kern w:val="0"/>
                <w:sz w:val="24"/>
                <w:szCs w:val="24"/>
                <w:highlight w:val="none"/>
              </w:rPr>
              <w:t>0mm ×600mm×6</w:t>
            </w:r>
            <w:r>
              <w:rPr>
                <w:rFonts w:hint="eastAsia" w:ascii="宋体" w:hAnsi="宋体" w:eastAsia="宋体" w:cs="宋体"/>
                <w:bCs/>
                <w:color w:val="auto"/>
                <w:kern w:val="0"/>
                <w:sz w:val="24"/>
                <w:szCs w:val="24"/>
                <w:highlight w:val="none"/>
                <w:lang w:val="en-US" w:eastAsia="zh-CN"/>
              </w:rPr>
              <w:t>0</w:t>
            </w:r>
            <w:r>
              <w:rPr>
                <w:rFonts w:hint="eastAsia" w:ascii="宋体" w:hAnsi="宋体" w:eastAsia="宋体" w:cs="宋体"/>
                <w:bCs/>
                <w:color w:val="auto"/>
                <w:kern w:val="0"/>
                <w:sz w:val="24"/>
                <w:szCs w:val="24"/>
                <w:highlight w:val="none"/>
              </w:rPr>
              <w:t>0mm 。</w:t>
            </w:r>
          </w:p>
          <w:p w14:paraId="1CA586A0">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（4）台面距离地面高度：≥7</w:t>
            </w:r>
            <w:r>
              <w:rPr>
                <w:rFonts w:hint="eastAsia" w:ascii="宋体" w:hAnsi="宋体" w:eastAsia="宋体" w:cs="宋体"/>
                <w:bCs/>
                <w:color w:val="auto"/>
                <w:kern w:val="0"/>
                <w:sz w:val="24"/>
                <w:szCs w:val="24"/>
                <w:highlight w:val="none"/>
                <w:lang w:val="en-US" w:eastAsia="zh-CN"/>
              </w:rPr>
              <w:t>7</w:t>
            </w:r>
            <w:r>
              <w:rPr>
                <w:rFonts w:hint="eastAsia" w:ascii="宋体" w:hAnsi="宋体" w:eastAsia="宋体" w:cs="宋体"/>
                <w:bCs/>
                <w:color w:val="auto"/>
                <w:kern w:val="0"/>
                <w:sz w:val="24"/>
                <w:szCs w:val="24"/>
                <w:highlight w:val="none"/>
              </w:rPr>
              <w:t>0mm（尺寸可根据要求订制修改）</w:t>
            </w:r>
          </w:p>
          <w:p w14:paraId="57D5B228">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（5）风速： 平均下降风速：0.33±0.025m/s； 平均吸入口风速0.53±0.025m/s</w:t>
            </w:r>
          </w:p>
          <w:p w14:paraId="4A3A8257">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（6）系统排风总量：</w:t>
            </w:r>
            <w:r>
              <w:rPr>
                <w:rFonts w:hint="eastAsia" w:ascii="宋体" w:hAnsi="宋体" w:eastAsia="宋体" w:cs="宋体"/>
                <w:bCs/>
                <w:color w:val="auto"/>
                <w:kern w:val="0"/>
                <w:sz w:val="24"/>
                <w:szCs w:val="24"/>
                <w:highlight w:val="none"/>
                <w:lang w:val="en-US" w:eastAsia="zh-CN"/>
              </w:rPr>
              <w:t>360</w:t>
            </w:r>
            <w:r>
              <w:rPr>
                <w:rFonts w:hint="eastAsia"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lang w:val="en-US" w:eastAsia="zh-CN"/>
              </w:rPr>
              <w:t>m³</w:t>
            </w:r>
            <w:r>
              <w:rPr>
                <w:rFonts w:hint="eastAsia" w:ascii="宋体" w:hAnsi="宋体" w:eastAsia="宋体" w:cs="宋体"/>
                <w:bCs/>
                <w:color w:val="auto"/>
                <w:kern w:val="0"/>
                <w:sz w:val="24"/>
                <w:szCs w:val="24"/>
                <w:highlight w:val="none"/>
              </w:rPr>
              <w:t>/h</w:t>
            </w:r>
          </w:p>
          <w:p w14:paraId="7E1295B9">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w:t>
            </w:r>
            <w:r>
              <w:rPr>
                <w:rFonts w:hint="eastAsia" w:ascii="宋体" w:hAnsi="宋体" w:eastAsia="宋体" w:cs="宋体"/>
                <w:bCs/>
                <w:kern w:val="0"/>
                <w:sz w:val="24"/>
                <w:szCs w:val="24"/>
                <w:highlight w:val="none"/>
              </w:rPr>
              <w:t>额定功率：1100W（包含操作区插座负载500W）</w:t>
            </w:r>
          </w:p>
          <w:p w14:paraId="59454F4B">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（8）噪音等级：≤6</w:t>
            </w:r>
            <w:r>
              <w:rPr>
                <w:rFonts w:hint="eastAsia" w:ascii="宋体" w:hAnsi="宋体" w:eastAsia="宋体" w:cs="宋体"/>
                <w:bCs/>
                <w:color w:val="auto"/>
                <w:kern w:val="0"/>
                <w:sz w:val="24"/>
                <w:szCs w:val="24"/>
                <w:highlight w:val="none"/>
                <w:lang w:val="en-US" w:eastAsia="zh-CN"/>
              </w:rPr>
              <w:t>7</w:t>
            </w:r>
            <w:r>
              <w:rPr>
                <w:rFonts w:hint="eastAsia" w:ascii="宋体" w:hAnsi="宋体" w:eastAsia="宋体" w:cs="宋体"/>
                <w:bCs/>
                <w:color w:val="auto"/>
                <w:kern w:val="0"/>
                <w:sz w:val="24"/>
                <w:szCs w:val="24"/>
                <w:highlight w:val="none"/>
              </w:rPr>
              <w:t>dB（A）</w:t>
            </w:r>
          </w:p>
          <w:p w14:paraId="2791CA8F">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（9）照明：≥</w:t>
            </w:r>
            <w:r>
              <w:rPr>
                <w:rFonts w:hint="eastAsia" w:ascii="宋体" w:hAnsi="宋体" w:eastAsia="宋体" w:cs="宋体"/>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00lx</w:t>
            </w:r>
          </w:p>
          <w:p w14:paraId="49B2690E">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（10）过滤效率:送风和排风过滤器均采用世界知名品牌的硼硅酸盐玻璃纤维材质的ULPA高效过滤器，对0.12μm颗粒过滤效率≥99.9995%</w:t>
            </w:r>
          </w:p>
          <w:p w14:paraId="01BB59C2">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二、结构功能特点：</w:t>
            </w:r>
          </w:p>
          <w:p w14:paraId="7DAC819C">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1、前窗气流隔断设计：防止了气流通过前窗侧壁及上侧进行泄露；</w:t>
            </w:r>
          </w:p>
          <w:p w14:paraId="01FB7E3D">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2、柜体采用10°倾斜角设计；</w:t>
            </w:r>
          </w:p>
          <w:p w14:paraId="7C129C0E">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3、安全柜裸露工作区三侧壁板采用304#不锈钢一体化结构，内部可清洗部位采用8mm大圆角处理；</w:t>
            </w:r>
          </w:p>
          <w:p w14:paraId="65785052">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4、工作区采用四面（左右二侧、后部、底部）负压环绕设计工作区内；</w:t>
            </w:r>
          </w:p>
          <w:p w14:paraId="55ACCD3A">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5、工作台面材质为优质304#不锈钢，采用盆状式设计，即使实验有废液溢出，也不会流入积液槽中，便于清理；</w:t>
            </w:r>
          </w:p>
          <w:p w14:paraId="4E44CAD9">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6、福马脚轮设计：脚轮与支架一体化设计；</w:t>
            </w:r>
          </w:p>
          <w:p w14:paraId="12BE41E9">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7、柜体和支架可分离，支架高度可根据实际情况订制修改；</w:t>
            </w:r>
          </w:p>
          <w:p w14:paraId="6ABFBD04">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8、安全柜过滤器和风机的维修、更换，都可在安全柜的前侧进行</w:t>
            </w:r>
            <w:r>
              <w:rPr>
                <w:rFonts w:hint="eastAsia" w:ascii="宋体" w:hAnsi="宋体" w:eastAsia="宋体" w:cs="宋体"/>
                <w:bCs/>
                <w:color w:val="auto"/>
                <w:kern w:val="0"/>
                <w:sz w:val="24"/>
                <w:szCs w:val="24"/>
                <w:highlight w:val="none"/>
                <w:lang w:eastAsia="zh-CN"/>
              </w:rPr>
              <w:t>。</w:t>
            </w:r>
          </w:p>
          <w:p w14:paraId="6791DE92">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9、前窗玻璃采用双层夹胶防爆安全玻璃；</w:t>
            </w:r>
          </w:p>
          <w:p w14:paraId="5D9106A6">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10、L</w:t>
            </w:r>
            <w:r>
              <w:rPr>
                <w:rFonts w:hint="eastAsia" w:ascii="宋体" w:hAnsi="宋体" w:eastAsia="宋体" w:cs="宋体"/>
                <w:bCs/>
                <w:color w:val="auto"/>
                <w:kern w:val="0"/>
                <w:sz w:val="24"/>
                <w:szCs w:val="24"/>
                <w:highlight w:val="none"/>
                <w:lang w:val="en-US" w:eastAsia="zh-CN"/>
              </w:rPr>
              <w:t>C</w:t>
            </w:r>
            <w:r>
              <w:rPr>
                <w:rFonts w:hint="eastAsia" w:ascii="宋体" w:hAnsi="宋体" w:eastAsia="宋体" w:cs="宋体"/>
                <w:bCs/>
                <w:color w:val="auto"/>
                <w:kern w:val="0"/>
                <w:sz w:val="24"/>
                <w:szCs w:val="24"/>
                <w:highlight w:val="none"/>
              </w:rPr>
              <w:t>D</w:t>
            </w:r>
            <w:r>
              <w:rPr>
                <w:rFonts w:hint="eastAsia" w:ascii="宋体" w:hAnsi="宋体" w:eastAsia="宋体" w:cs="宋体"/>
                <w:bCs/>
                <w:color w:val="auto"/>
                <w:kern w:val="0"/>
                <w:sz w:val="24"/>
                <w:szCs w:val="24"/>
                <w:highlight w:val="none"/>
                <w:lang w:val="en-US" w:eastAsia="zh-CN"/>
              </w:rPr>
              <w:t>彩色</w:t>
            </w:r>
            <w:r>
              <w:rPr>
                <w:rFonts w:hint="eastAsia" w:ascii="宋体" w:hAnsi="宋体" w:eastAsia="宋体" w:cs="宋体"/>
                <w:bCs/>
                <w:color w:val="auto"/>
                <w:kern w:val="0"/>
                <w:sz w:val="24"/>
                <w:szCs w:val="24"/>
                <w:highlight w:val="none"/>
              </w:rPr>
              <w:t>液晶显示屏，全参数显示,实时动态显示操作区的下降气流流速和流入气流流速，显示安全柜的整体运行时间，UV灯的运行时间，操作区的温度和湿度，送风和排风过滤器的阻力，显示过滤器的使用时间并由条码显示过滤器的使用寿命，条码全部点亮是过滤器寿命到期，运行状态全部显示；</w:t>
            </w:r>
          </w:p>
          <w:p w14:paraId="7BE71491">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11、脚踏电动、</w:t>
            </w:r>
            <w:r>
              <w:rPr>
                <w:rFonts w:hint="eastAsia" w:ascii="宋体" w:hAnsi="宋体" w:eastAsia="宋体" w:cs="宋体"/>
                <w:bCs/>
                <w:color w:val="auto"/>
                <w:kern w:val="0"/>
                <w:sz w:val="24"/>
                <w:szCs w:val="24"/>
                <w:highlight w:val="none"/>
                <w:lang w:val="en-US" w:eastAsia="zh-CN"/>
              </w:rPr>
              <w:t>轻触</w:t>
            </w:r>
            <w:r>
              <w:rPr>
                <w:rFonts w:hint="eastAsia" w:ascii="宋体" w:hAnsi="宋体" w:eastAsia="宋体" w:cs="宋体"/>
                <w:bCs/>
                <w:color w:val="auto"/>
                <w:kern w:val="0"/>
                <w:sz w:val="24"/>
                <w:szCs w:val="24"/>
                <w:highlight w:val="none"/>
              </w:rPr>
              <w:t>按键、遥控电动三种方式灵活控制玻璃门升降；</w:t>
            </w:r>
          </w:p>
          <w:p w14:paraId="6665481B">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12、遥控控制：安全柜的所有按键操作，都可通过遥控控制实现；</w:t>
            </w:r>
          </w:p>
          <w:p w14:paraId="13E34635">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13、具有预约定时功能，能自动设定安全柜定时开机、关机及紫外灯消毒时间；</w:t>
            </w:r>
          </w:p>
          <w:p w14:paraId="1E56C8CC">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14、严格的气密性检测：安全柜内加压500Pa，保持</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0min后气压不低于450Pa。</w:t>
            </w:r>
          </w:p>
          <w:p w14:paraId="0D717554">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15、前窗气流隔断设计；</w:t>
            </w:r>
          </w:p>
          <w:p w14:paraId="28B97B43">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16、风机的电机当安全柜在正常运行而不调整电机的速度控制，经过滤器的风压下降50%时，风机的排气量下降不超过10%</w:t>
            </w:r>
          </w:p>
          <w:p w14:paraId="70965DEA">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17、报警系统：玻璃门不在安全高度报警；过滤器压力超高报警；过滤器失效更换报警；气流波动报警</w:t>
            </w:r>
            <w:r>
              <w:rPr>
                <w:rFonts w:hint="eastAsia" w:ascii="宋体" w:hAnsi="宋体" w:eastAsia="宋体" w:cs="宋体"/>
                <w:bCs/>
                <w:color w:val="auto"/>
                <w:kern w:val="0"/>
                <w:sz w:val="24"/>
                <w:szCs w:val="24"/>
                <w:highlight w:val="none"/>
                <w:lang w:eastAsia="zh-CN"/>
              </w:rPr>
              <w:t>。</w:t>
            </w:r>
          </w:p>
          <w:p w14:paraId="4679AF53">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18、安全的连锁保护设计：安全柜风机与玻璃门互锁</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紫外灯与安全柜玻璃门、风机及照明灯互锁</w:t>
            </w:r>
            <w:r>
              <w:rPr>
                <w:rFonts w:hint="eastAsia" w:ascii="宋体" w:hAnsi="宋体" w:eastAsia="宋体" w:cs="宋体"/>
                <w:bCs/>
                <w:color w:val="auto"/>
                <w:kern w:val="0"/>
                <w:sz w:val="24"/>
                <w:szCs w:val="24"/>
                <w:highlight w:val="none"/>
                <w:lang w:eastAsia="zh-CN"/>
              </w:rPr>
              <w:t>。</w:t>
            </w:r>
          </w:p>
          <w:p w14:paraId="4C2BB7DB">
            <w:pPr>
              <w:keepNext w:val="0"/>
              <w:keepLines w:val="0"/>
              <w:pageBreakBefore w:val="0"/>
              <w:widowControl/>
              <w:numPr>
                <w:ilvl w:val="0"/>
                <w:numId w:val="0"/>
              </w:numPr>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bCs/>
                <w:color w:val="auto"/>
                <w:kern w:val="0"/>
                <w:sz w:val="24"/>
                <w:szCs w:val="24"/>
                <w:highlight w:val="none"/>
                <w:lang w:eastAsia="zh-CN"/>
              </w:rPr>
              <w:t>前窗关闭双重触发信号，使紫外灯杀菌消毒功能正常开启；</w:t>
            </w:r>
          </w:p>
          <w:p w14:paraId="062D1556">
            <w:pPr>
              <w:keepNext w:val="0"/>
              <w:keepLines w:val="0"/>
              <w:pageBreakBefore w:val="0"/>
              <w:widowControl/>
              <w:numPr>
                <w:ilvl w:val="0"/>
                <w:numId w:val="0"/>
              </w:numPr>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bCs/>
                <w:color w:val="auto"/>
                <w:kern w:val="0"/>
                <w:sz w:val="24"/>
                <w:szCs w:val="24"/>
                <w:highlight w:val="none"/>
                <w:lang w:val="en-US" w:eastAsia="zh-CN"/>
              </w:rPr>
              <w:t>负压风道设有异物过滤结构，</w:t>
            </w:r>
            <w:r>
              <w:rPr>
                <w:rFonts w:hint="eastAsia" w:ascii="宋体" w:hAnsi="宋体" w:eastAsia="宋体" w:cs="宋体"/>
                <w:color w:val="auto"/>
                <w:sz w:val="24"/>
                <w:szCs w:val="24"/>
                <w:highlight w:val="none"/>
                <w:lang w:eastAsia="zh-CN"/>
              </w:rPr>
              <w:t>防止</w:t>
            </w:r>
            <w:r>
              <w:rPr>
                <w:rFonts w:hint="eastAsia" w:ascii="宋体" w:hAnsi="宋体" w:eastAsia="宋体" w:cs="宋体"/>
                <w:color w:val="auto"/>
                <w:sz w:val="24"/>
                <w:szCs w:val="24"/>
                <w:highlight w:val="none"/>
                <w:lang w:val="en-US" w:eastAsia="zh-CN"/>
              </w:rPr>
              <w:t>纸屑</w:t>
            </w:r>
            <w:r>
              <w:rPr>
                <w:rFonts w:hint="eastAsia" w:ascii="宋体" w:hAnsi="宋体" w:eastAsia="宋体" w:cs="宋体"/>
                <w:color w:val="auto"/>
                <w:sz w:val="24"/>
                <w:szCs w:val="24"/>
                <w:highlight w:val="none"/>
                <w:lang w:eastAsia="zh-CN"/>
              </w:rPr>
              <w:t>等异物进入风机系统</w:t>
            </w:r>
            <w:r>
              <w:rPr>
                <w:rFonts w:hint="eastAsia" w:ascii="宋体" w:hAnsi="宋体" w:eastAsia="宋体" w:cs="宋体"/>
                <w:color w:val="auto"/>
                <w:sz w:val="24"/>
                <w:szCs w:val="24"/>
                <w:highlight w:val="none"/>
                <w:lang w:val="en-US" w:eastAsia="zh-CN"/>
              </w:rPr>
              <w:t>影响产品正常运行；</w:t>
            </w:r>
          </w:p>
        </w:tc>
      </w:tr>
      <w:tr w14:paraId="26D9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14:paraId="286E91C4">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w:t>
            </w:r>
          </w:p>
        </w:tc>
        <w:tc>
          <w:tcPr>
            <w:tcW w:w="646" w:type="dxa"/>
            <w:tcBorders>
              <w:top w:val="single" w:color="auto" w:sz="4" w:space="0"/>
              <w:left w:val="single" w:color="auto" w:sz="4" w:space="0"/>
              <w:bottom w:val="single" w:color="auto" w:sz="4" w:space="0"/>
              <w:right w:val="single" w:color="auto" w:sz="4" w:space="0"/>
            </w:tcBorders>
            <w:vAlign w:val="center"/>
          </w:tcPr>
          <w:p w14:paraId="36DED207">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超净工作台</w:t>
            </w:r>
          </w:p>
        </w:tc>
        <w:tc>
          <w:tcPr>
            <w:tcW w:w="629" w:type="dxa"/>
            <w:tcBorders>
              <w:top w:val="single" w:color="auto" w:sz="4" w:space="0"/>
              <w:left w:val="single" w:color="auto" w:sz="4" w:space="0"/>
              <w:bottom w:val="single" w:color="auto" w:sz="4" w:space="0"/>
              <w:right w:val="single" w:color="auto" w:sz="4" w:space="0"/>
            </w:tcBorders>
            <w:vAlign w:val="center"/>
          </w:tcPr>
          <w:p w14:paraId="5B50615A">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663" w:type="dxa"/>
            <w:tcBorders>
              <w:top w:val="single" w:color="auto" w:sz="4" w:space="0"/>
              <w:left w:val="single" w:color="auto" w:sz="4" w:space="0"/>
              <w:bottom w:val="single" w:color="auto" w:sz="4" w:space="0"/>
              <w:right w:val="single" w:color="auto" w:sz="4" w:space="0"/>
            </w:tcBorders>
            <w:vAlign w:val="center"/>
          </w:tcPr>
          <w:p w14:paraId="6D945F4D">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128" w:type="dxa"/>
            <w:tcBorders>
              <w:top w:val="single" w:color="auto" w:sz="4" w:space="0"/>
              <w:left w:val="single" w:color="auto" w:sz="4" w:space="0"/>
              <w:bottom w:val="single" w:color="auto" w:sz="4" w:space="0"/>
              <w:right w:val="single" w:color="auto" w:sz="4" w:space="0"/>
            </w:tcBorders>
            <w:vAlign w:val="top"/>
          </w:tcPr>
          <w:p w14:paraId="38204D07">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1、技术参数</w:t>
            </w:r>
          </w:p>
          <w:p w14:paraId="56135401">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1.1 外部尺寸:</w:t>
            </w:r>
            <w:r>
              <w:rPr>
                <w:rFonts w:hint="eastAsia" w:ascii="宋体" w:hAnsi="宋体" w:eastAsia="宋体" w:cs="宋体"/>
                <w:bCs/>
                <w:color w:val="auto"/>
                <w:kern w:val="0"/>
                <w:sz w:val="24"/>
                <w:szCs w:val="24"/>
                <w:highlight w:val="none"/>
              </w:rPr>
              <w:t>≥</w:t>
            </w:r>
            <w:r>
              <w:rPr>
                <w:rFonts w:hint="eastAsia" w:ascii="宋体" w:hAnsi="宋体" w:eastAsia="宋体" w:cs="宋体"/>
                <w:bCs/>
                <w:kern w:val="0"/>
                <w:sz w:val="24"/>
                <w:szCs w:val="24"/>
                <w:highlight w:val="none"/>
                <w:lang w:val="en-US" w:eastAsia="zh-CN"/>
              </w:rPr>
              <w:t>1060</w:t>
            </w:r>
            <w:r>
              <w:rPr>
                <w:rFonts w:hint="eastAsia" w:ascii="宋体" w:hAnsi="宋体" w:eastAsia="宋体" w:cs="宋体"/>
                <w:bCs/>
                <w:kern w:val="0"/>
                <w:sz w:val="24"/>
                <w:szCs w:val="24"/>
                <w:highlight w:val="none"/>
              </w:rPr>
              <w:t>mm×</w:t>
            </w:r>
            <w:r>
              <w:rPr>
                <w:rFonts w:hint="eastAsia" w:ascii="宋体" w:hAnsi="宋体" w:eastAsia="宋体" w:cs="宋体"/>
                <w:bCs/>
                <w:kern w:val="0"/>
                <w:sz w:val="24"/>
                <w:szCs w:val="24"/>
                <w:highlight w:val="none"/>
                <w:lang w:val="en-US" w:eastAsia="zh-CN"/>
              </w:rPr>
              <w:t>620</w:t>
            </w:r>
            <w:r>
              <w:rPr>
                <w:rFonts w:hint="eastAsia" w:ascii="宋体" w:hAnsi="宋体" w:eastAsia="宋体" w:cs="宋体"/>
                <w:bCs/>
                <w:kern w:val="0"/>
                <w:sz w:val="24"/>
                <w:szCs w:val="24"/>
                <w:highlight w:val="none"/>
              </w:rPr>
              <w:t>mm×1</w:t>
            </w:r>
            <w:r>
              <w:rPr>
                <w:rFonts w:hint="eastAsia" w:ascii="宋体" w:hAnsi="宋体" w:eastAsia="宋体" w:cs="宋体"/>
                <w:bCs/>
                <w:kern w:val="0"/>
                <w:sz w:val="24"/>
                <w:szCs w:val="24"/>
                <w:highlight w:val="none"/>
                <w:lang w:val="en-US" w:eastAsia="zh-CN"/>
              </w:rPr>
              <w:t>85</w:t>
            </w:r>
            <w:r>
              <w:rPr>
                <w:rFonts w:hint="eastAsia" w:ascii="宋体" w:hAnsi="宋体" w:eastAsia="宋体" w:cs="宋体"/>
                <w:bCs/>
                <w:kern w:val="0"/>
                <w:sz w:val="24"/>
                <w:szCs w:val="24"/>
                <w:highlight w:val="none"/>
              </w:rPr>
              <w:t>0mm；</w:t>
            </w:r>
          </w:p>
          <w:p w14:paraId="1B336B01">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1.2 内部尺寸:</w:t>
            </w:r>
            <w:r>
              <w:rPr>
                <w:rFonts w:hint="eastAsia" w:ascii="宋体" w:hAnsi="宋体" w:eastAsia="宋体" w:cs="宋体"/>
                <w:bCs/>
                <w:color w:val="auto"/>
                <w:kern w:val="0"/>
                <w:sz w:val="24"/>
                <w:szCs w:val="24"/>
                <w:highlight w:val="none"/>
              </w:rPr>
              <w:t>≥</w:t>
            </w:r>
            <w:r>
              <w:rPr>
                <w:rFonts w:hint="eastAsia" w:ascii="宋体" w:hAnsi="宋体" w:eastAsia="宋体" w:cs="宋体"/>
                <w:bCs/>
                <w:kern w:val="0"/>
                <w:sz w:val="24"/>
                <w:szCs w:val="24"/>
                <w:highlight w:val="none"/>
                <w:lang w:val="en-US" w:eastAsia="zh-CN"/>
              </w:rPr>
              <w:t>935</w:t>
            </w:r>
            <w:r>
              <w:rPr>
                <w:rFonts w:hint="eastAsia" w:ascii="宋体" w:hAnsi="宋体" w:eastAsia="宋体" w:cs="宋体"/>
                <w:bCs/>
                <w:kern w:val="0"/>
                <w:sz w:val="24"/>
                <w:szCs w:val="24"/>
                <w:highlight w:val="none"/>
              </w:rPr>
              <w:t>mm ×</w:t>
            </w:r>
            <w:r>
              <w:rPr>
                <w:rFonts w:hint="eastAsia" w:ascii="宋体" w:hAnsi="宋体" w:eastAsia="宋体" w:cs="宋体"/>
                <w:bCs/>
                <w:kern w:val="0"/>
                <w:sz w:val="24"/>
                <w:szCs w:val="24"/>
                <w:highlight w:val="none"/>
                <w:lang w:val="en-US" w:eastAsia="zh-CN"/>
              </w:rPr>
              <w:t>530</w:t>
            </w:r>
            <w:r>
              <w:rPr>
                <w:rFonts w:hint="eastAsia" w:ascii="宋体" w:hAnsi="宋体" w:eastAsia="宋体" w:cs="宋体"/>
                <w:bCs/>
                <w:kern w:val="0"/>
                <w:sz w:val="24"/>
                <w:szCs w:val="24"/>
                <w:highlight w:val="none"/>
              </w:rPr>
              <w:t>mm×6</w:t>
            </w:r>
            <w:r>
              <w:rPr>
                <w:rFonts w:hint="eastAsia" w:ascii="宋体" w:hAnsi="宋体" w:eastAsia="宋体" w:cs="宋体"/>
                <w:bCs/>
                <w:kern w:val="0"/>
                <w:sz w:val="24"/>
                <w:szCs w:val="24"/>
                <w:highlight w:val="none"/>
                <w:lang w:val="en-US" w:eastAsia="zh-CN"/>
              </w:rPr>
              <w:t>50</w:t>
            </w:r>
            <w:r>
              <w:rPr>
                <w:rFonts w:hint="eastAsia" w:ascii="宋体" w:hAnsi="宋体" w:eastAsia="宋体" w:cs="宋体"/>
                <w:bCs/>
                <w:kern w:val="0"/>
                <w:sz w:val="24"/>
                <w:szCs w:val="24"/>
                <w:highlight w:val="none"/>
              </w:rPr>
              <w:t>mm；</w:t>
            </w:r>
          </w:p>
          <w:p w14:paraId="21F5A309">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1.4 额定功率：</w:t>
            </w:r>
            <w:r>
              <w:rPr>
                <w:rFonts w:hint="eastAsia" w:ascii="宋体" w:hAnsi="宋体" w:eastAsia="宋体" w:cs="宋体"/>
                <w:bCs/>
                <w:kern w:val="0"/>
                <w:sz w:val="24"/>
                <w:szCs w:val="24"/>
                <w:highlight w:val="none"/>
                <w:lang w:val="en-US" w:eastAsia="zh-CN"/>
              </w:rPr>
              <w:t>≤6</w:t>
            </w:r>
            <w:r>
              <w:rPr>
                <w:rFonts w:hint="eastAsia" w:ascii="宋体" w:hAnsi="宋体" w:eastAsia="宋体" w:cs="宋体"/>
                <w:bCs/>
                <w:kern w:val="0"/>
                <w:sz w:val="24"/>
                <w:szCs w:val="24"/>
                <w:highlight w:val="none"/>
              </w:rPr>
              <w:t>50 W；</w:t>
            </w:r>
          </w:p>
          <w:p w14:paraId="2F4951B9">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1.5 气流流速：0.30～0.45m/s；</w:t>
            </w:r>
          </w:p>
          <w:p w14:paraId="3A8D97E3">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1.6 紫外灯功率：</w:t>
            </w:r>
            <w:r>
              <w:rPr>
                <w:rFonts w:hint="eastAsia" w:ascii="宋体" w:hAnsi="宋体" w:eastAsia="宋体" w:cs="宋体"/>
                <w:bCs/>
                <w:color w:val="auto"/>
                <w:kern w:val="0"/>
                <w:sz w:val="24"/>
                <w:szCs w:val="24"/>
                <w:highlight w:val="none"/>
              </w:rPr>
              <w:t>≥</w:t>
            </w:r>
            <w:r>
              <w:rPr>
                <w:rFonts w:hint="eastAsia" w:ascii="宋体" w:hAnsi="宋体" w:eastAsia="宋体" w:cs="宋体"/>
                <w:bCs/>
                <w:kern w:val="0"/>
                <w:sz w:val="24"/>
                <w:szCs w:val="24"/>
                <w:highlight w:val="none"/>
                <w:lang w:val="en-US" w:eastAsia="zh-CN"/>
              </w:rPr>
              <w:t>20</w:t>
            </w:r>
            <w:r>
              <w:rPr>
                <w:rFonts w:hint="eastAsia" w:ascii="宋体" w:hAnsi="宋体" w:eastAsia="宋体" w:cs="宋体"/>
                <w:bCs/>
                <w:kern w:val="0"/>
                <w:sz w:val="24"/>
                <w:szCs w:val="24"/>
                <w:highlight w:val="none"/>
              </w:rPr>
              <w:t>W；</w:t>
            </w:r>
          </w:p>
          <w:p w14:paraId="78A68F4C">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1.7 LED日光灯功率：</w:t>
            </w:r>
            <w:r>
              <w:rPr>
                <w:rFonts w:hint="eastAsia" w:ascii="宋体" w:hAnsi="宋体" w:eastAsia="宋体" w:cs="宋体"/>
                <w:bCs/>
                <w:color w:val="auto"/>
                <w:kern w:val="0"/>
                <w:sz w:val="24"/>
                <w:szCs w:val="24"/>
                <w:highlight w:val="none"/>
              </w:rPr>
              <w:t>≥</w:t>
            </w:r>
            <w:r>
              <w:rPr>
                <w:rFonts w:hint="eastAsia" w:ascii="宋体" w:hAnsi="宋体" w:eastAsia="宋体" w:cs="宋体"/>
                <w:bCs/>
                <w:kern w:val="0"/>
                <w:sz w:val="24"/>
                <w:szCs w:val="24"/>
                <w:highlight w:val="none"/>
                <w:lang w:val="en-US" w:eastAsia="zh-CN"/>
              </w:rPr>
              <w:t>12</w:t>
            </w:r>
            <w:r>
              <w:rPr>
                <w:rFonts w:hint="eastAsia" w:ascii="宋体" w:hAnsi="宋体" w:eastAsia="宋体" w:cs="宋体"/>
                <w:bCs/>
                <w:kern w:val="0"/>
                <w:sz w:val="24"/>
                <w:szCs w:val="24"/>
                <w:highlight w:val="none"/>
              </w:rPr>
              <w:t>W；</w:t>
            </w:r>
          </w:p>
          <w:p w14:paraId="39A0E020">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1.8 前窗玻璃最大开口高度：400mm；</w:t>
            </w:r>
          </w:p>
          <w:p w14:paraId="79AB89ED">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1.9 前窗玻璃开口安全操作高度：200-350mm；</w:t>
            </w:r>
          </w:p>
          <w:p w14:paraId="0CBA040E">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1.10 噪音≤65dB(A)；</w:t>
            </w:r>
          </w:p>
          <w:p w14:paraId="353C86C1">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1.11 风机型号：转速:2460 RPM，流量：750 m³/h，功率90W；</w:t>
            </w:r>
          </w:p>
          <w:p w14:paraId="39B2A302">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1.12 产品安全性：菌落数≤0.5CFU/30min；</w:t>
            </w:r>
          </w:p>
          <w:p w14:paraId="422E6E7F">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1.13 照明：≥300lx；</w:t>
            </w:r>
          </w:p>
          <w:p w14:paraId="21C72AA5">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2、结构特点</w:t>
            </w:r>
          </w:p>
          <w:p w14:paraId="2E3A6866">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2.1 洁净台分类：垂直层流、单面操作；</w:t>
            </w:r>
          </w:p>
          <w:p w14:paraId="3974D909">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2.2 过滤效率:过滤器均采用无隔板高效过滤器，对直径0.3μm颗粒过滤效率为99.999%；</w:t>
            </w:r>
          </w:p>
          <w:p w14:paraId="6F117E96">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2.3 具有预过滤器，；</w:t>
            </w:r>
          </w:p>
          <w:p w14:paraId="7BF081EC">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w:t>
            </w:r>
            <w:r>
              <w:rPr>
                <w:rFonts w:hint="eastAsia" w:ascii="宋体" w:hAnsi="宋体" w:eastAsia="宋体" w:cs="宋体"/>
                <w:bCs/>
                <w:kern w:val="0"/>
                <w:sz w:val="24"/>
                <w:szCs w:val="24"/>
                <w:highlight w:val="none"/>
                <w:lang w:val="en-US" w:eastAsia="zh-CN"/>
              </w:rPr>
              <w:t>4</w:t>
            </w:r>
            <w:r>
              <w:rPr>
                <w:rFonts w:hint="eastAsia" w:ascii="宋体" w:hAnsi="宋体" w:eastAsia="宋体" w:cs="宋体"/>
                <w:bCs/>
                <w:kern w:val="0"/>
                <w:sz w:val="24"/>
                <w:szCs w:val="24"/>
                <w:highlight w:val="none"/>
              </w:rPr>
              <w:t xml:space="preserve"> 工作区台面</w:t>
            </w:r>
            <w:r>
              <w:rPr>
                <w:rFonts w:hint="eastAsia" w:ascii="宋体" w:hAnsi="宋体" w:eastAsia="宋体" w:cs="宋体"/>
                <w:bCs/>
                <w:kern w:val="0"/>
                <w:sz w:val="24"/>
                <w:szCs w:val="24"/>
                <w:highlight w:val="none"/>
                <w:lang w:eastAsia="zh-CN"/>
              </w:rPr>
              <w:t>选用优质</w:t>
            </w:r>
            <w:r>
              <w:rPr>
                <w:rFonts w:hint="eastAsia" w:ascii="宋体" w:hAnsi="宋体" w:eastAsia="宋体" w:cs="宋体"/>
                <w:bCs/>
                <w:kern w:val="0"/>
                <w:sz w:val="24"/>
                <w:szCs w:val="24"/>
                <w:highlight w:val="none"/>
                <w:lang w:val="en-US" w:eastAsia="zh-CN"/>
              </w:rPr>
              <w:t>304</w:t>
            </w:r>
            <w:r>
              <w:rPr>
                <w:rFonts w:hint="eastAsia" w:ascii="宋体" w:hAnsi="宋体" w:eastAsia="宋体" w:cs="宋体"/>
                <w:bCs/>
                <w:kern w:val="0"/>
                <w:sz w:val="24"/>
                <w:szCs w:val="24"/>
                <w:highlight w:val="none"/>
              </w:rPr>
              <w:t>不锈钢材质；</w:t>
            </w:r>
          </w:p>
          <w:p w14:paraId="5C7FB8D4">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w:t>
            </w: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 xml:space="preserve"> 控制面板采用轻触式开关，按键由风机键、照明键、紫外键、电源键、插座键、风量减小键、风量增大键组成；显示屏显示内容有：风机的风速、显示时间、紫外灯的工作时间、过滤器的工作时间；</w:t>
            </w:r>
          </w:p>
          <w:p w14:paraId="6528A1E9">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w:t>
            </w:r>
            <w:r>
              <w:rPr>
                <w:rFonts w:hint="eastAsia" w:ascii="宋体" w:hAnsi="宋体" w:eastAsia="宋体" w:cs="宋体"/>
                <w:bCs/>
                <w:kern w:val="0"/>
                <w:sz w:val="24"/>
                <w:szCs w:val="24"/>
                <w:highlight w:val="none"/>
                <w:lang w:val="en-US" w:eastAsia="zh-CN"/>
              </w:rPr>
              <w:t>6</w:t>
            </w:r>
            <w:r>
              <w:rPr>
                <w:rFonts w:hint="eastAsia" w:ascii="宋体" w:hAnsi="宋体" w:eastAsia="宋体" w:cs="宋体"/>
                <w:bCs/>
                <w:kern w:val="0"/>
                <w:sz w:val="24"/>
                <w:szCs w:val="24"/>
                <w:highlight w:val="none"/>
              </w:rPr>
              <w:t xml:space="preserve"> 洁净台前视窗是采用5mm厚钢化玻璃的手动视窗；</w:t>
            </w:r>
          </w:p>
          <w:p w14:paraId="029B4B50">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w:t>
            </w:r>
            <w:r>
              <w:rPr>
                <w:rFonts w:hint="eastAsia" w:ascii="宋体" w:hAnsi="宋体" w:eastAsia="宋体" w:cs="宋体"/>
                <w:bCs/>
                <w:kern w:val="0"/>
                <w:sz w:val="24"/>
                <w:szCs w:val="24"/>
                <w:highlight w:val="none"/>
                <w:lang w:val="en-US" w:eastAsia="zh-CN"/>
              </w:rPr>
              <w:t>7</w:t>
            </w:r>
            <w:r>
              <w:rPr>
                <w:rFonts w:hint="eastAsia" w:ascii="宋体" w:hAnsi="宋体" w:eastAsia="宋体" w:cs="宋体"/>
                <w:bCs/>
                <w:kern w:val="0"/>
                <w:sz w:val="24"/>
                <w:szCs w:val="24"/>
                <w:highlight w:val="none"/>
              </w:rPr>
              <w:t xml:space="preserve"> 紫外灯与风机、日光灯互锁功能，即当风机、日光灯工作时，紫外灯无法开启，保护操作人员；</w:t>
            </w:r>
          </w:p>
          <w:p w14:paraId="363D4F96">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w:t>
            </w:r>
            <w:r>
              <w:rPr>
                <w:rFonts w:hint="eastAsia" w:ascii="宋体" w:hAnsi="宋体" w:eastAsia="宋体" w:cs="宋体"/>
                <w:bCs/>
                <w:kern w:val="0"/>
                <w:sz w:val="24"/>
                <w:szCs w:val="24"/>
                <w:highlight w:val="none"/>
                <w:lang w:val="en-US" w:eastAsia="zh-CN"/>
              </w:rPr>
              <w:t>8</w:t>
            </w:r>
            <w:r>
              <w:rPr>
                <w:rFonts w:hint="eastAsia" w:ascii="宋体" w:hAnsi="宋体" w:eastAsia="宋体" w:cs="宋体"/>
                <w:bCs/>
                <w:kern w:val="0"/>
                <w:sz w:val="24"/>
                <w:szCs w:val="24"/>
                <w:highlight w:val="none"/>
              </w:rPr>
              <w:t xml:space="preserve"> 具有紫外灯、风机预约定时功能；</w:t>
            </w:r>
          </w:p>
          <w:p w14:paraId="5CB913B6">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w:t>
            </w:r>
            <w:r>
              <w:rPr>
                <w:rFonts w:hint="eastAsia" w:ascii="宋体" w:hAnsi="宋体" w:eastAsia="宋体" w:cs="宋体"/>
                <w:bCs/>
                <w:kern w:val="0"/>
                <w:sz w:val="24"/>
                <w:szCs w:val="24"/>
                <w:highlight w:val="none"/>
                <w:lang w:val="en-US" w:eastAsia="zh-CN"/>
              </w:rPr>
              <w:t>9</w:t>
            </w:r>
            <w:r>
              <w:rPr>
                <w:rFonts w:hint="eastAsia" w:ascii="宋体" w:hAnsi="宋体" w:eastAsia="宋体" w:cs="宋体"/>
                <w:bCs/>
                <w:kern w:val="0"/>
                <w:sz w:val="24"/>
                <w:szCs w:val="24"/>
                <w:highlight w:val="none"/>
              </w:rPr>
              <w:t xml:space="preserve"> 具有压力单位转换功能，</w:t>
            </w:r>
            <w:r>
              <w:rPr>
                <w:rFonts w:hint="eastAsia" w:ascii="宋体" w:hAnsi="宋体" w:eastAsia="宋体" w:cs="宋体"/>
                <w:sz w:val="24"/>
                <w:szCs w:val="24"/>
                <w:highlight w:val="none"/>
              </w:rPr>
              <w:t>进行PA和m/s之间的单位切换；</w:t>
            </w:r>
          </w:p>
          <w:p w14:paraId="49095950">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2.1</w:t>
            </w:r>
            <w:r>
              <w:rPr>
                <w:rFonts w:hint="eastAsia" w:ascii="宋体" w:hAnsi="宋体" w:eastAsia="宋体" w:cs="宋体"/>
                <w:bCs/>
                <w:kern w:val="0"/>
                <w:sz w:val="24"/>
                <w:szCs w:val="24"/>
                <w:highlight w:val="none"/>
                <w:lang w:val="en-US" w:eastAsia="zh-CN"/>
              </w:rPr>
              <w:t>0</w:t>
            </w:r>
            <w:r>
              <w:rPr>
                <w:rFonts w:hint="eastAsia" w:ascii="宋体" w:hAnsi="宋体" w:eastAsia="宋体" w:cs="宋体"/>
                <w:bCs/>
                <w:kern w:val="0"/>
                <w:sz w:val="24"/>
                <w:szCs w:val="24"/>
                <w:highlight w:val="none"/>
              </w:rPr>
              <w:t xml:space="preserve"> 紫外灯延时5S开启，保护操作人员安全；</w:t>
            </w:r>
          </w:p>
          <w:p w14:paraId="5C5D208A">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2.1</w:t>
            </w:r>
            <w:r>
              <w:rPr>
                <w:rFonts w:hint="eastAsia" w:ascii="宋体" w:hAnsi="宋体" w:eastAsia="宋体" w:cs="宋体"/>
                <w:bCs/>
                <w:kern w:val="0"/>
                <w:sz w:val="24"/>
                <w:szCs w:val="24"/>
                <w:highlight w:val="none"/>
                <w:lang w:val="en-US" w:eastAsia="zh-CN"/>
              </w:rPr>
              <w:t>1</w:t>
            </w:r>
            <w:r>
              <w:rPr>
                <w:rFonts w:hint="eastAsia" w:ascii="宋体" w:hAnsi="宋体" w:eastAsia="宋体" w:cs="宋体"/>
                <w:bCs/>
                <w:kern w:val="0"/>
                <w:sz w:val="24"/>
                <w:szCs w:val="24"/>
                <w:highlight w:val="none"/>
              </w:rPr>
              <w:t xml:space="preserve"> 设置前窗开口安全高度，在低于或高于安全高度时报警；</w:t>
            </w:r>
          </w:p>
          <w:p w14:paraId="7448714D">
            <w:pPr>
              <w:keepNext w:val="0"/>
              <w:keepLines w:val="0"/>
              <w:pageBreakBefore w:val="0"/>
              <w:widowControl/>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bCs/>
                <w:kern w:val="0"/>
                <w:sz w:val="24"/>
                <w:szCs w:val="24"/>
                <w:highlight w:val="none"/>
              </w:rPr>
              <w:t>2.1</w:t>
            </w: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rPr>
              <w:t xml:space="preserve"> 福马脚轮设计。</w:t>
            </w:r>
          </w:p>
        </w:tc>
      </w:tr>
      <w:tr w14:paraId="702D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14:paraId="51696FC1">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11</w:t>
            </w:r>
          </w:p>
        </w:tc>
        <w:tc>
          <w:tcPr>
            <w:tcW w:w="646" w:type="dxa"/>
            <w:tcBorders>
              <w:top w:val="single" w:color="auto" w:sz="4" w:space="0"/>
              <w:left w:val="single" w:color="auto" w:sz="4" w:space="0"/>
              <w:bottom w:val="single" w:color="auto" w:sz="4" w:space="0"/>
              <w:right w:val="single" w:color="auto" w:sz="4" w:space="0"/>
            </w:tcBorders>
            <w:vAlign w:val="center"/>
          </w:tcPr>
          <w:p w14:paraId="0BAA0276">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超声波清洗器</w:t>
            </w:r>
          </w:p>
        </w:tc>
        <w:tc>
          <w:tcPr>
            <w:tcW w:w="629" w:type="dxa"/>
            <w:tcBorders>
              <w:top w:val="single" w:color="auto" w:sz="4" w:space="0"/>
              <w:left w:val="single" w:color="auto" w:sz="4" w:space="0"/>
              <w:bottom w:val="single" w:color="auto" w:sz="4" w:space="0"/>
              <w:right w:val="single" w:color="auto" w:sz="4" w:space="0"/>
            </w:tcBorders>
            <w:vAlign w:val="center"/>
          </w:tcPr>
          <w:p w14:paraId="09175793">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663" w:type="dxa"/>
            <w:tcBorders>
              <w:top w:val="single" w:color="auto" w:sz="4" w:space="0"/>
              <w:left w:val="single" w:color="auto" w:sz="4" w:space="0"/>
              <w:bottom w:val="single" w:color="auto" w:sz="4" w:space="0"/>
              <w:right w:val="single" w:color="auto" w:sz="4" w:space="0"/>
            </w:tcBorders>
            <w:vAlign w:val="center"/>
          </w:tcPr>
          <w:p w14:paraId="7133E398">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128" w:type="dxa"/>
            <w:tcBorders>
              <w:top w:val="single" w:color="auto" w:sz="4" w:space="0"/>
              <w:left w:val="single" w:color="auto" w:sz="4" w:space="0"/>
              <w:bottom w:val="single" w:color="auto" w:sz="4" w:space="0"/>
              <w:right w:val="single" w:color="auto" w:sz="4" w:space="0"/>
            </w:tcBorders>
            <w:vAlign w:val="top"/>
          </w:tcPr>
          <w:p w14:paraId="3D234CD5">
            <w:pPr>
              <w:keepNext w:val="0"/>
              <w:keepLines w:val="0"/>
              <w:pageBreakBefore w:val="0"/>
              <w:shd w:val="solid" w:color="FFFFFF" w:fill="auto"/>
              <w:kinsoku/>
              <w:wordWrap/>
              <w:overflowPunct/>
              <w:topLinePunct w:val="0"/>
              <w:autoSpaceDN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性能特点：</w:t>
            </w:r>
          </w:p>
          <w:p w14:paraId="517A7778">
            <w:pPr>
              <w:keepNext w:val="0"/>
              <w:keepLines w:val="0"/>
              <w:pageBreakBefore w:val="0"/>
              <w:shd w:val="solid" w:color="FFFFFF" w:fill="auto"/>
              <w:kinsoku/>
              <w:wordWrap/>
              <w:overflowPunct/>
              <w:topLinePunct w:val="0"/>
              <w:autoSpaceDN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数显设定超声清洗时间</w:t>
            </w:r>
          </w:p>
          <w:p w14:paraId="7363D4EB">
            <w:pPr>
              <w:keepNext w:val="0"/>
              <w:keepLines w:val="0"/>
              <w:pageBreakBefore w:val="0"/>
              <w:shd w:val="solid" w:color="FFFFFF" w:fill="auto"/>
              <w:kinsoku/>
              <w:wordWrap/>
              <w:overflowPunct/>
              <w:topLinePunct w:val="0"/>
              <w:autoSpaceDN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工作时间倒计时显示</w:t>
            </w:r>
          </w:p>
          <w:p w14:paraId="28345C62">
            <w:pPr>
              <w:keepNext w:val="0"/>
              <w:keepLines w:val="0"/>
              <w:pageBreakBefore w:val="0"/>
              <w:shd w:val="solid" w:color="FFFFFF" w:fill="auto"/>
              <w:kinsoku/>
              <w:wordWrap/>
              <w:overflowPunct/>
              <w:topLinePunct w:val="0"/>
              <w:autoSpaceDN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实时显示清洗槽内实际温度</w:t>
            </w:r>
          </w:p>
          <w:p w14:paraId="7D12703C">
            <w:pPr>
              <w:keepNext w:val="0"/>
              <w:keepLines w:val="0"/>
              <w:pageBreakBefore w:val="0"/>
              <w:shd w:val="solid" w:color="FFFFFF" w:fill="auto"/>
              <w:kinsoku/>
              <w:wordWrap/>
              <w:overflowPunct/>
              <w:topLinePunct w:val="0"/>
              <w:autoSpaceDN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室温-80℃的温度设定范围</w:t>
            </w:r>
          </w:p>
          <w:p w14:paraId="5D77A0BF">
            <w:pPr>
              <w:keepNext w:val="0"/>
              <w:keepLines w:val="0"/>
              <w:pageBreakBefore w:val="0"/>
              <w:shd w:val="solid" w:color="FFFFFF" w:fill="auto"/>
              <w:kinsoku/>
              <w:wordWrap/>
              <w:overflowPunct/>
              <w:topLinePunct w:val="0"/>
              <w:autoSpaceDN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1-240分钟总工作时间设定</w:t>
            </w:r>
          </w:p>
          <w:p w14:paraId="7A676BA6">
            <w:pPr>
              <w:keepNext w:val="0"/>
              <w:keepLines w:val="0"/>
              <w:pageBreakBefore w:val="0"/>
              <w:shd w:val="solid" w:color="FFFFFF" w:fill="auto"/>
              <w:kinsoku/>
              <w:wordWrap/>
              <w:overflowPunct/>
              <w:topLinePunct w:val="0"/>
              <w:autoSpaceDN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配有专用不锈钢网篮、降音盖</w:t>
            </w:r>
          </w:p>
          <w:p w14:paraId="1D64D727">
            <w:pPr>
              <w:keepNext w:val="0"/>
              <w:keepLines w:val="0"/>
              <w:pageBreakBefore w:val="0"/>
              <w:shd w:val="solid" w:color="FFFFFF" w:fill="auto"/>
              <w:kinsoku/>
              <w:wordWrap/>
              <w:overflowPunct/>
              <w:topLinePunct w:val="0"/>
              <w:autoSpaceDN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仪器的内外壳体和降音盖采用优质不锈钢</w:t>
            </w:r>
          </w:p>
          <w:p w14:paraId="7728A5A5">
            <w:pPr>
              <w:keepNext w:val="0"/>
              <w:keepLines w:val="0"/>
              <w:pageBreakBefore w:val="0"/>
              <w:shd w:val="solid" w:color="FFFFFF" w:fill="auto"/>
              <w:kinsoku/>
              <w:wordWrap/>
              <w:overflowPunct/>
              <w:topLinePunct w:val="0"/>
              <w:autoSpaceDN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仪器的操作程序采用单片机软件</w:t>
            </w:r>
          </w:p>
          <w:p w14:paraId="0A61D441">
            <w:pPr>
              <w:keepNext w:val="0"/>
              <w:keepLines w:val="0"/>
              <w:pageBreakBefore w:val="0"/>
              <w:shd w:val="solid" w:color="FFFFFF" w:fill="auto"/>
              <w:kinsoku/>
              <w:wordWrap/>
              <w:overflowPunct/>
              <w:topLinePunct w:val="0"/>
              <w:autoSpaceDN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工作参数断电记忆功能</w:t>
            </w:r>
          </w:p>
          <w:p w14:paraId="64642F9D">
            <w:pPr>
              <w:keepNext w:val="0"/>
              <w:keepLines w:val="0"/>
              <w:pageBreakBefore w:val="0"/>
              <w:shd w:val="solid" w:color="FFFFFF" w:fill="auto"/>
              <w:kinsoku/>
              <w:wordWrap/>
              <w:overflowPunct/>
              <w:topLinePunct w:val="0"/>
              <w:autoSpaceDN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配有槽内器皿固定装置</w:t>
            </w:r>
          </w:p>
          <w:p w14:paraId="73A2A675">
            <w:pPr>
              <w:keepNext w:val="0"/>
              <w:keepLines w:val="0"/>
              <w:pageBreakBefore w:val="0"/>
              <w:shd w:val="solid" w:color="FFFFFF" w:fill="auto"/>
              <w:kinsoku/>
              <w:wordWrap/>
              <w:overflowPunct/>
              <w:topLinePunct w:val="0"/>
              <w:autoSpaceDN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主要技术参数：</w:t>
            </w:r>
          </w:p>
          <w:p w14:paraId="1E7CD6B1">
            <w:pPr>
              <w:keepNext w:val="0"/>
              <w:keepLines w:val="0"/>
              <w:pageBreakBefore w:val="0"/>
              <w:shd w:val="solid" w:color="FFFFFF" w:fill="auto"/>
              <w:kinsoku/>
              <w:wordWrap/>
              <w:overflowPunct/>
              <w:topLinePunct w:val="0"/>
              <w:autoSpaceDN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1、内槽尺寸</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：500×300×200mm</w:t>
            </w:r>
          </w:p>
          <w:p w14:paraId="2A7E0759">
            <w:pPr>
              <w:keepNext w:val="0"/>
              <w:keepLines w:val="0"/>
              <w:pageBreakBefore w:val="0"/>
              <w:shd w:val="solid" w:color="FFFFFF" w:fill="auto"/>
              <w:kinsoku/>
              <w:wordWrap/>
              <w:overflowPunct/>
              <w:topLinePunct w:val="0"/>
              <w:autoSpaceDN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2、容量：</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30L</w:t>
            </w:r>
          </w:p>
          <w:p w14:paraId="67882ED2">
            <w:pPr>
              <w:keepNext w:val="0"/>
              <w:keepLines w:val="0"/>
              <w:pageBreakBefore w:val="0"/>
              <w:shd w:val="solid" w:color="FFFFFF" w:fill="auto"/>
              <w:kinsoku/>
              <w:wordWrap/>
              <w:overflowPunct/>
              <w:topLinePunct w:val="0"/>
              <w:autoSpaceDN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3、工作频率：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40KHz</w:t>
            </w:r>
          </w:p>
          <w:p w14:paraId="666B0AB9">
            <w:pPr>
              <w:keepNext w:val="0"/>
              <w:keepLines w:val="0"/>
              <w:pageBreakBefore w:val="0"/>
              <w:shd w:val="solid" w:color="FFFFFF" w:fill="auto"/>
              <w:kinsoku/>
              <w:wordWrap/>
              <w:overflowPunct/>
              <w:topLinePunct w:val="0"/>
              <w:autoSpaceDN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4、超声功率：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840W</w:t>
            </w:r>
          </w:p>
          <w:p w14:paraId="1E3C430E">
            <w:pPr>
              <w:keepNext w:val="0"/>
              <w:keepLines w:val="0"/>
              <w:pageBreakBefore w:val="0"/>
              <w:shd w:val="solid" w:color="FFFFFF" w:fill="auto"/>
              <w:kinsoku/>
              <w:wordWrap/>
              <w:overflowPunct/>
              <w:topLinePunct w:val="0"/>
              <w:autoSpaceDN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5、加热功率：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1000W</w:t>
            </w:r>
          </w:p>
          <w:p w14:paraId="2E94F249">
            <w:pPr>
              <w:keepNext w:val="0"/>
              <w:keepLines w:val="0"/>
              <w:pageBreakBefore w:val="0"/>
              <w:shd w:val="solid" w:color="FFFFFF" w:fill="auto"/>
              <w:kinsoku/>
              <w:wordWrap/>
              <w:overflowPunct/>
              <w:topLinePunct w:val="0"/>
              <w:autoSpaceDN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6、温度可调：室温-80℃</w:t>
            </w:r>
          </w:p>
          <w:p w14:paraId="3C1B3350">
            <w:pPr>
              <w:keepNext w:val="0"/>
              <w:keepLines w:val="0"/>
              <w:pageBreakBefore w:val="0"/>
              <w:shd w:val="solid" w:color="FFFFFF" w:fill="auto"/>
              <w:kinsoku/>
              <w:wordWrap/>
              <w:overflowPunct/>
              <w:topLinePunct w:val="0"/>
              <w:autoSpaceDN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7、时间可调：1-99min</w:t>
            </w:r>
          </w:p>
          <w:p w14:paraId="400EEF30">
            <w:pPr>
              <w:keepNext w:val="0"/>
              <w:keepLines w:val="0"/>
              <w:pageBreakBefore w:val="0"/>
              <w:shd w:val="solid" w:color="FFFFFF" w:fill="auto"/>
              <w:kinsoku/>
              <w:wordWrap/>
              <w:overflowPunct/>
              <w:topLinePunct w:val="0"/>
              <w:autoSpaceDN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8、数显累计时间：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99999h</w:t>
            </w:r>
          </w:p>
          <w:p w14:paraId="0268F7A6">
            <w:pPr>
              <w:keepNext w:val="0"/>
              <w:keepLines w:val="0"/>
              <w:pageBreakBefore w:val="0"/>
              <w:shd w:val="solid" w:color="FFFFFF" w:fill="auto"/>
              <w:kinsoku/>
              <w:wordWrap/>
              <w:overflowPunct/>
              <w:topLinePunct w:val="0"/>
              <w:autoSpaceDN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8、网篮：有</w:t>
            </w:r>
          </w:p>
          <w:p w14:paraId="641BBC0F">
            <w:pPr>
              <w:keepNext w:val="0"/>
              <w:keepLines w:val="0"/>
              <w:pageBreakBefore w:val="0"/>
              <w:shd w:val="solid" w:color="FFFFFF" w:fill="auto"/>
              <w:kinsoku/>
              <w:wordWrap/>
              <w:overflowPunct/>
              <w:topLinePunct w:val="0"/>
              <w:autoSpaceDN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9、降音盖：有</w:t>
            </w:r>
          </w:p>
          <w:p w14:paraId="547086B3">
            <w:pPr>
              <w:keepNext w:val="0"/>
              <w:keepLines w:val="0"/>
              <w:pageBreakBefore w:val="0"/>
              <w:shd w:val="solid" w:color="FFFFFF" w:fill="auto"/>
              <w:kinsoku/>
              <w:wordWrap/>
              <w:overflowPunct/>
              <w:topLinePunct w:val="0"/>
              <w:autoSpaceDN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rPr>
              <w:t>10、排水：有</w:t>
            </w:r>
          </w:p>
        </w:tc>
      </w:tr>
      <w:tr w14:paraId="3259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14:paraId="01FA75E8">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w:t>
            </w:r>
          </w:p>
        </w:tc>
        <w:tc>
          <w:tcPr>
            <w:tcW w:w="646" w:type="dxa"/>
            <w:tcBorders>
              <w:top w:val="single" w:color="auto" w:sz="4" w:space="0"/>
              <w:left w:val="single" w:color="auto" w:sz="4" w:space="0"/>
              <w:bottom w:val="single" w:color="auto" w:sz="4" w:space="0"/>
              <w:right w:val="single" w:color="auto" w:sz="4" w:space="0"/>
            </w:tcBorders>
            <w:vAlign w:val="center"/>
          </w:tcPr>
          <w:p w14:paraId="1BDC20A7">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超纯化机</w:t>
            </w:r>
          </w:p>
        </w:tc>
        <w:tc>
          <w:tcPr>
            <w:tcW w:w="629" w:type="dxa"/>
            <w:tcBorders>
              <w:top w:val="single" w:color="auto" w:sz="4" w:space="0"/>
              <w:left w:val="single" w:color="auto" w:sz="4" w:space="0"/>
              <w:bottom w:val="single" w:color="auto" w:sz="4" w:space="0"/>
              <w:right w:val="single" w:color="auto" w:sz="4" w:space="0"/>
            </w:tcBorders>
            <w:vAlign w:val="center"/>
          </w:tcPr>
          <w:p w14:paraId="2251C1B7">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663" w:type="dxa"/>
            <w:tcBorders>
              <w:top w:val="single" w:color="auto" w:sz="4" w:space="0"/>
              <w:left w:val="single" w:color="auto" w:sz="4" w:space="0"/>
              <w:bottom w:val="single" w:color="auto" w:sz="4" w:space="0"/>
              <w:right w:val="single" w:color="auto" w:sz="4" w:space="0"/>
            </w:tcBorders>
            <w:vAlign w:val="center"/>
          </w:tcPr>
          <w:p w14:paraId="64344356">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128" w:type="dxa"/>
            <w:tcBorders>
              <w:top w:val="single" w:color="auto" w:sz="4" w:space="0"/>
              <w:left w:val="single" w:color="auto" w:sz="4" w:space="0"/>
              <w:bottom w:val="single" w:color="auto" w:sz="4" w:space="0"/>
              <w:right w:val="single" w:color="auto" w:sz="4" w:space="0"/>
            </w:tcBorders>
            <w:vAlign w:val="top"/>
          </w:tcPr>
          <w:p w14:paraId="5DA12301">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 进水要求：</w:t>
            </w:r>
          </w:p>
          <w:p w14:paraId="3069CF5C">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2. 市政自来水，工作时进水水压 0.1~0.3Mpa。水温 5-40℃，水质符合 CJ/T206</w:t>
            </w:r>
          </w:p>
          <w:p w14:paraId="4F7EB034">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规定。</w:t>
            </w:r>
          </w:p>
          <w:p w14:paraId="35E4CF87">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3. 纯化流程：PF+AC+RO+AC+UV+UP+TF，</w:t>
            </w:r>
          </w:p>
          <w:p w14:paraId="1E79E0BD">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4. 10 寸 PP 棉1+10 寸颗粒活性炭1+10 寸活性炭棒滤芯1+RO 反渗透膜2+有机物纯化柱1+UV 紫外灯1+超纯化柱4+终端微滤器1</w:t>
            </w:r>
          </w:p>
          <w:p w14:paraId="5F4B2692">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5. 产水量：≥20L/小时</w:t>
            </w:r>
          </w:p>
          <w:p w14:paraId="7F8038F6">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6. 瞬间出水量：≥2500mL/min（满水时）</w:t>
            </w:r>
          </w:p>
          <w:p w14:paraId="44DF8FD7">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7. 进水、RO 水、UP 水三路水质检测，各级耗材寿命报警</w:t>
            </w:r>
          </w:p>
          <w:p w14:paraId="0D472FDD">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8. 5 寸液晶显示器，运行状态实时显示</w:t>
            </w:r>
          </w:p>
          <w:p w14:paraId="6A656825">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9. 具有定时取水功能，解放人工</w:t>
            </w:r>
          </w:p>
          <w:p w14:paraId="6498A415">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10. 具有高压低压保护功能，停水自动停机、停机自动停水</w:t>
            </w:r>
          </w:p>
          <w:p w14:paraId="515133AA">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11. 开机自动冲洗 RO 膜，有效延长滤芯寿命</w:t>
            </w:r>
          </w:p>
          <w:p w14:paraId="471B295F">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12. 出水口：1 个 UP 超纯水，1 个 DI 去离子水，1 个 RO 反渗透水</w:t>
            </w:r>
          </w:p>
          <w:p w14:paraId="7D519966">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13. UP 水质：</w:t>
            </w:r>
          </w:p>
          <w:p w14:paraId="2B2ACD49">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电阻率:18.1MΩ·cm@25℃</w:t>
            </w:r>
          </w:p>
          <w:p w14:paraId="444B2DDD">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氯离子 Cl-：＜0.1μg/L</w:t>
            </w:r>
          </w:p>
          <w:p w14:paraId="190D39F9">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硅 si：＜2μg/L</w:t>
            </w:r>
          </w:p>
          <w:p w14:paraId="5E042CD8">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离子 Na：＜0.1μg/L</w:t>
            </w:r>
          </w:p>
          <w:p w14:paraId="46118C52">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重金属离子：＜0.1μg/L</w:t>
            </w:r>
          </w:p>
          <w:p w14:paraId="41AA49CC">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细菌：＜1CFU/100mL</w:t>
            </w:r>
          </w:p>
          <w:p w14:paraId="0B18927F">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总有机碳 TOC：20μg/L</w:t>
            </w:r>
          </w:p>
          <w:p w14:paraId="16219A34">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14. DI 水质:</w:t>
            </w:r>
          </w:p>
          <w:p w14:paraId="0477FE0E">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电阻率：10--18.1MΩ·cm</w:t>
            </w:r>
          </w:p>
          <w:p w14:paraId="67B579F3">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电导率：0.055-0.1us/cm</w:t>
            </w:r>
          </w:p>
          <w:p w14:paraId="7EB1DB90">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重金属离子：＜0.1μg/L</w:t>
            </w:r>
          </w:p>
          <w:p w14:paraId="26A2BFAE">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总有机碳 TOC＜50μg/L</w:t>
            </w:r>
          </w:p>
          <w:p w14:paraId="2EAA0848">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吸光度（254nm，1cm 光程）≤0.01</w:t>
            </w:r>
          </w:p>
          <w:p w14:paraId="74535596">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可溶性硅（以 sio²计）≤0.01mg/L</w:t>
            </w:r>
          </w:p>
          <w:p w14:paraId="2268EFCA">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水质符合实验用水标准 GB6682-2008 一级水标准</w:t>
            </w:r>
          </w:p>
          <w:p w14:paraId="70654892">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15. RO 水质</w:t>
            </w:r>
          </w:p>
          <w:p w14:paraId="15A1A015">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离子截留率 96-99%</w:t>
            </w:r>
          </w:p>
          <w:p w14:paraId="2C969985">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有机物截留率＞99%</w:t>
            </w:r>
          </w:p>
          <w:p w14:paraId="6ECE7047">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颗粒物和细菌截留率＞99%</w:t>
            </w:r>
          </w:p>
          <w:p w14:paraId="7E581FDE">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bidi="ar"/>
              </w:rPr>
              <w:t>16. 出水压力：0.25Mpa</w:t>
            </w:r>
          </w:p>
        </w:tc>
      </w:tr>
      <w:tr w14:paraId="6F1F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14:paraId="6E6449B7">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13</w:t>
            </w:r>
          </w:p>
        </w:tc>
        <w:tc>
          <w:tcPr>
            <w:tcW w:w="646" w:type="dxa"/>
            <w:tcBorders>
              <w:top w:val="single" w:color="auto" w:sz="4" w:space="0"/>
              <w:left w:val="single" w:color="auto" w:sz="4" w:space="0"/>
              <w:bottom w:val="single" w:color="auto" w:sz="4" w:space="0"/>
              <w:right w:val="single" w:color="auto" w:sz="4" w:space="0"/>
            </w:tcBorders>
            <w:vAlign w:val="center"/>
          </w:tcPr>
          <w:p w14:paraId="39898EE2">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水浴锅（水浴箱）</w:t>
            </w:r>
          </w:p>
        </w:tc>
        <w:tc>
          <w:tcPr>
            <w:tcW w:w="629" w:type="dxa"/>
            <w:tcBorders>
              <w:top w:val="single" w:color="auto" w:sz="4" w:space="0"/>
              <w:left w:val="single" w:color="auto" w:sz="4" w:space="0"/>
              <w:bottom w:val="single" w:color="auto" w:sz="4" w:space="0"/>
              <w:right w:val="single" w:color="auto" w:sz="4" w:space="0"/>
            </w:tcBorders>
            <w:vAlign w:val="center"/>
          </w:tcPr>
          <w:p w14:paraId="0AC60210">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663" w:type="dxa"/>
            <w:tcBorders>
              <w:top w:val="single" w:color="auto" w:sz="4" w:space="0"/>
              <w:left w:val="single" w:color="auto" w:sz="4" w:space="0"/>
              <w:bottom w:val="single" w:color="auto" w:sz="4" w:space="0"/>
              <w:right w:val="single" w:color="auto" w:sz="4" w:space="0"/>
            </w:tcBorders>
            <w:vAlign w:val="center"/>
          </w:tcPr>
          <w:p w14:paraId="4FE72B1A">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128" w:type="dxa"/>
            <w:tcBorders>
              <w:top w:val="single" w:color="auto" w:sz="4" w:space="0"/>
              <w:left w:val="single" w:color="auto" w:sz="4" w:space="0"/>
              <w:bottom w:val="single" w:color="auto" w:sz="4" w:space="0"/>
              <w:right w:val="single" w:color="auto" w:sz="4" w:space="0"/>
            </w:tcBorders>
            <w:vAlign w:val="top"/>
          </w:tcPr>
          <w:p w14:paraId="46077967">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一、技术参数</w:t>
            </w:r>
          </w:p>
          <w:p w14:paraId="36E85F5D">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温度控制</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PID数字温控</w:t>
            </w:r>
          </w:p>
          <w:p w14:paraId="43F21995">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控温范围</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室温+5C -100C（标准大气压下）</w:t>
            </w:r>
          </w:p>
          <w:p w14:paraId="3CCD28A9">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控温精度</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±0.5℃</w:t>
            </w:r>
          </w:p>
          <w:p w14:paraId="0DD3C422">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温度均匀性</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±0.5℃</w:t>
            </w:r>
          </w:p>
          <w:p w14:paraId="62DEE7C1">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显示精度</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0.1℃</w:t>
            </w:r>
          </w:p>
          <w:p w14:paraId="65423D14">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定时范围</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1～9999分钟（小时）或连续运行</w:t>
            </w:r>
          </w:p>
          <w:p w14:paraId="03F2487D">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加热方式</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不锈钢管式加热器</w:t>
            </w:r>
          </w:p>
          <w:p w14:paraId="4630CA08">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电压/频率</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t>220VAC±10%</w:t>
            </w:r>
          </w:p>
          <w:p w14:paraId="2989AF9B">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内部尺寸</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500mm300mm200mm</w:t>
            </w:r>
          </w:p>
          <w:p w14:paraId="62394563">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外部尺寸</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641mm340mm288mm</w:t>
            </w:r>
          </w:p>
          <w:p w14:paraId="2F378754">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功率</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1500W</w:t>
            </w:r>
          </w:p>
          <w:p w14:paraId="6A96F4C4">
            <w:pPr>
              <w:keepNext w:val="0"/>
              <w:keepLines w:val="0"/>
              <w:pageBreakBefore w:val="0"/>
              <w:kinsoku/>
              <w:wordWrap/>
              <w:overflowPunct/>
              <w:topLinePunct w:val="0"/>
              <w:autoSpaceDE/>
              <w:autoSpaceDN/>
              <w:bidi w:val="0"/>
              <w:snapToGrid/>
              <w:spacing w:beforeAutospacing="0" w:line="240" w:lineRule="auto"/>
              <w:ind w:left="0" w:leftChars="0" w:right="0" w:rightChars="0" w:firstLine="0" w:firstLineChars="0"/>
              <w:jc w:val="left"/>
              <w:rPr>
                <w:rFonts w:hint="eastAsia" w:ascii="宋体" w:hAnsi="宋体" w:eastAsia="宋体" w:cs="宋体"/>
                <w:b w:val="0"/>
                <w:bCs w:val="0"/>
                <w:color w:val="000000"/>
                <w:w w:val="100"/>
                <w:sz w:val="24"/>
                <w:szCs w:val="24"/>
                <w:highlight w:val="none"/>
                <w:u w:val="none"/>
                <w:lang w:eastAsia="zh-CN"/>
              </w:rPr>
            </w:pPr>
            <w:r>
              <w:rPr>
                <w:rFonts w:hint="eastAsia" w:ascii="宋体" w:hAnsi="宋体" w:eastAsia="宋体" w:cs="宋体"/>
                <w:b w:val="0"/>
                <w:bCs w:val="0"/>
                <w:color w:val="000000"/>
                <w:w w:val="100"/>
                <w:sz w:val="24"/>
                <w:szCs w:val="24"/>
                <w:highlight w:val="none"/>
                <w:u w:val="none"/>
                <w:lang w:val="en-US" w:eastAsia="zh-CN"/>
              </w:rPr>
              <w:t>二、</w:t>
            </w:r>
            <w:r>
              <w:rPr>
                <w:rFonts w:hint="eastAsia" w:ascii="宋体" w:hAnsi="宋体" w:eastAsia="宋体" w:cs="宋体"/>
                <w:b w:val="0"/>
                <w:bCs w:val="0"/>
                <w:color w:val="000000"/>
                <w:w w:val="100"/>
                <w:sz w:val="24"/>
                <w:szCs w:val="24"/>
                <w:highlight w:val="none"/>
                <w:u w:val="none"/>
                <w:lang w:eastAsia="zh-CN"/>
              </w:rPr>
              <w:t>产品特点</w:t>
            </w:r>
          </w:p>
          <w:p w14:paraId="1DC7E09F">
            <w:pPr>
              <w:keepNext w:val="0"/>
              <w:keepLines w:val="0"/>
              <w:pageBreakBefore w:val="0"/>
              <w:numPr>
                <w:ilvl w:val="0"/>
                <w:numId w:val="0"/>
              </w:numPr>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结构设计：</w:t>
            </w:r>
            <w:r>
              <w:rPr>
                <w:rFonts w:hint="eastAsia" w:ascii="宋体" w:hAnsi="宋体" w:eastAsia="宋体" w:cs="宋体"/>
                <w:b w:val="0"/>
                <w:bCs w:val="0"/>
                <w:kern w:val="2"/>
                <w:sz w:val="24"/>
                <w:szCs w:val="24"/>
                <w:highlight w:val="none"/>
                <w:lang w:val="en-US" w:eastAsia="zh-CN" w:bidi="ar-SA"/>
              </w:rPr>
              <w:t>箱体外壳采用冷轧钢板，经过环保喷涂处理，工作区采用不锈钢板制成</w:t>
            </w:r>
          </w:p>
          <w:p w14:paraId="00BE8E66">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产品特点：</w:t>
            </w:r>
            <w:r>
              <w:rPr>
                <w:rFonts w:hint="eastAsia" w:ascii="宋体" w:hAnsi="宋体" w:eastAsia="宋体" w:cs="宋体"/>
                <w:b w:val="0"/>
                <w:bCs w:val="0"/>
                <w:kern w:val="2"/>
                <w:sz w:val="24"/>
                <w:szCs w:val="24"/>
                <w:highlight w:val="none"/>
                <w:lang w:val="en-US" w:eastAsia="zh-CN" w:bidi="ar-SA"/>
              </w:rPr>
              <w:t>实时温度值显示、倒计时显示。 PID 微处理器控制温度，标配超温报警功能；全圆角内腔体易于清洗和消毒；自带温度偏差校准功能；LCD液晶显示；粉末涂层钢质外壳，坚固耐用；计时器可精确控制加热时间，计时范围：0～9999分钟（小时）；计时误差：&lt; 1%。</w:t>
            </w:r>
          </w:p>
        </w:tc>
      </w:tr>
      <w:tr w14:paraId="34DC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14:paraId="5D7401E4">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14</w:t>
            </w:r>
          </w:p>
        </w:tc>
        <w:tc>
          <w:tcPr>
            <w:tcW w:w="646" w:type="dxa"/>
            <w:tcBorders>
              <w:top w:val="single" w:color="auto" w:sz="4" w:space="0"/>
              <w:left w:val="single" w:color="auto" w:sz="4" w:space="0"/>
              <w:bottom w:val="single" w:color="auto" w:sz="4" w:space="0"/>
              <w:right w:val="single" w:color="auto" w:sz="4" w:space="0"/>
            </w:tcBorders>
            <w:vAlign w:val="center"/>
          </w:tcPr>
          <w:p w14:paraId="36AA612A">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培养箱（电热恒温培养箱）</w:t>
            </w:r>
          </w:p>
        </w:tc>
        <w:tc>
          <w:tcPr>
            <w:tcW w:w="629" w:type="dxa"/>
            <w:tcBorders>
              <w:top w:val="single" w:color="auto" w:sz="4" w:space="0"/>
              <w:left w:val="single" w:color="auto" w:sz="4" w:space="0"/>
              <w:bottom w:val="single" w:color="auto" w:sz="4" w:space="0"/>
              <w:right w:val="single" w:color="auto" w:sz="4" w:space="0"/>
            </w:tcBorders>
            <w:vAlign w:val="center"/>
          </w:tcPr>
          <w:p w14:paraId="23ED4771">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663" w:type="dxa"/>
            <w:tcBorders>
              <w:top w:val="single" w:color="auto" w:sz="4" w:space="0"/>
              <w:left w:val="single" w:color="auto" w:sz="4" w:space="0"/>
              <w:bottom w:val="single" w:color="auto" w:sz="4" w:space="0"/>
              <w:right w:val="single" w:color="auto" w:sz="4" w:space="0"/>
            </w:tcBorders>
            <w:vAlign w:val="center"/>
          </w:tcPr>
          <w:p w14:paraId="1BFC85B0">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128" w:type="dxa"/>
            <w:tcBorders>
              <w:top w:val="single" w:color="auto" w:sz="4" w:space="0"/>
              <w:left w:val="single" w:color="auto" w:sz="4" w:space="0"/>
              <w:bottom w:val="single" w:color="auto" w:sz="4" w:space="0"/>
              <w:right w:val="single" w:color="auto" w:sz="4" w:space="0"/>
            </w:tcBorders>
            <w:vAlign w:val="top"/>
          </w:tcPr>
          <w:p w14:paraId="436700A3">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rPr>
              <w:t>外形尺寸：</w:t>
            </w:r>
            <w:r>
              <w:rPr>
                <w:rFonts w:hint="eastAsia" w:ascii="宋体" w:hAnsi="宋体" w:eastAsia="宋体" w:cs="宋体"/>
                <w:color w:val="auto"/>
                <w:sz w:val="24"/>
                <w:szCs w:val="24"/>
                <w:highlight w:val="none"/>
                <w:lang w:val="en-US" w:eastAsia="zh-CN"/>
              </w:rPr>
              <w:t>≥</w:t>
            </w:r>
            <w:r>
              <w:rPr>
                <w:rFonts w:hint="eastAsia" w:ascii="宋体" w:hAnsi="宋体" w:eastAsia="宋体" w:cs="宋体"/>
                <w:caps w:val="0"/>
                <w:smallCaps w:val="0"/>
                <w:vanish w:val="0"/>
                <w:color w:val="auto"/>
                <w:sz w:val="24"/>
                <w:szCs w:val="24"/>
                <w:highlight w:val="none"/>
                <w:lang w:val="en-US" w:eastAsia="zh-CN"/>
              </w:rPr>
              <w:t>522626587mm；</w:t>
            </w:r>
          </w:p>
          <w:p w14:paraId="3EB61C58">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lang w:val="en-US" w:eastAsia="zh-CN"/>
              </w:rPr>
            </w:pPr>
            <w:r>
              <w:rPr>
                <w:rFonts w:hint="eastAsia" w:ascii="宋体" w:hAnsi="宋体" w:eastAsia="宋体" w:cs="宋体"/>
                <w:caps w:val="0"/>
                <w:smallCaps w:val="0"/>
                <w:vanish w:val="0"/>
                <w:color w:val="auto"/>
                <w:sz w:val="24"/>
                <w:szCs w:val="24"/>
                <w:highlight w:val="none"/>
                <w:lang w:val="en-US" w:eastAsia="zh-CN" w:bidi="ar-SA"/>
              </w:rPr>
              <w:t>2.</w:t>
            </w:r>
            <w:r>
              <w:rPr>
                <w:rFonts w:hint="eastAsia" w:ascii="宋体" w:hAnsi="宋体" w:eastAsia="宋体" w:cs="宋体"/>
                <w:color w:val="auto"/>
                <w:sz w:val="24"/>
                <w:szCs w:val="24"/>
                <w:highlight w:val="none"/>
              </w:rPr>
              <w:t>工作区尺寸：</w:t>
            </w:r>
            <w:r>
              <w:rPr>
                <w:rFonts w:hint="eastAsia" w:ascii="宋体" w:hAnsi="宋体" w:eastAsia="宋体" w:cs="宋体"/>
                <w:color w:val="auto"/>
                <w:sz w:val="24"/>
                <w:szCs w:val="24"/>
                <w:highlight w:val="none"/>
                <w:lang w:val="en-US" w:eastAsia="zh-CN"/>
              </w:rPr>
              <w:t>≥</w:t>
            </w:r>
            <w:r>
              <w:rPr>
                <w:rFonts w:hint="eastAsia" w:ascii="宋体" w:hAnsi="宋体" w:eastAsia="宋体" w:cs="宋体"/>
                <w:caps w:val="0"/>
                <w:smallCaps w:val="0"/>
                <w:vanish w:val="0"/>
                <w:color w:val="auto"/>
                <w:sz w:val="24"/>
                <w:szCs w:val="24"/>
                <w:highlight w:val="none"/>
                <w:lang w:val="en-US" w:eastAsia="zh-CN"/>
              </w:rPr>
              <w:t>395364395mm</w:t>
            </w:r>
          </w:p>
          <w:p w14:paraId="469184FC">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rPr>
              <w:t>温度选择范围：</w:t>
            </w:r>
            <w:r>
              <w:rPr>
                <w:rFonts w:hint="eastAsia" w:ascii="宋体" w:hAnsi="宋体" w:eastAsia="宋体" w:cs="宋体"/>
                <w:color w:val="auto"/>
                <w:sz w:val="24"/>
                <w:szCs w:val="24"/>
                <w:highlight w:val="none"/>
                <w:lang w:val="en-US" w:eastAsia="zh-CN"/>
              </w:rPr>
              <w:t>RT+5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85</w:t>
            </w:r>
            <w:r>
              <w:rPr>
                <w:rFonts w:hint="eastAsia" w:ascii="宋体" w:hAnsi="宋体" w:eastAsia="宋体" w:cs="宋体"/>
                <w:color w:val="auto"/>
                <w:sz w:val="24"/>
                <w:szCs w:val="24"/>
                <w:highlight w:val="none"/>
              </w:rPr>
              <w:t>℃。</w:t>
            </w:r>
          </w:p>
          <w:p w14:paraId="7799F425">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rPr>
            </w:pPr>
            <w:r>
              <w:rPr>
                <w:rFonts w:hint="eastAsia" w:ascii="宋体" w:hAnsi="宋体" w:eastAsia="宋体" w:cs="宋体"/>
                <w:caps w:val="0"/>
                <w:smallCaps w:val="0"/>
                <w:vanish w:val="0"/>
                <w:color w:val="auto"/>
                <w:sz w:val="24"/>
                <w:szCs w:val="24"/>
                <w:highlight w:val="none"/>
                <w:lang w:val="en-US" w:eastAsia="zh-CN" w:bidi="ar-SA"/>
              </w:rPr>
              <w:t>4.</w:t>
            </w:r>
            <w:r>
              <w:rPr>
                <w:rFonts w:hint="eastAsia" w:ascii="宋体" w:hAnsi="宋体" w:eastAsia="宋体" w:cs="宋体"/>
                <w:caps w:val="0"/>
                <w:smallCaps w:val="0"/>
                <w:vanish w:val="0"/>
                <w:color w:val="auto"/>
                <w:sz w:val="24"/>
                <w:szCs w:val="24"/>
                <w:highlight w:val="none"/>
                <w:lang w:val="en-US" w:eastAsia="zh-CN"/>
              </w:rPr>
              <w:t>设备容积；≥54L。</w:t>
            </w:r>
          </w:p>
          <w:p w14:paraId="1D6CDC28">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rPr>
              <w:t>温度显示精度：0.1℃。</w:t>
            </w:r>
          </w:p>
          <w:p w14:paraId="359723CB">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rPr>
            </w:pPr>
            <w:r>
              <w:rPr>
                <w:rFonts w:hint="eastAsia" w:ascii="宋体" w:hAnsi="宋体" w:eastAsia="宋体" w:cs="宋体"/>
                <w:caps w:val="0"/>
                <w:smallCaps w:val="0"/>
                <w:vanish w:val="0"/>
                <w:color w:val="auto"/>
                <w:sz w:val="24"/>
                <w:szCs w:val="24"/>
                <w:highlight w:val="none"/>
                <w:lang w:val="en-US" w:eastAsia="zh-CN" w:bidi="ar-SA"/>
              </w:rPr>
              <w:t>6.</w:t>
            </w:r>
            <w:r>
              <w:rPr>
                <w:rFonts w:hint="eastAsia" w:ascii="宋体" w:hAnsi="宋体" w:eastAsia="宋体" w:cs="宋体"/>
                <w:caps w:val="0"/>
                <w:smallCaps w:val="0"/>
                <w:vanish w:val="0"/>
                <w:color w:val="auto"/>
                <w:sz w:val="24"/>
                <w:szCs w:val="24"/>
                <w:highlight w:val="none"/>
              </w:rPr>
              <w:t>温度均匀性：±</w:t>
            </w:r>
            <w:r>
              <w:rPr>
                <w:rFonts w:hint="eastAsia" w:ascii="宋体" w:hAnsi="宋体" w:eastAsia="宋体" w:cs="宋体"/>
                <w:caps w:val="0"/>
                <w:smallCaps w:val="0"/>
                <w:vanish w:val="0"/>
                <w:color w:val="auto"/>
                <w:sz w:val="24"/>
                <w:szCs w:val="24"/>
                <w:highlight w:val="none"/>
                <w:lang w:val="en-US" w:eastAsia="zh-CN"/>
              </w:rPr>
              <w:t>2</w:t>
            </w:r>
            <w:r>
              <w:rPr>
                <w:rFonts w:hint="eastAsia" w:ascii="宋体" w:hAnsi="宋体" w:eastAsia="宋体" w:cs="宋体"/>
                <w:caps w:val="0"/>
                <w:smallCaps w:val="0"/>
                <w:vanish w:val="0"/>
                <w:color w:val="auto"/>
                <w:sz w:val="24"/>
                <w:szCs w:val="24"/>
                <w:highlight w:val="none"/>
              </w:rPr>
              <w:t>℃。</w:t>
            </w:r>
          </w:p>
          <w:p w14:paraId="1F6BDF21">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rPr>
            </w:pPr>
            <w:r>
              <w:rPr>
                <w:rFonts w:hint="eastAsia" w:ascii="宋体" w:hAnsi="宋体" w:eastAsia="宋体" w:cs="宋体"/>
                <w:caps w:val="0"/>
                <w:smallCaps w:val="0"/>
                <w:vanish w:val="0"/>
                <w:color w:val="auto"/>
                <w:sz w:val="24"/>
                <w:szCs w:val="24"/>
                <w:highlight w:val="none"/>
                <w:lang w:val="en-US" w:eastAsia="zh-CN" w:bidi="ar-SA"/>
              </w:rPr>
              <w:t>7.</w:t>
            </w:r>
            <w:r>
              <w:rPr>
                <w:rFonts w:hint="eastAsia" w:ascii="宋体" w:hAnsi="宋体" w:eastAsia="宋体" w:cs="宋体"/>
                <w:caps w:val="0"/>
                <w:smallCaps w:val="0"/>
                <w:vanish w:val="0"/>
                <w:color w:val="auto"/>
                <w:sz w:val="24"/>
                <w:szCs w:val="24"/>
                <w:highlight w:val="none"/>
              </w:rPr>
              <w:t>温</w:t>
            </w:r>
            <w:r>
              <w:rPr>
                <w:rFonts w:hint="eastAsia" w:ascii="宋体" w:hAnsi="宋体" w:eastAsia="宋体" w:cs="宋体"/>
                <w:color w:val="auto"/>
                <w:sz w:val="24"/>
                <w:szCs w:val="24"/>
                <w:highlight w:val="none"/>
              </w:rPr>
              <w:t>度波动度：±</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p>
          <w:p w14:paraId="46CC7875">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lang w:val="zh-CN"/>
              </w:rPr>
            </w:pPr>
            <w:r>
              <w:rPr>
                <w:rFonts w:hint="eastAsia" w:ascii="宋体" w:hAnsi="宋体" w:eastAsia="宋体" w:cs="宋体"/>
                <w:caps w:val="0"/>
                <w:smallCaps w:val="0"/>
                <w:vanish w:val="0"/>
                <w:color w:val="auto"/>
                <w:sz w:val="24"/>
                <w:szCs w:val="24"/>
                <w:highlight w:val="none"/>
                <w:lang w:val="en-US" w:eastAsia="zh-CN" w:bidi="ar-SA"/>
              </w:rPr>
              <w:t>8</w:t>
            </w:r>
            <w:r>
              <w:rPr>
                <w:rFonts w:hint="eastAsia" w:ascii="宋体" w:hAnsi="宋体" w:eastAsia="宋体" w:cs="宋体"/>
                <w:caps w:val="0"/>
                <w:smallCaps w:val="0"/>
                <w:vanish w:val="0"/>
                <w:color w:val="auto"/>
                <w:sz w:val="24"/>
                <w:szCs w:val="24"/>
                <w:highlight w:val="none"/>
                <w:lang w:val="zh-CN" w:eastAsia="zh-CN" w:bidi="ar-SA"/>
              </w:rPr>
              <w:t>.</w:t>
            </w:r>
            <w:r>
              <w:rPr>
                <w:rFonts w:hint="eastAsia" w:ascii="宋体" w:hAnsi="宋体" w:eastAsia="宋体" w:cs="宋体"/>
                <w:caps w:val="0"/>
                <w:smallCaps w:val="0"/>
                <w:vanish w:val="0"/>
                <w:color w:val="auto"/>
                <w:sz w:val="24"/>
                <w:szCs w:val="24"/>
                <w:highlight w:val="none"/>
                <w:lang w:val="en-US" w:eastAsia="zh-CN"/>
              </w:rPr>
              <w:t>箱体侧面标配测试孔，可根据实际需求检测工作室内温度。</w:t>
            </w:r>
            <w:r>
              <w:rPr>
                <w:rFonts w:hint="eastAsia" w:ascii="宋体" w:hAnsi="宋体" w:eastAsia="宋体" w:cs="宋体"/>
                <w:caps w:val="0"/>
                <w:smallCaps w:val="0"/>
                <w:vanish w:val="0"/>
                <w:color w:val="auto"/>
                <w:sz w:val="24"/>
                <w:szCs w:val="24"/>
                <w:highlight w:val="none"/>
                <w:lang w:val="zh-CN"/>
              </w:rPr>
              <w:t>。</w:t>
            </w:r>
          </w:p>
          <w:p w14:paraId="6D915DB6">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9.</w:t>
            </w:r>
            <w:r>
              <w:rPr>
                <w:rFonts w:hint="eastAsia" w:ascii="宋体" w:hAnsi="宋体" w:eastAsia="宋体" w:cs="宋体"/>
                <w:caps w:val="0"/>
                <w:smallCaps w:val="0"/>
                <w:vanish w:val="0"/>
                <w:color w:val="auto"/>
                <w:sz w:val="24"/>
                <w:szCs w:val="24"/>
                <w:highlight w:val="none"/>
                <w:lang w:val="en-US" w:eastAsia="zh-CN"/>
              </w:rPr>
              <w:t>采用PID微电脑控温技术，多点校温，温度更精准</w:t>
            </w:r>
            <w:r>
              <w:rPr>
                <w:rFonts w:hint="eastAsia" w:ascii="宋体" w:hAnsi="宋体" w:eastAsia="宋体" w:cs="宋体"/>
                <w:color w:val="auto"/>
                <w:sz w:val="24"/>
                <w:szCs w:val="24"/>
                <w:highlight w:val="none"/>
              </w:rPr>
              <w:t>。</w:t>
            </w:r>
          </w:p>
          <w:p w14:paraId="78A6372E">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10.</w:t>
            </w:r>
            <w:r>
              <w:rPr>
                <w:rFonts w:hint="eastAsia" w:ascii="宋体" w:hAnsi="宋体" w:eastAsia="宋体" w:cs="宋体"/>
                <w:caps w:val="0"/>
                <w:smallCaps w:val="0"/>
                <w:vanish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3.5寸显示屏，</w:t>
            </w:r>
            <w:r>
              <w:rPr>
                <w:rFonts w:hint="eastAsia" w:ascii="宋体" w:hAnsi="宋体" w:eastAsia="宋体" w:cs="宋体"/>
                <w:caps w:val="0"/>
                <w:smallCaps w:val="0"/>
                <w:vanish w:val="0"/>
                <w:color w:val="auto"/>
                <w:sz w:val="24"/>
                <w:szCs w:val="24"/>
                <w:highlight w:val="none"/>
                <w:lang w:val="en-US" w:eastAsia="zh-CN"/>
              </w:rPr>
              <w:t>简单易懂易操作，便于观察</w:t>
            </w:r>
          </w:p>
          <w:p w14:paraId="69FC7195">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11.</w:t>
            </w:r>
            <w:r>
              <w:rPr>
                <w:rFonts w:hint="eastAsia" w:ascii="宋体" w:hAnsi="宋体" w:eastAsia="宋体" w:cs="宋体"/>
                <w:caps w:val="0"/>
                <w:smallCaps w:val="0"/>
                <w:vanish w:val="0"/>
                <w:color w:val="auto"/>
                <w:sz w:val="24"/>
                <w:szCs w:val="24"/>
                <w:highlight w:val="none"/>
                <w:lang w:val="en-US" w:eastAsia="zh-CN"/>
              </w:rPr>
              <w:t>二类医疗器械注册证</w:t>
            </w:r>
          </w:p>
          <w:p w14:paraId="684834F6">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lang w:val="en-US" w:eastAsia="zh-CN"/>
              </w:rPr>
            </w:pPr>
            <w:r>
              <w:rPr>
                <w:rFonts w:hint="eastAsia" w:ascii="宋体" w:hAnsi="宋体" w:eastAsia="宋体" w:cs="宋体"/>
                <w:caps w:val="0"/>
                <w:smallCaps w:val="0"/>
                <w:vanish w:val="0"/>
                <w:color w:val="auto"/>
                <w:sz w:val="24"/>
                <w:szCs w:val="24"/>
                <w:highlight w:val="none"/>
                <w:lang w:val="en-US" w:eastAsia="zh-CN" w:bidi="ar-SA"/>
              </w:rPr>
              <w:t>12.</w:t>
            </w:r>
            <w:r>
              <w:rPr>
                <w:rFonts w:hint="eastAsia" w:ascii="宋体" w:hAnsi="宋体" w:eastAsia="宋体" w:cs="宋体"/>
                <w:caps w:val="0"/>
                <w:smallCaps w:val="0"/>
                <w:vanish w:val="0"/>
                <w:color w:val="auto"/>
                <w:sz w:val="24"/>
                <w:szCs w:val="24"/>
                <w:highlight w:val="none"/>
                <w:lang w:val="en-US" w:eastAsia="zh-CN"/>
              </w:rPr>
              <w:t>具有定时功能，声光报警提示，0-99.9H；具备开门报警，超温报警功能</w:t>
            </w:r>
          </w:p>
          <w:p w14:paraId="28EE075E">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aps w:val="0"/>
                <w:smallCaps w:val="0"/>
                <w:vanish w:val="0"/>
                <w:color w:val="auto"/>
                <w:sz w:val="24"/>
                <w:szCs w:val="24"/>
                <w:highlight w:val="none"/>
                <w:lang w:val="en-US" w:eastAsia="zh-CN"/>
              </w:rPr>
            </w:pPr>
            <w:r>
              <w:rPr>
                <w:rFonts w:hint="eastAsia" w:ascii="宋体" w:hAnsi="宋体" w:eastAsia="宋体" w:cs="宋体"/>
                <w:caps w:val="0"/>
                <w:smallCaps w:val="0"/>
                <w:vanish w:val="0"/>
                <w:color w:val="auto"/>
                <w:sz w:val="24"/>
                <w:szCs w:val="24"/>
                <w:highlight w:val="none"/>
                <w:lang w:val="en-US" w:eastAsia="zh-CN" w:bidi="ar-SA"/>
              </w:rPr>
              <w:t>13.</w:t>
            </w:r>
            <w:r>
              <w:rPr>
                <w:rFonts w:hint="eastAsia" w:ascii="宋体" w:hAnsi="宋体" w:eastAsia="宋体" w:cs="宋体"/>
                <w:caps w:val="0"/>
                <w:smallCaps w:val="0"/>
                <w:vanish w:val="0"/>
                <w:color w:val="auto"/>
                <w:sz w:val="24"/>
                <w:szCs w:val="24"/>
                <w:highlight w:val="none"/>
                <w:lang w:val="en-US" w:eastAsia="zh-CN"/>
              </w:rPr>
              <w:t>选配；可选配紫外线杀菌，可选配福马脚轮，移动更方便</w:t>
            </w:r>
          </w:p>
          <w:p w14:paraId="78CCAB06">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14.</w:t>
            </w:r>
            <w:r>
              <w:rPr>
                <w:rFonts w:hint="eastAsia" w:ascii="宋体" w:hAnsi="宋体" w:eastAsia="宋体" w:cs="宋体"/>
                <w:color w:val="auto"/>
                <w:sz w:val="24"/>
                <w:szCs w:val="24"/>
                <w:highlight w:val="none"/>
              </w:rPr>
              <w:t>具有限温报警系统功能，超过限制温度即自动中断</w:t>
            </w:r>
            <w:r>
              <w:rPr>
                <w:rFonts w:hint="eastAsia" w:ascii="宋体" w:hAnsi="宋体" w:eastAsia="宋体" w:cs="宋体"/>
                <w:caps w:val="0"/>
                <w:smallCaps w:val="0"/>
                <w:vanish w:val="0"/>
                <w:color w:val="auto"/>
                <w:sz w:val="24"/>
                <w:szCs w:val="24"/>
                <w:highlight w:val="none"/>
              </w:rPr>
              <w:t>，</w:t>
            </w:r>
            <w:r>
              <w:rPr>
                <w:rFonts w:hint="eastAsia" w:ascii="宋体" w:hAnsi="宋体" w:eastAsia="宋体" w:cs="宋体"/>
                <w:caps w:val="0"/>
                <w:smallCaps w:val="0"/>
                <w:vanish w:val="0"/>
                <w:color w:val="auto"/>
                <w:sz w:val="24"/>
                <w:szCs w:val="24"/>
                <w:highlight w:val="none"/>
                <w:lang w:val="en-US" w:eastAsia="zh-CN"/>
              </w:rPr>
              <w:t>防止温度过高对仪器产生损害</w:t>
            </w:r>
            <w:r>
              <w:rPr>
                <w:rFonts w:hint="eastAsia" w:ascii="宋体" w:hAnsi="宋体" w:eastAsia="宋体" w:cs="宋体"/>
                <w:caps w:val="0"/>
                <w:smallCaps w:val="0"/>
                <w:vanish w:val="0"/>
                <w:color w:val="auto"/>
                <w:sz w:val="24"/>
                <w:szCs w:val="24"/>
                <w:highlight w:val="none"/>
              </w:rPr>
              <w:t>。</w:t>
            </w:r>
          </w:p>
          <w:p w14:paraId="1A5B1F1F">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15.</w:t>
            </w:r>
            <w:r>
              <w:rPr>
                <w:rFonts w:hint="eastAsia" w:ascii="宋体" w:hAnsi="宋体" w:eastAsia="宋体" w:cs="宋体"/>
                <w:color w:val="auto"/>
                <w:sz w:val="24"/>
                <w:szCs w:val="24"/>
                <w:highlight w:val="none"/>
              </w:rPr>
              <w:t>舱体采用不锈钢面板材质，多层可调节搁架，</w:t>
            </w:r>
            <w:r>
              <w:rPr>
                <w:rFonts w:hint="eastAsia" w:ascii="宋体" w:hAnsi="宋体" w:eastAsia="宋体" w:cs="宋体"/>
                <w:caps w:val="0"/>
                <w:smallCaps w:val="0"/>
                <w:vanish w:val="0"/>
                <w:color w:val="auto"/>
                <w:sz w:val="24"/>
                <w:szCs w:val="24"/>
                <w:highlight w:val="none"/>
                <w:lang w:val="en-US" w:eastAsia="zh-CN"/>
              </w:rPr>
              <w:t>防滑脱隔板设计，</w:t>
            </w:r>
            <w:r>
              <w:rPr>
                <w:rFonts w:hint="eastAsia" w:ascii="宋体" w:hAnsi="宋体" w:eastAsia="宋体" w:cs="宋体"/>
                <w:color w:val="auto"/>
                <w:sz w:val="24"/>
                <w:szCs w:val="24"/>
                <w:highlight w:val="none"/>
              </w:rPr>
              <w:t>方便装载。箱体外部为碳钢喷塑</w:t>
            </w:r>
          </w:p>
          <w:p w14:paraId="39FDBFF9">
            <w:pPr>
              <w:pStyle w:val="39"/>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16.</w:t>
            </w:r>
            <w:r>
              <w:rPr>
                <w:rFonts w:hint="eastAsia" w:ascii="宋体" w:hAnsi="宋体" w:eastAsia="宋体" w:cs="宋体"/>
                <w:color w:val="auto"/>
                <w:sz w:val="24"/>
                <w:szCs w:val="24"/>
                <w:highlight w:val="none"/>
              </w:rPr>
              <w:t>保温层采用</w:t>
            </w:r>
            <w:r>
              <w:rPr>
                <w:rFonts w:hint="eastAsia" w:ascii="宋体" w:hAnsi="宋体" w:eastAsia="宋体" w:cs="宋体"/>
                <w:color w:val="auto"/>
                <w:sz w:val="24"/>
                <w:szCs w:val="24"/>
                <w:highlight w:val="none"/>
                <w:lang w:val="en-US" w:eastAsia="zh-CN"/>
              </w:rPr>
              <w:t>硅酸铝棉</w:t>
            </w:r>
            <w:r>
              <w:rPr>
                <w:rFonts w:hint="eastAsia" w:ascii="宋体" w:hAnsi="宋体" w:eastAsia="宋体" w:cs="宋体"/>
                <w:color w:val="auto"/>
                <w:sz w:val="24"/>
                <w:szCs w:val="24"/>
                <w:highlight w:val="none"/>
              </w:rPr>
              <w:t>，保温性能好，减少受外界环境温度的影响。</w:t>
            </w:r>
          </w:p>
          <w:p w14:paraId="473BDB92">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单层门透视窗结构，采用硅胶密封条贴合密封设计，</w:t>
            </w:r>
            <w:r>
              <w:rPr>
                <w:rFonts w:hint="eastAsia" w:ascii="宋体" w:hAnsi="宋体" w:eastAsia="宋体" w:cs="宋体"/>
                <w:color w:val="auto"/>
                <w:sz w:val="24"/>
                <w:szCs w:val="24"/>
                <w:highlight w:val="none"/>
                <w:lang w:val="zh-CN"/>
              </w:rPr>
              <w:t>便于观察设备内部情况。</w:t>
            </w:r>
          </w:p>
        </w:tc>
      </w:tr>
      <w:tr w14:paraId="3269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14:paraId="71DDBF2A">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15</w:t>
            </w:r>
          </w:p>
        </w:tc>
        <w:tc>
          <w:tcPr>
            <w:tcW w:w="646" w:type="dxa"/>
            <w:tcBorders>
              <w:top w:val="single" w:color="auto" w:sz="4" w:space="0"/>
              <w:left w:val="single" w:color="auto" w:sz="4" w:space="0"/>
              <w:bottom w:val="single" w:color="auto" w:sz="4" w:space="0"/>
              <w:right w:val="single" w:color="auto" w:sz="4" w:space="0"/>
            </w:tcBorders>
            <w:vAlign w:val="center"/>
          </w:tcPr>
          <w:p w14:paraId="62355303">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真空干燥箱（立式）</w:t>
            </w:r>
          </w:p>
        </w:tc>
        <w:tc>
          <w:tcPr>
            <w:tcW w:w="629" w:type="dxa"/>
            <w:tcBorders>
              <w:top w:val="single" w:color="auto" w:sz="4" w:space="0"/>
              <w:left w:val="single" w:color="auto" w:sz="4" w:space="0"/>
              <w:bottom w:val="single" w:color="auto" w:sz="4" w:space="0"/>
              <w:right w:val="single" w:color="auto" w:sz="4" w:space="0"/>
            </w:tcBorders>
            <w:vAlign w:val="center"/>
          </w:tcPr>
          <w:p w14:paraId="7531C92B">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663" w:type="dxa"/>
            <w:tcBorders>
              <w:top w:val="single" w:color="auto" w:sz="4" w:space="0"/>
              <w:left w:val="single" w:color="auto" w:sz="4" w:space="0"/>
              <w:bottom w:val="single" w:color="auto" w:sz="4" w:space="0"/>
              <w:right w:val="single" w:color="auto" w:sz="4" w:space="0"/>
            </w:tcBorders>
            <w:vAlign w:val="center"/>
          </w:tcPr>
          <w:p w14:paraId="1EB47351">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128" w:type="dxa"/>
            <w:tcBorders>
              <w:top w:val="single" w:color="auto" w:sz="4" w:space="0"/>
              <w:left w:val="single" w:color="auto" w:sz="4" w:space="0"/>
              <w:bottom w:val="single" w:color="auto" w:sz="4" w:space="0"/>
              <w:right w:val="single" w:color="auto" w:sz="4" w:space="0"/>
            </w:tcBorders>
            <w:vAlign w:val="top"/>
          </w:tcPr>
          <w:p w14:paraId="6B8DCE49">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一、</w:t>
            </w:r>
            <w:r>
              <w:rPr>
                <w:rFonts w:hint="eastAsia" w:ascii="宋体" w:hAnsi="宋体" w:eastAsia="宋体" w:cs="宋体"/>
                <w:b w:val="0"/>
                <w:bCs/>
                <w:sz w:val="24"/>
                <w:szCs w:val="24"/>
                <w:highlight w:val="none"/>
              </w:rPr>
              <w:t>产品特点：</w:t>
            </w:r>
          </w:p>
          <w:p w14:paraId="1BBFDEBD">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长方体工作室，使有效容积达到最大，微电脑温度控制器，控温精确可靠。</w:t>
            </w:r>
          </w:p>
          <w:p w14:paraId="3634AFEC">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钢化、防弹双层玻璃门观察工作室内物体，一目了然，能够向内部充入惰性气体（选配）。</w:t>
            </w:r>
          </w:p>
          <w:p w14:paraId="1EC110F2">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箱门闭合松紧可调节，整体成型的合成硅门封圈，确保箱内保持高真空度。</w:t>
            </w:r>
          </w:p>
          <w:p w14:paraId="486A2B53">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工作室采用不锈钢板材料制成</w:t>
            </w:r>
          </w:p>
          <w:p w14:paraId="3CCE8300">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储存、加热、试验和干燥可在没有氧气或者充满惰性气体环境里进行，不会导致氧化。</w:t>
            </w:r>
          </w:p>
          <w:p w14:paraId="0FF4428F">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技术参数：</w:t>
            </w:r>
          </w:p>
          <w:p w14:paraId="329240CF">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电源电压</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AC220V 50HZ</w:t>
            </w:r>
          </w:p>
          <w:p w14:paraId="7101B341">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输入功率</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rPr>
              <w:t>1350W</w:t>
            </w:r>
          </w:p>
          <w:p w14:paraId="716DAD0A">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控温范围</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RT+10～200℃（最低温度45度，最高200度）</w:t>
            </w:r>
          </w:p>
          <w:p w14:paraId="53C5D01A">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温度分辨率/波动度</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0.1℃ /±1℃</w:t>
            </w:r>
          </w:p>
          <w:p w14:paraId="02ACF330">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达到真空度</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133Pa</w:t>
            </w:r>
          </w:p>
          <w:p w14:paraId="33CE5D22">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真空表</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进口真空表/机械指针式</w:t>
            </w:r>
          </w:p>
          <w:p w14:paraId="1F67589D">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工作环境温度</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5～40℃</w:t>
            </w:r>
          </w:p>
          <w:p w14:paraId="041345FB">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内胆尺寸（mm)W×D×H≥450×450×450</w:t>
            </w:r>
          </w:p>
          <w:p w14:paraId="7C82E800">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外形尺寸（mm)W×D×H≥6</w:t>
            </w:r>
            <w:r>
              <w:rPr>
                <w:rFonts w:hint="eastAsia" w:ascii="宋体" w:hAnsi="宋体" w:eastAsia="宋体" w:cs="宋体"/>
                <w:b w:val="0"/>
                <w:bCs/>
                <w:sz w:val="24"/>
                <w:szCs w:val="24"/>
                <w:highlight w:val="none"/>
                <w:lang w:val="en-US" w:eastAsia="zh-CN"/>
              </w:rPr>
              <w:t>0</w:t>
            </w:r>
            <w:r>
              <w:rPr>
                <w:rFonts w:hint="eastAsia" w:ascii="宋体" w:hAnsi="宋体" w:eastAsia="宋体" w:cs="宋体"/>
                <w:b w:val="0"/>
                <w:bCs/>
                <w:sz w:val="24"/>
                <w:szCs w:val="24"/>
                <w:highlight w:val="none"/>
              </w:rPr>
              <w:t>0×5</w:t>
            </w:r>
            <w:r>
              <w:rPr>
                <w:rFonts w:hint="eastAsia" w:ascii="宋体" w:hAnsi="宋体" w:eastAsia="宋体" w:cs="宋体"/>
                <w:b w:val="0"/>
                <w:bCs/>
                <w:sz w:val="24"/>
                <w:szCs w:val="24"/>
                <w:highlight w:val="none"/>
                <w:lang w:val="en-US" w:eastAsia="zh-CN"/>
              </w:rPr>
              <w:t>0</w:t>
            </w:r>
            <w:r>
              <w:rPr>
                <w:rFonts w:hint="eastAsia" w:ascii="宋体" w:hAnsi="宋体" w:eastAsia="宋体" w:cs="宋体"/>
                <w:b w:val="0"/>
                <w:bCs/>
                <w:sz w:val="24"/>
                <w:szCs w:val="24"/>
                <w:highlight w:val="none"/>
              </w:rPr>
              <w:t>0×13</w:t>
            </w:r>
            <w:r>
              <w:rPr>
                <w:rFonts w:hint="eastAsia" w:ascii="宋体" w:hAnsi="宋体" w:eastAsia="宋体" w:cs="宋体"/>
                <w:b w:val="0"/>
                <w:bCs/>
                <w:sz w:val="24"/>
                <w:szCs w:val="24"/>
                <w:highlight w:val="none"/>
                <w:lang w:val="en-US" w:eastAsia="zh-CN"/>
              </w:rPr>
              <w:t>0</w:t>
            </w:r>
            <w:r>
              <w:rPr>
                <w:rFonts w:hint="eastAsia" w:ascii="宋体" w:hAnsi="宋体" w:eastAsia="宋体" w:cs="宋体"/>
                <w:b w:val="0"/>
                <w:bCs/>
                <w:sz w:val="24"/>
                <w:szCs w:val="24"/>
                <w:highlight w:val="none"/>
              </w:rPr>
              <w:t>0</w:t>
            </w:r>
          </w:p>
          <w:p w14:paraId="4A8EEAD4">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搁板</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2块(独立控温)（隔板不可拆卸）</w:t>
            </w:r>
          </w:p>
          <w:p w14:paraId="306C83C2">
            <w:pPr>
              <w:keepNext w:val="0"/>
              <w:keepLines w:val="0"/>
              <w:pageBreakBefore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sz w:val="24"/>
                <w:szCs w:val="24"/>
                <w:highlight w:val="none"/>
              </w:rPr>
              <w:t>工作室材料</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不锈钢304（1Cr~18Ni9Ti)</w:t>
            </w:r>
          </w:p>
        </w:tc>
      </w:tr>
      <w:tr w14:paraId="7948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14:paraId="66093344">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w:t>
            </w:r>
          </w:p>
        </w:tc>
        <w:tc>
          <w:tcPr>
            <w:tcW w:w="646" w:type="dxa"/>
            <w:tcBorders>
              <w:top w:val="single" w:color="auto" w:sz="4" w:space="0"/>
              <w:left w:val="single" w:color="auto" w:sz="4" w:space="0"/>
              <w:bottom w:val="single" w:color="auto" w:sz="4" w:space="0"/>
              <w:right w:val="single" w:color="auto" w:sz="4" w:space="0"/>
            </w:tcBorders>
            <w:vAlign w:val="center"/>
          </w:tcPr>
          <w:p w14:paraId="227E5185">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纯水机</w:t>
            </w:r>
          </w:p>
        </w:tc>
        <w:tc>
          <w:tcPr>
            <w:tcW w:w="629" w:type="dxa"/>
            <w:tcBorders>
              <w:top w:val="single" w:color="auto" w:sz="4" w:space="0"/>
              <w:left w:val="single" w:color="auto" w:sz="4" w:space="0"/>
              <w:bottom w:val="single" w:color="auto" w:sz="4" w:space="0"/>
              <w:right w:val="single" w:color="auto" w:sz="4" w:space="0"/>
            </w:tcBorders>
            <w:vAlign w:val="center"/>
          </w:tcPr>
          <w:p w14:paraId="0D286F95">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663" w:type="dxa"/>
            <w:tcBorders>
              <w:top w:val="single" w:color="auto" w:sz="4" w:space="0"/>
              <w:left w:val="single" w:color="auto" w:sz="4" w:space="0"/>
              <w:bottom w:val="single" w:color="auto" w:sz="4" w:space="0"/>
              <w:right w:val="single" w:color="auto" w:sz="4" w:space="0"/>
            </w:tcBorders>
            <w:vAlign w:val="center"/>
          </w:tcPr>
          <w:p w14:paraId="432EE26D">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128" w:type="dxa"/>
            <w:tcBorders>
              <w:top w:val="single" w:color="auto" w:sz="4" w:space="0"/>
              <w:left w:val="single" w:color="auto" w:sz="4" w:space="0"/>
              <w:bottom w:val="single" w:color="auto" w:sz="4" w:space="0"/>
              <w:right w:val="single" w:color="auto" w:sz="4" w:space="0"/>
            </w:tcBorders>
            <w:vAlign w:val="top"/>
          </w:tcPr>
          <w:p w14:paraId="389E7BD0">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1、进水要求：</w:t>
            </w:r>
          </w:p>
          <w:p w14:paraId="1A7031FE">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市政自来水，工作时进水水压 0.1-0.3Mpa,水温 5-45℃，水质符合 GB5749 规定。 系统流程：PF+AC+RO+DI</w:t>
            </w:r>
          </w:p>
          <w:p w14:paraId="56834DB9">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纯化系统： 10"PP 滤芯2+10"活性炭滤芯2+300GPD RO 反渗透膜2+去离子交换柱1  出水水质符和国标 GB/T6682-2008 符合一级水要求</w:t>
            </w:r>
          </w:p>
          <w:p w14:paraId="1BFC7AED">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2、DI 去离子水指标</w:t>
            </w:r>
          </w:p>
          <w:p w14:paraId="413B82BB">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电导率：0.055-0.1μs/cm 电阻率：10-18.25MΩ·cm@25℃ 重金属离子：&lt;0.1μg/L 颗粒物：&lt;1/ml</w:t>
            </w:r>
          </w:p>
          <w:p w14:paraId="1DD66618">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3、RO 反渗透水指标 离子截留率：96-99% 有机物截留率：&gt;99% 颗粒和细菌截留率：&gt;99%</w:t>
            </w:r>
          </w:p>
          <w:p w14:paraId="7551393C">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4、 产水量（25℃）≥60 升/小时</w:t>
            </w:r>
          </w:p>
          <w:p w14:paraId="6AA7B6EA">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5、瞬间出水量：1000ml/min</w:t>
            </w:r>
          </w:p>
          <w:p w14:paraId="6AD057B5">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6、出水口：1 个 RO 反渗透水（选配），1 个 DI 去离子水（标配）</w:t>
            </w:r>
          </w:p>
          <w:p w14:paraId="787409AE">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color w:val="000000"/>
                <w:kern w:val="0"/>
                <w:sz w:val="24"/>
                <w:szCs w:val="24"/>
                <w:highlight w:val="none"/>
                <w:lang w:val="en-US" w:eastAsia="zh-CN" w:bidi="ar"/>
              </w:rPr>
            </w:pPr>
            <w:r>
              <w:rPr>
                <w:rFonts w:hint="eastAsia" w:ascii="宋体" w:hAnsi="宋体" w:eastAsia="宋体" w:cs="宋体"/>
                <w:b w:val="0"/>
                <w:bCs w:val="0"/>
                <w:color w:val="000000"/>
                <w:kern w:val="0"/>
                <w:sz w:val="24"/>
                <w:szCs w:val="24"/>
                <w:highlight w:val="none"/>
                <w:lang w:val="en-US" w:eastAsia="zh-CN" w:bidi="ar"/>
              </w:rPr>
              <w:t>7、使用环境:温度：15-35℃ 相对湿度：≤80%</w:t>
            </w:r>
          </w:p>
          <w:p w14:paraId="2BCE6188">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color w:val="000000"/>
                <w:kern w:val="0"/>
                <w:sz w:val="24"/>
                <w:szCs w:val="24"/>
                <w:highlight w:val="none"/>
                <w:lang w:val="en-US" w:eastAsia="zh-CN" w:bidi="ar"/>
              </w:rPr>
              <w:t>8、裸机外形尺寸≥4003931000mm</w:t>
            </w:r>
          </w:p>
          <w:p w14:paraId="1408CE9D">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b w:val="0"/>
                <w:bCs w:val="0"/>
                <w:color w:val="000000"/>
                <w:kern w:val="0"/>
                <w:sz w:val="24"/>
                <w:szCs w:val="24"/>
                <w:highlight w:val="none"/>
                <w:lang w:val="en-US" w:eastAsia="zh-CN" w:bidi="ar"/>
              </w:rPr>
              <w:t>9、电源/功率：额定电压和频率：220V±10%，50/60Hz，额定功率：60W</w:t>
            </w:r>
          </w:p>
        </w:tc>
      </w:tr>
      <w:tr w14:paraId="456F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14:paraId="1A9BC021">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17</w:t>
            </w:r>
          </w:p>
        </w:tc>
        <w:tc>
          <w:tcPr>
            <w:tcW w:w="646" w:type="dxa"/>
            <w:tcBorders>
              <w:top w:val="single" w:color="auto" w:sz="4" w:space="0"/>
              <w:left w:val="single" w:color="auto" w:sz="4" w:space="0"/>
              <w:bottom w:val="single" w:color="auto" w:sz="4" w:space="0"/>
              <w:right w:val="single" w:color="auto" w:sz="4" w:space="0"/>
            </w:tcBorders>
            <w:vAlign w:val="center"/>
          </w:tcPr>
          <w:p w14:paraId="5FECDDBD">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离心机</w:t>
            </w:r>
          </w:p>
        </w:tc>
        <w:tc>
          <w:tcPr>
            <w:tcW w:w="629" w:type="dxa"/>
            <w:tcBorders>
              <w:top w:val="single" w:color="auto" w:sz="4" w:space="0"/>
              <w:left w:val="single" w:color="auto" w:sz="4" w:space="0"/>
              <w:bottom w:val="single" w:color="auto" w:sz="4" w:space="0"/>
              <w:right w:val="single" w:color="auto" w:sz="4" w:space="0"/>
            </w:tcBorders>
            <w:vAlign w:val="center"/>
          </w:tcPr>
          <w:p w14:paraId="2BEA34E6">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663" w:type="dxa"/>
            <w:tcBorders>
              <w:top w:val="single" w:color="auto" w:sz="4" w:space="0"/>
              <w:left w:val="single" w:color="auto" w:sz="4" w:space="0"/>
              <w:bottom w:val="single" w:color="auto" w:sz="4" w:space="0"/>
              <w:right w:val="single" w:color="auto" w:sz="4" w:space="0"/>
            </w:tcBorders>
            <w:vAlign w:val="center"/>
          </w:tcPr>
          <w:p w14:paraId="7EBD6867">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128" w:type="dxa"/>
            <w:tcBorders>
              <w:top w:val="single" w:color="auto" w:sz="4" w:space="0"/>
              <w:left w:val="single" w:color="auto" w:sz="4" w:space="0"/>
              <w:bottom w:val="single" w:color="auto" w:sz="4" w:space="0"/>
              <w:right w:val="single" w:color="auto" w:sz="4" w:space="0"/>
            </w:tcBorders>
            <w:vAlign w:val="top"/>
          </w:tcPr>
          <w:p w14:paraId="6EB77EAB">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rPr>
              <w:t>最高转速≥16000r/min</w:t>
            </w:r>
          </w:p>
          <w:p w14:paraId="1ABAADD5">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rPr>
              <w:t>最大离心力≥21695xg</w:t>
            </w:r>
          </w:p>
          <w:p w14:paraId="180690A0">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rPr>
              <w:t>最大容量：12×10ml</w:t>
            </w:r>
          </w:p>
          <w:p w14:paraId="7DC7670A">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rPr>
              <w:t>定时范围：</w:t>
            </w:r>
            <w:r>
              <w:rPr>
                <w:rFonts w:hint="eastAsia" w:ascii="宋体" w:hAnsi="宋体" w:eastAsia="宋体" w:cs="宋体"/>
                <w:color w:val="auto"/>
                <w:sz w:val="24"/>
                <w:szCs w:val="24"/>
                <w:highlight w:val="none"/>
              </w:rPr>
              <w:t>1min-99h59min</w:t>
            </w:r>
            <w:r>
              <w:rPr>
                <w:rFonts w:hint="eastAsia" w:ascii="宋体" w:hAnsi="宋体" w:eastAsia="宋体" w:cs="宋体"/>
                <w:color w:val="auto"/>
                <w:sz w:val="24"/>
                <w:szCs w:val="24"/>
                <w:highlight w:val="none"/>
                <w:lang w:val="en-US" w:eastAsia="zh-CN"/>
              </w:rPr>
              <w:t xml:space="preserve"> 可</w:t>
            </w:r>
            <w:r>
              <w:rPr>
                <w:rFonts w:hint="eastAsia" w:ascii="宋体" w:hAnsi="宋体" w:eastAsia="宋体" w:cs="宋体"/>
                <w:color w:val="auto"/>
                <w:sz w:val="24"/>
                <w:szCs w:val="24"/>
                <w:highlight w:val="none"/>
              </w:rPr>
              <w:t>连续</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短</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离心</w:t>
            </w:r>
          </w:p>
          <w:p w14:paraId="4DC3675D">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en-US" w:eastAsia="zh-CN"/>
              </w:rPr>
              <w:t>转速精度：±20rpm</w:t>
            </w:r>
          </w:p>
          <w:p w14:paraId="22E660CD">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bidi="ar-SA"/>
              </w:rPr>
              <w:t>6.</w:t>
            </w:r>
            <w:r>
              <w:rPr>
                <w:rFonts w:hint="eastAsia" w:ascii="宋体" w:hAnsi="宋体" w:eastAsia="宋体" w:cs="宋体"/>
                <w:color w:val="auto"/>
                <w:sz w:val="24"/>
                <w:szCs w:val="24"/>
                <w:highlight w:val="none"/>
                <w:lang w:val="en-US" w:eastAsia="zh-CN"/>
              </w:rPr>
              <w:t>噪音：≤63db</w:t>
            </w:r>
          </w:p>
          <w:p w14:paraId="62C6DC07">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bidi="ar-SA"/>
              </w:rPr>
              <w:t>7.</w:t>
            </w:r>
            <w:r>
              <w:rPr>
                <w:rFonts w:hint="eastAsia" w:ascii="宋体" w:hAnsi="宋体" w:eastAsia="宋体" w:cs="宋体"/>
                <w:color w:val="auto"/>
                <w:sz w:val="24"/>
                <w:szCs w:val="24"/>
                <w:highlight w:val="none"/>
                <w:lang w:val="en-US" w:eastAsia="zh-CN"/>
              </w:rPr>
              <w:t>全金属结构多层防爆设计，运行性能安全。</w:t>
            </w:r>
          </w:p>
          <w:p w14:paraId="6FE7A66E">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bidi="ar-SA"/>
              </w:rPr>
              <w:t>8.</w:t>
            </w:r>
            <w:r>
              <w:rPr>
                <w:rFonts w:hint="eastAsia" w:ascii="宋体" w:hAnsi="宋体" w:eastAsia="宋体" w:cs="宋体"/>
                <w:color w:val="auto"/>
                <w:sz w:val="24"/>
                <w:szCs w:val="24"/>
                <w:highlight w:val="none"/>
                <w:lang w:val="en-US" w:eastAsia="zh-CN"/>
              </w:rPr>
              <w:t>嵌入式微处理器控制，直流无刷电机驱动。</w:t>
            </w:r>
          </w:p>
          <w:p w14:paraId="102F055C">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bidi="ar-SA"/>
              </w:rPr>
              <w:t>9.</w:t>
            </w:r>
            <w:r>
              <w:rPr>
                <w:rFonts w:hint="eastAsia" w:ascii="宋体" w:hAnsi="宋体" w:eastAsia="宋体" w:cs="宋体"/>
                <w:color w:val="auto"/>
                <w:sz w:val="24"/>
                <w:szCs w:val="24"/>
                <w:highlight w:val="none"/>
                <w:lang w:val="en-US" w:eastAsia="zh-CN"/>
              </w:rPr>
              <w:t>采用≥5英寸触摸液晶显示屏，支持中英文切换功能，支持小语种定制，实时显示运行全部参数。</w:t>
            </w:r>
          </w:p>
          <w:p w14:paraId="1333185A">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bidi="ar-SA"/>
              </w:rPr>
              <w:t>10.</w:t>
            </w:r>
            <w:r>
              <w:rPr>
                <w:rFonts w:hint="eastAsia" w:ascii="宋体" w:hAnsi="宋体" w:eastAsia="宋体" w:cs="宋体"/>
                <w:color w:val="auto"/>
                <w:sz w:val="24"/>
                <w:szCs w:val="24"/>
                <w:highlight w:val="none"/>
                <w:lang w:val="en-US" w:eastAsia="zh-CN"/>
              </w:rPr>
              <w:t>采用机电一体化门锁。</w:t>
            </w:r>
          </w:p>
          <w:p w14:paraId="171885E2">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bidi="ar-SA"/>
              </w:rPr>
              <w:t>11.</w:t>
            </w:r>
            <w:r>
              <w:rPr>
                <w:rFonts w:hint="eastAsia" w:ascii="宋体" w:hAnsi="宋体" w:eastAsia="宋体" w:cs="宋体"/>
                <w:color w:val="auto"/>
                <w:sz w:val="24"/>
                <w:szCs w:val="24"/>
                <w:highlight w:val="none"/>
                <w:lang w:val="en-US" w:eastAsia="zh-CN"/>
              </w:rPr>
              <w:t>采用食品级硅胶整体密封圈，避免气溶胶外溢。</w:t>
            </w:r>
          </w:p>
          <w:p w14:paraId="490BB710">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bidi="ar-SA"/>
              </w:rPr>
              <w:t>12.</w:t>
            </w:r>
            <w:r>
              <w:rPr>
                <w:rFonts w:hint="eastAsia" w:ascii="宋体" w:hAnsi="宋体" w:eastAsia="宋体" w:cs="宋体"/>
                <w:color w:val="auto"/>
                <w:sz w:val="24"/>
                <w:szCs w:val="24"/>
                <w:highlight w:val="none"/>
                <w:lang w:val="en-US" w:eastAsia="zh-CN"/>
              </w:rPr>
              <w:t>具有自检、堵转、超速、超温等检测报警功能，减震装置，电机运行平稳。</w:t>
            </w:r>
          </w:p>
          <w:p w14:paraId="47145B4B">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bidi="ar-SA"/>
              </w:rPr>
              <w:t>13.</w:t>
            </w:r>
            <w:r>
              <w:rPr>
                <w:rFonts w:hint="eastAsia" w:ascii="宋体" w:hAnsi="宋体" w:eastAsia="宋体" w:cs="宋体"/>
                <w:color w:val="auto"/>
                <w:sz w:val="24"/>
                <w:szCs w:val="24"/>
                <w:highlight w:val="none"/>
                <w:lang w:val="en-US" w:eastAsia="zh-CN"/>
              </w:rPr>
              <w:t>可存储多组用户自定义程序，方便调用常用程序，开机为上次的程序。</w:t>
            </w:r>
          </w:p>
          <w:p w14:paraId="13790E36">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bidi="ar-SA"/>
              </w:rPr>
              <w:t>14.</w:t>
            </w:r>
            <w:r>
              <w:rPr>
                <w:rFonts w:hint="eastAsia" w:ascii="宋体" w:hAnsi="宋体" w:eastAsia="宋体" w:cs="宋体"/>
                <w:color w:val="auto"/>
                <w:sz w:val="24"/>
                <w:szCs w:val="24"/>
                <w:highlight w:val="none"/>
                <w:lang w:val="en-US" w:eastAsia="zh-CN"/>
              </w:rPr>
              <w:t>采用微机处理器精准控制，实时显示转速、时间、RCF (相对离心力)等参数。</w:t>
            </w:r>
          </w:p>
          <w:p w14:paraId="1A927471">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default" w:ascii="宋体" w:hAnsi="宋体" w:eastAsia="宋体" w:cs="宋体"/>
                <w:sz w:val="24"/>
                <w:szCs w:val="24"/>
                <w:highlight w:val="none"/>
                <w:vertAlign w:val="baseline"/>
                <w:lang w:val="en-US" w:eastAsia="zh-CN" w:bidi="ar-SA"/>
              </w:rPr>
              <w:t>15.</w:t>
            </w:r>
            <w:r>
              <w:rPr>
                <w:rFonts w:hint="eastAsia" w:ascii="宋体" w:hAnsi="宋体" w:eastAsia="宋体" w:cs="宋体"/>
                <w:color w:val="auto"/>
                <w:sz w:val="24"/>
                <w:szCs w:val="24"/>
                <w:highlight w:val="none"/>
              </w:rPr>
              <w:t>配有多种角转子(航空锻造铝</w:t>
            </w:r>
            <w:r>
              <w:rPr>
                <w:rFonts w:hint="eastAsia" w:ascii="宋体" w:hAnsi="宋体" w:eastAsia="宋体" w:cs="宋体"/>
                <w:color w:val="auto"/>
                <w:sz w:val="24"/>
                <w:szCs w:val="24"/>
                <w:highlight w:val="none"/>
                <w:lang w:val="en-US" w:eastAsia="zh-CN"/>
              </w:rPr>
              <w:t>材质</w:t>
            </w:r>
            <w:r>
              <w:rPr>
                <w:rFonts w:hint="eastAsia" w:ascii="宋体" w:hAnsi="宋体" w:eastAsia="宋体" w:cs="宋体"/>
                <w:color w:val="auto"/>
                <w:sz w:val="24"/>
                <w:szCs w:val="24"/>
                <w:highlight w:val="none"/>
              </w:rPr>
              <w:t>)及多种适配器可选，适用于0.2ml-10ml离心管，可根据实际需求，实现一机多用。</w:t>
            </w:r>
          </w:p>
        </w:tc>
      </w:tr>
      <w:tr w14:paraId="4565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14:paraId="793E9A2E">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18</w:t>
            </w:r>
          </w:p>
        </w:tc>
        <w:tc>
          <w:tcPr>
            <w:tcW w:w="646" w:type="dxa"/>
            <w:tcBorders>
              <w:top w:val="single" w:color="auto" w:sz="4" w:space="0"/>
              <w:left w:val="single" w:color="auto" w:sz="4" w:space="0"/>
              <w:bottom w:val="single" w:color="auto" w:sz="4" w:space="0"/>
              <w:right w:val="single" w:color="auto" w:sz="4" w:space="0"/>
            </w:tcBorders>
            <w:vAlign w:val="center"/>
          </w:tcPr>
          <w:p w14:paraId="10703E4D">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氮吹仪</w:t>
            </w:r>
          </w:p>
        </w:tc>
        <w:tc>
          <w:tcPr>
            <w:tcW w:w="629" w:type="dxa"/>
            <w:tcBorders>
              <w:top w:val="single" w:color="auto" w:sz="4" w:space="0"/>
              <w:left w:val="single" w:color="auto" w:sz="4" w:space="0"/>
              <w:bottom w:val="single" w:color="auto" w:sz="4" w:space="0"/>
              <w:right w:val="single" w:color="auto" w:sz="4" w:space="0"/>
            </w:tcBorders>
            <w:vAlign w:val="center"/>
          </w:tcPr>
          <w:p w14:paraId="2CCCE69C">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663" w:type="dxa"/>
            <w:tcBorders>
              <w:top w:val="single" w:color="auto" w:sz="4" w:space="0"/>
              <w:left w:val="single" w:color="auto" w:sz="4" w:space="0"/>
              <w:bottom w:val="single" w:color="auto" w:sz="4" w:space="0"/>
              <w:right w:val="single" w:color="auto" w:sz="4" w:space="0"/>
            </w:tcBorders>
            <w:vAlign w:val="center"/>
          </w:tcPr>
          <w:p w14:paraId="4A0C8443">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128" w:type="dxa"/>
            <w:tcBorders>
              <w:top w:val="single" w:color="auto" w:sz="4" w:space="0"/>
              <w:left w:val="single" w:color="auto" w:sz="4" w:space="0"/>
              <w:bottom w:val="single" w:color="auto" w:sz="4" w:space="0"/>
              <w:right w:val="single" w:color="auto" w:sz="4" w:space="0"/>
            </w:tcBorders>
            <w:vAlign w:val="top"/>
          </w:tcPr>
          <w:p w14:paraId="1769A46D">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w:t>
            </w:r>
            <w:r>
              <w:rPr>
                <w:rFonts w:hint="default"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rPr>
              <w:t>控温范围： 室温+5C -160C</w:t>
            </w:r>
          </w:p>
          <w:p w14:paraId="16CBD585">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2</w:t>
            </w:r>
            <w:r>
              <w:rPr>
                <w:rFonts w:hint="default"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rPr>
              <w:t>控温精度： ±0.5℃（@40℃）</w:t>
            </w:r>
          </w:p>
          <w:p w14:paraId="4A51A13C">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3</w:t>
            </w:r>
            <w:r>
              <w:rPr>
                <w:rFonts w:hint="default"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rPr>
              <w:t>控温精度： ±1℃（@120℃）</w:t>
            </w:r>
          </w:p>
          <w:p w14:paraId="0043C823">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4</w:t>
            </w:r>
            <w:r>
              <w:rPr>
                <w:rFonts w:hint="default"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rPr>
              <w:t>温度均匀性：±0.5℃</w:t>
            </w:r>
          </w:p>
          <w:p w14:paraId="382DB423">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5</w:t>
            </w:r>
            <w:r>
              <w:rPr>
                <w:rFonts w:hint="default"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rPr>
              <w:t>显示精度：0.1℃</w:t>
            </w:r>
          </w:p>
          <w:p w14:paraId="2343A7E1">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6</w:t>
            </w:r>
            <w:r>
              <w:rPr>
                <w:rFonts w:hint="default"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rPr>
              <w:t>定时范围：1-99h59min/∞</w:t>
            </w:r>
          </w:p>
          <w:p w14:paraId="3549E423">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7</w:t>
            </w:r>
            <w:r>
              <w:rPr>
                <w:rFonts w:hint="default"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rPr>
              <w:t>升温时间 ≤15 分钟（25℃至160℃）</w:t>
            </w:r>
          </w:p>
          <w:p w14:paraId="5291DB94">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8</w:t>
            </w:r>
            <w:r>
              <w:rPr>
                <w:rFonts w:hint="default"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rPr>
              <w:t>最大升降行程：200mm</w:t>
            </w:r>
          </w:p>
          <w:p w14:paraId="2556395E">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9</w:t>
            </w:r>
            <w:r>
              <w:rPr>
                <w:rFonts w:hint="default"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rPr>
              <w:t>最大气体流量：15L/min</w:t>
            </w:r>
          </w:p>
          <w:p w14:paraId="3D1C528A">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10</w:t>
            </w:r>
            <w:r>
              <w:rPr>
                <w:rFonts w:hint="default"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rPr>
              <w:t>最大气体压力： 0.1Mpa</w:t>
            </w:r>
          </w:p>
          <w:p w14:paraId="0C76A44C">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11</w:t>
            </w:r>
            <w:r>
              <w:rPr>
                <w:rFonts w:hint="default"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rPr>
              <w:t>模块数量：≥2</w:t>
            </w:r>
          </w:p>
          <w:p w14:paraId="7A2BF403">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12</w:t>
            </w:r>
            <w:r>
              <w:rPr>
                <w:rFonts w:hint="default"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rPr>
              <w:t>最大功率： 500W</w:t>
            </w:r>
          </w:p>
          <w:p w14:paraId="0ECE0791">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13</w:t>
            </w:r>
            <w:r>
              <w:rPr>
                <w:rFonts w:hint="default"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rPr>
              <w:t>电压规格： 220V 50/60Hz</w:t>
            </w:r>
          </w:p>
          <w:p w14:paraId="096D333A">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14</w:t>
            </w:r>
            <w:r>
              <w:rPr>
                <w:rFonts w:hint="default"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rPr>
              <w:t>尺寸≥ 260220470mm</w:t>
            </w:r>
          </w:p>
        </w:tc>
      </w:tr>
      <w:tr w14:paraId="55A3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14:paraId="0CDD4DF9">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19</w:t>
            </w:r>
          </w:p>
        </w:tc>
        <w:tc>
          <w:tcPr>
            <w:tcW w:w="646" w:type="dxa"/>
            <w:tcBorders>
              <w:top w:val="single" w:color="auto" w:sz="4" w:space="0"/>
              <w:left w:val="single" w:color="auto" w:sz="4" w:space="0"/>
              <w:bottom w:val="single" w:color="auto" w:sz="4" w:space="0"/>
              <w:right w:val="single" w:color="auto" w:sz="4" w:space="0"/>
            </w:tcBorders>
            <w:vAlign w:val="center"/>
          </w:tcPr>
          <w:p w14:paraId="1FFBD45C">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原子吸收分光光度计</w:t>
            </w:r>
          </w:p>
        </w:tc>
        <w:tc>
          <w:tcPr>
            <w:tcW w:w="629" w:type="dxa"/>
            <w:tcBorders>
              <w:top w:val="single" w:color="auto" w:sz="4" w:space="0"/>
              <w:left w:val="single" w:color="auto" w:sz="4" w:space="0"/>
              <w:bottom w:val="single" w:color="auto" w:sz="4" w:space="0"/>
              <w:right w:val="single" w:color="auto" w:sz="4" w:space="0"/>
            </w:tcBorders>
            <w:vAlign w:val="center"/>
          </w:tcPr>
          <w:p w14:paraId="6D56C395">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663" w:type="dxa"/>
            <w:tcBorders>
              <w:top w:val="single" w:color="auto" w:sz="4" w:space="0"/>
              <w:left w:val="single" w:color="auto" w:sz="4" w:space="0"/>
              <w:bottom w:val="single" w:color="auto" w:sz="4" w:space="0"/>
              <w:right w:val="single" w:color="auto" w:sz="4" w:space="0"/>
            </w:tcBorders>
            <w:vAlign w:val="center"/>
          </w:tcPr>
          <w:p w14:paraId="72E45558">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128" w:type="dxa"/>
            <w:tcBorders>
              <w:top w:val="single" w:color="auto" w:sz="4" w:space="0"/>
              <w:left w:val="single" w:color="auto" w:sz="4" w:space="0"/>
              <w:bottom w:val="single" w:color="auto" w:sz="4" w:space="0"/>
              <w:right w:val="single" w:color="auto" w:sz="4" w:space="0"/>
            </w:tcBorders>
            <w:vAlign w:val="top"/>
          </w:tcPr>
          <w:p w14:paraId="508B515B">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一、技术特点</w:t>
            </w:r>
          </w:p>
          <w:p w14:paraId="3FF549CA">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1.内置空气—乙炔、空气—液化石油气两种火焰和石墨炉三种原子化模式，无需额外增加气体切换附件，提供更多选择，方便用户使用；</w:t>
            </w:r>
          </w:p>
          <w:p w14:paraId="5E523905">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空气—乙炔、空气—液化石油气两种火焰燃烧头自动识别，火焰监视器实时监控、燃气（乙炔、石油液化气）泄漏保护、空气乙炔压力保护、断电保护、断气保护、完善的石墨炉保护措施（水电气保护）、废液液位检测保护等多种安全保护措施充分保障操作者的使用安全；</w:t>
            </w:r>
          </w:p>
          <w:p w14:paraId="20DF0069">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3.自动设置乙炔、液化石油气流量的大小，选择最佳助燃比</w:t>
            </w:r>
          </w:p>
          <w:p w14:paraId="40DFB397">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4.可以兼容火焰自动进样和石墨炉自动进样的双模式自动进样器；</w:t>
            </w:r>
          </w:p>
          <w:p w14:paraId="55A3087B">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5.支持远程数据传输功能，兼容食品安全风险评估系统，为政府监管提供技术支持；</w:t>
            </w:r>
          </w:p>
          <w:p w14:paraId="2C9ED559">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6.为确保产品品质，须具有通过CE认证，符合欧盟标准；</w:t>
            </w:r>
          </w:p>
          <w:p w14:paraId="7898A6D1">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横向加热石墨炉技术的功能及优点：实现了石墨管的温度均匀一致，既能提高原子化效率，又可延长石墨管使用寿命，保证了分析准确度；横向加热技术具有抗干扰性好、温度梯度小、降低基体效应、消除峰拖尾、灵敏度高、原子化时间短、降低记忆效应、测定精密度高、炉体寿命长等优点；</w:t>
            </w:r>
          </w:p>
          <w:p w14:paraId="3955B8ED">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8.采用八灯自动切换，以便进行多元素检测，可同时点亮两只灯（其中一只预热）</w:t>
            </w:r>
          </w:p>
          <w:p w14:paraId="0B7318BE">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9.使用氘灯扣背景时，自动进行角度微调，保证扣背景的效果</w:t>
            </w:r>
          </w:p>
          <w:p w14:paraId="05419FBD">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10.高度的自动化功能：整台仪器仅有电源开关和紧急灭火开关，其余均由计算机完成。</w:t>
            </w:r>
          </w:p>
          <w:p w14:paraId="5F88D2FD">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11.自动控制波长，自动寻峰定位</w:t>
            </w:r>
          </w:p>
          <w:p w14:paraId="2026A6DA">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12.自动设置光谱带宽，五档可选择,且自动调节</w:t>
            </w:r>
          </w:p>
          <w:p w14:paraId="7A1294DD">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13.自动调整能量平衡，自动点火和熄火自动保护等</w:t>
            </w:r>
          </w:p>
          <w:p w14:paraId="44FB47A8">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14.石墨炉自动进样器：</w:t>
            </w:r>
          </w:p>
          <w:p w14:paraId="15ACFBDD">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① 具有自动清洗、欠压保护、水平调节等功能</w:t>
            </w:r>
          </w:p>
          <w:p w14:paraId="42F04A9D">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②具有自动配置标准溶液、自动添加基体改进剂功能（石墨炉部分）</w:t>
            </w:r>
          </w:p>
          <w:p w14:paraId="7CC7851C">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二、技术参数</w:t>
            </w:r>
          </w:p>
          <w:p w14:paraId="58BC3CAD">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1.波长范围: 185nm～900nm</w:t>
            </w:r>
          </w:p>
          <w:p w14:paraId="25C9111A">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2.消象差C-T型单色器</w:t>
            </w:r>
          </w:p>
          <w:p w14:paraId="48F0DE10">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3.波长示值误差: ±0.15nm</w:t>
            </w:r>
          </w:p>
          <w:p w14:paraId="62DDDEDC">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4.波长重复性: ≤0.05nm</w:t>
            </w:r>
          </w:p>
          <w:p w14:paraId="48CACC2D">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5.光谱带宽: 0.1nm，0.2 nm，0.4 nm，1.0 nm，2.0 nm</w:t>
            </w:r>
          </w:p>
          <w:p w14:paraId="332C6776">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6.光谱带宽换档误差: ±0.3nm</w:t>
            </w:r>
          </w:p>
          <w:p w14:paraId="25385988">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7.分辨率: ＜30%</w:t>
            </w:r>
          </w:p>
          <w:p w14:paraId="55B372A9">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8.边缘噪声: ＜0.02Abs</w:t>
            </w:r>
          </w:p>
          <w:p w14:paraId="1B056748">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9.边缘能量: ＜2%</w:t>
            </w:r>
          </w:p>
          <w:p w14:paraId="06488734">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10.基线稳定性: 静态基线(漂移±0.002Abs/30min,噪声＜0.002Abs/30min)</w:t>
            </w:r>
          </w:p>
          <w:p w14:paraId="606BF63F">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点火基线(漂移±0.006Abs/30min, 噪声≤0.006Abs/30min)</w:t>
            </w:r>
          </w:p>
          <w:p w14:paraId="289A203F">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11.特征浓度: Cu＜0.02μg/mL/1%（空气-乙炔法、空气-液化石油气法）</w:t>
            </w:r>
          </w:p>
          <w:p w14:paraId="1FC5F8DB">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12.特征量: Cu＜2.0×10-11 g,Cd＜5.0×10-13 g</w:t>
            </w:r>
          </w:p>
          <w:p w14:paraId="2A35C857">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13.检出极限: 火焰Cu＜0.004μg/mL（空气-乙炔法、空气-液化石油气法）</w:t>
            </w:r>
          </w:p>
          <w:p w14:paraId="467E6DCA">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石墨炉Cd＜4.0×10-13 g</w:t>
            </w:r>
          </w:p>
          <w:p w14:paraId="5EC4BA12">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14.重复性: 火焰Cu＜0.6%（空气-乙炔法）Cu＜1.0%（液化石油气法）</w:t>
            </w:r>
          </w:p>
          <w:p w14:paraId="3A3CE2C4">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石墨炉Cu＜2%，Cd＜2%</w:t>
            </w:r>
          </w:p>
          <w:p w14:paraId="546913D4">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15.背景校正能力（氘灯、自吸）: ＞55倍</w:t>
            </w:r>
          </w:p>
          <w:p w14:paraId="0A075DA3">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16.样品溶液吸喷量和表观雾化率: 吸喷量＞5mL/min；雾化率≥8%</w:t>
            </w:r>
          </w:p>
          <w:p w14:paraId="566DEFEC">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17.吸光度误差: ±1%</w:t>
            </w:r>
          </w:p>
          <w:p w14:paraId="3E5F5723">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18.灵敏度: 火焰≥0.250Abs, 石墨炉≥0.08Abs</w:t>
            </w:r>
          </w:p>
          <w:p w14:paraId="0CDEB78F">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19.通讯方式：USB通讯接口，方便用户使用；RS-232通讯接口</w:t>
            </w:r>
          </w:p>
          <w:p w14:paraId="022CAD59">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20.火焰部分：①燃烧器：金属钛燃烧头</w:t>
            </w:r>
          </w:p>
          <w:p w14:paraId="41BA2467">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②喷雾器：高效玻璃雾化器</w:t>
            </w:r>
          </w:p>
          <w:p w14:paraId="06690D62">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③雾化室：耐腐蚀材料雾化室</w:t>
            </w:r>
          </w:p>
          <w:p w14:paraId="564E71AC">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④位置调节：燃烧器高度自动调节</w:t>
            </w:r>
          </w:p>
          <w:p w14:paraId="6949FB1B">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21.石墨炉部分 ①加热方式:先进的石墨炉横向加热方式</w:t>
            </w:r>
          </w:p>
          <w:p w14:paraId="76A54948">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②加热控温方式：干燥灰化阶段功率控制方式，原子化阶段采用光控最大功率方式</w:t>
            </w:r>
          </w:p>
          <w:p w14:paraId="248FF74C">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③升温方式：斜坡升温、阶梯升温、最大功率升温</w:t>
            </w:r>
          </w:p>
          <w:p w14:paraId="3998FC88">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④控温精度：〈1%</w:t>
            </w:r>
          </w:p>
          <w:p w14:paraId="58F14C79">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22．数据处理 ①测量方式：火焰法、石墨炉法、氢化物发生-原子吸收法</w:t>
            </w:r>
          </w:p>
          <w:p w14:paraId="5C4182E7">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②读出方式：连续、峰值、锋面积值</w:t>
            </w:r>
          </w:p>
          <w:p w14:paraId="54BFCA0D">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③浓度计算方式：标准曲线法、标准添加法、内插法</w:t>
            </w:r>
          </w:p>
          <w:p w14:paraId="19A6A12A">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④信息存储方式：参数打印、数据结果打印、图形打印</w:t>
            </w:r>
          </w:p>
          <w:p w14:paraId="7D598B8B">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23.石墨炉自动进样器：</w:t>
            </w:r>
          </w:p>
          <w:p w14:paraId="2E736486">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23.1功能指标</w:t>
            </w:r>
          </w:p>
          <w:p w14:paraId="09F3F203">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自动清洗功能：每次进样前对样品管进行自动清洗，去除样品残留。</w:t>
            </w:r>
          </w:p>
          <w:p w14:paraId="686B092D">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欠压保护功能：自动检测气体压力，气体小于0.2Mpa压力欠压报警。</w:t>
            </w:r>
          </w:p>
          <w:p w14:paraId="71905816">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高度调节功能：实现样品管在石墨管内深度自动调节。</w:t>
            </w:r>
          </w:p>
          <w:p w14:paraId="5212E0CC">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自动稀释功能：对样品进行自动稀释。</w:t>
            </w:r>
          </w:p>
          <w:p w14:paraId="4AFC4F71">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混合进样功能：用于支持整机混合进样。</w:t>
            </w:r>
          </w:p>
          <w:p w14:paraId="08FFF0A6">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自动添加改进剂：每次最多可以添加3种改进剂。</w:t>
            </w:r>
          </w:p>
          <w:p w14:paraId="7852C15D">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振荡功能：用于自动稀释时摇匀混合样品。</w:t>
            </w:r>
          </w:p>
          <w:p w14:paraId="5309DF03">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智能化调节取样和进样深度：通过软件可以调节取样和进样深度。</w:t>
            </w:r>
          </w:p>
          <w:p w14:paraId="28E5A929">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空气柱隔离功能：样品管内样品之间采用空气柱隔离，避免交叉污染。</w:t>
            </w:r>
          </w:p>
          <w:p w14:paraId="28572291">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自动富集功能：用于支持整机自动富集功能，最大能富集20次。</w:t>
            </w:r>
          </w:p>
          <w:p w14:paraId="63423DB8">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23.2规格参数</w:t>
            </w:r>
          </w:p>
          <w:p w14:paraId="2B89EDAE">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注射器容积：500 μL；</w:t>
            </w:r>
          </w:p>
          <w:p w14:paraId="0CF6FD70">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清洗瓶容积：800 mL；</w:t>
            </w:r>
          </w:p>
          <w:p w14:paraId="6F13E943">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废液瓶容积：1000 mL；</w:t>
            </w:r>
          </w:p>
          <w:p w14:paraId="2EE2CA1C">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样品盘杯位数：石墨炉模式76杯位，70杯位×1.5 mL和6杯位×10 mL；</w:t>
            </w:r>
          </w:p>
          <w:p w14:paraId="0665C960">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技术指标</w:t>
            </w:r>
          </w:p>
          <w:p w14:paraId="1B56BDA1">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进样范围：5 μL~300 μL；</w:t>
            </w:r>
          </w:p>
          <w:p w14:paraId="0C20F9E9">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进样重复性：1%；</w:t>
            </w:r>
          </w:p>
          <w:p w14:paraId="79FC3024">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最大稀释倍数：120倍。</w:t>
            </w:r>
          </w:p>
          <w:p w14:paraId="549F0EF5">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24.自动控温冷却水循环装置：</w:t>
            </w:r>
          </w:p>
          <w:p w14:paraId="756A7EBC">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制冷能力：2000W</w:t>
            </w:r>
          </w:p>
          <w:p w14:paraId="0639B34E">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控温范围：0－50℃</w:t>
            </w:r>
          </w:p>
          <w:p w14:paraId="3B025A08">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控温精度：1℃</w:t>
            </w:r>
          </w:p>
          <w:p w14:paraId="621F2AC2">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最大输入功率：1000W</w:t>
            </w:r>
          </w:p>
          <w:p w14:paraId="17E9276C">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最大熔断电流：10A</w:t>
            </w:r>
          </w:p>
          <w:p w14:paraId="1F6FBE30">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电源：200V,50Hz</w:t>
            </w:r>
          </w:p>
          <w:p w14:paraId="6BE86E0F">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冷水工作压力：0－0.6 Mpa</w:t>
            </w:r>
          </w:p>
          <w:p w14:paraId="41E98B24">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水泵额定流量：3.5 L/min</w:t>
            </w:r>
          </w:p>
          <w:p w14:paraId="308BB054">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水泵额定扬程：10M</w:t>
            </w:r>
          </w:p>
          <w:p w14:paraId="0E333EAC">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水箱有效容积：16L</w:t>
            </w:r>
          </w:p>
          <w:p w14:paraId="54321D84">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箱内水质：去离子水或蒸馏水</w:t>
            </w:r>
          </w:p>
          <w:p w14:paraId="464383B8">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噪音量：＜65 dB</w:t>
            </w:r>
          </w:p>
          <w:p w14:paraId="1D6D5970">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25.配套重金属检测专用耗材及方法包（铅/镉等），实现对水中重金属特异性选择、富集及检测，消除背景干扰，特异性选择富集能力50倍以上；</w:t>
            </w:r>
          </w:p>
          <w:p w14:paraId="31BDE900">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三、配置要求</w:t>
            </w:r>
          </w:p>
          <w:p w14:paraId="21E44DD0">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1.原子吸收分光光度计主机一台</w:t>
            </w:r>
          </w:p>
          <w:p w14:paraId="3F9F4B34">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2.石墨炉自动进样器一套</w:t>
            </w:r>
          </w:p>
          <w:p w14:paraId="79039400">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3.冷却水循环装置一台</w:t>
            </w:r>
          </w:p>
          <w:p w14:paraId="50A5EF3D">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4.配套使用的专用低噪音空气压缩机一台</w:t>
            </w:r>
          </w:p>
          <w:p w14:paraId="0306A559">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5.专用原子吸收工作站(包含中文操作软件软件和品牌电脑及打印机)</w:t>
            </w:r>
          </w:p>
          <w:p w14:paraId="215E4C60">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6.空心阴极灯六支(铜、锰、汞、镉、铅、锌)</w:t>
            </w:r>
          </w:p>
          <w:p w14:paraId="2656F1C0">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7.热解涂层平台横向加热石墨管5 只</w:t>
            </w:r>
          </w:p>
          <w:p w14:paraId="4BE48E0E">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8.主机及各种附件所用 各种类型保险管各 5 只</w:t>
            </w:r>
          </w:p>
          <w:p w14:paraId="709A54AA">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9.高纯乙炔气及钢瓶（带减压阀）1套</w:t>
            </w:r>
          </w:p>
          <w:p w14:paraId="3F4BB7DA">
            <w:pPr>
              <w:pStyle w:val="17"/>
              <w:keepNext w:val="0"/>
              <w:keepLines w:val="0"/>
              <w:pageBreakBefore w:val="0"/>
              <w:widowControl/>
              <w:kinsoku/>
              <w:wordWrap/>
              <w:overflowPunct/>
              <w:topLinePunct w:val="0"/>
              <w:bidi w:val="0"/>
              <w:spacing w:before="0" w:beforeAutospacing="0" w:after="0" w:line="240" w:lineRule="auto"/>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10.高纯氩气及钢瓶（带减压阀） 1套</w:t>
            </w:r>
          </w:p>
        </w:tc>
      </w:tr>
      <w:tr w14:paraId="37AB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vAlign w:val="center"/>
          </w:tcPr>
          <w:p w14:paraId="2C27F542">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w:t>
            </w:r>
          </w:p>
        </w:tc>
        <w:tc>
          <w:tcPr>
            <w:tcW w:w="646" w:type="dxa"/>
            <w:tcBorders>
              <w:top w:val="single" w:color="auto" w:sz="4" w:space="0"/>
              <w:left w:val="single" w:color="auto" w:sz="4" w:space="0"/>
              <w:bottom w:val="single" w:color="auto" w:sz="4" w:space="0"/>
              <w:right w:val="single" w:color="auto" w:sz="4" w:space="0"/>
            </w:tcBorders>
            <w:vAlign w:val="center"/>
          </w:tcPr>
          <w:p w14:paraId="4BFD8E2E">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原子荧光光度计</w:t>
            </w:r>
          </w:p>
        </w:tc>
        <w:tc>
          <w:tcPr>
            <w:tcW w:w="629" w:type="dxa"/>
            <w:tcBorders>
              <w:top w:val="single" w:color="auto" w:sz="4" w:space="0"/>
              <w:left w:val="single" w:color="auto" w:sz="4" w:space="0"/>
              <w:bottom w:val="single" w:color="auto" w:sz="4" w:space="0"/>
              <w:right w:val="single" w:color="auto" w:sz="4" w:space="0"/>
            </w:tcBorders>
            <w:vAlign w:val="center"/>
          </w:tcPr>
          <w:p w14:paraId="4D216B01">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套</w:t>
            </w:r>
          </w:p>
        </w:tc>
        <w:tc>
          <w:tcPr>
            <w:tcW w:w="663" w:type="dxa"/>
            <w:tcBorders>
              <w:top w:val="single" w:color="auto" w:sz="4" w:space="0"/>
              <w:left w:val="single" w:color="auto" w:sz="4" w:space="0"/>
              <w:bottom w:val="single" w:color="auto" w:sz="4" w:space="0"/>
              <w:right w:val="single" w:color="auto" w:sz="4" w:space="0"/>
            </w:tcBorders>
            <w:vAlign w:val="center"/>
          </w:tcPr>
          <w:p w14:paraId="2EE03DCE">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7128" w:type="dxa"/>
            <w:tcBorders>
              <w:top w:val="single" w:color="auto" w:sz="4" w:space="0"/>
              <w:left w:val="single" w:color="auto" w:sz="4" w:space="0"/>
              <w:bottom w:val="single" w:color="auto" w:sz="4" w:space="0"/>
              <w:right w:val="single" w:color="auto" w:sz="4" w:space="0"/>
            </w:tcBorders>
            <w:vAlign w:val="top"/>
          </w:tcPr>
          <w:p w14:paraId="321EDEE7">
            <w:pPr>
              <w:keepNext w:val="0"/>
              <w:keepLines w:val="0"/>
              <w:pageBreakBefore w:val="0"/>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1、用途：</w:t>
            </w:r>
            <w:r>
              <w:rPr>
                <w:rFonts w:hint="eastAsia" w:ascii="宋体" w:hAnsi="宋体" w:eastAsia="宋体" w:cs="宋体"/>
                <w:sz w:val="24"/>
                <w:szCs w:val="24"/>
                <w:highlight w:val="none"/>
              </w:rPr>
              <w:t>用于样品中As、Sb、Bi、Hg、Se、Te、Sn、Ge、Pb、Zn、Cd元素的痕量分析。</w:t>
            </w:r>
          </w:p>
          <w:p w14:paraId="3309C273">
            <w:pPr>
              <w:keepNext w:val="0"/>
              <w:keepLines w:val="0"/>
              <w:pageBreakBefore w:val="0"/>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bCs/>
                <w:spacing w:val="20"/>
                <w:sz w:val="24"/>
                <w:szCs w:val="24"/>
                <w:highlight w:val="none"/>
              </w:rPr>
            </w:pPr>
            <w:r>
              <w:rPr>
                <w:rFonts w:hint="eastAsia" w:ascii="宋体" w:hAnsi="宋体" w:eastAsia="宋体" w:cs="宋体"/>
                <w:bCs/>
                <w:spacing w:val="20"/>
                <w:sz w:val="24"/>
                <w:szCs w:val="24"/>
                <w:highlight w:val="none"/>
              </w:rPr>
              <w:t>2、系统配置要求</w:t>
            </w:r>
          </w:p>
          <w:p w14:paraId="342BE945">
            <w:pPr>
              <w:keepNext w:val="0"/>
              <w:keepLines w:val="0"/>
              <w:pageBreakBefore w:val="0"/>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 仪器类型: 双通道原子荧光光度计。</w:t>
            </w:r>
          </w:p>
          <w:p w14:paraId="5CA7A8C2">
            <w:pPr>
              <w:keepNext w:val="0"/>
              <w:keepLines w:val="0"/>
              <w:pageBreakBefore w:val="0"/>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2.2双通道原子荧光光度计（标准配置）1台。</w:t>
            </w:r>
          </w:p>
          <w:p w14:paraId="30B26D89">
            <w:pPr>
              <w:keepNext w:val="0"/>
              <w:keepLines w:val="0"/>
              <w:pageBreakBefore w:val="0"/>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2.3自动进样器1套。</w:t>
            </w:r>
          </w:p>
          <w:p w14:paraId="5A530A0F">
            <w:pPr>
              <w:keepNext w:val="0"/>
              <w:keepLines w:val="0"/>
              <w:pageBreakBefore w:val="0"/>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2.4特制空心阴极灯（砷锑铋）各一只.</w:t>
            </w:r>
          </w:p>
          <w:p w14:paraId="07D1178C">
            <w:pPr>
              <w:keepNext w:val="0"/>
              <w:keepLines w:val="0"/>
              <w:pageBreakBefore w:val="0"/>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2.5 数据处理系统1套</w:t>
            </w:r>
            <w:r>
              <w:rPr>
                <w:rFonts w:hint="eastAsia" w:ascii="宋体" w:hAnsi="宋体" w:eastAsia="宋体" w:cs="宋体"/>
                <w:sz w:val="24"/>
                <w:szCs w:val="24"/>
                <w:highlight w:val="none"/>
              </w:rPr>
              <w:tab/>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含品牌电脑打印机一套）</w:t>
            </w:r>
          </w:p>
          <w:p w14:paraId="19DE258C">
            <w:pPr>
              <w:keepNext w:val="0"/>
              <w:keepLines w:val="0"/>
              <w:pageBreakBefore w:val="0"/>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2.6高纯氩气钢瓶一瓶（带减压阀）</w:t>
            </w:r>
          </w:p>
          <w:p w14:paraId="41C6EA9F">
            <w:pPr>
              <w:keepNext w:val="0"/>
              <w:keepLines w:val="0"/>
              <w:pageBreakBefore w:val="0"/>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bCs/>
                <w:spacing w:val="20"/>
                <w:sz w:val="24"/>
                <w:szCs w:val="24"/>
                <w:highlight w:val="none"/>
              </w:rPr>
            </w:pPr>
            <w:r>
              <w:rPr>
                <w:rFonts w:hint="eastAsia" w:ascii="宋体" w:hAnsi="宋体" w:eastAsia="宋体" w:cs="宋体"/>
                <w:bCs/>
                <w:spacing w:val="20"/>
                <w:sz w:val="24"/>
                <w:szCs w:val="24"/>
                <w:highlight w:val="none"/>
              </w:rPr>
              <w:t>3、</w:t>
            </w:r>
            <w:r>
              <w:rPr>
                <w:rFonts w:hint="eastAsia" w:ascii="宋体" w:hAnsi="宋体" w:eastAsia="宋体" w:cs="宋体"/>
                <w:sz w:val="24"/>
                <w:szCs w:val="24"/>
                <w:highlight w:val="none"/>
              </w:rPr>
              <w:t>技术</w:t>
            </w:r>
            <w:r>
              <w:rPr>
                <w:rFonts w:hint="eastAsia" w:ascii="宋体" w:hAnsi="宋体" w:eastAsia="宋体" w:cs="宋体"/>
                <w:bCs/>
                <w:spacing w:val="20"/>
                <w:sz w:val="24"/>
                <w:szCs w:val="24"/>
                <w:highlight w:val="none"/>
              </w:rPr>
              <w:t>指标要求</w:t>
            </w:r>
          </w:p>
          <w:p w14:paraId="6F833DC0">
            <w:pPr>
              <w:keepNext w:val="0"/>
              <w:keepLines w:val="0"/>
              <w:pageBreakBefore w:val="0"/>
              <w:tabs>
                <w:tab w:val="left" w:pos="997"/>
                <w:tab w:val="left" w:pos="8522"/>
              </w:tabs>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3.1双元素同时测定。</w:t>
            </w:r>
          </w:p>
          <w:p w14:paraId="017AAE2E">
            <w:pPr>
              <w:pStyle w:val="52"/>
              <w:keepNext w:val="0"/>
              <w:keepLines w:val="0"/>
              <w:pageBreakBefore w:val="0"/>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3.2免调元素灯：元素灯即插即用，无需调整。</w:t>
            </w:r>
          </w:p>
          <w:p w14:paraId="4F5CA82C">
            <w:pPr>
              <w:keepNext w:val="0"/>
              <w:keepLines w:val="0"/>
              <w:pageBreakBefore w:val="0"/>
              <w:tabs>
                <w:tab w:val="left" w:pos="997"/>
                <w:tab w:val="left" w:pos="8522"/>
              </w:tabs>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3.3双光束单检测器光学系统 ：双光束光路可以实现同一接收器分时采集样品及参比信号。</w:t>
            </w:r>
          </w:p>
          <w:p w14:paraId="234A64FD">
            <w:pPr>
              <w:keepNext w:val="0"/>
              <w:keepLines w:val="0"/>
              <w:pageBreakBefore w:val="0"/>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3.4进样系统：</w:t>
            </w:r>
            <w:r>
              <w:rPr>
                <w:rFonts w:hint="eastAsia" w:ascii="宋体" w:hAnsi="宋体" w:eastAsia="宋体" w:cs="宋体"/>
                <w:color w:val="000000"/>
                <w:kern w:val="0"/>
                <w:sz w:val="24"/>
                <w:szCs w:val="24"/>
                <w:highlight w:val="none"/>
              </w:rPr>
              <w:t>采用注射泵与蠕动泵相结合的</w:t>
            </w:r>
            <w:r>
              <w:rPr>
                <w:rFonts w:hint="eastAsia" w:ascii="宋体" w:hAnsi="宋体" w:eastAsia="宋体" w:cs="宋体"/>
                <w:sz w:val="24"/>
                <w:szCs w:val="24"/>
                <w:highlight w:val="none"/>
              </w:rPr>
              <w:t>全自动顺序流动注射氢化物发生系统，</w:t>
            </w:r>
            <w:r>
              <w:rPr>
                <w:rFonts w:hint="eastAsia" w:ascii="宋体" w:hAnsi="宋体" w:eastAsia="宋体" w:cs="宋体"/>
                <w:color w:val="000000"/>
                <w:kern w:val="0"/>
                <w:sz w:val="24"/>
                <w:szCs w:val="24"/>
                <w:highlight w:val="none"/>
              </w:rPr>
              <w:t>样品注射泵精确定量，</w:t>
            </w:r>
            <w:r>
              <w:rPr>
                <w:rFonts w:hint="eastAsia" w:ascii="宋体" w:hAnsi="宋体" w:eastAsia="宋体" w:cs="宋体"/>
                <w:color w:val="201C1D"/>
                <w:kern w:val="0"/>
                <w:sz w:val="24"/>
                <w:szCs w:val="24"/>
                <w:highlight w:val="none"/>
              </w:rPr>
              <w:t>进液、计量、排液、清洗功能自动化。</w:t>
            </w:r>
          </w:p>
          <w:p w14:paraId="16DC9CFC">
            <w:pPr>
              <w:keepNext w:val="0"/>
              <w:keepLines w:val="0"/>
              <w:pageBreakBefore w:val="0"/>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3.5回流式气液分离器：气液分离效果好，只用一级气液分离就能达到去除水蒸气和气泡的作用，可完全满足分析要求。</w:t>
            </w:r>
          </w:p>
          <w:p w14:paraId="5D4246E2">
            <w:pPr>
              <w:keepNext w:val="0"/>
              <w:keepLines w:val="0"/>
              <w:pageBreakBefore w:val="0"/>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3.6低温点火石英原子化器, 具有辅助加温功能.</w:t>
            </w:r>
          </w:p>
          <w:p w14:paraId="38E5B5FC">
            <w:pPr>
              <w:keepNext w:val="0"/>
              <w:keepLines w:val="0"/>
              <w:pageBreakBefore w:val="0"/>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3.7 自动进样器：三维直角坐标式自动进样器，具有多个样品盘区，适配多种规格比色管。不需转接，不易碎的防腐进样针，可以清洗进样针内壁和外壁。</w:t>
            </w:r>
          </w:p>
          <w:p w14:paraId="5043693F">
            <w:pPr>
              <w:keepNext w:val="0"/>
              <w:keepLines w:val="0"/>
              <w:pageBreakBefore w:val="0"/>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3.8全封闭式废液瓶：避免酸气、废气的挥发。</w:t>
            </w:r>
          </w:p>
          <w:p w14:paraId="5B9E22BB">
            <w:pPr>
              <w:keepNext w:val="0"/>
              <w:keepLines w:val="0"/>
              <w:pageBreakBefore w:val="0"/>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3.9氩气自动节气、缺气报警、试剂漏液诊断、缺液报警、废液溢满报警、测试条件实时监测等功能。</w:t>
            </w:r>
          </w:p>
          <w:p w14:paraId="7B33F05C">
            <w:pPr>
              <w:keepNext w:val="0"/>
              <w:keepLines w:val="0"/>
              <w:pageBreakBefore w:val="0"/>
              <w:tabs>
                <w:tab w:val="left" w:pos="997"/>
                <w:tab w:val="left" w:pos="8522"/>
              </w:tabs>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3.10密封的原子化器腔室，绝大部分废气由排气口导入实验室排风系统。</w:t>
            </w:r>
          </w:p>
          <w:p w14:paraId="0072B4B3">
            <w:pPr>
              <w:keepNext w:val="0"/>
              <w:keepLines w:val="0"/>
              <w:pageBreakBefore w:val="0"/>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pacing w:val="8"/>
                <w:kern w:val="0"/>
                <w:sz w:val="24"/>
                <w:szCs w:val="24"/>
                <w:highlight w:val="none"/>
              </w:rPr>
            </w:pPr>
            <w:r>
              <w:rPr>
                <w:rFonts w:hint="eastAsia" w:ascii="宋体" w:hAnsi="宋体" w:eastAsia="宋体" w:cs="宋体"/>
                <w:sz w:val="24"/>
                <w:szCs w:val="24"/>
                <w:highlight w:val="none"/>
              </w:rPr>
              <w:t>3.11中英文窗口操作软件，具有荧光图形自动缩放适应功能、手动单步测量、手动单步测量、测量功能、各种分析报表打印功能。</w:t>
            </w:r>
          </w:p>
          <w:p w14:paraId="4B94D104">
            <w:pPr>
              <w:pStyle w:val="31"/>
              <w:keepNext w:val="0"/>
              <w:keepLines w:val="0"/>
              <w:pageBreakBefore w:val="0"/>
              <w:widowControl w:val="0"/>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3.12标准的通讯接口：RS232，CAN，USB</w:t>
            </w:r>
          </w:p>
          <w:p w14:paraId="613AFCC2">
            <w:pPr>
              <w:keepNext w:val="0"/>
              <w:keepLines w:val="0"/>
              <w:pageBreakBefore w:val="0"/>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3.13检出限（DL）：砷、锑、铋、硒等元素</w:t>
            </w:r>
            <w:r>
              <w:rPr>
                <w:rFonts w:hint="eastAsia" w:ascii="宋体" w:hAnsi="宋体" w:eastAsia="宋体" w:cs="宋体"/>
                <w:bCs/>
                <w:sz w:val="24"/>
                <w:szCs w:val="24"/>
                <w:highlight w:val="none"/>
              </w:rPr>
              <w:t>&lt;0.01µg/L；</w:t>
            </w:r>
          </w:p>
          <w:p w14:paraId="3E5399A3">
            <w:pPr>
              <w:keepNext w:val="0"/>
              <w:keepLines w:val="0"/>
              <w:pageBreakBefore w:val="0"/>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汞&lt;0.001µg/L；镉&lt;0.001µg/L</w:t>
            </w:r>
          </w:p>
          <w:p w14:paraId="5C5AB01E">
            <w:pPr>
              <w:keepNext w:val="0"/>
              <w:keepLines w:val="0"/>
              <w:pageBreakBefore w:val="0"/>
              <w:tabs>
                <w:tab w:val="left" w:pos="997"/>
                <w:tab w:val="left" w:pos="8522"/>
              </w:tabs>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3.14测量精度 RSD&lt;1.0%</w:t>
            </w:r>
          </w:p>
          <w:p w14:paraId="5C44F2DF">
            <w:pPr>
              <w:keepNext w:val="0"/>
              <w:keepLines w:val="0"/>
              <w:pageBreakBefore w:val="0"/>
              <w:tabs>
                <w:tab w:val="left" w:pos="997"/>
                <w:tab w:val="left" w:pos="8522"/>
              </w:tabs>
              <w:kinsoku/>
              <w:wordWrap/>
              <w:overflowPunct/>
              <w:topLinePunct w:val="0"/>
              <w:bidi w:val="0"/>
              <w:adjustRightInd/>
              <w:snapToGrid/>
              <w:spacing w:beforeAutospacing="0" w:line="240" w:lineRule="auto"/>
              <w:ind w:left="0" w:leftChars="0" w:right="0" w:rightChars="0"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rPr>
              <w:t>3.15线性范围：三个数量级</w:t>
            </w:r>
          </w:p>
        </w:tc>
      </w:tr>
      <w:tr w14:paraId="562E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7"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14:paraId="1C879710">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21</w:t>
            </w:r>
          </w:p>
        </w:tc>
        <w:tc>
          <w:tcPr>
            <w:tcW w:w="646" w:type="dxa"/>
            <w:tcBorders>
              <w:top w:val="single" w:color="auto" w:sz="4" w:space="0"/>
              <w:left w:val="single" w:color="auto" w:sz="4" w:space="0"/>
              <w:bottom w:val="single" w:color="auto" w:sz="4" w:space="0"/>
              <w:right w:val="single" w:color="auto" w:sz="4" w:space="0"/>
            </w:tcBorders>
            <w:vAlign w:val="center"/>
          </w:tcPr>
          <w:p w14:paraId="3DF9982D">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全自动发光分析仪</w:t>
            </w:r>
          </w:p>
        </w:tc>
        <w:tc>
          <w:tcPr>
            <w:tcW w:w="629" w:type="dxa"/>
            <w:tcBorders>
              <w:top w:val="single" w:color="auto" w:sz="4" w:space="0"/>
              <w:left w:val="single" w:color="auto" w:sz="4" w:space="0"/>
              <w:bottom w:val="single" w:color="auto" w:sz="4" w:space="0"/>
              <w:right w:val="single" w:color="auto" w:sz="4" w:space="0"/>
            </w:tcBorders>
            <w:vAlign w:val="center"/>
          </w:tcPr>
          <w:p w14:paraId="5EA20BAC">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台</w:t>
            </w:r>
          </w:p>
        </w:tc>
        <w:tc>
          <w:tcPr>
            <w:tcW w:w="663" w:type="dxa"/>
            <w:tcBorders>
              <w:top w:val="single" w:color="auto" w:sz="4" w:space="0"/>
              <w:left w:val="single" w:color="auto" w:sz="4" w:space="0"/>
              <w:bottom w:val="single" w:color="auto" w:sz="4" w:space="0"/>
              <w:right w:val="single" w:color="auto" w:sz="4" w:space="0"/>
            </w:tcBorders>
            <w:vAlign w:val="center"/>
          </w:tcPr>
          <w:p w14:paraId="487864AE">
            <w:pPr>
              <w:keepNext w:val="0"/>
              <w:keepLines w:val="0"/>
              <w:pageBreakBefore w:val="0"/>
              <w:widowControl/>
              <w:suppressLineNumbers w:val="0"/>
              <w:kinsoku/>
              <w:wordWrap/>
              <w:overflowPunct/>
              <w:topLinePunct w:val="0"/>
              <w:bidi w:val="0"/>
              <w:spacing w:beforeAutospacing="0" w:line="240" w:lineRule="auto"/>
              <w:ind w:left="0" w:leftChars="0" w:right="0" w:rightChars="0" w:firstLine="0" w:firstLineChars="0"/>
              <w:jc w:val="left"/>
              <w:textAlignment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7128" w:type="dxa"/>
            <w:tcBorders>
              <w:top w:val="single" w:color="auto" w:sz="4" w:space="0"/>
              <w:left w:val="single" w:color="auto" w:sz="4" w:space="0"/>
              <w:bottom w:val="single" w:color="auto" w:sz="4" w:space="0"/>
              <w:right w:val="single" w:color="auto" w:sz="4" w:space="0"/>
            </w:tcBorders>
            <w:vAlign w:val="top"/>
          </w:tcPr>
          <w:p w14:paraId="576B2A67">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right="0" w:rightChars="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rPr>
              <w:t>国家食品药品监督管理局III类注册</w:t>
            </w:r>
          </w:p>
          <w:p w14:paraId="2E4B6E1F">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right="0" w:rightChars="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方法学:辉光型化学发光法</w:t>
            </w:r>
          </w:p>
          <w:p w14:paraId="47A5D511">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right="0" w:rightChars="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检测样本:血清、血浆、尿液</w:t>
            </w:r>
          </w:p>
          <w:p w14:paraId="6A3092AA">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right="0" w:rightChars="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样本管:具有多种规格原始管上样功能，系统条形码功能。</w:t>
            </w:r>
          </w:p>
          <w:p w14:paraId="55966842">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right="0" w:rightChars="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样本位:采用轨道进样，可放置</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60个样本，随时连续进样，支持自动重测</w:t>
            </w:r>
          </w:p>
          <w:p w14:paraId="6EC0961C">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right="0" w:rightChars="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rPr>
              <w:t>急诊进样系统:具有急诊通道，急诊样本，优先处理</w:t>
            </w:r>
          </w:p>
          <w:p w14:paraId="61AB5F36">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right="0" w:rightChars="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val="zh-CN"/>
              </w:rPr>
              <w:t>样本整体性控制:基于压力传感技术的液面感应，堵塞检测，空吸检测，样本量不足标记和管理</w:t>
            </w:r>
          </w:p>
          <w:p w14:paraId="3A92B471">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right="0" w:rightChars="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zh-CN"/>
              </w:rPr>
              <w:t>样本管理:具有在机稀释，自动重检功能</w:t>
            </w:r>
          </w:p>
          <w:p w14:paraId="37060DFF">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right="0" w:rightChars="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val="zh-CN"/>
              </w:rPr>
              <w:t>检测速度:测试速度</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180测试/小时</w:t>
            </w:r>
          </w:p>
          <w:p w14:paraId="398B03FC">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right="0" w:rightChars="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val="zh-CN"/>
              </w:rPr>
              <w:t>试剂位:具有</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25个冷藏试剂位，2-8℃不间断冷藏</w:t>
            </w:r>
          </w:p>
          <w:p w14:paraId="496A6BF9">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right="0" w:rightChars="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lang w:val="zh-CN"/>
              </w:rPr>
              <w:t>试剂完整性控制:条形码试剂鉴别，自动存量追踪和标记，校准有效性追踪和标记，试剂有效期追踪和标记</w:t>
            </w:r>
          </w:p>
          <w:p w14:paraId="3C9262E0">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right="0" w:rightChars="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lang w:val="zh-CN"/>
              </w:rPr>
              <w:t>反应杯:</w:t>
            </w:r>
            <w:r>
              <w:rPr>
                <w:rFonts w:hint="eastAsia" w:ascii="宋体" w:hAnsi="宋体" w:eastAsia="宋体" w:cs="宋体"/>
                <w:sz w:val="24"/>
                <w:szCs w:val="24"/>
                <w:highlight w:val="none"/>
              </w:rPr>
              <w:t>独立的单个反应杯设计，</w:t>
            </w:r>
            <w:r>
              <w:rPr>
                <w:rFonts w:hint="eastAsia" w:ascii="宋体" w:hAnsi="宋体" w:eastAsia="宋体" w:cs="宋体"/>
                <w:sz w:val="24"/>
                <w:szCs w:val="24"/>
                <w:highlight w:val="none"/>
                <w:lang w:val="zh-CN"/>
              </w:rPr>
              <w:t>一次性可在机放置</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176个反应杯，并可随时添加</w:t>
            </w:r>
          </w:p>
          <w:p w14:paraId="242EB88D">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right="0" w:rightChars="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lang w:val="zh-CN"/>
              </w:rPr>
              <w:t>持续运行能力:可以24小时开机</w:t>
            </w:r>
          </w:p>
          <w:p w14:paraId="0135D241">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right="0" w:rightChars="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lang w:val="zh-CN"/>
              </w:rPr>
              <w:t>检测项目:≥57种试剂项目，具有甲状腺功能、性腺激素、传染病、肝纤等检测</w:t>
            </w:r>
          </w:p>
          <w:p w14:paraId="17AACBE1">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right="0" w:rightChars="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val="zh-CN"/>
              </w:rPr>
              <w:t>促甲状腺激素（TSH）:为第三代，功能灵敏度≦0.02mIU/L</w:t>
            </w:r>
          </w:p>
          <w:p w14:paraId="4FAB0A4D">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right="0" w:rightChars="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lang w:val="zh-CN"/>
              </w:rPr>
              <w:t>传染病项目：HIV为第四代产品，抗原抗体联检，乙肝表面抗原可溯源至WHO第二代国际标准单位</w:t>
            </w:r>
          </w:p>
          <w:p w14:paraId="3A0DCB15">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right="0" w:rightChars="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lang w:val="zh-CN"/>
              </w:rPr>
              <w:t>定标要求:内置主曲线，二维码识别，三点校准</w:t>
            </w:r>
          </w:p>
          <w:p w14:paraId="6BD3BA33">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right="0" w:rightChars="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lang w:val="zh-CN"/>
              </w:rPr>
              <w:t>校准要求:采用独立注册的原厂校准品，满足溯源性要求，并提供溯源性文件</w:t>
            </w:r>
          </w:p>
          <w:p w14:paraId="6D8C213B">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right="0" w:rightChars="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lang w:val="zh-CN"/>
              </w:rPr>
              <w:t>用户界面:</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17寸高分别率彩色触摸显示器，Windows10（64bit）操作系统,中文操作界面</w:t>
            </w:r>
          </w:p>
          <w:p w14:paraId="558AB1DC">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right="0" w:rightChars="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lang w:val="zh-CN"/>
              </w:rPr>
              <w:t>网络连接能力:有单向、双向连接外部Lis软件或网络的能力</w:t>
            </w:r>
          </w:p>
          <w:p w14:paraId="0A9E921B">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right="0" w:rightChars="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lang w:val="zh-CN"/>
              </w:rPr>
              <w:t>CFDA认证情况:仪器及试剂、相关耗品等都具有CFDA认证</w:t>
            </w:r>
          </w:p>
          <w:p w14:paraId="74798A5B">
            <w:pPr>
              <w:pStyle w:val="39"/>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right="0" w:rightChars="0"/>
              <w:jc w:val="left"/>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lang w:val="zh-CN"/>
              </w:rPr>
              <w:t>操作及保养:操作简便，每天保养工作简单，随时可以待机</w:t>
            </w:r>
          </w:p>
        </w:tc>
      </w:tr>
    </w:tbl>
    <w:p w14:paraId="6A8C52C2">
      <w:pPr>
        <w:jc w:val="left"/>
      </w:pPr>
    </w:p>
    <w:p w14:paraId="44E25253">
      <w:pPr>
        <w:rPr>
          <w:rFonts w:hint="default"/>
          <w:lang w:val="en-US" w:eastAsia="zh-CN"/>
        </w:rPr>
      </w:pP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D3BDC">
    <w:pPr>
      <w:pStyle w:val="12"/>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4E9D3">
    <w:pPr>
      <w:pStyle w:val="12"/>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15039">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4815039">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E09E4">
    <w:pPr>
      <w:pStyle w:val="13"/>
      <w:pBdr>
        <w:bottom w:val="none" w:color="auto" w:sz="0" w:space="1"/>
      </w:pBdr>
      <w:ind w:firstLine="0" w:firstLineChars="0"/>
      <w:jc w:val="right"/>
      <w:rPr>
        <w:rFonts w:hint="eastAsia" w:eastAsia="宋体"/>
        <w:lang w:eastAsia="zh-CN"/>
      </w:rPr>
    </w:pPr>
    <w:r>
      <w:drawing>
        <wp:anchor distT="0" distB="0" distL="114300" distR="114300" simplePos="0" relativeHeight="251660288" behindDoc="0" locked="0" layoutInCell="1" allowOverlap="1">
          <wp:simplePos x="0" y="0"/>
          <wp:positionH relativeFrom="column">
            <wp:posOffset>102235</wp:posOffset>
          </wp:positionH>
          <wp:positionV relativeFrom="paragraph">
            <wp:posOffset>-6985</wp:posOffset>
          </wp:positionV>
          <wp:extent cx="939800" cy="301625"/>
          <wp:effectExtent l="0" t="0" r="12700" b="317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939800" cy="301625"/>
                  </a:xfrm>
                  <a:prstGeom prst="rect">
                    <a:avLst/>
                  </a:prstGeom>
                  <a:noFill/>
                  <a:ln>
                    <a:noFill/>
                  </a:ln>
                </pic:spPr>
              </pic:pic>
            </a:graphicData>
          </a:graphic>
        </wp:anchor>
      </w:drawing>
    </w:r>
    <w:r>
      <w:rPr>
        <w:rFonts w:hint="eastAsia" w:ascii="宋体" w:hAnsi="宋体" w:eastAsia="宋体" w:cs="宋体"/>
        <w:b/>
        <w:bCs/>
        <w:sz w:val="21"/>
        <w:szCs w:val="21"/>
        <w:u w:val="single"/>
      </w:rPr>
      <w:t xml:space="preserve">青海品冠招标代理有限公司磋商文件   </w:t>
    </w:r>
    <w:r>
      <w:rPr>
        <w:rFonts w:hint="eastAsia" w:ascii="宋体" w:hAnsi="宋体" w:eastAsia="宋体" w:cs="宋体"/>
        <w:b/>
        <w:bCs/>
        <w:color w:val="000000" w:themeColor="text1"/>
        <w:sz w:val="21"/>
        <w:szCs w:val="21"/>
        <w:u w:val="single"/>
        <w:lang w:eastAsia="zh-CN"/>
        <w14:textFill>
          <w14:solidFill>
            <w14:schemeClr w14:val="tx1"/>
          </w14:solidFill>
        </w14:textFill>
      </w:rPr>
      <w:t>青海品冠竞磋（货物）2024-055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285D0"/>
    <w:multiLevelType w:val="multilevel"/>
    <w:tmpl w:val="9CB285D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CC327A50"/>
    <w:multiLevelType w:val="singleLevel"/>
    <w:tmpl w:val="CC327A50"/>
    <w:lvl w:ilvl="0" w:tentative="0">
      <w:start w:val="1"/>
      <w:numFmt w:val="decimal"/>
      <w:suff w:val="nothing"/>
      <w:lvlText w:val="%1、"/>
      <w:lvlJc w:val="left"/>
    </w:lvl>
  </w:abstractNum>
  <w:abstractNum w:abstractNumId="2">
    <w:nsid w:val="025F36E4"/>
    <w:multiLevelType w:val="multilevel"/>
    <w:tmpl w:val="025F36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1F42AC"/>
    <w:multiLevelType w:val="singleLevel"/>
    <w:tmpl w:val="561F42AC"/>
    <w:lvl w:ilvl="0" w:tentative="0">
      <w:start w:val="2"/>
      <w:numFmt w:val="decimal"/>
      <w:suff w:val="nothing"/>
      <w:lvlText w:val="%1."/>
      <w:lvlJc w:val="left"/>
    </w:lvl>
  </w:abstractNum>
  <w:abstractNum w:abstractNumId="4">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5">
    <w:nsid w:val="59B11739"/>
    <w:multiLevelType w:val="singleLevel"/>
    <w:tmpl w:val="59B11739"/>
    <w:lvl w:ilvl="0" w:tentative="0">
      <w:start w:val="1"/>
      <w:numFmt w:val="decimal"/>
      <w:suff w:val="nothing"/>
      <w:lvlText w:val="（%1）"/>
      <w:lvlJc w:val="left"/>
    </w:lvl>
  </w:abstractNum>
  <w:abstractNum w:abstractNumId="6">
    <w:nsid w:val="74AE1111"/>
    <w:multiLevelType w:val="singleLevel"/>
    <w:tmpl w:val="74AE1111"/>
    <w:lvl w:ilvl="0" w:tentative="0">
      <w:start w:val="6"/>
      <w:numFmt w:val="chineseCounting"/>
      <w:suff w:val="space"/>
      <w:lvlText w:val="第%1部分"/>
      <w:lvlJc w:val="left"/>
      <w:rPr>
        <w:rFonts w:hint="eastAsia"/>
      </w:rPr>
    </w:lvl>
  </w:abstractNum>
  <w:num w:numId="1">
    <w:abstractNumId w:val="1"/>
  </w:num>
  <w:num w:numId="2">
    <w:abstractNumId w:val="4"/>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ZjIxM2VjOTVjZmI5OGE5OTU2NGI5NTc0ZDYzNDYifQ=="/>
  </w:docVars>
  <w:rsids>
    <w:rsidRoot w:val="6F3A01D0"/>
    <w:rsid w:val="0011729F"/>
    <w:rsid w:val="00196FFB"/>
    <w:rsid w:val="001D31EC"/>
    <w:rsid w:val="00213F24"/>
    <w:rsid w:val="002C5D0F"/>
    <w:rsid w:val="00417413"/>
    <w:rsid w:val="00476E38"/>
    <w:rsid w:val="006C3879"/>
    <w:rsid w:val="009A149D"/>
    <w:rsid w:val="00A22D1A"/>
    <w:rsid w:val="00AE5A2B"/>
    <w:rsid w:val="00BB15F6"/>
    <w:rsid w:val="00D44E68"/>
    <w:rsid w:val="00D53305"/>
    <w:rsid w:val="00E22C49"/>
    <w:rsid w:val="00E24720"/>
    <w:rsid w:val="00EB0426"/>
    <w:rsid w:val="015E0632"/>
    <w:rsid w:val="01BA3151"/>
    <w:rsid w:val="02492A53"/>
    <w:rsid w:val="027666A8"/>
    <w:rsid w:val="02E848E3"/>
    <w:rsid w:val="03155419"/>
    <w:rsid w:val="037641DC"/>
    <w:rsid w:val="03F54F40"/>
    <w:rsid w:val="04001ACF"/>
    <w:rsid w:val="040911B4"/>
    <w:rsid w:val="041D2837"/>
    <w:rsid w:val="042A1978"/>
    <w:rsid w:val="04490DE7"/>
    <w:rsid w:val="04694072"/>
    <w:rsid w:val="04794825"/>
    <w:rsid w:val="04821FE4"/>
    <w:rsid w:val="053F79EE"/>
    <w:rsid w:val="05C41944"/>
    <w:rsid w:val="05F44D89"/>
    <w:rsid w:val="05F9122C"/>
    <w:rsid w:val="0671751B"/>
    <w:rsid w:val="06786DC4"/>
    <w:rsid w:val="069F1C8C"/>
    <w:rsid w:val="06B8123B"/>
    <w:rsid w:val="06BB4415"/>
    <w:rsid w:val="06C0104C"/>
    <w:rsid w:val="06ED2F57"/>
    <w:rsid w:val="06FA0514"/>
    <w:rsid w:val="06FA3E18"/>
    <w:rsid w:val="07547914"/>
    <w:rsid w:val="07E7495A"/>
    <w:rsid w:val="07EA3008"/>
    <w:rsid w:val="080C0E4D"/>
    <w:rsid w:val="08192FB1"/>
    <w:rsid w:val="08C635A7"/>
    <w:rsid w:val="08D60010"/>
    <w:rsid w:val="08E019CC"/>
    <w:rsid w:val="0965564B"/>
    <w:rsid w:val="09954AFB"/>
    <w:rsid w:val="0AB310D5"/>
    <w:rsid w:val="0AB50A1F"/>
    <w:rsid w:val="0AD4632C"/>
    <w:rsid w:val="0AF357C2"/>
    <w:rsid w:val="0B033A47"/>
    <w:rsid w:val="0B7D1993"/>
    <w:rsid w:val="0B8F10CC"/>
    <w:rsid w:val="0B9C7EAF"/>
    <w:rsid w:val="0C2B426F"/>
    <w:rsid w:val="0C320B89"/>
    <w:rsid w:val="0C462335"/>
    <w:rsid w:val="0D5450A8"/>
    <w:rsid w:val="0D596022"/>
    <w:rsid w:val="0D5A6110"/>
    <w:rsid w:val="0DCB49FB"/>
    <w:rsid w:val="0DF75C5B"/>
    <w:rsid w:val="0E3B4B14"/>
    <w:rsid w:val="0E837BAD"/>
    <w:rsid w:val="0E901D0F"/>
    <w:rsid w:val="0ECE0E1F"/>
    <w:rsid w:val="0EEB493F"/>
    <w:rsid w:val="0F2B7F1E"/>
    <w:rsid w:val="0F871748"/>
    <w:rsid w:val="0FB200DF"/>
    <w:rsid w:val="0FB238DA"/>
    <w:rsid w:val="0FC05474"/>
    <w:rsid w:val="0FC4616A"/>
    <w:rsid w:val="0FCD4D03"/>
    <w:rsid w:val="0FE7431B"/>
    <w:rsid w:val="0FEE74CA"/>
    <w:rsid w:val="0FF8234C"/>
    <w:rsid w:val="104D01F0"/>
    <w:rsid w:val="1060113D"/>
    <w:rsid w:val="1081061C"/>
    <w:rsid w:val="10A71125"/>
    <w:rsid w:val="10E102A4"/>
    <w:rsid w:val="11103C66"/>
    <w:rsid w:val="1129001A"/>
    <w:rsid w:val="11F7309C"/>
    <w:rsid w:val="12011130"/>
    <w:rsid w:val="12303F43"/>
    <w:rsid w:val="123E0181"/>
    <w:rsid w:val="12872CD1"/>
    <w:rsid w:val="130F0854"/>
    <w:rsid w:val="13241D90"/>
    <w:rsid w:val="1328219C"/>
    <w:rsid w:val="137D7853"/>
    <w:rsid w:val="13A5587F"/>
    <w:rsid w:val="13D16A27"/>
    <w:rsid w:val="145C6C53"/>
    <w:rsid w:val="14816D8E"/>
    <w:rsid w:val="14A31369"/>
    <w:rsid w:val="14C93268"/>
    <w:rsid w:val="15A14738"/>
    <w:rsid w:val="160A7B9A"/>
    <w:rsid w:val="163C358F"/>
    <w:rsid w:val="165E5AD6"/>
    <w:rsid w:val="166E2811"/>
    <w:rsid w:val="16737E53"/>
    <w:rsid w:val="16842EAE"/>
    <w:rsid w:val="1696609B"/>
    <w:rsid w:val="17236BA8"/>
    <w:rsid w:val="177069AF"/>
    <w:rsid w:val="17D45DEF"/>
    <w:rsid w:val="17E47BA2"/>
    <w:rsid w:val="17F732B1"/>
    <w:rsid w:val="180969E8"/>
    <w:rsid w:val="184A6504"/>
    <w:rsid w:val="187D6A28"/>
    <w:rsid w:val="189C10AD"/>
    <w:rsid w:val="18E67433"/>
    <w:rsid w:val="191B0B35"/>
    <w:rsid w:val="193001A1"/>
    <w:rsid w:val="1A50441E"/>
    <w:rsid w:val="1A903438"/>
    <w:rsid w:val="1AA060A4"/>
    <w:rsid w:val="1BAF484F"/>
    <w:rsid w:val="1BCB40AD"/>
    <w:rsid w:val="1BDA3FC9"/>
    <w:rsid w:val="1BF90126"/>
    <w:rsid w:val="1C4B1AC5"/>
    <w:rsid w:val="1C7129F4"/>
    <w:rsid w:val="1DE64446"/>
    <w:rsid w:val="1DF83F3A"/>
    <w:rsid w:val="1E5B441F"/>
    <w:rsid w:val="1E6E6726"/>
    <w:rsid w:val="1ECA4852"/>
    <w:rsid w:val="1EDC4228"/>
    <w:rsid w:val="1EE11192"/>
    <w:rsid w:val="1F216C62"/>
    <w:rsid w:val="1F4C78D0"/>
    <w:rsid w:val="1F5313B6"/>
    <w:rsid w:val="202F6980"/>
    <w:rsid w:val="2090754A"/>
    <w:rsid w:val="20BC1612"/>
    <w:rsid w:val="20EC3CD7"/>
    <w:rsid w:val="20F70553"/>
    <w:rsid w:val="20FA2C20"/>
    <w:rsid w:val="212E23EC"/>
    <w:rsid w:val="218B0F6E"/>
    <w:rsid w:val="21E9685F"/>
    <w:rsid w:val="21FC28A9"/>
    <w:rsid w:val="223B5D57"/>
    <w:rsid w:val="223D1BAC"/>
    <w:rsid w:val="22470866"/>
    <w:rsid w:val="225B2C40"/>
    <w:rsid w:val="225D4B32"/>
    <w:rsid w:val="231A506E"/>
    <w:rsid w:val="234C07DB"/>
    <w:rsid w:val="23B54071"/>
    <w:rsid w:val="23D15319"/>
    <w:rsid w:val="241B632B"/>
    <w:rsid w:val="24334A21"/>
    <w:rsid w:val="249043C8"/>
    <w:rsid w:val="2506013B"/>
    <w:rsid w:val="25563C94"/>
    <w:rsid w:val="25675001"/>
    <w:rsid w:val="257D511F"/>
    <w:rsid w:val="25826736"/>
    <w:rsid w:val="25C6189B"/>
    <w:rsid w:val="263C54BE"/>
    <w:rsid w:val="26A16E16"/>
    <w:rsid w:val="270F023A"/>
    <w:rsid w:val="271C1B22"/>
    <w:rsid w:val="271C60D7"/>
    <w:rsid w:val="275C4CD4"/>
    <w:rsid w:val="276811FF"/>
    <w:rsid w:val="27B22F31"/>
    <w:rsid w:val="27FF372E"/>
    <w:rsid w:val="28002211"/>
    <w:rsid w:val="2806560C"/>
    <w:rsid w:val="28691D33"/>
    <w:rsid w:val="291D2347"/>
    <w:rsid w:val="29891842"/>
    <w:rsid w:val="29DC28E5"/>
    <w:rsid w:val="29FD4568"/>
    <w:rsid w:val="2A5E32AB"/>
    <w:rsid w:val="2A9622A4"/>
    <w:rsid w:val="2ABF45E3"/>
    <w:rsid w:val="2B0B470A"/>
    <w:rsid w:val="2B9E76FA"/>
    <w:rsid w:val="2BD21033"/>
    <w:rsid w:val="2C0D3E59"/>
    <w:rsid w:val="2CA0770D"/>
    <w:rsid w:val="2D094E31"/>
    <w:rsid w:val="2D4443FA"/>
    <w:rsid w:val="2D712DC0"/>
    <w:rsid w:val="2D7E6361"/>
    <w:rsid w:val="2DB6365C"/>
    <w:rsid w:val="2DE92551"/>
    <w:rsid w:val="2E3E4E47"/>
    <w:rsid w:val="2E921751"/>
    <w:rsid w:val="2EA45660"/>
    <w:rsid w:val="2EA95537"/>
    <w:rsid w:val="2EC606D3"/>
    <w:rsid w:val="2EC76F67"/>
    <w:rsid w:val="2F425D48"/>
    <w:rsid w:val="2F7231EE"/>
    <w:rsid w:val="2F790251"/>
    <w:rsid w:val="2FBB051F"/>
    <w:rsid w:val="2FF921DC"/>
    <w:rsid w:val="301B3A0F"/>
    <w:rsid w:val="308B45D3"/>
    <w:rsid w:val="309D5958"/>
    <w:rsid w:val="30A130CA"/>
    <w:rsid w:val="30C419B0"/>
    <w:rsid w:val="30FC4AF3"/>
    <w:rsid w:val="312B3A11"/>
    <w:rsid w:val="31301E9D"/>
    <w:rsid w:val="313D275C"/>
    <w:rsid w:val="3157664C"/>
    <w:rsid w:val="31C559E0"/>
    <w:rsid w:val="31F713E0"/>
    <w:rsid w:val="31FC48FE"/>
    <w:rsid w:val="32312E2D"/>
    <w:rsid w:val="32431FEF"/>
    <w:rsid w:val="324E0D5F"/>
    <w:rsid w:val="32F75C8B"/>
    <w:rsid w:val="33B83934"/>
    <w:rsid w:val="33CB26A9"/>
    <w:rsid w:val="33E76902"/>
    <w:rsid w:val="33F5549E"/>
    <w:rsid w:val="34011445"/>
    <w:rsid w:val="34110883"/>
    <w:rsid w:val="348D660A"/>
    <w:rsid w:val="34DE0735"/>
    <w:rsid w:val="3541245E"/>
    <w:rsid w:val="35980BD9"/>
    <w:rsid w:val="35CD36FC"/>
    <w:rsid w:val="360E3434"/>
    <w:rsid w:val="36792E4B"/>
    <w:rsid w:val="36C214DE"/>
    <w:rsid w:val="37135859"/>
    <w:rsid w:val="37381C2F"/>
    <w:rsid w:val="37C239D4"/>
    <w:rsid w:val="37C519CA"/>
    <w:rsid w:val="383512DF"/>
    <w:rsid w:val="3838582F"/>
    <w:rsid w:val="385E7878"/>
    <w:rsid w:val="3875364E"/>
    <w:rsid w:val="38824DC9"/>
    <w:rsid w:val="38885686"/>
    <w:rsid w:val="39523B05"/>
    <w:rsid w:val="395C71E5"/>
    <w:rsid w:val="398F7BA5"/>
    <w:rsid w:val="3A1A7FD9"/>
    <w:rsid w:val="3A7B6527"/>
    <w:rsid w:val="3A814D7D"/>
    <w:rsid w:val="3AB42FBD"/>
    <w:rsid w:val="3ABF3EC3"/>
    <w:rsid w:val="3AF464B3"/>
    <w:rsid w:val="3B592DBE"/>
    <w:rsid w:val="3BA405B2"/>
    <w:rsid w:val="3BBC4ABE"/>
    <w:rsid w:val="3BD43F8D"/>
    <w:rsid w:val="3BF97C17"/>
    <w:rsid w:val="3C092E30"/>
    <w:rsid w:val="3C99411D"/>
    <w:rsid w:val="3D575531"/>
    <w:rsid w:val="3D606F05"/>
    <w:rsid w:val="3DAB301A"/>
    <w:rsid w:val="3E351995"/>
    <w:rsid w:val="3EEF6A87"/>
    <w:rsid w:val="3F082449"/>
    <w:rsid w:val="3F4871AE"/>
    <w:rsid w:val="3F710E0E"/>
    <w:rsid w:val="3F9B6B83"/>
    <w:rsid w:val="3FA22C37"/>
    <w:rsid w:val="3FAF408D"/>
    <w:rsid w:val="3FD622A8"/>
    <w:rsid w:val="408126C2"/>
    <w:rsid w:val="408D38FB"/>
    <w:rsid w:val="40DF747E"/>
    <w:rsid w:val="40EC6DDC"/>
    <w:rsid w:val="41576C4E"/>
    <w:rsid w:val="421151B4"/>
    <w:rsid w:val="42354231"/>
    <w:rsid w:val="4285692D"/>
    <w:rsid w:val="431C6294"/>
    <w:rsid w:val="439F228C"/>
    <w:rsid w:val="442270F5"/>
    <w:rsid w:val="443F17B1"/>
    <w:rsid w:val="44641089"/>
    <w:rsid w:val="4465398D"/>
    <w:rsid w:val="44B27F70"/>
    <w:rsid w:val="44EB6603"/>
    <w:rsid w:val="450F1291"/>
    <w:rsid w:val="45912734"/>
    <w:rsid w:val="45984FD7"/>
    <w:rsid w:val="462C6948"/>
    <w:rsid w:val="463F1DAD"/>
    <w:rsid w:val="464613F0"/>
    <w:rsid w:val="46E71F5E"/>
    <w:rsid w:val="46EC679C"/>
    <w:rsid w:val="47500410"/>
    <w:rsid w:val="488556C1"/>
    <w:rsid w:val="48AA09AB"/>
    <w:rsid w:val="48CC544E"/>
    <w:rsid w:val="48F1403F"/>
    <w:rsid w:val="492D3331"/>
    <w:rsid w:val="49F25BD7"/>
    <w:rsid w:val="4A611B25"/>
    <w:rsid w:val="4B1A1C9E"/>
    <w:rsid w:val="4B2F68B4"/>
    <w:rsid w:val="4B4A280B"/>
    <w:rsid w:val="4B58615A"/>
    <w:rsid w:val="4B7A1206"/>
    <w:rsid w:val="4BF168BF"/>
    <w:rsid w:val="4C6F0BB7"/>
    <w:rsid w:val="4C741392"/>
    <w:rsid w:val="4D2F3ED8"/>
    <w:rsid w:val="4D9120CD"/>
    <w:rsid w:val="4DF752CE"/>
    <w:rsid w:val="4E376E73"/>
    <w:rsid w:val="4E534981"/>
    <w:rsid w:val="4E6D1482"/>
    <w:rsid w:val="4E993C45"/>
    <w:rsid w:val="4EA73161"/>
    <w:rsid w:val="4F166781"/>
    <w:rsid w:val="4FA610FA"/>
    <w:rsid w:val="4FE535DF"/>
    <w:rsid w:val="4FFB5A67"/>
    <w:rsid w:val="500F1C29"/>
    <w:rsid w:val="5024289C"/>
    <w:rsid w:val="504B341D"/>
    <w:rsid w:val="504F3433"/>
    <w:rsid w:val="50870F93"/>
    <w:rsid w:val="51281E2E"/>
    <w:rsid w:val="516A0579"/>
    <w:rsid w:val="51824063"/>
    <w:rsid w:val="51C37D5E"/>
    <w:rsid w:val="51EE600B"/>
    <w:rsid w:val="52A47CA2"/>
    <w:rsid w:val="52B971AF"/>
    <w:rsid w:val="52E912B7"/>
    <w:rsid w:val="53604987"/>
    <w:rsid w:val="53ED1502"/>
    <w:rsid w:val="54AC3A23"/>
    <w:rsid w:val="54AE6895"/>
    <w:rsid w:val="54AF5B64"/>
    <w:rsid w:val="55541C08"/>
    <w:rsid w:val="5596342B"/>
    <w:rsid w:val="561C690D"/>
    <w:rsid w:val="565457F8"/>
    <w:rsid w:val="57174680"/>
    <w:rsid w:val="57643900"/>
    <w:rsid w:val="57681CB0"/>
    <w:rsid w:val="57B059C1"/>
    <w:rsid w:val="57B50973"/>
    <w:rsid w:val="57C03F71"/>
    <w:rsid w:val="581035A9"/>
    <w:rsid w:val="5832130F"/>
    <w:rsid w:val="58773629"/>
    <w:rsid w:val="58D610F8"/>
    <w:rsid w:val="58ED322C"/>
    <w:rsid w:val="58F7526E"/>
    <w:rsid w:val="591B394B"/>
    <w:rsid w:val="594E76CC"/>
    <w:rsid w:val="5967076A"/>
    <w:rsid w:val="59D800F7"/>
    <w:rsid w:val="5A8C7845"/>
    <w:rsid w:val="5A8F6729"/>
    <w:rsid w:val="5A9A1A1D"/>
    <w:rsid w:val="5BDB5AEC"/>
    <w:rsid w:val="5BE331E1"/>
    <w:rsid w:val="5C5F130E"/>
    <w:rsid w:val="5CB138CA"/>
    <w:rsid w:val="5D03002A"/>
    <w:rsid w:val="5D17675D"/>
    <w:rsid w:val="5D9556E0"/>
    <w:rsid w:val="5DE07A34"/>
    <w:rsid w:val="5E5D6367"/>
    <w:rsid w:val="5E7A07A0"/>
    <w:rsid w:val="5E7C62B1"/>
    <w:rsid w:val="5EA236E3"/>
    <w:rsid w:val="5EA47AE8"/>
    <w:rsid w:val="5F8B73D7"/>
    <w:rsid w:val="5FE815BA"/>
    <w:rsid w:val="5FFC6D6C"/>
    <w:rsid w:val="5FFD4299"/>
    <w:rsid w:val="600B1CD7"/>
    <w:rsid w:val="609E2C02"/>
    <w:rsid w:val="60B8658C"/>
    <w:rsid w:val="610768FB"/>
    <w:rsid w:val="6125574B"/>
    <w:rsid w:val="613F577F"/>
    <w:rsid w:val="61C10ECF"/>
    <w:rsid w:val="61F91231"/>
    <w:rsid w:val="620670ED"/>
    <w:rsid w:val="625776FB"/>
    <w:rsid w:val="626172F3"/>
    <w:rsid w:val="62B15EBA"/>
    <w:rsid w:val="62C46031"/>
    <w:rsid w:val="62D35C02"/>
    <w:rsid w:val="62F23FCE"/>
    <w:rsid w:val="62FF4221"/>
    <w:rsid w:val="63450C95"/>
    <w:rsid w:val="645E0813"/>
    <w:rsid w:val="64617543"/>
    <w:rsid w:val="64916895"/>
    <w:rsid w:val="6496032F"/>
    <w:rsid w:val="64B0685D"/>
    <w:rsid w:val="65004B79"/>
    <w:rsid w:val="651573A9"/>
    <w:rsid w:val="65212235"/>
    <w:rsid w:val="653020ED"/>
    <w:rsid w:val="659B634C"/>
    <w:rsid w:val="65AF7A8C"/>
    <w:rsid w:val="65C5731B"/>
    <w:rsid w:val="65CD57CC"/>
    <w:rsid w:val="65D00903"/>
    <w:rsid w:val="65E11FBA"/>
    <w:rsid w:val="66067608"/>
    <w:rsid w:val="663976C6"/>
    <w:rsid w:val="66E30AB4"/>
    <w:rsid w:val="67094551"/>
    <w:rsid w:val="670F5438"/>
    <w:rsid w:val="67720C0D"/>
    <w:rsid w:val="67853BBB"/>
    <w:rsid w:val="681F30F4"/>
    <w:rsid w:val="687734C6"/>
    <w:rsid w:val="68CD48F6"/>
    <w:rsid w:val="68DF7DD7"/>
    <w:rsid w:val="695218D5"/>
    <w:rsid w:val="695A48D3"/>
    <w:rsid w:val="696D4097"/>
    <w:rsid w:val="69714D9A"/>
    <w:rsid w:val="699B4C5A"/>
    <w:rsid w:val="69D308B3"/>
    <w:rsid w:val="69FF5932"/>
    <w:rsid w:val="6A033EE8"/>
    <w:rsid w:val="6A1C1AC4"/>
    <w:rsid w:val="6A4B791D"/>
    <w:rsid w:val="6A857EDE"/>
    <w:rsid w:val="6AB01A30"/>
    <w:rsid w:val="6B295089"/>
    <w:rsid w:val="6BBB17D9"/>
    <w:rsid w:val="6BD85E01"/>
    <w:rsid w:val="6BF733B0"/>
    <w:rsid w:val="6C6C0F3A"/>
    <w:rsid w:val="6CA2575A"/>
    <w:rsid w:val="6D0169A7"/>
    <w:rsid w:val="6DD81E53"/>
    <w:rsid w:val="6DEA5BBB"/>
    <w:rsid w:val="6E172460"/>
    <w:rsid w:val="6F3A01D0"/>
    <w:rsid w:val="6F3F3235"/>
    <w:rsid w:val="6F5C0A2B"/>
    <w:rsid w:val="6FBB0B5F"/>
    <w:rsid w:val="70B601E7"/>
    <w:rsid w:val="70FA499F"/>
    <w:rsid w:val="71063344"/>
    <w:rsid w:val="71771B4C"/>
    <w:rsid w:val="71CD4358"/>
    <w:rsid w:val="72A07F28"/>
    <w:rsid w:val="72E2393D"/>
    <w:rsid w:val="7347500C"/>
    <w:rsid w:val="73594776"/>
    <w:rsid w:val="737919F5"/>
    <w:rsid w:val="73836355"/>
    <w:rsid w:val="73CC4C4A"/>
    <w:rsid w:val="73DD428C"/>
    <w:rsid w:val="73EA0CFB"/>
    <w:rsid w:val="7400051E"/>
    <w:rsid w:val="7505136E"/>
    <w:rsid w:val="75154017"/>
    <w:rsid w:val="754E00E9"/>
    <w:rsid w:val="75566EB5"/>
    <w:rsid w:val="75E53145"/>
    <w:rsid w:val="76335669"/>
    <w:rsid w:val="766250B5"/>
    <w:rsid w:val="76B50EBE"/>
    <w:rsid w:val="771A18F7"/>
    <w:rsid w:val="77260216"/>
    <w:rsid w:val="77F81369"/>
    <w:rsid w:val="78133782"/>
    <w:rsid w:val="78216CB5"/>
    <w:rsid w:val="78CD5227"/>
    <w:rsid w:val="78FD6DDA"/>
    <w:rsid w:val="79136231"/>
    <w:rsid w:val="79222CE5"/>
    <w:rsid w:val="7A57199D"/>
    <w:rsid w:val="7AB23425"/>
    <w:rsid w:val="7ACC5CEF"/>
    <w:rsid w:val="7B433221"/>
    <w:rsid w:val="7B545882"/>
    <w:rsid w:val="7B7F5769"/>
    <w:rsid w:val="7B85531C"/>
    <w:rsid w:val="7B9B7DEE"/>
    <w:rsid w:val="7BA10BAD"/>
    <w:rsid w:val="7C0641F8"/>
    <w:rsid w:val="7C494E9D"/>
    <w:rsid w:val="7D060E59"/>
    <w:rsid w:val="7D20329B"/>
    <w:rsid w:val="7D406F8C"/>
    <w:rsid w:val="7D890306"/>
    <w:rsid w:val="7DEB7D2E"/>
    <w:rsid w:val="7E1631C7"/>
    <w:rsid w:val="7E532992"/>
    <w:rsid w:val="7E683A96"/>
    <w:rsid w:val="7E7D77AD"/>
    <w:rsid w:val="7E9F58CF"/>
    <w:rsid w:val="7EC15CA3"/>
    <w:rsid w:val="7ED41833"/>
    <w:rsid w:val="7F0251AA"/>
    <w:rsid w:val="7F2C12D8"/>
    <w:rsid w:val="7FFF0537"/>
    <w:rsid w:val="FFEA9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ascii="宋体" w:hAnsi="宋体" w:cs="宋体"/>
      <w:b/>
      <w:sz w:val="27"/>
      <w:szCs w:val="27"/>
    </w:rPr>
  </w:style>
  <w:style w:type="paragraph" w:styleId="3">
    <w:name w:val="heading 4"/>
    <w:basedOn w:val="1"/>
    <w:next w:val="1"/>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3">
    <w:name w:val="Default Paragraph Font"/>
    <w:autoRedefine/>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toa heading"/>
    <w:basedOn w:val="1"/>
    <w:next w:val="1"/>
    <w:unhideWhenUsed/>
    <w:qFormat/>
    <w:uiPriority w:val="99"/>
    <w:pPr>
      <w:spacing w:before="120"/>
    </w:pPr>
    <w:rPr>
      <w:rFonts w:ascii="Cambria" w:hAnsi="Cambria" w:eastAsia="宋体" w:cs="Times New Roman"/>
      <w:sz w:val="24"/>
      <w:szCs w:val="24"/>
    </w:rPr>
  </w:style>
  <w:style w:type="paragraph" w:styleId="6">
    <w:name w:val="annotation text"/>
    <w:basedOn w:val="1"/>
    <w:qFormat/>
    <w:uiPriority w:val="0"/>
    <w:pPr>
      <w:jc w:val="left"/>
    </w:pPr>
  </w:style>
  <w:style w:type="paragraph" w:styleId="7">
    <w:name w:val="Body Text"/>
    <w:basedOn w:val="1"/>
    <w:next w:val="1"/>
    <w:autoRedefine/>
    <w:qFormat/>
    <w:uiPriority w:val="0"/>
    <w:pPr>
      <w:spacing w:line="360" w:lineRule="exact"/>
    </w:pPr>
    <w:rPr>
      <w:sz w:val="24"/>
    </w:rPr>
  </w:style>
  <w:style w:type="paragraph" w:styleId="8">
    <w:name w:val="Body Text Indent"/>
    <w:basedOn w:val="1"/>
    <w:next w:val="1"/>
    <w:qFormat/>
    <w:uiPriority w:val="0"/>
    <w:pPr>
      <w:spacing w:after="120"/>
      <w:ind w:left="420" w:leftChars="200"/>
    </w:pPr>
  </w:style>
  <w:style w:type="paragraph" w:styleId="9">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next w:val="3"/>
    <w:autoRedefine/>
    <w:qFormat/>
    <w:uiPriority w:val="0"/>
    <w:rPr>
      <w:rFonts w:ascii="宋体" w:hAnsi="Courier New"/>
      <w:szCs w:val="20"/>
    </w:rPr>
  </w:style>
  <w:style w:type="paragraph" w:styleId="11">
    <w:name w:val="Balloon Text"/>
    <w:basedOn w:val="1"/>
    <w:link w:val="34"/>
    <w:autoRedefine/>
    <w:qFormat/>
    <w:uiPriority w:val="0"/>
    <w:pPr>
      <w:spacing w:line="240" w:lineRule="auto"/>
    </w:pPr>
    <w:rPr>
      <w:sz w:val="18"/>
      <w:szCs w:val="18"/>
    </w:rPr>
  </w:style>
  <w:style w:type="paragraph" w:styleId="12">
    <w:name w:val="footer"/>
    <w:basedOn w:val="1"/>
    <w:autoRedefine/>
    <w:qFormat/>
    <w:uiPriority w:val="0"/>
    <w:pPr>
      <w:tabs>
        <w:tab w:val="center" w:pos="4153"/>
        <w:tab w:val="right" w:pos="8306"/>
      </w:tabs>
      <w:snapToGrid w:val="0"/>
      <w:jc w:val="left"/>
    </w:pPr>
    <w:rPr>
      <w:sz w:val="18"/>
      <w:szCs w:val="20"/>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pPr>
      <w:spacing w:before="120" w:after="120"/>
      <w:jc w:val="left"/>
    </w:pPr>
    <w:rPr>
      <w:rFonts w:ascii="Calibri" w:hAnsi="Calibri"/>
      <w:b/>
      <w:bCs/>
      <w:caps/>
      <w:sz w:val="20"/>
      <w:szCs w:val="20"/>
    </w:rPr>
  </w:style>
  <w:style w:type="paragraph" w:styleId="15">
    <w:name w:val="toc 2"/>
    <w:basedOn w:val="1"/>
    <w:next w:val="1"/>
    <w:autoRedefine/>
    <w:qFormat/>
    <w:uiPriority w:val="0"/>
    <w:pPr>
      <w:ind w:left="210"/>
      <w:jc w:val="left"/>
    </w:pPr>
    <w:rPr>
      <w:rFonts w:ascii="Calibri" w:hAnsi="Calibri" w:cs="Calibri"/>
      <w:smallCaps/>
      <w:sz w:val="24"/>
      <w:szCs w:val="20"/>
    </w:rPr>
  </w:style>
  <w:style w:type="paragraph" w:styleId="16">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7">
    <w:name w:val="Normal (Web)"/>
    <w:basedOn w:val="1"/>
    <w:qFormat/>
    <w:uiPriority w:val="0"/>
    <w:pPr>
      <w:widowControl/>
      <w:spacing w:before="100" w:beforeAutospacing="1" w:after="119"/>
      <w:jc w:val="left"/>
    </w:pPr>
    <w:rPr>
      <w:rFonts w:ascii="宋体" w:hAnsi="宋体" w:cs="宋体"/>
      <w:sz w:val="24"/>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paragraph" w:styleId="19">
    <w:name w:val="Body Text First Indent"/>
    <w:basedOn w:val="7"/>
    <w:autoRedefine/>
    <w:unhideWhenUsed/>
    <w:qFormat/>
    <w:uiPriority w:val="99"/>
    <w:pPr>
      <w:ind w:firstLine="420" w:firstLineChars="100"/>
    </w:pPr>
  </w:style>
  <w:style w:type="paragraph" w:styleId="20">
    <w:name w:val="Body Text First Indent 2"/>
    <w:basedOn w:val="8"/>
    <w:qFormat/>
    <w:uiPriority w:val="0"/>
    <w:pPr>
      <w:ind w:firstLine="42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0"/>
    <w:rPr>
      <w:color w:val="000099"/>
      <w:u w:val="none"/>
    </w:rPr>
  </w:style>
  <w:style w:type="character" w:styleId="27">
    <w:name w:val="annotation reference"/>
    <w:basedOn w:val="23"/>
    <w:qFormat/>
    <w:uiPriority w:val="0"/>
    <w:rPr>
      <w:sz w:val="21"/>
      <w:szCs w:val="21"/>
    </w:rPr>
  </w:style>
  <w:style w:type="paragraph" w:customStyle="1" w:styleId="28">
    <w:name w:val="正文文本 21"/>
    <w:qFormat/>
    <w:uiPriority w:val="0"/>
    <w:pPr>
      <w:widowControl w:val="0"/>
      <w:spacing w:after="120" w:line="480" w:lineRule="auto"/>
      <w:ind w:firstLine="420" w:firstLineChars="200"/>
      <w:jc w:val="both"/>
    </w:pPr>
    <w:rPr>
      <w:rFonts w:ascii="Calibri" w:hAnsi="Calibri" w:eastAsia="仿宋" w:cs="Times New Roman"/>
      <w:color w:val="000000"/>
      <w:kern w:val="2"/>
      <w:sz w:val="21"/>
      <w:szCs w:val="30"/>
      <w:lang w:val="en-US" w:eastAsia="zh-CN" w:bidi="ar-SA"/>
    </w:rPr>
  </w:style>
  <w:style w:type="paragraph" w:customStyle="1" w:styleId="29">
    <w:name w:val="一级条标题"/>
    <w:basedOn w:val="30"/>
    <w:next w:val="31"/>
    <w:autoRedefine/>
    <w:qFormat/>
    <w:uiPriority w:val="0"/>
    <w:pPr>
      <w:spacing w:line="240" w:lineRule="auto"/>
      <w:ind w:left="420"/>
      <w:outlineLvl w:val="2"/>
    </w:pPr>
  </w:style>
  <w:style w:type="paragraph" w:customStyle="1" w:styleId="30">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1">
    <w:name w:val="段"/>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2">
    <w:name w:val="样式 标题 3 + 首行缩进:  2 字符"/>
    <w:basedOn w:val="2"/>
    <w:qFormat/>
    <w:uiPriority w:val="0"/>
    <w:pPr>
      <w:spacing w:before="0" w:after="0" w:line="480" w:lineRule="exact"/>
    </w:pPr>
    <w:rPr>
      <w:rFonts w:eastAsia="宋体"/>
      <w:sz w:val="28"/>
      <w:szCs w:val="28"/>
      <w:lang w:bidi="ar-DZ"/>
    </w:rPr>
  </w:style>
  <w:style w:type="paragraph" w:customStyle="1" w:styleId="33">
    <w:name w:val="列出段落1"/>
    <w:basedOn w:val="1"/>
    <w:autoRedefine/>
    <w:qFormat/>
    <w:uiPriority w:val="34"/>
    <w:pPr>
      <w:ind w:firstLine="420"/>
    </w:pPr>
    <w:rPr>
      <w:rFonts w:ascii="Calibri" w:hAnsi="Calibri"/>
    </w:rPr>
  </w:style>
  <w:style w:type="character" w:customStyle="1" w:styleId="34">
    <w:name w:val="批注框文本 字符"/>
    <w:basedOn w:val="23"/>
    <w:link w:val="11"/>
    <w:qFormat/>
    <w:uiPriority w:val="0"/>
    <w:rPr>
      <w:sz w:val="18"/>
      <w:szCs w:val="18"/>
    </w:rPr>
  </w:style>
  <w:style w:type="character" w:customStyle="1" w:styleId="35">
    <w:name w:val="font41"/>
    <w:basedOn w:val="23"/>
    <w:qFormat/>
    <w:uiPriority w:val="0"/>
    <w:rPr>
      <w:rFonts w:hint="default" w:ascii="Tahoma" w:hAnsi="Tahoma" w:eastAsia="Tahoma" w:cs="Tahoma"/>
      <w:color w:val="000000"/>
      <w:sz w:val="18"/>
      <w:szCs w:val="18"/>
      <w:u w:val="none"/>
    </w:rPr>
  </w:style>
  <w:style w:type="character" w:customStyle="1" w:styleId="36">
    <w:name w:val="font11"/>
    <w:basedOn w:val="23"/>
    <w:qFormat/>
    <w:uiPriority w:val="0"/>
    <w:rPr>
      <w:rFonts w:hint="eastAsia" w:ascii="宋体" w:hAnsi="宋体" w:eastAsia="宋体" w:cs="宋体"/>
      <w:color w:val="000000"/>
      <w:sz w:val="24"/>
      <w:szCs w:val="24"/>
      <w:u w:val="none"/>
      <w:vertAlign w:val="subscript"/>
    </w:rPr>
  </w:style>
  <w:style w:type="character" w:customStyle="1" w:styleId="37">
    <w:name w:val="int_huang_12_b1"/>
    <w:qFormat/>
    <w:uiPriority w:val="0"/>
    <w:rPr>
      <w:rFonts w:hint="default" w:ascii="Verdana" w:hAnsi="Verdana"/>
      <w:b/>
      <w:bCs/>
      <w:color w:val="EECC77"/>
      <w:sz w:val="18"/>
      <w:szCs w:val="18"/>
    </w:rPr>
  </w:style>
  <w:style w:type="paragraph" w:customStyle="1" w:styleId="38">
    <w:name w:val="p0"/>
    <w:basedOn w:val="1"/>
    <w:autoRedefine/>
    <w:unhideWhenUsed/>
    <w:qFormat/>
    <w:uiPriority w:val="99"/>
    <w:pPr>
      <w:widowControl/>
    </w:pPr>
    <w:rPr>
      <w:rFonts w:hint="eastAsia" w:ascii="宋体" w:hAnsi="宋体"/>
    </w:rPr>
  </w:style>
  <w:style w:type="paragraph" w:styleId="39">
    <w:name w:val="List Paragraph"/>
    <w:basedOn w:val="1"/>
    <w:autoRedefine/>
    <w:qFormat/>
    <w:uiPriority w:val="34"/>
    <w:pPr>
      <w:ind w:firstLine="420"/>
    </w:pPr>
  </w:style>
  <w:style w:type="character" w:customStyle="1" w:styleId="40">
    <w:name w:val="font51"/>
    <w:basedOn w:val="23"/>
    <w:qFormat/>
    <w:uiPriority w:val="0"/>
    <w:rPr>
      <w:rFonts w:hint="eastAsia" w:ascii="宋体" w:hAnsi="宋体" w:eastAsia="宋体" w:cs="宋体"/>
      <w:color w:val="000000"/>
      <w:sz w:val="24"/>
      <w:szCs w:val="24"/>
      <w:u w:val="none"/>
    </w:rPr>
  </w:style>
  <w:style w:type="paragraph" w:customStyle="1" w:styleId="41">
    <w:name w:val="页脚1"/>
    <w:basedOn w:val="1"/>
    <w:autoRedefine/>
    <w:qFormat/>
    <w:uiPriority w:val="0"/>
    <w:pPr>
      <w:tabs>
        <w:tab w:val="center" w:pos="4153"/>
        <w:tab w:val="right" w:pos="8306"/>
      </w:tabs>
      <w:snapToGrid w:val="0"/>
      <w:jc w:val="left"/>
    </w:pPr>
    <w:rPr>
      <w:sz w:val="18"/>
      <w:szCs w:val="18"/>
    </w:rPr>
  </w:style>
  <w:style w:type="paragraph" w:customStyle="1" w:styleId="42">
    <w:name w:val="Default"/>
    <w:next w:val="4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
    <w:name w:val="_正文"/>
    <w:basedOn w:val="1"/>
    <w:qFormat/>
    <w:uiPriority w:val="99"/>
    <w:rPr>
      <w:szCs w:val="20"/>
    </w:rPr>
  </w:style>
  <w:style w:type="table" w:customStyle="1" w:styleId="45">
    <w:name w:val="Table Normal"/>
    <w:autoRedefine/>
    <w:unhideWhenUsed/>
    <w:qFormat/>
    <w:uiPriority w:val="0"/>
    <w:tblPr>
      <w:tblCellMar>
        <w:top w:w="0" w:type="dxa"/>
        <w:left w:w="0" w:type="dxa"/>
        <w:bottom w:w="0" w:type="dxa"/>
        <w:right w:w="0" w:type="dxa"/>
      </w:tblCellMar>
    </w:tblPr>
  </w:style>
  <w:style w:type="character" w:customStyle="1" w:styleId="46">
    <w:name w:val="font61"/>
    <w:basedOn w:val="23"/>
    <w:autoRedefine/>
    <w:qFormat/>
    <w:uiPriority w:val="0"/>
    <w:rPr>
      <w:rFonts w:hint="eastAsia" w:ascii="宋体" w:hAnsi="宋体" w:eastAsia="宋体" w:cs="宋体"/>
      <w:color w:val="000000"/>
      <w:sz w:val="24"/>
      <w:szCs w:val="24"/>
      <w:u w:val="none"/>
    </w:rPr>
  </w:style>
  <w:style w:type="character" w:customStyle="1" w:styleId="47">
    <w:name w:val="font81"/>
    <w:basedOn w:val="23"/>
    <w:qFormat/>
    <w:uiPriority w:val="0"/>
    <w:rPr>
      <w:rFonts w:hint="eastAsia" w:ascii="宋体" w:hAnsi="宋体" w:eastAsia="宋体" w:cs="宋体"/>
      <w:b/>
      <w:bCs/>
      <w:color w:val="000000"/>
      <w:sz w:val="24"/>
      <w:szCs w:val="24"/>
      <w:u w:val="none"/>
    </w:rPr>
  </w:style>
  <w:style w:type="character" w:customStyle="1" w:styleId="48">
    <w:name w:val="font71"/>
    <w:basedOn w:val="23"/>
    <w:qFormat/>
    <w:uiPriority w:val="0"/>
    <w:rPr>
      <w:rFonts w:hint="eastAsia" w:ascii="宋体" w:hAnsi="宋体" w:eastAsia="宋体" w:cs="宋体"/>
      <w:color w:val="000000"/>
      <w:sz w:val="24"/>
      <w:szCs w:val="24"/>
      <w:u w:val="none"/>
    </w:rPr>
  </w:style>
  <w:style w:type="character" w:customStyle="1" w:styleId="49">
    <w:name w:val="font91"/>
    <w:basedOn w:val="23"/>
    <w:qFormat/>
    <w:uiPriority w:val="0"/>
    <w:rPr>
      <w:rFonts w:hint="eastAsia" w:ascii="宋体" w:hAnsi="宋体" w:eastAsia="宋体" w:cs="宋体"/>
      <w:b/>
      <w:bCs/>
      <w:color w:val="000000"/>
      <w:sz w:val="24"/>
      <w:szCs w:val="24"/>
      <w:u w:val="none"/>
    </w:rPr>
  </w:style>
  <w:style w:type="character" w:customStyle="1" w:styleId="50">
    <w:name w:val="font31"/>
    <w:basedOn w:val="23"/>
    <w:qFormat/>
    <w:uiPriority w:val="0"/>
    <w:rPr>
      <w:rFonts w:ascii="Tahoma" w:hAnsi="Tahoma" w:eastAsia="Tahoma" w:cs="Tahoma"/>
      <w:b/>
      <w:bCs/>
      <w:color w:val="000000"/>
      <w:sz w:val="22"/>
      <w:szCs w:val="22"/>
      <w:u w:val="none"/>
    </w:rPr>
  </w:style>
  <w:style w:type="character" w:customStyle="1" w:styleId="51">
    <w:name w:val="NormalCharacter"/>
    <w:qFormat/>
    <w:uiPriority w:val="0"/>
  </w:style>
  <w:style w:type="paragraph" w:customStyle="1" w:styleId="52">
    <w:name w:val="列出段落3"/>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73</Pages>
  <Words>21254</Words>
  <Characters>22377</Characters>
  <Lines>1</Lines>
  <Paragraphs>1</Paragraphs>
  <TotalTime>8</TotalTime>
  <ScaleCrop>false</ScaleCrop>
  <LinksUpToDate>false</LinksUpToDate>
  <CharactersWithSpaces>23559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2016-02-18T11:12:00Z</dcterms:created>
  <dc:creator>Administrator</dc:creator>
  <cp:lastModifiedBy>Administrator</cp:lastModifiedBy>
  <cp:lastPrinted>2019-04-28T17:48:00Z</cp:lastPrinted>
  <dcterms:modified xsi:type="dcterms:W3CDTF">2024-11-25T14:30:05Z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3D92D5B025FD4524890D3AB45BB99CA0_13</vt:lpwstr>
  </property>
</Properties>
</file>