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A0AE07">
      <w:pPr>
        <w:pStyle w:val="10"/>
        <w:wordWrap/>
        <w:spacing w:before="157" w:beforeLines="50" w:line="360" w:lineRule="auto"/>
        <w:jc w:val="both"/>
        <w:rPr>
          <w:rFonts w:hint="eastAsia" w:ascii="宋体" w:hAnsi="宋体" w:eastAsia="宋体" w:cs="宋体"/>
          <w:color w:val="auto"/>
          <w:sz w:val="30"/>
          <w:szCs w:val="30"/>
        </w:rPr>
      </w:pPr>
    </w:p>
    <w:p w14:paraId="27E7239E">
      <w:pPr>
        <w:pStyle w:val="10"/>
        <w:wordWrap/>
        <w:spacing w:before="157" w:beforeLines="50" w:line="360" w:lineRule="auto"/>
        <w:jc w:val="both"/>
        <w:rPr>
          <w:rFonts w:hint="eastAsia" w:ascii="宋体" w:hAnsi="宋体" w:eastAsia="宋体" w:cs="宋体"/>
          <w:color w:val="auto"/>
          <w:sz w:val="30"/>
          <w:szCs w:val="30"/>
        </w:rPr>
      </w:pPr>
    </w:p>
    <w:p w14:paraId="0F10E365">
      <w:pPr>
        <w:pStyle w:val="10"/>
        <w:widowControl w:val="0"/>
        <w:wordWrap/>
        <w:spacing w:before="313" w:beforeLines="100" w:line="360" w:lineRule="auto"/>
        <w:jc w:val="center"/>
        <w:textAlignment w:val="auto"/>
        <w:rPr>
          <w:rFonts w:hint="eastAsia" w:ascii="宋体" w:hAnsi="宋体" w:eastAsia="宋体" w:cs="宋体"/>
          <w:bCs/>
          <w:color w:val="auto"/>
          <w:sz w:val="72"/>
          <w:szCs w:val="72"/>
        </w:rPr>
      </w:pPr>
      <w:r>
        <w:rPr>
          <w:rFonts w:hint="eastAsia" w:ascii="宋体" w:hAnsi="宋体" w:eastAsia="宋体" w:cs="宋体"/>
          <w:color w:val="auto"/>
          <w:sz w:val="72"/>
          <w:szCs w:val="72"/>
        </w:rPr>
        <w:t>政府采购</w:t>
      </w:r>
    </w:p>
    <w:p w14:paraId="50A3893D">
      <w:pPr>
        <w:pStyle w:val="10"/>
        <w:widowControl w:val="0"/>
        <w:wordWrap/>
        <w:adjustRightInd w:val="0"/>
        <w:snapToGrid w:val="0"/>
        <w:spacing w:before="313" w:beforeLines="100" w:line="360" w:lineRule="auto"/>
        <w:jc w:val="center"/>
        <w:textAlignment w:val="auto"/>
        <w:rPr>
          <w:rFonts w:hint="eastAsia" w:ascii="宋体" w:hAnsi="宋体" w:eastAsia="宋体" w:cs="宋体"/>
          <w:color w:val="auto"/>
          <w:sz w:val="72"/>
          <w:szCs w:val="72"/>
        </w:rPr>
      </w:pPr>
      <w:r>
        <w:rPr>
          <w:rFonts w:hint="eastAsia" w:ascii="宋体" w:hAnsi="宋体" w:eastAsia="宋体" w:cs="宋体"/>
          <w:color w:val="auto"/>
          <w:sz w:val="72"/>
          <w:szCs w:val="72"/>
        </w:rPr>
        <w:t>竞争性谈判文件</w:t>
      </w:r>
    </w:p>
    <w:p w14:paraId="5E37C46D">
      <w:pPr>
        <w:pStyle w:val="10"/>
        <w:widowControl w:val="0"/>
        <w:wordWrap/>
        <w:adjustRightInd w:val="0"/>
        <w:snapToGrid w:val="0"/>
        <w:spacing w:before="313" w:beforeLines="100" w:line="360" w:lineRule="auto"/>
        <w:textAlignment w:val="auto"/>
        <w:rPr>
          <w:rFonts w:hint="eastAsia" w:ascii="宋体" w:hAnsi="宋体" w:eastAsia="宋体" w:cs="宋体"/>
          <w:color w:val="auto"/>
          <w:sz w:val="30"/>
          <w:szCs w:val="30"/>
        </w:rPr>
      </w:pPr>
    </w:p>
    <w:p w14:paraId="4A2D605E">
      <w:pPr>
        <w:pStyle w:val="10"/>
        <w:widowControl w:val="0"/>
        <w:wordWrap/>
        <w:adjustRightInd w:val="0"/>
        <w:snapToGrid w:val="0"/>
        <w:spacing w:before="313" w:beforeLines="100" w:line="360" w:lineRule="auto"/>
        <w:textAlignment w:val="auto"/>
        <w:rPr>
          <w:rFonts w:hint="eastAsia" w:ascii="宋体" w:hAnsi="宋体" w:eastAsia="宋体" w:cs="宋体"/>
          <w:color w:val="auto"/>
          <w:sz w:val="30"/>
          <w:szCs w:val="30"/>
        </w:rPr>
      </w:pPr>
    </w:p>
    <w:p w14:paraId="0D938050">
      <w:pPr>
        <w:widowControl w:val="0"/>
        <w:wordWrap/>
        <w:adjustRightInd w:val="0"/>
        <w:snapToGrid w:val="0"/>
        <w:spacing w:before="157" w:beforeLines="50" w:line="360" w:lineRule="auto"/>
        <w:ind w:firstLine="0" w:firstLineChars="0"/>
        <w:textAlignment w:val="auto"/>
        <w:rPr>
          <w:rFonts w:hint="eastAsia" w:ascii="宋体" w:hAnsi="宋体" w:eastAsia="宋体" w:cs="宋体"/>
          <w:b/>
          <w:bCs w:val="0"/>
          <w:color w:val="auto"/>
          <w:sz w:val="32"/>
          <w:szCs w:val="32"/>
          <w:highlight w:val="none"/>
          <w:u w:val="none"/>
          <w:lang w:val="en-US" w:eastAsia="zh-CN"/>
        </w:rPr>
      </w:pPr>
      <w:r>
        <w:rPr>
          <w:rFonts w:hint="eastAsia" w:ascii="宋体" w:hAnsi="宋体" w:eastAsia="宋体" w:cs="宋体"/>
          <w:b/>
          <w:bCs w:val="0"/>
          <w:color w:val="auto"/>
          <w:sz w:val="32"/>
          <w:szCs w:val="32"/>
        </w:rPr>
        <w:t>采购项目名</w:t>
      </w:r>
      <w:r>
        <w:rPr>
          <w:rFonts w:hint="eastAsia" w:ascii="宋体" w:hAnsi="宋体" w:eastAsia="宋体" w:cs="宋体"/>
          <w:b/>
          <w:bCs w:val="0"/>
          <w:color w:val="auto"/>
          <w:sz w:val="32"/>
          <w:szCs w:val="32"/>
          <w:u w:val="none"/>
        </w:rPr>
        <w:t>称</w:t>
      </w:r>
      <w:r>
        <w:rPr>
          <w:rFonts w:hint="eastAsia" w:ascii="宋体" w:hAnsi="宋体" w:eastAsia="宋体" w:cs="宋体"/>
          <w:b/>
          <w:bCs w:val="0"/>
          <w:color w:val="auto"/>
          <w:sz w:val="32"/>
          <w:szCs w:val="32"/>
          <w:u w:val="none"/>
          <w:lang w:eastAsia="zh-CN"/>
        </w:rPr>
        <w:t>：</w:t>
      </w:r>
      <w:r>
        <w:rPr>
          <w:rFonts w:hint="eastAsia" w:ascii="宋体" w:hAnsi="宋体" w:eastAsia="宋体" w:cs="宋体"/>
          <w:b/>
          <w:bCs w:val="0"/>
          <w:color w:val="auto"/>
          <w:sz w:val="32"/>
          <w:szCs w:val="32"/>
          <w:highlight w:val="none"/>
          <w:lang w:val="en-US" w:eastAsia="zh-CN"/>
        </w:rPr>
        <w:t>玉树市公安局执法执勤车辆采购项目</w:t>
      </w:r>
    </w:p>
    <w:p w14:paraId="37AA7145">
      <w:pPr>
        <w:widowControl w:val="0"/>
        <w:wordWrap/>
        <w:adjustRightInd w:val="0"/>
        <w:snapToGrid w:val="0"/>
        <w:spacing w:before="157" w:beforeLines="50" w:line="360" w:lineRule="auto"/>
        <w:ind w:firstLine="0" w:firstLineChars="0"/>
        <w:textAlignment w:val="auto"/>
        <w:rPr>
          <w:rFonts w:hint="eastAsia" w:ascii="宋体" w:hAnsi="宋体" w:eastAsia="宋体" w:cs="宋体"/>
          <w:b/>
          <w:bCs w:val="0"/>
          <w:color w:val="auto"/>
          <w:sz w:val="32"/>
          <w:szCs w:val="32"/>
          <w:lang w:val="en-US" w:eastAsia="zh-CN"/>
        </w:rPr>
      </w:pPr>
      <w:r>
        <w:rPr>
          <w:rFonts w:hint="eastAsia" w:ascii="宋体" w:hAnsi="宋体" w:eastAsia="宋体" w:cs="宋体"/>
          <w:b/>
          <w:bCs w:val="0"/>
          <w:color w:val="auto"/>
          <w:sz w:val="32"/>
          <w:szCs w:val="32"/>
        </w:rPr>
        <w:t>采购项目编号：</w:t>
      </w:r>
      <w:r>
        <w:rPr>
          <w:rFonts w:hint="eastAsia" w:ascii="宋体" w:hAnsi="宋体" w:eastAsia="宋体" w:cs="宋体"/>
          <w:b/>
          <w:bCs w:val="0"/>
          <w:color w:val="auto"/>
          <w:sz w:val="32"/>
          <w:szCs w:val="32"/>
          <w:lang w:val="en-US" w:eastAsia="zh-CN"/>
        </w:rPr>
        <w:t>青海鼎钊竞谈（货物）2024-037</w:t>
      </w:r>
    </w:p>
    <w:p w14:paraId="239CEC52">
      <w:pPr>
        <w:widowControl w:val="0"/>
        <w:wordWrap/>
        <w:adjustRightInd w:val="0"/>
        <w:snapToGrid w:val="0"/>
        <w:spacing w:before="157" w:beforeLines="50" w:line="360" w:lineRule="auto"/>
        <w:ind w:firstLine="0" w:firstLineChars="0"/>
        <w:textAlignment w:val="auto"/>
        <w:rPr>
          <w:rFonts w:hint="eastAsia" w:ascii="宋体" w:hAnsi="宋体" w:eastAsia="宋体" w:cs="宋体"/>
          <w:b/>
          <w:bCs w:val="0"/>
          <w:color w:val="auto"/>
          <w:sz w:val="32"/>
          <w:szCs w:val="32"/>
          <w:lang w:val="en-US" w:eastAsia="zh-CN"/>
        </w:rPr>
      </w:pPr>
      <w:r>
        <w:rPr>
          <w:rFonts w:hint="eastAsia" w:ascii="宋体" w:hAnsi="宋体" w:eastAsia="宋体" w:cs="宋体"/>
          <w:b/>
          <w:bCs w:val="0"/>
          <w:color w:val="auto"/>
          <w:sz w:val="32"/>
          <w:szCs w:val="32"/>
          <w:lang w:val="en-US" w:eastAsia="zh-CN"/>
        </w:rPr>
        <w:t>采   购   人：玉树市公安局</w:t>
      </w:r>
    </w:p>
    <w:p w14:paraId="7866166B">
      <w:pPr>
        <w:widowControl w:val="0"/>
        <w:wordWrap/>
        <w:adjustRightInd w:val="0"/>
        <w:snapToGrid w:val="0"/>
        <w:spacing w:before="157" w:beforeLines="50" w:line="360" w:lineRule="auto"/>
        <w:ind w:firstLine="0" w:firstLineChars="0"/>
        <w:textAlignment w:val="auto"/>
        <w:rPr>
          <w:rFonts w:hint="eastAsia" w:ascii="宋体" w:hAnsi="宋体" w:eastAsia="宋体" w:cs="宋体"/>
          <w:b w:val="0"/>
          <w:bCs/>
          <w:color w:val="auto"/>
          <w:sz w:val="32"/>
          <w:szCs w:val="32"/>
        </w:rPr>
      </w:pPr>
      <w:r>
        <w:rPr>
          <w:rFonts w:hint="eastAsia" w:ascii="宋体" w:hAnsi="宋体" w:eastAsia="宋体" w:cs="宋体"/>
          <w:b/>
          <w:bCs w:val="0"/>
          <w:color w:val="auto"/>
          <w:sz w:val="32"/>
          <w:szCs w:val="32"/>
        </w:rPr>
        <w:t>采购代理机构：</w:t>
      </w:r>
      <w:r>
        <w:rPr>
          <w:rFonts w:hint="eastAsia" w:ascii="宋体" w:hAnsi="宋体" w:eastAsia="宋体" w:cs="宋体"/>
          <w:b/>
          <w:bCs w:val="0"/>
          <w:color w:val="auto"/>
          <w:sz w:val="32"/>
          <w:szCs w:val="32"/>
          <w:lang w:val="zh-CN" w:eastAsia="zh-CN"/>
        </w:rPr>
        <w:t>青海鼎钊招标代理有限公司</w:t>
      </w:r>
    </w:p>
    <w:p w14:paraId="48855FA6">
      <w:pPr>
        <w:wordWrap/>
        <w:autoSpaceDE w:val="0"/>
        <w:autoSpaceDN w:val="0"/>
        <w:adjustRightInd w:val="0"/>
        <w:spacing w:before="157" w:beforeLines="50" w:line="360" w:lineRule="auto"/>
        <w:jc w:val="left"/>
        <w:rPr>
          <w:rFonts w:hint="eastAsia" w:ascii="宋体" w:hAnsi="宋体" w:eastAsia="宋体" w:cs="宋体"/>
          <w:color w:val="auto"/>
          <w:kern w:val="0"/>
          <w:sz w:val="30"/>
          <w:szCs w:val="30"/>
          <w:lang w:val="zh-CN"/>
        </w:rPr>
      </w:pPr>
    </w:p>
    <w:p w14:paraId="180F5B6D">
      <w:pPr>
        <w:wordWrap/>
        <w:autoSpaceDE w:val="0"/>
        <w:autoSpaceDN w:val="0"/>
        <w:adjustRightInd w:val="0"/>
        <w:spacing w:before="157" w:beforeLines="50" w:line="360" w:lineRule="auto"/>
        <w:jc w:val="left"/>
        <w:rPr>
          <w:rFonts w:hint="eastAsia" w:ascii="宋体" w:hAnsi="宋体" w:eastAsia="宋体" w:cs="宋体"/>
          <w:color w:val="auto"/>
          <w:kern w:val="0"/>
          <w:sz w:val="30"/>
          <w:szCs w:val="30"/>
          <w:lang w:val="zh-CN"/>
        </w:rPr>
      </w:pPr>
    </w:p>
    <w:p w14:paraId="283D72B4">
      <w:pPr>
        <w:jc w:val="center"/>
        <w:rPr>
          <w:rFonts w:hint="eastAsia" w:ascii="宋体" w:hAnsi="宋体" w:eastAsia="宋体" w:cs="宋体"/>
          <w:b/>
          <w:bCs w:val="0"/>
          <w:color w:val="auto"/>
          <w:sz w:val="32"/>
          <w:szCs w:val="32"/>
          <w:lang w:val="en-US" w:eastAsia="zh-CN"/>
        </w:rPr>
      </w:pPr>
      <w:r>
        <w:rPr>
          <w:rFonts w:hint="eastAsia" w:ascii="宋体" w:hAnsi="宋体" w:eastAsia="宋体" w:cs="宋体"/>
          <w:b/>
          <w:bCs w:val="0"/>
          <w:color w:val="auto"/>
          <w:sz w:val="32"/>
          <w:szCs w:val="32"/>
          <w:lang w:val="en-US" w:eastAsia="zh-CN"/>
        </w:rPr>
        <w:t>2024年09月</w:t>
      </w:r>
    </w:p>
    <w:p w14:paraId="6B08BAED">
      <w:pPr>
        <w:jc w:val="center"/>
        <w:rPr>
          <w:rFonts w:hint="eastAsia" w:ascii="宋体" w:hAnsi="宋体" w:eastAsia="宋体" w:cs="宋体"/>
          <w:color w:val="auto"/>
          <w:kern w:val="0"/>
          <w:sz w:val="44"/>
          <w:szCs w:val="44"/>
          <w:lang w:val="zh-CN"/>
        </w:rPr>
      </w:pPr>
      <w:r>
        <w:rPr>
          <w:rFonts w:hint="eastAsia" w:ascii="宋体" w:hAnsi="宋体" w:eastAsia="宋体" w:cs="宋体"/>
          <w:color w:val="auto"/>
          <w:kern w:val="0"/>
          <w:sz w:val="44"/>
          <w:szCs w:val="44"/>
          <w:lang w:val="zh-CN"/>
        </w:rPr>
        <w:br w:type="page"/>
      </w:r>
    </w:p>
    <w:p w14:paraId="555EB083">
      <w:pPr>
        <w:spacing w:before="0" w:beforeLines="0" w:after="0" w:afterLines="0" w:line="240" w:lineRule="auto"/>
        <w:ind w:left="0" w:leftChars="0" w:right="0" w:firstLine="0" w:firstLineChars="0"/>
        <w:jc w:val="center"/>
        <w:rPr>
          <w:rFonts w:hint="eastAsia" w:ascii="宋体" w:hAnsi="宋体" w:eastAsia="宋体" w:cs="宋体"/>
          <w:color w:val="auto"/>
        </w:rPr>
      </w:pPr>
      <w:r>
        <w:rPr>
          <w:rFonts w:hint="eastAsia" w:ascii="宋体" w:hAnsi="宋体" w:eastAsia="宋体" w:cs="宋体"/>
          <w:color w:val="auto"/>
          <w:sz w:val="44"/>
          <w:szCs w:val="44"/>
        </w:rPr>
        <w:t>目</w:t>
      </w:r>
      <w:r>
        <w:rPr>
          <w:rFonts w:hint="eastAsia" w:ascii="宋体" w:hAnsi="宋体" w:eastAsia="宋体" w:cs="宋体"/>
          <w:color w:val="auto"/>
          <w:sz w:val="44"/>
          <w:szCs w:val="44"/>
          <w:lang w:val="en-US" w:eastAsia="zh-CN"/>
        </w:rPr>
        <w:t xml:space="preserve">  </w:t>
      </w:r>
      <w:r>
        <w:rPr>
          <w:rFonts w:hint="eastAsia" w:ascii="宋体" w:hAnsi="宋体" w:eastAsia="宋体" w:cs="宋体"/>
          <w:color w:val="auto"/>
          <w:sz w:val="44"/>
          <w:szCs w:val="44"/>
        </w:rPr>
        <w:t>录</w:t>
      </w:r>
    </w:p>
    <w:p w14:paraId="0E481DAD">
      <w:pPr>
        <w:pStyle w:val="13"/>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TOC \o "1-3" \h \u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_Toc13304 </w:instrText>
      </w:r>
      <w:r>
        <w:rPr>
          <w:rFonts w:hint="eastAsia" w:ascii="宋体" w:hAnsi="宋体" w:eastAsia="宋体" w:cs="宋体"/>
          <w:color w:val="auto"/>
          <w:sz w:val="24"/>
          <w:szCs w:val="24"/>
        </w:rPr>
        <w:fldChar w:fldCharType="separate"/>
      </w:r>
      <w:r>
        <w:rPr>
          <w:rFonts w:hint="eastAsia" w:ascii="宋体" w:hAnsi="宋体" w:eastAsia="宋体" w:cs="宋体"/>
          <w:bCs/>
          <w:color w:val="auto"/>
          <w:kern w:val="2"/>
          <w:sz w:val="24"/>
          <w:szCs w:val="24"/>
          <w:lang w:val="en-US" w:eastAsia="zh-CN" w:bidi="ar-SA"/>
        </w:rPr>
        <w:t xml:space="preserve">第一部分  </w:t>
      </w:r>
      <w:r>
        <w:rPr>
          <w:rFonts w:hint="eastAsia" w:ascii="宋体" w:hAnsi="宋体" w:eastAsia="宋体" w:cs="宋体"/>
          <w:bCs/>
          <w:color w:val="auto"/>
          <w:sz w:val="24"/>
          <w:szCs w:val="24"/>
          <w:lang w:val="en-US" w:eastAsia="zh-CN"/>
        </w:rPr>
        <w:t>谈判须知前附表</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_Toc13304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2BBDB8F5">
      <w:pPr>
        <w:pStyle w:val="13"/>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_Toc19955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sz w:val="24"/>
          <w:szCs w:val="24"/>
          <w:lang w:val="en-US" w:eastAsia="zh-CN"/>
        </w:rPr>
        <w:t>第二部分  谈判须知</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_Toc19955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6</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3201E080">
      <w:pPr>
        <w:pStyle w:val="14"/>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_Toc8350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一、说明</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_Toc8350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6</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02E3E27C">
      <w:pPr>
        <w:pStyle w:val="9"/>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_Toc3322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1.适用范围</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_Toc3322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6</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15707813">
      <w:pPr>
        <w:pStyle w:val="9"/>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_Toc2112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2.采购人及代理机构</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_Toc2112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6</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79F517B5">
      <w:pPr>
        <w:pStyle w:val="9"/>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_Toc19728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3.供应商的资格要求</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_Toc19728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6</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46C7DA3B">
      <w:pPr>
        <w:pStyle w:val="9"/>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_Toc13228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4.谈判费用</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_Toc13228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6</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687F9713">
      <w:pPr>
        <w:pStyle w:val="14"/>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_Toc5605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二、谈判文件</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_Toc5605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6</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17FBD49C">
      <w:pPr>
        <w:pStyle w:val="9"/>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_Toc19841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5.谈判文件的组成</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_Toc19841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6</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3E885711">
      <w:pPr>
        <w:pStyle w:val="9"/>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_Toc27269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6.谈判文件的澄清</w:t>
      </w:r>
      <w:r>
        <w:rPr>
          <w:rFonts w:hint="eastAsia" w:ascii="宋体" w:hAnsi="宋体" w:eastAsia="宋体" w:cs="宋体"/>
          <w:bCs/>
          <w:color w:val="auto"/>
          <w:kern w:val="2"/>
          <w:sz w:val="24"/>
          <w:szCs w:val="24"/>
          <w:lang w:val="zh-CN" w:eastAsia="zh-CN" w:bidi="ar-SA"/>
        </w:rPr>
        <w:t>或者</w:t>
      </w:r>
      <w:r>
        <w:rPr>
          <w:rFonts w:hint="eastAsia" w:ascii="宋体" w:hAnsi="宋体" w:eastAsia="宋体" w:cs="宋体"/>
          <w:bCs/>
          <w:color w:val="auto"/>
          <w:kern w:val="2"/>
          <w:sz w:val="24"/>
          <w:szCs w:val="24"/>
          <w:lang w:val="en-US" w:eastAsia="zh-CN" w:bidi="ar-SA"/>
        </w:rPr>
        <w:t>修改</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_Toc27269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7</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1FDB56A1">
      <w:pPr>
        <w:pStyle w:val="9"/>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_Toc27617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7.谈判文件的询问或质疑</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_Toc27617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7</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03693C5C">
      <w:pPr>
        <w:pStyle w:val="14"/>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_Toc12997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三、响应文件</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_Toc12997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7</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13C68048">
      <w:pPr>
        <w:pStyle w:val="9"/>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_Toc16540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8.一般要求</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_Toc16540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8</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58383AA4">
      <w:pPr>
        <w:pStyle w:val="9"/>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_Toc25922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9.报价要求</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_Toc25922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8</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5DE3A072">
      <w:pPr>
        <w:pStyle w:val="9"/>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_Toc27585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10.保证金</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_Toc27585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9</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2FEB46FE">
      <w:pPr>
        <w:pStyle w:val="9"/>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_Toc7718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11.响应文件的组成</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_Toc7718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9</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3F8A48FF">
      <w:pPr>
        <w:pStyle w:val="9"/>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_Toc3004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12.响应文件有效期</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_Toc3004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10</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63B6C622">
      <w:pPr>
        <w:pStyle w:val="9"/>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_Toc29012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13.响应文件的签署及规定</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_Toc29012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10</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5B908433">
      <w:pPr>
        <w:pStyle w:val="14"/>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_Toc16239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四、响应文件的递交</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_Toc16239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11</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123809D5">
      <w:pPr>
        <w:pStyle w:val="9"/>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_Toc31398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14.响应文件的密封和标记</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_Toc31398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11</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1E066D74">
      <w:pPr>
        <w:pStyle w:val="9"/>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_Toc12764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15.响应文件的递交与接收</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_Toc12764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11</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020E2037">
      <w:pPr>
        <w:pStyle w:val="9"/>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_Toc1373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16.响应文件的</w:t>
      </w:r>
      <w:r>
        <w:rPr>
          <w:rFonts w:hint="eastAsia" w:ascii="宋体" w:hAnsi="宋体" w:eastAsia="宋体" w:cs="宋体"/>
          <w:bCs/>
          <w:color w:val="auto"/>
          <w:kern w:val="2"/>
          <w:sz w:val="24"/>
          <w:szCs w:val="24"/>
          <w:lang w:val="zh-CN" w:eastAsia="zh-CN" w:bidi="ar-SA"/>
        </w:rPr>
        <w:t>补充、修改或者撤回</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_Toc1373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11</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07B52A2A">
      <w:pPr>
        <w:pStyle w:val="14"/>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_Toc17502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五、响应文件的评审与谈判</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_Toc17502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11</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73875838">
      <w:pPr>
        <w:pStyle w:val="9"/>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_Toc11267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17.谈判小组</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_Toc11267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11</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2ED10711">
      <w:pPr>
        <w:pStyle w:val="9"/>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_Toc21386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18.响应文件审查</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_Toc21386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12</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55FC98CA">
      <w:pPr>
        <w:pStyle w:val="9"/>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_Toc7233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19.谈判程序</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_Toc7233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13</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6FDA5EC3">
      <w:pPr>
        <w:pStyle w:val="9"/>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_Toc13352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20.澄清</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_Toc13352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13</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076E9178">
      <w:pPr>
        <w:pStyle w:val="9"/>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_Toc18040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21.退出谈判</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_Toc18040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14</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05020DB3">
      <w:pPr>
        <w:pStyle w:val="9"/>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_Toc12522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22.最后报价</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_Toc12522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14</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01B6CDE3">
      <w:pPr>
        <w:pStyle w:val="9"/>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_Toc16163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23.确定成交供应商</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_Toc16163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14</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22F409C0">
      <w:pPr>
        <w:pStyle w:val="9"/>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_Toc22206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24.重新评审</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_Toc22206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15</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0D8302C3">
      <w:pPr>
        <w:pStyle w:val="9"/>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_Toc2122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25.谈判终止</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_Toc2122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15</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46A8DC47">
      <w:pPr>
        <w:pStyle w:val="9"/>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_Toc3325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26.串通情形认定及处理</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_Toc3325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16</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37AFD87A">
      <w:pPr>
        <w:pStyle w:val="14"/>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_Toc27536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highlight w:val="none"/>
          <w:lang w:val="en-US" w:eastAsia="zh-CN" w:bidi="ar-SA"/>
        </w:rPr>
        <w:t>六、成交结果信息公布与授予合同</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_Toc27536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16</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3BC44E98">
      <w:pPr>
        <w:pStyle w:val="9"/>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_Toc8130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27.成交信息的公布与通知</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_Toc8130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16</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55CF7962">
      <w:pPr>
        <w:pStyle w:val="9"/>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_Toc4510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28.授予合同</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_Toc4510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17</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6BE9DA04">
      <w:pPr>
        <w:pStyle w:val="9"/>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_Toc22051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29.履约验收</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_Toc22051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17</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2D3155A0">
      <w:pPr>
        <w:pStyle w:val="14"/>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_Toc10745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highlight w:val="none"/>
          <w:lang w:val="en-US" w:eastAsia="zh-CN" w:bidi="ar-SA"/>
        </w:rPr>
        <w:t>七、询问与质疑</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_Toc10745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18</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347C7B99">
      <w:pPr>
        <w:pStyle w:val="9"/>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_Toc15153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30.对采购过程、结果的询问及质疑</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_Toc15153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18</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6F970257">
      <w:pPr>
        <w:pStyle w:val="14"/>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_Toc20109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highlight w:val="none"/>
          <w:lang w:val="en-US" w:eastAsia="zh-CN" w:bidi="ar-SA"/>
        </w:rPr>
        <w:t>八、政府采购政策</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_Toc20109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18</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6F97607F">
      <w:pPr>
        <w:pStyle w:val="9"/>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_Toc14303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31.政府采购政策</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_Toc14303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18</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4405FA44">
      <w:pPr>
        <w:pStyle w:val="14"/>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_Toc26727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highlight w:val="none"/>
          <w:lang w:val="en-US" w:eastAsia="zh-CN" w:bidi="ar-SA"/>
        </w:rPr>
        <w:t>九、其他规定</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_Toc26727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19</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66E57A14">
      <w:pPr>
        <w:pStyle w:val="9"/>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_Toc19781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32.代理服务费</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_Toc19781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19</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4C8959BD">
      <w:pPr>
        <w:pStyle w:val="9"/>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_Toc18298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33.其他规定</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_Toc18298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19</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440281BA">
      <w:pPr>
        <w:pStyle w:val="13"/>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_Toc31195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sz w:val="24"/>
          <w:szCs w:val="24"/>
          <w:highlight w:val="none"/>
          <w:lang w:val="en-US" w:eastAsia="zh-CN"/>
        </w:rPr>
        <w:t>第三部分  采购需求</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_Toc31195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20</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34300897">
      <w:pPr>
        <w:pStyle w:val="14"/>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_Toc28010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highlight w:val="none"/>
          <w:lang w:val="zh-CN" w:eastAsia="zh-CN" w:bidi="ar-SA"/>
        </w:rPr>
        <w:t>十、响应说明</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_Toc28010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20</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22BB03EF">
      <w:pPr>
        <w:pStyle w:val="14"/>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_Toc27034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highlight w:val="none"/>
          <w:lang w:val="zh-CN" w:eastAsia="zh-CN" w:bidi="ar-SA"/>
        </w:rPr>
        <w:t>十一、重要指标</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_Toc27034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20</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6C66DF11">
      <w:pPr>
        <w:pStyle w:val="13"/>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_Toc19363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sz w:val="24"/>
          <w:szCs w:val="24"/>
          <w:lang w:eastAsia="zh-CN"/>
        </w:rPr>
        <w:t>第四部分</w:t>
      </w:r>
      <w:r>
        <w:rPr>
          <w:rFonts w:hint="eastAsia" w:ascii="宋体" w:hAnsi="宋体" w:eastAsia="宋体" w:cs="宋体"/>
          <w:bCs/>
          <w:color w:val="auto"/>
          <w:sz w:val="24"/>
          <w:szCs w:val="24"/>
          <w:lang w:val="en-US" w:eastAsia="zh-CN"/>
        </w:rPr>
        <w:t xml:space="preserve">  </w:t>
      </w:r>
      <w:r>
        <w:rPr>
          <w:rFonts w:hint="eastAsia" w:ascii="宋体" w:hAnsi="宋体" w:eastAsia="宋体" w:cs="宋体"/>
          <w:bCs/>
          <w:color w:val="auto"/>
          <w:sz w:val="24"/>
          <w:szCs w:val="24"/>
          <w:lang w:eastAsia="zh-CN"/>
        </w:rPr>
        <w:t>响应文件格式</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_Toc19363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25</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07441C7E">
      <w:pPr>
        <w:pStyle w:val="14"/>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_Toc20524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十二、响应文件的组成</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_Toc20524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25</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479C5CD9">
      <w:pPr>
        <w:pStyle w:val="9"/>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_Toc30546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zh-CN" w:eastAsia="zh-CN" w:bidi="ar-SA"/>
        </w:rPr>
        <w:t>（一）资格审查部分</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_Toc30546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25</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3D49AC6C">
      <w:pPr>
        <w:pStyle w:val="9"/>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_Toc1423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zh-CN" w:eastAsia="zh-CN" w:bidi="ar-SA"/>
        </w:rPr>
        <w:t>（二）有效性、完整性、响应程度审查部分</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_Toc1423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25</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5BDE36F4">
      <w:pPr>
        <w:pStyle w:val="14"/>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_Toc10743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十三、响应文件</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_Toc10743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26</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04C5BD53">
      <w:pPr>
        <w:pStyle w:val="14"/>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_Toc214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color w:val="auto"/>
          <w:sz w:val="24"/>
          <w:szCs w:val="24"/>
          <w:lang w:eastAsia="zh-CN"/>
        </w:rPr>
        <w:t>附件1：响应函</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_Toc214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27</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6C9EB964">
      <w:pPr>
        <w:pStyle w:val="14"/>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_Toc23458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color w:val="auto"/>
          <w:sz w:val="24"/>
          <w:szCs w:val="24"/>
          <w:lang w:eastAsia="zh-CN"/>
        </w:rPr>
        <w:t>附件2：法定代表人证明书</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_Toc23458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28</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5B8D4DD1">
      <w:pPr>
        <w:pStyle w:val="14"/>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_Toc27119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color w:val="auto"/>
          <w:sz w:val="24"/>
          <w:szCs w:val="24"/>
          <w:lang w:eastAsia="zh-CN"/>
        </w:rPr>
        <w:t>附件3：法定代表人授权书</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_Toc27119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29</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2279C112">
      <w:pPr>
        <w:pStyle w:val="14"/>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_Toc27688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color w:val="auto"/>
          <w:sz w:val="24"/>
          <w:szCs w:val="24"/>
          <w:lang w:eastAsia="zh-CN"/>
        </w:rPr>
        <w:t>附件4：供应商承诺函</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_Toc27688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30</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7A004AD0">
      <w:pPr>
        <w:pStyle w:val="14"/>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_Toc659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color w:val="auto"/>
          <w:sz w:val="24"/>
          <w:szCs w:val="24"/>
          <w:lang w:eastAsia="zh-CN"/>
        </w:rPr>
        <w:t>附件5：供应商诚信承诺书</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_Toc659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31</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1E869473">
      <w:pPr>
        <w:pStyle w:val="14"/>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_Toc15042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color w:val="auto"/>
          <w:sz w:val="24"/>
          <w:szCs w:val="24"/>
          <w:lang w:eastAsia="zh-CN"/>
        </w:rPr>
        <w:t>附件6：供应商资格证明文件</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_Toc15042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32</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72FCE326">
      <w:pPr>
        <w:pStyle w:val="14"/>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_Toc26577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color w:val="auto"/>
          <w:sz w:val="24"/>
          <w:szCs w:val="24"/>
          <w:lang w:eastAsia="zh-CN"/>
        </w:rPr>
        <w:t>附件7：财务状况、缴纳税收和社会保障资金证明</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_Toc26577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33</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65EFC0D2">
      <w:pPr>
        <w:pStyle w:val="14"/>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_Toc18432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color w:val="auto"/>
          <w:sz w:val="24"/>
          <w:szCs w:val="24"/>
          <w:lang w:eastAsia="zh-CN"/>
        </w:rPr>
        <w:t>附件8：无重大违法记录声明</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_Toc18432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34</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4DEA44FA">
      <w:pPr>
        <w:pStyle w:val="14"/>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_Toc30928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val="0"/>
          <w:color w:val="auto"/>
          <w:kern w:val="2"/>
          <w:sz w:val="24"/>
          <w:szCs w:val="24"/>
          <w:lang w:val="en-US" w:eastAsia="zh-CN" w:bidi="ar-SA"/>
        </w:rPr>
        <w:t>附件9：谈判</w:t>
      </w:r>
      <w:r>
        <w:rPr>
          <w:rFonts w:hint="eastAsia" w:ascii="宋体" w:hAnsi="宋体" w:eastAsia="宋体" w:cs="宋体"/>
          <w:bCs w:val="0"/>
          <w:color w:val="auto"/>
          <w:kern w:val="2"/>
          <w:sz w:val="24"/>
          <w:szCs w:val="24"/>
          <w:lang w:val="zh-CN" w:eastAsia="zh-CN" w:bidi="ar-SA"/>
        </w:rPr>
        <w:t>保证金证明</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_Toc30928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35</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0D0E3ABA">
      <w:pPr>
        <w:pStyle w:val="14"/>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_Toc7156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val="0"/>
          <w:color w:val="auto"/>
          <w:kern w:val="2"/>
          <w:sz w:val="24"/>
          <w:szCs w:val="24"/>
          <w:lang w:val="en-US" w:eastAsia="zh-CN" w:bidi="ar-SA"/>
        </w:rPr>
        <w:t>附件10：谈判首次报价表</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_Toc7156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37</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67007CE6">
      <w:pPr>
        <w:pStyle w:val="14"/>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_Toc21692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val="0"/>
          <w:color w:val="auto"/>
          <w:kern w:val="2"/>
          <w:sz w:val="24"/>
          <w:szCs w:val="24"/>
          <w:lang w:val="en-US" w:eastAsia="zh-CN" w:bidi="ar-SA"/>
        </w:rPr>
        <w:t>附件11：分项报价表</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_Toc21692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38</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324DA631">
      <w:pPr>
        <w:pStyle w:val="14"/>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_Toc15096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val="0"/>
          <w:color w:val="auto"/>
          <w:kern w:val="2"/>
          <w:sz w:val="24"/>
          <w:szCs w:val="24"/>
          <w:lang w:val="en-US" w:eastAsia="zh-CN" w:bidi="ar-SA"/>
        </w:rPr>
        <w:t>附件12：技术规格响应表</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_Toc15096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39</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471822C1">
      <w:pPr>
        <w:pStyle w:val="14"/>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_Toc12537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val="0"/>
          <w:color w:val="auto"/>
          <w:kern w:val="2"/>
          <w:sz w:val="24"/>
          <w:szCs w:val="24"/>
          <w:lang w:val="en-US" w:eastAsia="zh-CN" w:bidi="ar-SA"/>
        </w:rPr>
        <w:t>附件13：产品相关资料（具备履行合同所必须的设备和专业技术能力证明）</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_Toc12537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40</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447CDB70">
      <w:pPr>
        <w:pStyle w:val="14"/>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_Toc1417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val="0"/>
          <w:color w:val="auto"/>
          <w:kern w:val="2"/>
          <w:sz w:val="24"/>
          <w:szCs w:val="24"/>
          <w:lang w:val="en-US" w:eastAsia="zh-CN" w:bidi="ar-SA"/>
        </w:rPr>
        <w:t>附件14：享受政府采购政策优惠的证明资料</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_Toc1417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41</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5B6B5D7C">
      <w:pPr>
        <w:pStyle w:val="14"/>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_Toc4623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val="0"/>
          <w:color w:val="auto"/>
          <w:kern w:val="2"/>
          <w:sz w:val="24"/>
          <w:szCs w:val="24"/>
          <w:lang w:val="en-US" w:eastAsia="zh-CN" w:bidi="ar-SA"/>
        </w:rPr>
        <w:t>附件15：最后报价表</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_Toc4623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47</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6C5B79E5">
      <w:pPr>
        <w:pStyle w:val="13"/>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_Toc1031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sz w:val="24"/>
          <w:szCs w:val="24"/>
          <w:lang w:eastAsia="zh-CN"/>
        </w:rPr>
        <w:t>第五部分</w:t>
      </w:r>
      <w:r>
        <w:rPr>
          <w:rFonts w:hint="eastAsia" w:ascii="宋体" w:hAnsi="宋体" w:eastAsia="宋体" w:cs="宋体"/>
          <w:bCs/>
          <w:color w:val="auto"/>
          <w:sz w:val="24"/>
          <w:szCs w:val="24"/>
        </w:rPr>
        <w:t xml:space="preserve"> </w:t>
      </w:r>
      <w:r>
        <w:rPr>
          <w:rFonts w:hint="eastAsia" w:ascii="宋体" w:hAnsi="宋体" w:eastAsia="宋体" w:cs="宋体"/>
          <w:bCs/>
          <w:color w:val="auto"/>
          <w:sz w:val="24"/>
          <w:szCs w:val="24"/>
          <w:lang w:val="en-US" w:eastAsia="zh-CN"/>
        </w:rPr>
        <w:t xml:space="preserve"> </w:t>
      </w:r>
      <w:r>
        <w:rPr>
          <w:rFonts w:hint="eastAsia" w:ascii="宋体" w:hAnsi="宋体" w:eastAsia="宋体" w:cs="宋体"/>
          <w:bCs/>
          <w:color w:val="auto"/>
          <w:sz w:val="24"/>
          <w:szCs w:val="24"/>
        </w:rPr>
        <w:t>青海省政府采购项目合同书</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_Toc1031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48</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5EB266D9">
      <w:pPr>
        <w:bidi w:val="0"/>
        <w:rPr>
          <w:rFonts w:hint="eastAsia" w:ascii="宋体" w:hAnsi="宋体" w:eastAsia="宋体" w:cs="宋体"/>
          <w:color w:val="auto"/>
          <w:lang w:val="en-US" w:eastAsia="zh-CN"/>
        </w:rPr>
      </w:pPr>
      <w:r>
        <w:rPr>
          <w:rFonts w:hint="eastAsia" w:ascii="宋体" w:hAnsi="宋体" w:eastAsia="宋体" w:cs="宋体"/>
          <w:color w:val="auto"/>
          <w:sz w:val="24"/>
          <w:szCs w:val="24"/>
          <w:lang w:val="en-US" w:eastAsia="zh-CN"/>
        </w:rPr>
        <w:fldChar w:fldCharType="end"/>
      </w:r>
      <w:bookmarkStart w:id="0" w:name="_Toc20903"/>
      <w:bookmarkStart w:id="1" w:name="_Toc13304"/>
    </w:p>
    <w:p w14:paraId="1E82A70B">
      <w:pPr>
        <w:rPr>
          <w:rFonts w:hint="eastAsia" w:ascii="宋体" w:hAnsi="宋体" w:eastAsia="宋体" w:cs="宋体"/>
          <w:color w:val="auto"/>
          <w:kern w:val="2"/>
          <w:szCs w:val="32"/>
          <w:lang w:val="en-US" w:eastAsia="zh-CN" w:bidi="ar-SA"/>
        </w:rPr>
      </w:pPr>
      <w:r>
        <w:rPr>
          <w:rFonts w:hint="eastAsia" w:ascii="宋体" w:hAnsi="宋体" w:eastAsia="宋体" w:cs="宋体"/>
          <w:color w:val="auto"/>
          <w:kern w:val="2"/>
          <w:szCs w:val="32"/>
          <w:lang w:val="en-US" w:eastAsia="zh-CN" w:bidi="ar-SA"/>
        </w:rPr>
        <w:br w:type="page"/>
      </w:r>
    </w:p>
    <w:p w14:paraId="0DA2BB55">
      <w:pPr>
        <w:pStyle w:val="3"/>
        <w:keepNext/>
        <w:widowControl w:val="0"/>
        <w:numPr>
          <w:ilvl w:val="0"/>
          <w:numId w:val="0"/>
        </w:numPr>
        <w:wordWrap/>
        <w:adjustRightInd w:val="0"/>
        <w:snapToGrid w:val="0"/>
        <w:spacing w:before="157" w:beforeLines="50" w:line="560" w:lineRule="exact"/>
        <w:jc w:val="center"/>
        <w:textAlignment w:val="auto"/>
        <w:outlineLvl w:val="0"/>
        <w:rPr>
          <w:rFonts w:hint="eastAsia" w:ascii="宋体" w:hAnsi="宋体" w:eastAsia="宋体" w:cs="宋体"/>
          <w:b/>
          <w:bCs/>
          <w:color w:val="auto"/>
          <w:sz w:val="32"/>
          <w:szCs w:val="32"/>
          <w:lang w:val="en-US" w:eastAsia="zh-CN"/>
        </w:rPr>
      </w:pPr>
      <w:r>
        <w:rPr>
          <w:rFonts w:hint="eastAsia" w:ascii="宋体" w:hAnsi="宋体" w:eastAsia="宋体" w:cs="宋体"/>
          <w:b/>
          <w:bCs/>
          <w:color w:val="auto"/>
          <w:kern w:val="2"/>
          <w:sz w:val="32"/>
          <w:szCs w:val="32"/>
          <w:lang w:val="en-US" w:eastAsia="zh-CN" w:bidi="ar-SA"/>
        </w:rPr>
        <w:t xml:space="preserve">第一部分  </w:t>
      </w:r>
      <w:bookmarkEnd w:id="0"/>
      <w:bookmarkEnd w:id="1"/>
      <w:r>
        <w:rPr>
          <w:rFonts w:hint="eastAsia" w:ascii="宋体" w:hAnsi="宋体" w:eastAsia="宋体" w:cs="宋体"/>
          <w:b/>
          <w:bCs/>
          <w:color w:val="auto"/>
          <w:sz w:val="32"/>
          <w:szCs w:val="32"/>
          <w:lang w:val="en-US" w:eastAsia="zh-CN"/>
        </w:rPr>
        <w:t>谈判须知前附表</w:t>
      </w:r>
    </w:p>
    <w:p w14:paraId="21CC0A26">
      <w:pPr>
        <w:numPr>
          <w:ilvl w:val="0"/>
          <w:numId w:val="0"/>
        </w:numPr>
        <w:rPr>
          <w:rFonts w:hint="eastAsia" w:ascii="宋体" w:hAnsi="宋体" w:eastAsia="宋体" w:cs="宋体"/>
          <w:color w:val="auto"/>
        </w:rPr>
      </w:pPr>
    </w:p>
    <w:tbl>
      <w:tblPr>
        <w:tblStyle w:val="19"/>
        <w:tblW w:w="10205"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40" w:type="dxa"/>
          <w:bottom w:w="0" w:type="dxa"/>
          <w:right w:w="40" w:type="dxa"/>
        </w:tblCellMar>
      </w:tblPr>
      <w:tblGrid>
        <w:gridCol w:w="2328"/>
        <w:gridCol w:w="7877"/>
      </w:tblGrid>
      <w:tr w14:paraId="2D72FC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40" w:type="dxa"/>
            <w:bottom w:w="0" w:type="dxa"/>
            <w:right w:w="40" w:type="dxa"/>
          </w:tblCellMar>
        </w:tblPrEx>
        <w:trPr>
          <w:trHeight w:val="23" w:hRule="atLeast"/>
          <w:jc w:val="center"/>
        </w:trPr>
        <w:tc>
          <w:tcPr>
            <w:tcW w:w="2328" w:type="dxa"/>
            <w:tcBorders>
              <w:tl2br w:val="nil"/>
              <w:tr2bl w:val="nil"/>
            </w:tcBorders>
            <w:vAlign w:val="center"/>
          </w:tcPr>
          <w:p w14:paraId="497DEEE0">
            <w:pPr>
              <w:keepNext w:val="0"/>
              <w:keepLines w:val="0"/>
              <w:pageBreakBefore w:val="0"/>
              <w:widowControl w:val="0"/>
              <w:kinsoku/>
              <w:wordWrap/>
              <w:overflowPunct/>
              <w:topLinePunct w:val="0"/>
              <w:bidi w:val="0"/>
              <w:adjustRightInd/>
              <w:snapToGrid/>
              <w:spacing w:line="264" w:lineRule="auto"/>
              <w:ind w:firstLine="0" w:firstLineChars="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采购项目</w:t>
            </w:r>
            <w:r>
              <w:rPr>
                <w:rFonts w:hint="eastAsia" w:ascii="宋体" w:hAnsi="宋体" w:eastAsia="宋体" w:cs="宋体"/>
                <w:color w:val="auto"/>
                <w:sz w:val="24"/>
                <w:szCs w:val="24"/>
                <w:lang w:eastAsia="zh-CN"/>
              </w:rPr>
              <w:t>名称</w:t>
            </w:r>
          </w:p>
        </w:tc>
        <w:tc>
          <w:tcPr>
            <w:tcW w:w="7877" w:type="dxa"/>
            <w:tcBorders>
              <w:tl2br w:val="nil"/>
              <w:tr2bl w:val="nil"/>
            </w:tcBorders>
            <w:vAlign w:val="top"/>
          </w:tcPr>
          <w:p w14:paraId="459F45EA">
            <w:pPr>
              <w:keepNext w:val="0"/>
              <w:keepLines w:val="0"/>
              <w:pageBreakBefore w:val="0"/>
              <w:widowControl w:val="0"/>
              <w:kinsoku/>
              <w:wordWrap/>
              <w:overflowPunct/>
              <w:topLinePunct w:val="0"/>
              <w:bidi w:val="0"/>
              <w:adjustRightInd/>
              <w:snapToGrid/>
              <w:spacing w:line="264" w:lineRule="auto"/>
              <w:ind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玉树市公安局执法执勤车辆采购项目</w:t>
            </w:r>
          </w:p>
        </w:tc>
      </w:tr>
      <w:tr w14:paraId="0AD0F4D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40" w:type="dxa"/>
            <w:bottom w:w="0" w:type="dxa"/>
            <w:right w:w="40" w:type="dxa"/>
          </w:tblCellMar>
        </w:tblPrEx>
        <w:trPr>
          <w:trHeight w:val="23" w:hRule="atLeast"/>
          <w:jc w:val="center"/>
        </w:trPr>
        <w:tc>
          <w:tcPr>
            <w:tcW w:w="2328" w:type="dxa"/>
            <w:tcBorders>
              <w:tl2br w:val="nil"/>
              <w:tr2bl w:val="nil"/>
            </w:tcBorders>
            <w:vAlign w:val="center"/>
          </w:tcPr>
          <w:p w14:paraId="188AC83C">
            <w:pPr>
              <w:keepNext w:val="0"/>
              <w:keepLines w:val="0"/>
              <w:pageBreakBefore w:val="0"/>
              <w:widowControl w:val="0"/>
              <w:kinsoku/>
              <w:wordWrap/>
              <w:overflowPunct/>
              <w:topLinePunct w:val="0"/>
              <w:bidi w:val="0"/>
              <w:adjustRightInd/>
              <w:snapToGrid/>
              <w:spacing w:line="264" w:lineRule="auto"/>
              <w:ind w:firstLine="0" w:firstLineChars="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采购项目编号</w:t>
            </w:r>
          </w:p>
        </w:tc>
        <w:tc>
          <w:tcPr>
            <w:tcW w:w="7877" w:type="dxa"/>
            <w:tcBorders>
              <w:tl2br w:val="nil"/>
              <w:tr2bl w:val="nil"/>
            </w:tcBorders>
            <w:vAlign w:val="top"/>
          </w:tcPr>
          <w:p w14:paraId="160E14EC">
            <w:pPr>
              <w:keepNext w:val="0"/>
              <w:keepLines w:val="0"/>
              <w:pageBreakBefore w:val="0"/>
              <w:widowControl w:val="0"/>
              <w:kinsoku/>
              <w:wordWrap/>
              <w:overflowPunct/>
              <w:topLinePunct w:val="0"/>
              <w:bidi w:val="0"/>
              <w:adjustRightInd/>
              <w:snapToGrid/>
              <w:spacing w:line="264" w:lineRule="auto"/>
              <w:ind w:firstLine="0" w:firstLineChars="0"/>
              <w:jc w:val="left"/>
              <w:textAlignment w:val="auto"/>
              <w:rPr>
                <w:rFonts w:hint="eastAsia" w:ascii="宋体" w:hAnsi="宋体" w:eastAsia="宋体" w:cs="宋体"/>
                <w:color w:val="auto"/>
                <w:kern w:val="2"/>
                <w:sz w:val="24"/>
                <w:szCs w:val="24"/>
                <w:u w:val="single"/>
                <w:lang w:val="zh-CN"/>
              </w:rPr>
            </w:pPr>
            <w:r>
              <w:rPr>
                <w:rFonts w:hint="eastAsia" w:ascii="宋体" w:hAnsi="宋体" w:eastAsia="宋体" w:cs="宋体"/>
                <w:b w:val="0"/>
                <w:bCs/>
                <w:color w:val="auto"/>
                <w:kern w:val="0"/>
                <w:sz w:val="24"/>
                <w:szCs w:val="24"/>
                <w:u w:val="none"/>
                <w:lang w:val="en-US" w:eastAsia="zh-CN"/>
              </w:rPr>
              <w:t>青海鼎钊竞谈（服务）2024-037</w:t>
            </w:r>
          </w:p>
        </w:tc>
      </w:tr>
      <w:tr w14:paraId="65F07D0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40" w:type="dxa"/>
            <w:bottom w:w="0" w:type="dxa"/>
            <w:right w:w="40" w:type="dxa"/>
          </w:tblCellMar>
        </w:tblPrEx>
        <w:trPr>
          <w:trHeight w:val="23" w:hRule="atLeast"/>
          <w:jc w:val="center"/>
        </w:trPr>
        <w:tc>
          <w:tcPr>
            <w:tcW w:w="2328" w:type="dxa"/>
            <w:tcBorders>
              <w:tl2br w:val="nil"/>
              <w:tr2bl w:val="nil"/>
            </w:tcBorders>
            <w:vAlign w:val="center"/>
          </w:tcPr>
          <w:p w14:paraId="5F6EB6D4">
            <w:pPr>
              <w:keepNext w:val="0"/>
              <w:keepLines w:val="0"/>
              <w:pageBreakBefore w:val="0"/>
              <w:widowControl w:val="0"/>
              <w:kinsoku/>
              <w:wordWrap/>
              <w:overflowPunct/>
              <w:topLinePunct w:val="0"/>
              <w:bidi w:val="0"/>
              <w:adjustRightInd/>
              <w:snapToGrid/>
              <w:spacing w:line="264" w:lineRule="auto"/>
              <w:ind w:firstLine="0" w:firstLineChars="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采购方式</w:t>
            </w:r>
          </w:p>
        </w:tc>
        <w:tc>
          <w:tcPr>
            <w:tcW w:w="7877" w:type="dxa"/>
            <w:tcBorders>
              <w:tl2br w:val="nil"/>
              <w:tr2bl w:val="nil"/>
            </w:tcBorders>
            <w:vAlign w:val="top"/>
          </w:tcPr>
          <w:p w14:paraId="4B0DEE1B">
            <w:pPr>
              <w:keepNext w:val="0"/>
              <w:keepLines w:val="0"/>
              <w:pageBreakBefore w:val="0"/>
              <w:widowControl w:val="0"/>
              <w:kinsoku/>
              <w:wordWrap/>
              <w:overflowPunct/>
              <w:topLinePunct w:val="0"/>
              <w:bidi w:val="0"/>
              <w:adjustRightInd/>
              <w:snapToGrid/>
              <w:spacing w:line="264" w:lineRule="auto"/>
              <w:ind w:firstLine="0" w:firstLineChars="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竞争性谈判</w:t>
            </w:r>
          </w:p>
        </w:tc>
      </w:tr>
      <w:tr w14:paraId="643F46F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40" w:type="dxa"/>
            <w:bottom w:w="0" w:type="dxa"/>
            <w:right w:w="40" w:type="dxa"/>
          </w:tblCellMar>
        </w:tblPrEx>
        <w:trPr>
          <w:trHeight w:val="23" w:hRule="atLeast"/>
          <w:jc w:val="center"/>
        </w:trPr>
        <w:tc>
          <w:tcPr>
            <w:tcW w:w="2328" w:type="dxa"/>
            <w:tcBorders>
              <w:tl2br w:val="nil"/>
              <w:tr2bl w:val="nil"/>
            </w:tcBorders>
            <w:vAlign w:val="center"/>
          </w:tcPr>
          <w:p w14:paraId="42923B68">
            <w:pPr>
              <w:keepNext w:val="0"/>
              <w:keepLines w:val="0"/>
              <w:pageBreakBefore w:val="0"/>
              <w:widowControl w:val="0"/>
              <w:kinsoku/>
              <w:wordWrap/>
              <w:overflowPunct/>
              <w:topLinePunct w:val="0"/>
              <w:bidi w:val="0"/>
              <w:adjustRightInd/>
              <w:snapToGrid/>
              <w:spacing w:line="264" w:lineRule="auto"/>
              <w:ind w:firstLine="0" w:firstLineChars="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采购预算额度</w:t>
            </w:r>
          </w:p>
        </w:tc>
        <w:tc>
          <w:tcPr>
            <w:tcW w:w="7877" w:type="dxa"/>
            <w:tcBorders>
              <w:tl2br w:val="nil"/>
              <w:tr2bl w:val="nil"/>
            </w:tcBorders>
            <w:vAlign w:val="top"/>
          </w:tcPr>
          <w:p w14:paraId="4784322C">
            <w:pPr>
              <w:keepNext w:val="0"/>
              <w:keepLines w:val="0"/>
              <w:pageBreakBefore w:val="0"/>
              <w:widowControl w:val="0"/>
              <w:kinsoku/>
              <w:wordWrap/>
              <w:overflowPunct/>
              <w:topLinePunct w:val="0"/>
              <w:bidi w:val="0"/>
              <w:adjustRightInd/>
              <w:snapToGrid/>
              <w:spacing w:line="264" w:lineRule="auto"/>
              <w:ind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265万元</w:t>
            </w:r>
          </w:p>
        </w:tc>
      </w:tr>
      <w:tr w14:paraId="6964BE5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40" w:type="dxa"/>
            <w:bottom w:w="0" w:type="dxa"/>
            <w:right w:w="40" w:type="dxa"/>
          </w:tblCellMar>
        </w:tblPrEx>
        <w:trPr>
          <w:trHeight w:val="23" w:hRule="atLeast"/>
          <w:jc w:val="center"/>
        </w:trPr>
        <w:tc>
          <w:tcPr>
            <w:tcW w:w="2328" w:type="dxa"/>
            <w:tcBorders>
              <w:tl2br w:val="nil"/>
              <w:tr2bl w:val="nil"/>
            </w:tcBorders>
            <w:vAlign w:val="center"/>
          </w:tcPr>
          <w:p w14:paraId="7DB0D675">
            <w:pPr>
              <w:keepNext w:val="0"/>
              <w:keepLines w:val="0"/>
              <w:pageBreakBefore w:val="0"/>
              <w:widowControl w:val="0"/>
              <w:kinsoku/>
              <w:wordWrap/>
              <w:overflowPunct/>
              <w:topLinePunct w:val="0"/>
              <w:bidi w:val="0"/>
              <w:adjustRightInd/>
              <w:snapToGrid/>
              <w:spacing w:line="264" w:lineRule="auto"/>
              <w:ind w:firstLine="0" w:firstLineChars="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项目分包个数</w:t>
            </w:r>
          </w:p>
        </w:tc>
        <w:tc>
          <w:tcPr>
            <w:tcW w:w="7877" w:type="dxa"/>
            <w:tcBorders>
              <w:tl2br w:val="nil"/>
              <w:tr2bl w:val="nil"/>
            </w:tcBorders>
            <w:vAlign w:val="top"/>
          </w:tcPr>
          <w:p w14:paraId="12E09773">
            <w:pPr>
              <w:keepNext w:val="0"/>
              <w:keepLines w:val="0"/>
              <w:pageBreakBefore w:val="0"/>
              <w:widowControl w:val="0"/>
              <w:kinsoku/>
              <w:wordWrap/>
              <w:overflowPunct/>
              <w:topLinePunct w:val="0"/>
              <w:bidi w:val="0"/>
              <w:adjustRightInd/>
              <w:snapToGrid/>
              <w:spacing w:line="264" w:lineRule="auto"/>
              <w:ind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无</w:t>
            </w:r>
          </w:p>
        </w:tc>
      </w:tr>
      <w:tr w14:paraId="706617C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40" w:type="dxa"/>
            <w:bottom w:w="0" w:type="dxa"/>
            <w:right w:w="40" w:type="dxa"/>
          </w:tblCellMar>
        </w:tblPrEx>
        <w:trPr>
          <w:trHeight w:val="23" w:hRule="atLeast"/>
          <w:jc w:val="center"/>
        </w:trPr>
        <w:tc>
          <w:tcPr>
            <w:tcW w:w="2328" w:type="dxa"/>
            <w:tcBorders>
              <w:tl2br w:val="nil"/>
              <w:tr2bl w:val="nil"/>
            </w:tcBorders>
            <w:vAlign w:val="center"/>
          </w:tcPr>
          <w:p w14:paraId="42585329">
            <w:pPr>
              <w:keepNext w:val="0"/>
              <w:keepLines w:val="0"/>
              <w:pageBreakBefore w:val="0"/>
              <w:widowControl w:val="0"/>
              <w:kinsoku/>
              <w:wordWrap/>
              <w:overflowPunct/>
              <w:topLinePunct w:val="0"/>
              <w:bidi w:val="0"/>
              <w:adjustRightInd/>
              <w:snapToGrid/>
              <w:spacing w:line="264" w:lineRule="auto"/>
              <w:ind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供应商</w:t>
            </w:r>
            <w:r>
              <w:rPr>
                <w:rFonts w:hint="eastAsia" w:ascii="宋体" w:hAnsi="宋体" w:eastAsia="宋体" w:cs="宋体"/>
                <w:color w:val="auto"/>
                <w:sz w:val="24"/>
                <w:szCs w:val="24"/>
              </w:rPr>
              <w:t>资格条件</w:t>
            </w:r>
          </w:p>
        </w:tc>
        <w:tc>
          <w:tcPr>
            <w:tcW w:w="7877" w:type="dxa"/>
            <w:tcBorders>
              <w:tl2br w:val="nil"/>
              <w:tr2bl w:val="nil"/>
            </w:tcBorders>
            <w:vAlign w:val="top"/>
          </w:tcPr>
          <w:p w14:paraId="7A6DA9F1">
            <w:pPr>
              <w:pStyle w:val="11"/>
              <w:keepNext w:val="0"/>
              <w:keepLines w:val="0"/>
              <w:pageBreakBefore w:val="0"/>
              <w:widowControl w:val="0"/>
              <w:kinsoku/>
              <w:wordWrap/>
              <w:overflowPunct/>
              <w:topLinePunct w:val="0"/>
              <w:bidi w:val="0"/>
              <w:adjustRightInd/>
              <w:snapToGrid/>
              <w:spacing w:line="264" w:lineRule="auto"/>
              <w:ind w:left="0" w:lef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1.符合《政府采购法》第22条条件，并提供下列材料：</w:t>
            </w:r>
          </w:p>
          <w:p w14:paraId="0AB14E25">
            <w:pPr>
              <w:pStyle w:val="11"/>
              <w:keepNext w:val="0"/>
              <w:keepLines w:val="0"/>
              <w:pageBreakBefore w:val="0"/>
              <w:widowControl w:val="0"/>
              <w:kinsoku/>
              <w:wordWrap/>
              <w:overflowPunct/>
              <w:topLinePunct w:val="0"/>
              <w:bidi w:val="0"/>
              <w:adjustRightInd/>
              <w:snapToGrid/>
              <w:spacing w:line="264" w:lineRule="auto"/>
              <w:ind w:left="0" w:lef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（1）供应商的营业执照等证明文件，自然人的身份证明。</w:t>
            </w:r>
          </w:p>
          <w:p w14:paraId="6855284F">
            <w:pPr>
              <w:pStyle w:val="11"/>
              <w:keepNext w:val="0"/>
              <w:keepLines w:val="0"/>
              <w:pageBreakBefore w:val="0"/>
              <w:widowControl w:val="0"/>
              <w:kinsoku/>
              <w:wordWrap/>
              <w:overflowPunct/>
              <w:topLinePunct w:val="0"/>
              <w:bidi w:val="0"/>
              <w:adjustRightInd/>
              <w:snapToGrid/>
              <w:spacing w:line="264" w:lineRule="auto"/>
              <w:ind w:left="0" w:lef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（2）财务状况报告，依法缴纳税收和社会保障资金的相关材料。</w:t>
            </w:r>
          </w:p>
          <w:p w14:paraId="2606CCF5">
            <w:pPr>
              <w:pStyle w:val="11"/>
              <w:keepNext w:val="0"/>
              <w:keepLines w:val="0"/>
              <w:pageBreakBefore w:val="0"/>
              <w:widowControl w:val="0"/>
              <w:kinsoku/>
              <w:wordWrap/>
              <w:overflowPunct/>
              <w:topLinePunct w:val="0"/>
              <w:bidi w:val="0"/>
              <w:adjustRightInd/>
              <w:snapToGrid/>
              <w:spacing w:line="264" w:lineRule="auto"/>
              <w:ind w:left="0" w:lef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（3）具备履行合同所必需的设备和专业技术能力的证明材料。</w:t>
            </w:r>
          </w:p>
          <w:p w14:paraId="5A062CC6">
            <w:pPr>
              <w:pStyle w:val="11"/>
              <w:keepNext w:val="0"/>
              <w:keepLines w:val="0"/>
              <w:pageBreakBefore w:val="0"/>
              <w:widowControl w:val="0"/>
              <w:kinsoku/>
              <w:wordWrap/>
              <w:overflowPunct/>
              <w:topLinePunct w:val="0"/>
              <w:bidi w:val="0"/>
              <w:adjustRightInd/>
              <w:snapToGrid/>
              <w:spacing w:line="264" w:lineRule="auto"/>
              <w:ind w:left="0" w:lef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（4）参加政府采购活动前3年内在经营活动中没有重大违法记录的书面声明。</w:t>
            </w:r>
          </w:p>
          <w:p w14:paraId="116C3647">
            <w:pPr>
              <w:pStyle w:val="11"/>
              <w:keepNext w:val="0"/>
              <w:keepLines w:val="0"/>
              <w:pageBreakBefore w:val="0"/>
              <w:widowControl w:val="0"/>
              <w:kinsoku/>
              <w:wordWrap/>
              <w:overflowPunct/>
              <w:topLinePunct w:val="0"/>
              <w:bidi w:val="0"/>
              <w:adjustRightInd/>
              <w:snapToGrid/>
              <w:spacing w:line="264" w:lineRule="auto"/>
              <w:ind w:left="0" w:lef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（5）具备法律、行政法规规定的其他条件的证明材料。</w:t>
            </w:r>
          </w:p>
          <w:p w14:paraId="12956555">
            <w:pPr>
              <w:pStyle w:val="11"/>
              <w:keepNext w:val="0"/>
              <w:keepLines w:val="0"/>
              <w:pageBreakBefore w:val="0"/>
              <w:widowControl w:val="0"/>
              <w:kinsoku/>
              <w:wordWrap/>
              <w:overflowPunct/>
              <w:topLinePunct w:val="0"/>
              <w:bidi w:val="0"/>
              <w:adjustRightInd/>
              <w:snapToGrid/>
              <w:spacing w:line="264" w:lineRule="auto"/>
              <w:ind w:left="0" w:lef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2.经信用中国（www.creditchina.gov.cn）、中国政府采购网（www.ccgp.gov.cn）等渠道查询后，列入失信被执行人、重大税收违法案件当事人名单、政府采购严重违法失信行为记录名单的，取消投标资格；</w:t>
            </w:r>
          </w:p>
          <w:p w14:paraId="4B5A6651">
            <w:pPr>
              <w:pStyle w:val="11"/>
              <w:keepNext w:val="0"/>
              <w:keepLines w:val="0"/>
              <w:pageBreakBefore w:val="0"/>
              <w:widowControl w:val="0"/>
              <w:kinsoku/>
              <w:wordWrap/>
              <w:overflowPunct/>
              <w:topLinePunct w:val="0"/>
              <w:bidi w:val="0"/>
              <w:adjustRightInd/>
              <w:snapToGrid/>
              <w:spacing w:line="264" w:lineRule="auto"/>
              <w:ind w:left="0" w:lef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3.单位负责人为同一人或者存在直接控股、管理关系的不同供应商，不得参加同一合同项下的政府采购活动。否则，皆取消投标资格；</w:t>
            </w:r>
          </w:p>
          <w:p w14:paraId="16D59D66">
            <w:pPr>
              <w:pStyle w:val="11"/>
              <w:keepNext w:val="0"/>
              <w:keepLines w:val="0"/>
              <w:pageBreakBefore w:val="0"/>
              <w:widowControl w:val="0"/>
              <w:kinsoku/>
              <w:wordWrap/>
              <w:overflowPunct/>
              <w:topLinePunct w:val="0"/>
              <w:bidi w:val="0"/>
              <w:adjustRightInd/>
              <w:snapToGrid/>
              <w:spacing w:line="264" w:lineRule="auto"/>
              <w:ind w:left="0" w:lef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4.为本采购项目提供整体设计、规范编制或者项目管理、监理、检测等服务的供应商，不得再参加该采购项目的其他采购活动；</w:t>
            </w:r>
          </w:p>
          <w:p w14:paraId="0AC384CD">
            <w:pPr>
              <w:keepNext w:val="0"/>
              <w:keepLines w:val="0"/>
              <w:pageBreakBefore w:val="0"/>
              <w:widowControl w:val="0"/>
              <w:kinsoku/>
              <w:wordWrap/>
              <w:overflowPunct/>
              <w:topLinePunct w:val="0"/>
              <w:bidi w:val="0"/>
              <w:adjustRightInd/>
              <w:snapToGrid/>
              <w:spacing w:line="264" w:lineRule="auto"/>
              <w:ind w:left="0" w:leftChars="0" w:right="0" w:rightChars="0" w:firstLine="0" w:firstLineChars="0"/>
              <w:textAlignment w:val="auto"/>
              <w:outlineLvl w:val="9"/>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lang w:val="en-US" w:eastAsia="zh-CN"/>
              </w:rPr>
              <w:t>5.供应商所投车辆已通过工信部《道路机动车辆生产企业及产品公告》准入，通过3C强制认证，提供相关证明材料。</w:t>
            </w:r>
          </w:p>
        </w:tc>
      </w:tr>
      <w:tr w14:paraId="5E195A7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40" w:type="dxa"/>
            <w:bottom w:w="0" w:type="dxa"/>
            <w:right w:w="40" w:type="dxa"/>
          </w:tblCellMar>
        </w:tblPrEx>
        <w:trPr>
          <w:trHeight w:val="23" w:hRule="atLeast"/>
          <w:jc w:val="center"/>
        </w:trPr>
        <w:tc>
          <w:tcPr>
            <w:tcW w:w="2328" w:type="dxa"/>
            <w:tcBorders>
              <w:tl2br w:val="nil"/>
              <w:tr2bl w:val="nil"/>
            </w:tcBorders>
            <w:vAlign w:val="center"/>
          </w:tcPr>
          <w:p w14:paraId="209D644D">
            <w:pPr>
              <w:keepNext w:val="0"/>
              <w:keepLines w:val="0"/>
              <w:pageBreakBefore w:val="0"/>
              <w:widowControl w:val="0"/>
              <w:kinsoku/>
              <w:wordWrap/>
              <w:overflowPunct/>
              <w:topLinePunct w:val="0"/>
              <w:bidi w:val="0"/>
              <w:adjustRightInd/>
              <w:snapToGrid/>
              <w:spacing w:line="264" w:lineRule="auto"/>
              <w:ind w:firstLine="0" w:firstLineChars="0"/>
              <w:jc w:val="both"/>
              <w:textAlignment w:val="auto"/>
              <w:rPr>
                <w:rFonts w:hint="eastAsia" w:ascii="宋体" w:hAnsi="宋体" w:eastAsia="宋体" w:cs="宋体"/>
                <w:bCs/>
                <w:color w:val="auto"/>
                <w:sz w:val="24"/>
                <w:szCs w:val="24"/>
              </w:rPr>
            </w:pPr>
            <w:r>
              <w:rPr>
                <w:rFonts w:hint="eastAsia" w:ascii="宋体" w:hAnsi="宋体" w:eastAsia="宋体" w:cs="宋体"/>
                <w:color w:val="auto"/>
                <w:sz w:val="24"/>
                <w:szCs w:val="24"/>
              </w:rPr>
              <w:t>是否接收联合体形式</w:t>
            </w:r>
          </w:p>
        </w:tc>
        <w:tc>
          <w:tcPr>
            <w:tcW w:w="7877" w:type="dxa"/>
            <w:tcBorders>
              <w:tl2br w:val="nil"/>
              <w:tr2bl w:val="nil"/>
            </w:tcBorders>
            <w:vAlign w:val="top"/>
          </w:tcPr>
          <w:p w14:paraId="1565CDB6">
            <w:pPr>
              <w:keepNext w:val="0"/>
              <w:keepLines w:val="0"/>
              <w:pageBreakBefore w:val="0"/>
              <w:widowControl w:val="0"/>
              <w:kinsoku/>
              <w:wordWrap/>
              <w:overflowPunct/>
              <w:topLinePunct w:val="0"/>
              <w:bidi w:val="0"/>
              <w:adjustRightInd/>
              <w:snapToGrid/>
              <w:spacing w:line="264"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u w:val="none"/>
                <w:lang w:val="zh-CN"/>
              </w:rPr>
              <w:t>本项目</w:t>
            </w:r>
            <w:r>
              <w:rPr>
                <w:rFonts w:hint="eastAsia" w:ascii="宋体" w:hAnsi="宋体" w:eastAsia="宋体" w:cs="宋体"/>
                <w:color w:val="auto"/>
                <w:kern w:val="0"/>
                <w:sz w:val="24"/>
                <w:szCs w:val="24"/>
                <w:u w:val="none"/>
                <w:lang w:val="en-US" w:eastAsia="zh-CN"/>
              </w:rPr>
              <w:t>不接受</w:t>
            </w:r>
            <w:r>
              <w:rPr>
                <w:rFonts w:hint="eastAsia" w:ascii="宋体" w:hAnsi="宋体" w:eastAsia="宋体" w:cs="宋体"/>
                <w:color w:val="auto"/>
                <w:kern w:val="0"/>
                <w:sz w:val="24"/>
                <w:szCs w:val="24"/>
                <w:u w:val="none"/>
                <w:lang w:val="zh-CN"/>
              </w:rPr>
              <w:t>供应商以联合体方式进行谈判</w:t>
            </w:r>
          </w:p>
        </w:tc>
      </w:tr>
      <w:tr w14:paraId="506B268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40" w:type="dxa"/>
            <w:bottom w:w="0" w:type="dxa"/>
            <w:right w:w="40" w:type="dxa"/>
          </w:tblCellMar>
        </w:tblPrEx>
        <w:trPr>
          <w:trHeight w:val="23" w:hRule="atLeast"/>
          <w:jc w:val="center"/>
        </w:trPr>
        <w:tc>
          <w:tcPr>
            <w:tcW w:w="2328" w:type="dxa"/>
            <w:tcBorders>
              <w:tl2br w:val="nil"/>
              <w:tr2bl w:val="nil"/>
            </w:tcBorders>
            <w:vAlign w:val="center"/>
          </w:tcPr>
          <w:p w14:paraId="6E5B80B6">
            <w:pPr>
              <w:keepNext w:val="0"/>
              <w:keepLines w:val="0"/>
              <w:pageBreakBefore w:val="0"/>
              <w:widowControl w:val="0"/>
              <w:kinsoku/>
              <w:wordWrap/>
              <w:overflowPunct/>
              <w:topLinePunct w:val="0"/>
              <w:bidi w:val="0"/>
              <w:adjustRightInd/>
              <w:snapToGrid/>
              <w:spacing w:line="264" w:lineRule="auto"/>
              <w:ind w:firstLine="0" w:firstLineChars="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进口产品</w:t>
            </w:r>
          </w:p>
        </w:tc>
        <w:tc>
          <w:tcPr>
            <w:tcW w:w="7877" w:type="dxa"/>
            <w:tcBorders>
              <w:tl2br w:val="nil"/>
              <w:tr2bl w:val="nil"/>
            </w:tcBorders>
            <w:vAlign w:val="center"/>
          </w:tcPr>
          <w:p w14:paraId="45893296">
            <w:pPr>
              <w:keepNext w:val="0"/>
              <w:keepLines w:val="0"/>
              <w:pageBreakBefore w:val="0"/>
              <w:widowControl w:val="0"/>
              <w:kinsoku/>
              <w:wordWrap/>
              <w:overflowPunct/>
              <w:topLinePunct w:val="0"/>
              <w:bidi w:val="0"/>
              <w:adjustRightInd/>
              <w:snapToGrid/>
              <w:spacing w:line="264" w:lineRule="auto"/>
              <w:ind w:firstLine="0" w:firstLineChars="0"/>
              <w:textAlignment w:val="auto"/>
              <w:rPr>
                <w:rFonts w:hint="eastAsia" w:ascii="宋体" w:hAnsi="宋体" w:eastAsia="宋体" w:cs="宋体"/>
                <w:color w:val="auto"/>
                <w:kern w:val="0"/>
                <w:sz w:val="24"/>
                <w:szCs w:val="24"/>
                <w:lang w:val="zh-CN"/>
              </w:rPr>
            </w:pPr>
            <w:r>
              <w:rPr>
                <w:rFonts w:hint="eastAsia" w:ascii="宋体" w:hAnsi="宋体" w:eastAsia="宋体" w:cs="宋体"/>
                <w:b w:val="0"/>
                <w:bCs/>
                <w:color w:val="auto"/>
                <w:sz w:val="24"/>
                <w:szCs w:val="24"/>
                <w:u w:val="none"/>
              </w:rPr>
              <w:t>本项目拒绝进</w:t>
            </w:r>
            <w:r>
              <w:rPr>
                <w:rFonts w:hint="eastAsia" w:ascii="宋体" w:hAnsi="宋体" w:eastAsia="宋体" w:cs="宋体"/>
                <w:color w:val="auto"/>
                <w:sz w:val="24"/>
                <w:szCs w:val="24"/>
                <w:u w:val="none"/>
              </w:rPr>
              <w:t>口产品参加谈判采购</w:t>
            </w:r>
          </w:p>
        </w:tc>
      </w:tr>
      <w:tr w14:paraId="080D6F1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40" w:type="dxa"/>
            <w:bottom w:w="0" w:type="dxa"/>
            <w:right w:w="40" w:type="dxa"/>
          </w:tblCellMar>
        </w:tblPrEx>
        <w:trPr>
          <w:trHeight w:val="23" w:hRule="atLeast"/>
          <w:jc w:val="center"/>
        </w:trPr>
        <w:tc>
          <w:tcPr>
            <w:tcW w:w="2328" w:type="dxa"/>
            <w:tcBorders>
              <w:tl2br w:val="nil"/>
              <w:tr2bl w:val="nil"/>
            </w:tcBorders>
            <w:vAlign w:val="center"/>
          </w:tcPr>
          <w:p w14:paraId="650AA259">
            <w:pPr>
              <w:keepNext w:val="0"/>
              <w:keepLines w:val="0"/>
              <w:pageBreakBefore w:val="0"/>
              <w:widowControl w:val="0"/>
              <w:kinsoku/>
              <w:wordWrap/>
              <w:overflowPunct/>
              <w:topLinePunct w:val="0"/>
              <w:bidi w:val="0"/>
              <w:adjustRightInd/>
              <w:snapToGrid/>
              <w:spacing w:line="264" w:lineRule="auto"/>
              <w:ind w:firstLine="0" w:firstLineChars="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公告发布时间</w:t>
            </w:r>
          </w:p>
        </w:tc>
        <w:tc>
          <w:tcPr>
            <w:tcW w:w="7877" w:type="dxa"/>
            <w:tcBorders>
              <w:tl2br w:val="nil"/>
              <w:tr2bl w:val="nil"/>
            </w:tcBorders>
            <w:vAlign w:val="top"/>
          </w:tcPr>
          <w:p w14:paraId="0F95EFCC">
            <w:pPr>
              <w:keepNext w:val="0"/>
              <w:keepLines w:val="0"/>
              <w:pageBreakBefore w:val="0"/>
              <w:widowControl w:val="0"/>
              <w:kinsoku/>
              <w:wordWrap/>
              <w:overflowPunct/>
              <w:topLinePunct w:val="0"/>
              <w:bidi w:val="0"/>
              <w:adjustRightInd/>
              <w:snapToGrid/>
              <w:spacing w:line="264"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2024年</w:t>
            </w:r>
            <w:r>
              <w:rPr>
                <w:rFonts w:hint="eastAsia" w:ascii="宋体" w:hAnsi="宋体" w:eastAsia="宋体" w:cs="宋体"/>
                <w:color w:val="auto"/>
                <w:sz w:val="24"/>
                <w:szCs w:val="24"/>
                <w:lang w:val="en-US" w:eastAsia="zh-CN"/>
              </w:rPr>
              <w:t>09</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lang w:val="en-US" w:eastAsia="zh-CN"/>
              </w:rPr>
              <w:t>13</w:t>
            </w:r>
            <w:r>
              <w:rPr>
                <w:rFonts w:hint="eastAsia" w:ascii="宋体" w:hAnsi="宋体" w:eastAsia="宋体" w:cs="宋体"/>
                <w:color w:val="auto"/>
                <w:sz w:val="24"/>
                <w:szCs w:val="24"/>
                <w:lang w:val="zh-CN"/>
              </w:rPr>
              <w:t>日</w:t>
            </w:r>
          </w:p>
        </w:tc>
      </w:tr>
      <w:tr w14:paraId="0FED750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40" w:type="dxa"/>
            <w:bottom w:w="0" w:type="dxa"/>
            <w:right w:w="40" w:type="dxa"/>
          </w:tblCellMar>
        </w:tblPrEx>
        <w:trPr>
          <w:trHeight w:val="23" w:hRule="atLeast"/>
          <w:jc w:val="center"/>
        </w:trPr>
        <w:tc>
          <w:tcPr>
            <w:tcW w:w="2328" w:type="dxa"/>
            <w:tcBorders>
              <w:tl2br w:val="nil"/>
              <w:tr2bl w:val="nil"/>
            </w:tcBorders>
            <w:vAlign w:val="center"/>
          </w:tcPr>
          <w:p w14:paraId="5AD9E1CD">
            <w:pPr>
              <w:keepNext w:val="0"/>
              <w:keepLines w:val="0"/>
              <w:pageBreakBefore w:val="0"/>
              <w:widowControl w:val="0"/>
              <w:kinsoku/>
              <w:wordWrap/>
              <w:overflowPunct/>
              <w:topLinePunct w:val="0"/>
              <w:bidi w:val="0"/>
              <w:adjustRightInd/>
              <w:snapToGrid/>
              <w:spacing w:line="264" w:lineRule="auto"/>
              <w:ind w:firstLine="0" w:firstLineChars="0"/>
              <w:jc w:val="both"/>
              <w:textAlignment w:val="auto"/>
              <w:rPr>
                <w:rFonts w:hint="eastAsia" w:ascii="宋体" w:hAnsi="宋体" w:eastAsia="宋体" w:cs="宋体"/>
                <w:bCs/>
                <w:color w:val="auto"/>
                <w:sz w:val="24"/>
                <w:szCs w:val="24"/>
                <w:lang w:eastAsia="zh-CN"/>
              </w:rPr>
            </w:pPr>
            <w:r>
              <w:rPr>
                <w:rFonts w:hint="eastAsia" w:ascii="宋体" w:hAnsi="宋体" w:eastAsia="宋体" w:cs="宋体"/>
                <w:color w:val="auto"/>
                <w:sz w:val="24"/>
                <w:szCs w:val="24"/>
              </w:rPr>
              <w:t>文件发售起止时间</w:t>
            </w:r>
          </w:p>
        </w:tc>
        <w:tc>
          <w:tcPr>
            <w:tcW w:w="7877" w:type="dxa"/>
            <w:tcBorders>
              <w:tl2br w:val="nil"/>
              <w:tr2bl w:val="nil"/>
            </w:tcBorders>
            <w:vAlign w:val="top"/>
          </w:tcPr>
          <w:p w14:paraId="5DFBB7D3">
            <w:pPr>
              <w:pStyle w:val="11"/>
              <w:keepNext w:val="0"/>
              <w:keepLines w:val="0"/>
              <w:pageBreakBefore w:val="0"/>
              <w:widowControl w:val="0"/>
              <w:kinsoku/>
              <w:wordWrap/>
              <w:overflowPunct/>
              <w:topLinePunct w:val="0"/>
              <w:bidi w:val="0"/>
              <w:adjustRightInd/>
              <w:spacing w:line="264" w:lineRule="auto"/>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zh-CN"/>
              </w:rPr>
              <w:t>2024年</w:t>
            </w:r>
            <w:r>
              <w:rPr>
                <w:rFonts w:hint="eastAsia" w:ascii="宋体" w:hAnsi="宋体" w:eastAsia="宋体" w:cs="宋体"/>
                <w:color w:val="auto"/>
                <w:sz w:val="24"/>
                <w:szCs w:val="24"/>
                <w:lang w:val="en-US" w:eastAsia="zh-CN"/>
              </w:rPr>
              <w:t>09</w:t>
            </w:r>
            <w:r>
              <w:rPr>
                <w:rFonts w:hint="eastAsia" w:ascii="宋体" w:hAnsi="宋体" w:eastAsia="宋体" w:cs="宋体"/>
                <w:color w:val="auto"/>
                <w:sz w:val="24"/>
                <w:szCs w:val="24"/>
                <w:lang w:val="zh-CN"/>
              </w:rPr>
              <w:t>月</w:t>
            </w:r>
            <w:r>
              <w:rPr>
                <w:rFonts w:hint="eastAsia" w:ascii="宋体" w:hAnsi="宋体" w:cs="宋体"/>
                <w:color w:val="auto"/>
                <w:sz w:val="24"/>
                <w:szCs w:val="24"/>
                <w:lang w:val="en-US" w:eastAsia="zh-CN"/>
              </w:rPr>
              <w:t>13</w:t>
            </w:r>
            <w:r>
              <w:rPr>
                <w:rFonts w:hint="eastAsia" w:ascii="宋体" w:hAnsi="宋体" w:eastAsia="宋体" w:cs="宋体"/>
                <w:color w:val="auto"/>
                <w:sz w:val="24"/>
                <w:szCs w:val="24"/>
                <w:lang w:val="zh-CN"/>
              </w:rPr>
              <w:t>日至</w:t>
            </w:r>
            <w:r>
              <w:rPr>
                <w:rFonts w:hint="eastAsia" w:ascii="宋体" w:hAnsi="宋体" w:eastAsia="宋体" w:cs="宋体"/>
                <w:color w:val="auto"/>
                <w:sz w:val="24"/>
                <w:szCs w:val="24"/>
                <w:lang w:val="en-US" w:eastAsia="zh-CN"/>
              </w:rPr>
              <w:t>09</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lang w:val="en-US" w:eastAsia="zh-CN"/>
              </w:rPr>
              <w:t>19</w:t>
            </w:r>
            <w:r>
              <w:rPr>
                <w:rFonts w:hint="eastAsia" w:ascii="宋体" w:hAnsi="宋体" w:eastAsia="宋体" w:cs="宋体"/>
                <w:color w:val="auto"/>
                <w:sz w:val="24"/>
                <w:szCs w:val="24"/>
                <w:lang w:val="zh-CN"/>
              </w:rPr>
              <w:t>日</w:t>
            </w:r>
          </w:p>
        </w:tc>
      </w:tr>
      <w:tr w14:paraId="5BAC050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40" w:type="dxa"/>
            <w:bottom w:w="0" w:type="dxa"/>
            <w:right w:w="40" w:type="dxa"/>
          </w:tblCellMar>
        </w:tblPrEx>
        <w:trPr>
          <w:trHeight w:val="23" w:hRule="atLeast"/>
          <w:jc w:val="center"/>
        </w:trPr>
        <w:tc>
          <w:tcPr>
            <w:tcW w:w="2328" w:type="dxa"/>
            <w:tcBorders>
              <w:tl2br w:val="nil"/>
              <w:tr2bl w:val="nil"/>
            </w:tcBorders>
            <w:vAlign w:val="center"/>
          </w:tcPr>
          <w:p w14:paraId="42F9DD8A">
            <w:pPr>
              <w:keepNext w:val="0"/>
              <w:keepLines w:val="0"/>
              <w:pageBreakBefore w:val="0"/>
              <w:widowControl w:val="0"/>
              <w:kinsoku/>
              <w:wordWrap/>
              <w:overflowPunct/>
              <w:topLinePunct w:val="0"/>
              <w:bidi w:val="0"/>
              <w:adjustRightInd/>
              <w:snapToGrid/>
              <w:spacing w:line="264" w:lineRule="auto"/>
              <w:ind w:firstLine="0" w:firstLineChars="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获取</w:t>
            </w:r>
            <w:r>
              <w:rPr>
                <w:rFonts w:hint="eastAsia" w:ascii="宋体" w:hAnsi="宋体" w:eastAsia="宋体" w:cs="宋体"/>
                <w:b w:val="0"/>
                <w:bCs w:val="0"/>
                <w:color w:val="auto"/>
                <w:sz w:val="24"/>
                <w:szCs w:val="24"/>
              </w:rPr>
              <w:t>谈判文件</w:t>
            </w:r>
            <w:r>
              <w:rPr>
                <w:rFonts w:hint="eastAsia" w:ascii="宋体" w:hAnsi="宋体" w:eastAsia="宋体" w:cs="宋体"/>
                <w:bCs/>
                <w:color w:val="auto"/>
                <w:sz w:val="24"/>
                <w:szCs w:val="24"/>
                <w:lang w:eastAsia="zh-CN"/>
              </w:rPr>
              <w:t>方式</w:t>
            </w:r>
          </w:p>
        </w:tc>
        <w:tc>
          <w:tcPr>
            <w:tcW w:w="7877" w:type="dxa"/>
            <w:tcBorders>
              <w:tl2br w:val="nil"/>
              <w:tr2bl w:val="nil"/>
            </w:tcBorders>
            <w:vAlign w:val="center"/>
          </w:tcPr>
          <w:p w14:paraId="2B01200D">
            <w:pPr>
              <w:keepNext w:val="0"/>
              <w:keepLines w:val="0"/>
              <w:pageBreakBefore w:val="0"/>
              <w:widowControl w:val="0"/>
              <w:tabs>
                <w:tab w:val="left" w:pos="320"/>
              </w:tabs>
              <w:kinsoku/>
              <w:wordWrap/>
              <w:overflowPunct/>
              <w:topLinePunct w:val="0"/>
              <w:bidi w:val="0"/>
              <w:adjustRightInd/>
              <w:snapToGrid/>
              <w:spacing w:line="264" w:lineRule="auto"/>
              <w:ind w:firstLine="0" w:firstLineChars="0"/>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lang w:val="zh-CN"/>
              </w:rPr>
              <w:t>供应商</w:t>
            </w:r>
            <w:r>
              <w:rPr>
                <w:rFonts w:hint="eastAsia" w:ascii="宋体" w:hAnsi="宋体" w:eastAsia="宋体" w:cs="宋体"/>
                <w:color w:val="auto"/>
                <w:sz w:val="24"/>
                <w:szCs w:val="24"/>
              </w:rPr>
              <w:t>登录政采云平台</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https://www.zcygov.cn/</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在线申请获取采购文件（进入“项目采购”应用，在获取采购文件菜单中选择项目，申请获取采购文件）</w:t>
            </w:r>
            <w:bookmarkStart w:id="569" w:name="_GoBack"/>
            <w:bookmarkEnd w:id="569"/>
          </w:p>
        </w:tc>
      </w:tr>
      <w:tr w14:paraId="4A77D89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40" w:type="dxa"/>
            <w:bottom w:w="0" w:type="dxa"/>
            <w:right w:w="40" w:type="dxa"/>
          </w:tblCellMar>
        </w:tblPrEx>
        <w:trPr>
          <w:trHeight w:val="23" w:hRule="atLeast"/>
          <w:jc w:val="center"/>
        </w:trPr>
        <w:tc>
          <w:tcPr>
            <w:tcW w:w="2328" w:type="dxa"/>
            <w:tcBorders>
              <w:tl2br w:val="nil"/>
              <w:tr2bl w:val="nil"/>
            </w:tcBorders>
            <w:vAlign w:val="center"/>
          </w:tcPr>
          <w:p w14:paraId="7265AFCB">
            <w:pPr>
              <w:keepNext w:val="0"/>
              <w:keepLines w:val="0"/>
              <w:pageBreakBefore w:val="0"/>
              <w:widowControl w:val="0"/>
              <w:kinsoku/>
              <w:wordWrap/>
              <w:overflowPunct/>
              <w:topLinePunct w:val="0"/>
              <w:bidi w:val="0"/>
              <w:adjustRightInd/>
              <w:snapToGrid/>
              <w:spacing w:line="264" w:lineRule="auto"/>
              <w:ind w:firstLine="0" w:firstLineChars="0"/>
              <w:jc w:val="both"/>
              <w:textAlignment w:val="auto"/>
              <w:rPr>
                <w:rFonts w:hint="eastAsia" w:ascii="宋体" w:hAnsi="宋体" w:eastAsia="宋体" w:cs="宋体"/>
                <w:bCs/>
                <w:color w:val="auto"/>
                <w:sz w:val="24"/>
                <w:szCs w:val="24"/>
                <w:lang w:eastAsia="zh-CN"/>
              </w:rPr>
            </w:pPr>
            <w:r>
              <w:rPr>
                <w:rFonts w:hint="eastAsia" w:ascii="宋体" w:hAnsi="宋体" w:eastAsia="宋体" w:cs="宋体"/>
                <w:b w:val="0"/>
                <w:bCs w:val="0"/>
                <w:color w:val="auto"/>
                <w:sz w:val="24"/>
                <w:szCs w:val="24"/>
              </w:rPr>
              <w:t>谈判</w:t>
            </w:r>
            <w:r>
              <w:rPr>
                <w:rFonts w:hint="eastAsia" w:ascii="宋体" w:hAnsi="宋体" w:eastAsia="宋体" w:cs="宋体"/>
                <w:color w:val="auto"/>
                <w:sz w:val="24"/>
                <w:szCs w:val="24"/>
              </w:rPr>
              <w:t>文件售价</w:t>
            </w:r>
          </w:p>
        </w:tc>
        <w:tc>
          <w:tcPr>
            <w:tcW w:w="7877" w:type="dxa"/>
            <w:tcBorders>
              <w:tl2br w:val="nil"/>
              <w:tr2bl w:val="nil"/>
            </w:tcBorders>
            <w:vAlign w:val="center"/>
          </w:tcPr>
          <w:p w14:paraId="1CCDD445">
            <w:pPr>
              <w:keepNext w:val="0"/>
              <w:keepLines w:val="0"/>
              <w:pageBreakBefore w:val="0"/>
              <w:widowControl w:val="0"/>
              <w:kinsoku/>
              <w:wordWrap/>
              <w:overflowPunct/>
              <w:topLinePunct w:val="0"/>
              <w:bidi w:val="0"/>
              <w:adjustRightInd/>
              <w:snapToGrid/>
              <w:spacing w:line="264"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u w:val="none"/>
                <w:lang w:val="en-US" w:eastAsia="zh-CN"/>
              </w:rPr>
              <w:t>0</w:t>
            </w:r>
          </w:p>
        </w:tc>
      </w:tr>
      <w:tr w14:paraId="261D4A6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40" w:type="dxa"/>
            <w:bottom w:w="0" w:type="dxa"/>
            <w:right w:w="40" w:type="dxa"/>
          </w:tblCellMar>
        </w:tblPrEx>
        <w:trPr>
          <w:trHeight w:val="23" w:hRule="atLeast"/>
          <w:jc w:val="center"/>
        </w:trPr>
        <w:tc>
          <w:tcPr>
            <w:tcW w:w="2328" w:type="dxa"/>
            <w:tcBorders>
              <w:tl2br w:val="nil"/>
              <w:tr2bl w:val="nil"/>
            </w:tcBorders>
            <w:vAlign w:val="center"/>
          </w:tcPr>
          <w:p w14:paraId="019F4DA2">
            <w:pPr>
              <w:keepNext w:val="0"/>
              <w:keepLines w:val="0"/>
              <w:pageBreakBefore w:val="0"/>
              <w:widowControl w:val="0"/>
              <w:kinsoku/>
              <w:wordWrap/>
              <w:overflowPunct/>
              <w:topLinePunct w:val="0"/>
              <w:bidi w:val="0"/>
              <w:adjustRightInd/>
              <w:snapToGrid/>
              <w:spacing w:line="264" w:lineRule="auto"/>
              <w:ind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val="0"/>
                <w:bCs w:val="0"/>
                <w:color w:val="auto"/>
                <w:sz w:val="24"/>
                <w:szCs w:val="24"/>
              </w:rPr>
              <w:t>获取谈判文件地点</w:t>
            </w:r>
          </w:p>
        </w:tc>
        <w:tc>
          <w:tcPr>
            <w:tcW w:w="7877" w:type="dxa"/>
            <w:tcBorders>
              <w:tl2br w:val="nil"/>
              <w:tr2bl w:val="nil"/>
            </w:tcBorders>
            <w:vAlign w:val="center"/>
          </w:tcPr>
          <w:p w14:paraId="58CE68F3">
            <w:pPr>
              <w:keepNext w:val="0"/>
              <w:keepLines w:val="0"/>
              <w:pageBreakBefore w:val="0"/>
              <w:widowControl w:val="0"/>
              <w:kinsoku/>
              <w:wordWrap/>
              <w:overflowPunct/>
              <w:topLinePunct w:val="0"/>
              <w:bidi w:val="0"/>
              <w:adjustRightInd/>
              <w:snapToGrid/>
              <w:spacing w:line="264"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政采云平台</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https://www.zcygov.cn/</w:t>
            </w:r>
            <w:r>
              <w:rPr>
                <w:rFonts w:hint="eastAsia" w:ascii="宋体" w:hAnsi="宋体" w:eastAsia="宋体" w:cs="宋体"/>
                <w:color w:val="auto"/>
                <w:sz w:val="24"/>
                <w:szCs w:val="24"/>
                <w:lang w:eastAsia="zh-CN"/>
              </w:rPr>
              <w:t>）</w:t>
            </w:r>
          </w:p>
        </w:tc>
      </w:tr>
      <w:tr w14:paraId="19814A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40" w:type="dxa"/>
            <w:bottom w:w="0" w:type="dxa"/>
            <w:right w:w="40" w:type="dxa"/>
          </w:tblCellMar>
        </w:tblPrEx>
        <w:trPr>
          <w:trHeight w:val="23" w:hRule="atLeast"/>
          <w:jc w:val="center"/>
        </w:trPr>
        <w:tc>
          <w:tcPr>
            <w:tcW w:w="2328" w:type="dxa"/>
            <w:tcBorders>
              <w:tl2br w:val="nil"/>
              <w:tr2bl w:val="nil"/>
            </w:tcBorders>
            <w:vAlign w:val="center"/>
          </w:tcPr>
          <w:p w14:paraId="79D34E5D">
            <w:pPr>
              <w:keepNext w:val="0"/>
              <w:keepLines w:val="0"/>
              <w:pageBreakBefore w:val="0"/>
              <w:widowControl w:val="0"/>
              <w:kinsoku/>
              <w:wordWrap/>
              <w:overflowPunct/>
              <w:topLinePunct w:val="0"/>
              <w:bidi w:val="0"/>
              <w:adjustRightInd/>
              <w:snapToGrid/>
              <w:spacing w:line="264" w:lineRule="auto"/>
              <w:ind w:firstLine="0" w:firstLineChars="0"/>
              <w:jc w:val="both"/>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提交响应文件地点</w:t>
            </w:r>
          </w:p>
        </w:tc>
        <w:tc>
          <w:tcPr>
            <w:tcW w:w="7877" w:type="dxa"/>
            <w:tcBorders>
              <w:tl2br w:val="nil"/>
              <w:tr2bl w:val="nil"/>
            </w:tcBorders>
            <w:vAlign w:val="center"/>
          </w:tcPr>
          <w:p w14:paraId="34BADCDF">
            <w:pPr>
              <w:keepNext w:val="0"/>
              <w:keepLines w:val="0"/>
              <w:pageBreakBefore w:val="0"/>
              <w:widowControl w:val="0"/>
              <w:kinsoku/>
              <w:wordWrap/>
              <w:overflowPunct/>
              <w:topLinePunct w:val="0"/>
              <w:bidi w:val="0"/>
              <w:adjustRightInd/>
              <w:snapToGrid/>
              <w:spacing w:line="264" w:lineRule="auto"/>
              <w:ind w:firstLine="0" w:firstLineChars="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rPr>
              <w:t>政采云平台</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https://www.zcygov.cn/</w:t>
            </w:r>
            <w:r>
              <w:rPr>
                <w:rFonts w:hint="eastAsia" w:ascii="宋体" w:hAnsi="宋体" w:eastAsia="宋体" w:cs="宋体"/>
                <w:color w:val="auto"/>
                <w:sz w:val="24"/>
                <w:szCs w:val="24"/>
                <w:lang w:eastAsia="zh-CN"/>
              </w:rPr>
              <w:t>）</w:t>
            </w:r>
          </w:p>
        </w:tc>
      </w:tr>
      <w:tr w14:paraId="405DAE0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40" w:type="dxa"/>
            <w:bottom w:w="0" w:type="dxa"/>
            <w:right w:w="40" w:type="dxa"/>
          </w:tblCellMar>
        </w:tblPrEx>
        <w:trPr>
          <w:trHeight w:val="23" w:hRule="atLeast"/>
          <w:jc w:val="center"/>
        </w:trPr>
        <w:tc>
          <w:tcPr>
            <w:tcW w:w="2328" w:type="dxa"/>
            <w:tcBorders>
              <w:tl2br w:val="nil"/>
              <w:tr2bl w:val="nil"/>
            </w:tcBorders>
            <w:vAlign w:val="center"/>
          </w:tcPr>
          <w:p w14:paraId="1CD04D8E">
            <w:pPr>
              <w:keepNext w:val="0"/>
              <w:keepLines w:val="0"/>
              <w:pageBreakBefore w:val="0"/>
              <w:widowControl w:val="0"/>
              <w:kinsoku/>
              <w:wordWrap/>
              <w:overflowPunct/>
              <w:topLinePunct w:val="0"/>
              <w:bidi w:val="0"/>
              <w:adjustRightInd/>
              <w:snapToGrid/>
              <w:spacing w:line="264" w:lineRule="auto"/>
              <w:ind w:firstLine="0" w:firstLineChars="0"/>
              <w:jc w:val="both"/>
              <w:textAlignment w:val="auto"/>
              <w:rPr>
                <w:rFonts w:hint="eastAsia" w:ascii="宋体" w:hAnsi="宋体" w:eastAsia="宋体" w:cs="宋体"/>
                <w:bCs/>
                <w:color w:val="auto"/>
                <w:sz w:val="24"/>
                <w:szCs w:val="24"/>
              </w:rPr>
            </w:pPr>
            <w:r>
              <w:rPr>
                <w:rFonts w:hint="eastAsia" w:ascii="宋体" w:hAnsi="宋体" w:eastAsia="宋体" w:cs="宋体"/>
                <w:color w:val="auto"/>
                <w:sz w:val="24"/>
                <w:szCs w:val="24"/>
              </w:rPr>
              <w:t>采购人名称、地址、电话、联系人</w:t>
            </w:r>
          </w:p>
        </w:tc>
        <w:tc>
          <w:tcPr>
            <w:tcW w:w="7877" w:type="dxa"/>
            <w:tcBorders>
              <w:tl2br w:val="nil"/>
              <w:tr2bl w:val="nil"/>
            </w:tcBorders>
            <w:vAlign w:val="top"/>
          </w:tcPr>
          <w:p w14:paraId="653E88F7">
            <w:pPr>
              <w:keepNext w:val="0"/>
              <w:keepLines w:val="0"/>
              <w:pageBreakBefore w:val="0"/>
              <w:widowControl w:val="0"/>
              <w:kinsoku/>
              <w:wordWrap/>
              <w:overflowPunct/>
              <w:topLinePunct w:val="0"/>
              <w:autoSpaceDE w:val="0"/>
              <w:autoSpaceDN w:val="0"/>
              <w:bidi w:val="0"/>
              <w:adjustRightInd/>
              <w:snapToGrid/>
              <w:spacing w:line="264" w:lineRule="auto"/>
              <w:ind w:firstLine="0" w:firstLineChars="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采购人：玉树市公安局</w:t>
            </w:r>
          </w:p>
          <w:p w14:paraId="3440DA3E">
            <w:pPr>
              <w:keepNext w:val="0"/>
              <w:keepLines w:val="0"/>
              <w:pageBreakBefore w:val="0"/>
              <w:widowControl w:val="0"/>
              <w:kinsoku/>
              <w:wordWrap/>
              <w:overflowPunct/>
              <w:topLinePunct w:val="0"/>
              <w:autoSpaceDE w:val="0"/>
              <w:autoSpaceDN w:val="0"/>
              <w:bidi w:val="0"/>
              <w:adjustRightInd/>
              <w:snapToGrid/>
              <w:spacing w:line="264" w:lineRule="auto"/>
              <w:ind w:firstLine="0" w:firstLineChars="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zh-CN"/>
              </w:rPr>
              <w:t>联系人：才仁江永</w:t>
            </w:r>
          </w:p>
          <w:p w14:paraId="7E9DBECA">
            <w:pPr>
              <w:keepNext w:val="0"/>
              <w:keepLines w:val="0"/>
              <w:pageBreakBefore w:val="0"/>
              <w:widowControl w:val="0"/>
              <w:kinsoku/>
              <w:wordWrap/>
              <w:overflowPunct/>
              <w:topLinePunct w:val="0"/>
              <w:autoSpaceDE w:val="0"/>
              <w:autoSpaceDN w:val="0"/>
              <w:bidi w:val="0"/>
              <w:adjustRightInd/>
              <w:snapToGrid/>
              <w:spacing w:line="264" w:lineRule="auto"/>
              <w:ind w:firstLine="0" w:firstLineChars="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zh-CN"/>
              </w:rPr>
              <w:t>联系电话：</w:t>
            </w:r>
            <w:r>
              <w:rPr>
                <w:rFonts w:hint="eastAsia" w:ascii="宋体" w:hAnsi="宋体" w:eastAsia="宋体" w:cs="宋体"/>
                <w:color w:val="auto"/>
                <w:kern w:val="0"/>
                <w:sz w:val="24"/>
                <w:szCs w:val="24"/>
                <w:lang w:val="en-US" w:eastAsia="zh-CN"/>
              </w:rPr>
              <w:t>0976-8645112</w:t>
            </w:r>
          </w:p>
          <w:p w14:paraId="3B6B1053">
            <w:pPr>
              <w:keepNext w:val="0"/>
              <w:keepLines w:val="0"/>
              <w:pageBreakBefore w:val="0"/>
              <w:widowControl w:val="0"/>
              <w:kinsoku/>
              <w:wordWrap/>
              <w:overflowPunct/>
              <w:topLinePunct w:val="0"/>
              <w:autoSpaceDE w:val="0"/>
              <w:autoSpaceDN w:val="0"/>
              <w:bidi w:val="0"/>
              <w:adjustRightInd/>
              <w:snapToGrid/>
              <w:spacing w:line="264" w:lineRule="auto"/>
              <w:ind w:firstLine="0" w:firstLineChars="0"/>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kern w:val="0"/>
                <w:sz w:val="24"/>
                <w:szCs w:val="24"/>
                <w:lang w:val="zh-CN"/>
              </w:rPr>
              <w:t>联系地址：玉树市结古镇民主路1号</w:t>
            </w:r>
          </w:p>
        </w:tc>
      </w:tr>
      <w:tr w14:paraId="6F39582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40" w:type="dxa"/>
            <w:bottom w:w="0" w:type="dxa"/>
            <w:right w:w="40" w:type="dxa"/>
          </w:tblCellMar>
        </w:tblPrEx>
        <w:trPr>
          <w:trHeight w:val="23" w:hRule="atLeast"/>
          <w:jc w:val="center"/>
        </w:trPr>
        <w:tc>
          <w:tcPr>
            <w:tcW w:w="2328" w:type="dxa"/>
            <w:tcBorders>
              <w:tl2br w:val="nil"/>
              <w:tr2bl w:val="nil"/>
            </w:tcBorders>
            <w:vAlign w:val="center"/>
          </w:tcPr>
          <w:p w14:paraId="5A313C06">
            <w:pPr>
              <w:keepNext w:val="0"/>
              <w:keepLines w:val="0"/>
              <w:pageBreakBefore w:val="0"/>
              <w:widowControl w:val="0"/>
              <w:kinsoku/>
              <w:wordWrap/>
              <w:overflowPunct/>
              <w:topLinePunct w:val="0"/>
              <w:bidi w:val="0"/>
              <w:adjustRightInd/>
              <w:snapToGrid/>
              <w:spacing w:line="264" w:lineRule="auto"/>
              <w:ind w:firstLine="0" w:firstLineChars="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采购代理机构及联系人电话</w:t>
            </w:r>
          </w:p>
        </w:tc>
        <w:tc>
          <w:tcPr>
            <w:tcW w:w="7877" w:type="dxa"/>
            <w:tcBorders>
              <w:tl2br w:val="nil"/>
              <w:tr2bl w:val="nil"/>
            </w:tcBorders>
            <w:vAlign w:val="top"/>
          </w:tcPr>
          <w:p w14:paraId="0B51B768">
            <w:pPr>
              <w:keepNext w:val="0"/>
              <w:keepLines w:val="0"/>
              <w:pageBreakBefore w:val="0"/>
              <w:widowControl w:val="0"/>
              <w:kinsoku/>
              <w:wordWrap/>
              <w:overflowPunct/>
              <w:topLinePunct w:val="0"/>
              <w:bidi w:val="0"/>
              <w:adjustRightInd/>
              <w:snapToGrid/>
              <w:spacing w:line="264" w:lineRule="auto"/>
              <w:ind w:firstLine="0" w:firstLineChars="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采购代理机构：青海鼎钊招标代理有限公司</w:t>
            </w:r>
          </w:p>
          <w:p w14:paraId="48C393EA">
            <w:pPr>
              <w:keepNext w:val="0"/>
              <w:keepLines w:val="0"/>
              <w:pageBreakBefore w:val="0"/>
              <w:widowControl w:val="0"/>
              <w:kinsoku/>
              <w:wordWrap/>
              <w:overflowPunct/>
              <w:topLinePunct w:val="0"/>
              <w:bidi w:val="0"/>
              <w:adjustRightInd/>
              <w:snapToGrid/>
              <w:spacing w:line="264" w:lineRule="auto"/>
              <w:ind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rPr>
              <w:t>联系人：</w:t>
            </w:r>
            <w:r>
              <w:rPr>
                <w:rFonts w:hint="eastAsia" w:ascii="宋体" w:hAnsi="宋体" w:eastAsia="宋体" w:cs="宋体"/>
                <w:color w:val="auto"/>
                <w:kern w:val="0"/>
                <w:sz w:val="24"/>
                <w:szCs w:val="24"/>
                <w:lang w:val="en-US" w:eastAsia="zh-CN"/>
              </w:rPr>
              <w:t>马女士、王先生</w:t>
            </w:r>
          </w:p>
          <w:p w14:paraId="0488774C">
            <w:pPr>
              <w:keepNext w:val="0"/>
              <w:keepLines w:val="0"/>
              <w:pageBreakBefore w:val="0"/>
              <w:widowControl w:val="0"/>
              <w:kinsoku/>
              <w:wordWrap/>
              <w:overflowPunct/>
              <w:topLinePunct w:val="0"/>
              <w:bidi w:val="0"/>
              <w:adjustRightInd/>
              <w:snapToGrid/>
              <w:spacing w:line="264" w:lineRule="auto"/>
              <w:ind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rPr>
              <w:t>联系电话：</w:t>
            </w:r>
            <w:r>
              <w:rPr>
                <w:rFonts w:hint="eastAsia" w:ascii="宋体" w:hAnsi="宋体" w:eastAsia="宋体" w:cs="宋体"/>
                <w:color w:val="auto"/>
                <w:kern w:val="0"/>
                <w:sz w:val="24"/>
                <w:szCs w:val="24"/>
                <w:lang w:val="en-US" w:eastAsia="zh-CN"/>
              </w:rPr>
              <w:t>0971-8179517</w:t>
            </w:r>
          </w:p>
          <w:p w14:paraId="77693626">
            <w:pPr>
              <w:keepNext w:val="0"/>
              <w:keepLines w:val="0"/>
              <w:pageBreakBefore w:val="0"/>
              <w:widowControl w:val="0"/>
              <w:kinsoku/>
              <w:wordWrap/>
              <w:overflowPunct/>
              <w:topLinePunct w:val="0"/>
              <w:bidi w:val="0"/>
              <w:adjustRightInd/>
              <w:snapToGrid/>
              <w:spacing w:line="264"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联系地址：</w:t>
            </w:r>
            <w:r>
              <w:rPr>
                <w:rFonts w:hint="eastAsia" w:ascii="宋体" w:hAnsi="宋体" w:eastAsia="宋体" w:cs="宋体"/>
                <w:color w:val="auto"/>
                <w:sz w:val="24"/>
                <w:szCs w:val="24"/>
                <w:lang w:eastAsia="zh-CN"/>
              </w:rPr>
              <w:t>西宁市东川工业园区金桥路39号1号楼2楼（新力景瑞新城）</w:t>
            </w:r>
          </w:p>
        </w:tc>
      </w:tr>
      <w:tr w14:paraId="14008B0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40" w:type="dxa"/>
            <w:bottom w:w="0" w:type="dxa"/>
            <w:right w:w="40" w:type="dxa"/>
          </w:tblCellMar>
        </w:tblPrEx>
        <w:trPr>
          <w:trHeight w:val="23" w:hRule="atLeast"/>
          <w:jc w:val="center"/>
        </w:trPr>
        <w:tc>
          <w:tcPr>
            <w:tcW w:w="2328" w:type="dxa"/>
            <w:tcBorders>
              <w:tl2br w:val="nil"/>
              <w:tr2bl w:val="nil"/>
            </w:tcBorders>
            <w:vAlign w:val="center"/>
          </w:tcPr>
          <w:p w14:paraId="169C7554">
            <w:pPr>
              <w:keepNext w:val="0"/>
              <w:keepLines w:val="0"/>
              <w:pageBreakBefore w:val="0"/>
              <w:widowControl w:val="0"/>
              <w:kinsoku/>
              <w:wordWrap/>
              <w:overflowPunct/>
              <w:topLinePunct w:val="0"/>
              <w:bidi w:val="0"/>
              <w:adjustRightInd/>
              <w:snapToGrid/>
              <w:spacing w:line="264" w:lineRule="auto"/>
              <w:ind w:firstLine="0" w:firstLineChars="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保证金</w:t>
            </w:r>
          </w:p>
        </w:tc>
        <w:tc>
          <w:tcPr>
            <w:tcW w:w="7877" w:type="dxa"/>
            <w:tcBorders>
              <w:tl2br w:val="nil"/>
              <w:tr2bl w:val="nil"/>
            </w:tcBorders>
            <w:vAlign w:val="center"/>
          </w:tcPr>
          <w:p w14:paraId="722DEC06">
            <w:pPr>
              <w:keepNext w:val="0"/>
              <w:keepLines w:val="0"/>
              <w:pageBreakBefore w:val="0"/>
              <w:widowControl w:val="0"/>
              <w:numPr>
                <w:ilvl w:val="0"/>
                <w:numId w:val="0"/>
              </w:numPr>
              <w:kinsoku/>
              <w:wordWrap/>
              <w:overflowPunct/>
              <w:topLinePunct w:val="0"/>
              <w:bidi w:val="0"/>
              <w:adjustRightInd/>
              <w:snapToGrid/>
              <w:spacing w:line="264"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u w:val="none"/>
                <w:lang w:val="en-US" w:eastAsia="zh-CN"/>
              </w:rPr>
              <w:t>1.谈判保证金金额：</w:t>
            </w:r>
            <w:r>
              <w:rPr>
                <w:rFonts w:hint="eastAsia" w:ascii="宋体" w:hAnsi="宋体" w:eastAsia="宋体" w:cs="宋体"/>
                <w:b/>
                <w:bCs/>
                <w:color w:val="auto"/>
                <w:sz w:val="24"/>
                <w:szCs w:val="24"/>
                <w:u w:val="none"/>
                <w:lang w:val="en-US" w:eastAsia="zh-CN"/>
              </w:rPr>
              <w:t>50000元</w:t>
            </w:r>
          </w:p>
          <w:p w14:paraId="7211188B">
            <w:pPr>
              <w:keepNext w:val="0"/>
              <w:keepLines w:val="0"/>
              <w:pageBreakBefore w:val="0"/>
              <w:widowControl w:val="0"/>
              <w:numPr>
                <w:ilvl w:val="0"/>
                <w:numId w:val="0"/>
              </w:numPr>
              <w:kinsoku/>
              <w:wordWrap/>
              <w:overflowPunct/>
              <w:topLinePunct w:val="0"/>
              <w:bidi w:val="0"/>
              <w:adjustRightInd/>
              <w:snapToGrid/>
              <w:spacing w:line="264" w:lineRule="auto"/>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2.开户银行：</w:t>
            </w:r>
            <w:r>
              <w:rPr>
                <w:rFonts w:hint="eastAsia" w:ascii="宋体" w:hAnsi="宋体" w:eastAsia="宋体" w:cs="宋体"/>
                <w:color w:val="auto"/>
                <w:sz w:val="24"/>
                <w:szCs w:val="24"/>
                <w:lang w:val="zh-CN"/>
              </w:rPr>
              <w:t>上海浦东发展银行股份有限公司西宁城东支行</w:t>
            </w:r>
          </w:p>
          <w:p w14:paraId="0D008364">
            <w:pPr>
              <w:keepNext w:val="0"/>
              <w:keepLines w:val="0"/>
              <w:pageBreakBefore w:val="0"/>
              <w:widowControl w:val="0"/>
              <w:numPr>
                <w:ilvl w:val="0"/>
                <w:numId w:val="0"/>
              </w:numPr>
              <w:kinsoku/>
              <w:wordWrap/>
              <w:overflowPunct/>
              <w:topLinePunct w:val="0"/>
              <w:bidi w:val="0"/>
              <w:adjustRightInd/>
              <w:snapToGrid/>
              <w:spacing w:line="264" w:lineRule="auto"/>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u w:val="none"/>
                <w:lang w:val="en-US" w:eastAsia="zh-CN"/>
              </w:rPr>
              <w:t>收款账号：</w:t>
            </w:r>
            <w:r>
              <w:rPr>
                <w:rFonts w:hint="eastAsia" w:ascii="宋体" w:hAnsi="宋体" w:eastAsia="宋体" w:cs="宋体"/>
                <w:color w:val="auto"/>
                <w:sz w:val="24"/>
                <w:szCs w:val="24"/>
                <w:lang w:eastAsia="zh-CN"/>
              </w:rPr>
              <w:t>35030078801500000377</w:t>
            </w:r>
          </w:p>
          <w:p w14:paraId="3ECF9AE9">
            <w:pPr>
              <w:pStyle w:val="27"/>
              <w:keepNext w:val="0"/>
              <w:keepLines w:val="0"/>
              <w:pageBreakBefore w:val="0"/>
              <w:widowControl w:val="0"/>
              <w:kinsoku/>
              <w:wordWrap/>
              <w:overflowPunct/>
              <w:topLinePunct w:val="0"/>
              <w:bidi w:val="0"/>
              <w:adjustRightInd/>
              <w:spacing w:line="264"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收款人：青海鼎钊招标代理有限公司</w:t>
            </w:r>
          </w:p>
          <w:p w14:paraId="34CE2BFE">
            <w:pPr>
              <w:keepNext w:val="0"/>
              <w:keepLines w:val="0"/>
              <w:pageBreakBefore w:val="0"/>
              <w:widowControl w:val="0"/>
              <w:numPr>
                <w:ilvl w:val="0"/>
                <w:numId w:val="0"/>
              </w:numPr>
              <w:kinsoku/>
              <w:wordWrap/>
              <w:overflowPunct/>
              <w:topLinePunct w:val="0"/>
              <w:bidi w:val="0"/>
              <w:adjustRightInd/>
              <w:snapToGrid/>
              <w:spacing w:line="264" w:lineRule="auto"/>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color w:val="auto"/>
                <w:sz w:val="24"/>
                <w:szCs w:val="24"/>
                <w:u w:val="none"/>
                <w:lang w:val="en-US" w:eastAsia="zh-CN"/>
              </w:rPr>
              <w:t>3.交付方式：</w:t>
            </w:r>
            <w:r>
              <w:rPr>
                <w:rFonts w:hint="eastAsia" w:ascii="宋体" w:hAnsi="宋体" w:eastAsia="宋体" w:cs="宋体"/>
                <w:b w:val="0"/>
                <w:bCs w:val="0"/>
                <w:color w:val="auto"/>
                <w:sz w:val="24"/>
                <w:szCs w:val="24"/>
              </w:rPr>
              <w:t>谈判保证金应当以转账、支票、本票或者金融机构、担保机构出具的保函等非现金形式提交。</w:t>
            </w:r>
          </w:p>
          <w:p w14:paraId="0D1BD37A">
            <w:pPr>
              <w:keepNext w:val="0"/>
              <w:keepLines w:val="0"/>
              <w:pageBreakBefore w:val="0"/>
              <w:widowControl w:val="0"/>
              <w:numPr>
                <w:ilvl w:val="0"/>
                <w:numId w:val="0"/>
              </w:numPr>
              <w:kinsoku/>
              <w:wordWrap/>
              <w:overflowPunct/>
              <w:topLinePunct w:val="0"/>
              <w:bidi w:val="0"/>
              <w:adjustRightInd/>
              <w:snapToGrid/>
              <w:spacing w:line="264"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4.其他注意事项（详见谈判文件）</w:t>
            </w:r>
          </w:p>
        </w:tc>
      </w:tr>
      <w:tr w14:paraId="54746AE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40" w:type="dxa"/>
            <w:bottom w:w="0" w:type="dxa"/>
            <w:right w:w="40" w:type="dxa"/>
          </w:tblCellMar>
        </w:tblPrEx>
        <w:trPr>
          <w:trHeight w:val="23" w:hRule="atLeast"/>
          <w:jc w:val="center"/>
        </w:trPr>
        <w:tc>
          <w:tcPr>
            <w:tcW w:w="2328" w:type="dxa"/>
            <w:tcBorders>
              <w:tl2br w:val="nil"/>
              <w:tr2bl w:val="nil"/>
            </w:tcBorders>
            <w:vAlign w:val="center"/>
          </w:tcPr>
          <w:p w14:paraId="1EE207ED">
            <w:pPr>
              <w:keepNext w:val="0"/>
              <w:keepLines w:val="0"/>
              <w:pageBreakBefore w:val="0"/>
              <w:widowControl w:val="0"/>
              <w:kinsoku/>
              <w:wordWrap/>
              <w:overflowPunct/>
              <w:topLinePunct w:val="0"/>
              <w:bidi w:val="0"/>
              <w:adjustRightInd/>
              <w:snapToGrid/>
              <w:spacing w:line="264" w:lineRule="auto"/>
              <w:ind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响应文件有效期</w:t>
            </w:r>
          </w:p>
        </w:tc>
        <w:tc>
          <w:tcPr>
            <w:tcW w:w="7877" w:type="dxa"/>
            <w:tcBorders>
              <w:tl2br w:val="nil"/>
              <w:tr2bl w:val="nil"/>
            </w:tcBorders>
            <w:vAlign w:val="center"/>
          </w:tcPr>
          <w:p w14:paraId="38E563DD">
            <w:pPr>
              <w:keepNext w:val="0"/>
              <w:keepLines w:val="0"/>
              <w:pageBreakBefore w:val="0"/>
              <w:widowControl w:val="0"/>
              <w:kinsoku/>
              <w:wordWrap/>
              <w:overflowPunct/>
              <w:topLinePunct w:val="0"/>
              <w:bidi w:val="0"/>
              <w:adjustRightInd/>
              <w:snapToGrid/>
              <w:spacing w:line="264" w:lineRule="auto"/>
              <w:ind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自谈判提交响应文件截止之日起不少于</w:t>
            </w:r>
            <w:r>
              <w:rPr>
                <w:rFonts w:hint="eastAsia" w:ascii="宋体" w:hAnsi="宋体" w:eastAsia="宋体" w:cs="宋体"/>
                <w:color w:val="auto"/>
                <w:sz w:val="24"/>
                <w:szCs w:val="24"/>
                <w:u w:val="none"/>
                <w:lang w:val="en-US" w:eastAsia="zh-CN"/>
              </w:rPr>
              <w:t>60</w:t>
            </w:r>
            <w:r>
              <w:rPr>
                <w:rFonts w:hint="eastAsia" w:ascii="宋体" w:hAnsi="宋体" w:eastAsia="宋体" w:cs="宋体"/>
                <w:color w:val="auto"/>
                <w:sz w:val="24"/>
                <w:szCs w:val="24"/>
                <w:lang w:val="en-US" w:eastAsia="zh-CN"/>
              </w:rPr>
              <w:t>天</w:t>
            </w:r>
          </w:p>
        </w:tc>
      </w:tr>
      <w:tr w14:paraId="7D1231B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40" w:type="dxa"/>
            <w:bottom w:w="0" w:type="dxa"/>
            <w:right w:w="40" w:type="dxa"/>
          </w:tblCellMar>
        </w:tblPrEx>
        <w:trPr>
          <w:trHeight w:val="23" w:hRule="atLeast"/>
          <w:jc w:val="center"/>
        </w:trPr>
        <w:tc>
          <w:tcPr>
            <w:tcW w:w="2328" w:type="dxa"/>
            <w:tcBorders>
              <w:tl2br w:val="nil"/>
              <w:tr2bl w:val="nil"/>
            </w:tcBorders>
            <w:vAlign w:val="center"/>
          </w:tcPr>
          <w:p w14:paraId="2A2F8625">
            <w:pPr>
              <w:keepNext w:val="0"/>
              <w:keepLines w:val="0"/>
              <w:pageBreakBefore w:val="0"/>
              <w:widowControl w:val="0"/>
              <w:kinsoku/>
              <w:wordWrap/>
              <w:overflowPunct/>
              <w:topLinePunct w:val="0"/>
              <w:bidi w:val="0"/>
              <w:adjustRightInd/>
              <w:snapToGrid/>
              <w:spacing w:line="264" w:lineRule="auto"/>
              <w:ind w:firstLine="0" w:firstLineChars="0"/>
              <w:jc w:val="both"/>
              <w:textAlignment w:val="auto"/>
              <w:rPr>
                <w:rFonts w:hint="eastAsia" w:ascii="宋体" w:hAnsi="宋体" w:eastAsia="宋体" w:cs="宋体"/>
                <w:bCs/>
                <w:color w:val="auto"/>
                <w:sz w:val="24"/>
                <w:szCs w:val="24"/>
              </w:rPr>
            </w:pPr>
            <w:r>
              <w:rPr>
                <w:rFonts w:hint="eastAsia" w:ascii="宋体" w:hAnsi="宋体" w:eastAsia="宋体" w:cs="宋体"/>
                <w:color w:val="auto"/>
                <w:sz w:val="24"/>
                <w:szCs w:val="24"/>
              </w:rPr>
              <w:t>响应文件的递交</w:t>
            </w:r>
            <w:r>
              <w:rPr>
                <w:rFonts w:hint="eastAsia" w:ascii="宋体" w:hAnsi="宋体" w:eastAsia="宋体" w:cs="宋体"/>
                <w:color w:val="auto"/>
                <w:sz w:val="24"/>
                <w:szCs w:val="24"/>
                <w:lang w:eastAsia="zh-CN"/>
              </w:rPr>
              <w:t>截止时间</w:t>
            </w:r>
          </w:p>
        </w:tc>
        <w:tc>
          <w:tcPr>
            <w:tcW w:w="7877" w:type="dxa"/>
            <w:tcBorders>
              <w:tl2br w:val="nil"/>
              <w:tr2bl w:val="nil"/>
            </w:tcBorders>
            <w:vAlign w:val="center"/>
          </w:tcPr>
          <w:p w14:paraId="328F09BB">
            <w:pPr>
              <w:keepNext w:val="0"/>
              <w:keepLines w:val="0"/>
              <w:pageBreakBefore w:val="0"/>
              <w:widowControl w:val="0"/>
              <w:kinsoku/>
              <w:wordWrap/>
              <w:overflowPunct/>
              <w:topLinePunct w:val="0"/>
              <w:bidi w:val="0"/>
              <w:adjustRightInd/>
              <w:snapToGrid/>
              <w:spacing w:line="264" w:lineRule="auto"/>
              <w:ind w:firstLine="0" w:firstLineChars="0"/>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lang w:val="zh-CN"/>
              </w:rPr>
              <w:t>2024年09月20日上午9:30</w:t>
            </w:r>
          </w:p>
        </w:tc>
      </w:tr>
      <w:tr w14:paraId="3E27714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40" w:type="dxa"/>
            <w:bottom w:w="0" w:type="dxa"/>
            <w:right w:w="40" w:type="dxa"/>
          </w:tblCellMar>
        </w:tblPrEx>
        <w:trPr>
          <w:trHeight w:val="23" w:hRule="atLeast"/>
          <w:jc w:val="center"/>
        </w:trPr>
        <w:tc>
          <w:tcPr>
            <w:tcW w:w="2328" w:type="dxa"/>
            <w:tcBorders>
              <w:tl2br w:val="nil"/>
              <w:tr2bl w:val="nil"/>
            </w:tcBorders>
            <w:vAlign w:val="center"/>
          </w:tcPr>
          <w:p w14:paraId="13CC8BBC">
            <w:pPr>
              <w:keepNext w:val="0"/>
              <w:keepLines w:val="0"/>
              <w:pageBreakBefore w:val="0"/>
              <w:widowControl w:val="0"/>
              <w:kinsoku/>
              <w:wordWrap/>
              <w:overflowPunct/>
              <w:topLinePunct w:val="0"/>
              <w:bidi w:val="0"/>
              <w:adjustRightInd/>
              <w:snapToGrid/>
              <w:spacing w:line="264" w:lineRule="auto"/>
              <w:ind w:firstLine="0" w:firstLineChars="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开启时间及谈判地点</w:t>
            </w:r>
          </w:p>
        </w:tc>
        <w:tc>
          <w:tcPr>
            <w:tcW w:w="7877" w:type="dxa"/>
            <w:tcBorders>
              <w:tl2br w:val="nil"/>
              <w:tr2bl w:val="nil"/>
            </w:tcBorders>
            <w:vAlign w:val="center"/>
          </w:tcPr>
          <w:p w14:paraId="355DD3C5">
            <w:pPr>
              <w:keepNext w:val="0"/>
              <w:keepLines w:val="0"/>
              <w:pageBreakBefore w:val="0"/>
              <w:widowControl w:val="0"/>
              <w:numPr>
                <w:ilvl w:val="0"/>
                <w:numId w:val="0"/>
              </w:numPr>
              <w:kinsoku/>
              <w:wordWrap/>
              <w:overflowPunct/>
              <w:topLinePunct w:val="0"/>
              <w:bidi w:val="0"/>
              <w:adjustRightInd/>
              <w:snapToGrid/>
              <w:spacing w:line="264" w:lineRule="auto"/>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1.响应文件开启时间：</w:t>
            </w:r>
            <w:r>
              <w:rPr>
                <w:rFonts w:hint="eastAsia" w:ascii="宋体" w:hAnsi="宋体" w:eastAsia="宋体" w:cs="宋体"/>
                <w:color w:val="auto"/>
                <w:sz w:val="24"/>
                <w:szCs w:val="24"/>
                <w:lang w:val="zh-CN"/>
              </w:rPr>
              <w:t>2024年09月20日上午9:30</w:t>
            </w:r>
          </w:p>
          <w:p w14:paraId="6EE674BE">
            <w:pPr>
              <w:keepNext w:val="0"/>
              <w:keepLines w:val="0"/>
              <w:pageBreakBefore w:val="0"/>
              <w:widowControl w:val="0"/>
              <w:numPr>
                <w:ilvl w:val="0"/>
                <w:numId w:val="0"/>
              </w:numPr>
              <w:kinsoku/>
              <w:wordWrap/>
              <w:overflowPunct/>
              <w:topLinePunct w:val="0"/>
              <w:bidi w:val="0"/>
              <w:adjustRightInd/>
              <w:snapToGrid/>
              <w:spacing w:line="264" w:lineRule="auto"/>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u w:val="none"/>
                <w:lang w:val="en-US" w:eastAsia="zh-CN"/>
              </w:rPr>
              <w:t>2.谈判地点：</w:t>
            </w:r>
            <w:r>
              <w:rPr>
                <w:rFonts w:hint="eastAsia" w:ascii="宋体" w:hAnsi="宋体" w:eastAsia="宋体" w:cs="宋体"/>
                <w:color w:val="auto"/>
                <w:sz w:val="24"/>
                <w:szCs w:val="24"/>
                <w:lang w:eastAsia="zh-CN"/>
              </w:rPr>
              <w:t>西宁市东川工业园区金桥路39号1号楼2楼（新力景瑞新城）</w:t>
            </w:r>
          </w:p>
        </w:tc>
      </w:tr>
      <w:tr w14:paraId="2065143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40" w:type="dxa"/>
            <w:bottom w:w="0" w:type="dxa"/>
            <w:right w:w="40" w:type="dxa"/>
          </w:tblCellMar>
        </w:tblPrEx>
        <w:trPr>
          <w:trHeight w:val="23" w:hRule="atLeast"/>
          <w:jc w:val="center"/>
        </w:trPr>
        <w:tc>
          <w:tcPr>
            <w:tcW w:w="2328" w:type="dxa"/>
            <w:tcBorders>
              <w:tl2br w:val="nil"/>
              <w:tr2bl w:val="nil"/>
            </w:tcBorders>
            <w:vAlign w:val="center"/>
          </w:tcPr>
          <w:p w14:paraId="44B06F91">
            <w:pPr>
              <w:keepNext w:val="0"/>
              <w:keepLines w:val="0"/>
              <w:pageBreakBefore w:val="0"/>
              <w:widowControl w:val="0"/>
              <w:kinsoku/>
              <w:wordWrap/>
              <w:overflowPunct/>
              <w:topLinePunct w:val="0"/>
              <w:bidi w:val="0"/>
              <w:adjustRightInd/>
              <w:snapToGrid/>
              <w:spacing w:line="264" w:lineRule="auto"/>
              <w:ind w:firstLine="0" w:firstLineChars="0"/>
              <w:jc w:val="both"/>
              <w:textAlignment w:val="auto"/>
              <w:rPr>
                <w:rFonts w:hint="eastAsia" w:ascii="宋体" w:hAnsi="宋体" w:eastAsia="宋体" w:cs="宋体"/>
                <w:bCs/>
                <w:color w:val="auto"/>
                <w:sz w:val="24"/>
                <w:szCs w:val="24"/>
              </w:rPr>
            </w:pPr>
            <w:r>
              <w:rPr>
                <w:rFonts w:hint="eastAsia" w:ascii="宋体" w:hAnsi="宋体" w:eastAsia="宋体" w:cs="宋体"/>
                <w:color w:val="auto"/>
                <w:sz w:val="24"/>
                <w:szCs w:val="24"/>
              </w:rPr>
              <w:t>财政部门指定的媒体</w:t>
            </w:r>
          </w:p>
        </w:tc>
        <w:tc>
          <w:tcPr>
            <w:tcW w:w="7877" w:type="dxa"/>
            <w:tcBorders>
              <w:tl2br w:val="nil"/>
              <w:tr2bl w:val="nil"/>
            </w:tcBorders>
            <w:vAlign w:val="center"/>
          </w:tcPr>
          <w:p w14:paraId="725647AF">
            <w:pPr>
              <w:keepNext w:val="0"/>
              <w:keepLines w:val="0"/>
              <w:pageBreakBefore w:val="0"/>
              <w:widowControl w:val="0"/>
              <w:kinsoku/>
              <w:wordWrap/>
              <w:overflowPunct/>
              <w:topLinePunct w:val="0"/>
              <w:bidi w:val="0"/>
              <w:adjustRightInd/>
              <w:snapToGrid/>
              <w:spacing w:line="264" w:lineRule="auto"/>
              <w:ind w:firstLine="0" w:firstLineChars="0"/>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青海政府采购网</w:t>
            </w:r>
            <w:r>
              <w:rPr>
                <w:rFonts w:hint="eastAsia" w:ascii="宋体" w:hAnsi="宋体" w:eastAsia="宋体" w:cs="宋体"/>
                <w:color w:val="auto"/>
                <w:sz w:val="24"/>
                <w:szCs w:val="24"/>
              </w:rPr>
              <w:t>》</w:t>
            </w:r>
          </w:p>
        </w:tc>
      </w:tr>
      <w:tr w14:paraId="1776878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40" w:type="dxa"/>
            <w:bottom w:w="0" w:type="dxa"/>
            <w:right w:w="40" w:type="dxa"/>
          </w:tblCellMar>
        </w:tblPrEx>
        <w:trPr>
          <w:trHeight w:val="23" w:hRule="atLeast"/>
          <w:jc w:val="center"/>
        </w:trPr>
        <w:tc>
          <w:tcPr>
            <w:tcW w:w="2328" w:type="dxa"/>
            <w:tcBorders>
              <w:tl2br w:val="nil"/>
              <w:tr2bl w:val="nil"/>
            </w:tcBorders>
            <w:vAlign w:val="center"/>
          </w:tcPr>
          <w:p w14:paraId="7AA7F0D1">
            <w:pPr>
              <w:keepNext w:val="0"/>
              <w:keepLines w:val="0"/>
              <w:pageBreakBefore w:val="0"/>
              <w:widowControl w:val="0"/>
              <w:kinsoku/>
              <w:wordWrap/>
              <w:overflowPunct/>
              <w:topLinePunct w:val="0"/>
              <w:bidi w:val="0"/>
              <w:adjustRightInd/>
              <w:snapToGrid/>
              <w:spacing w:line="264" w:lineRule="auto"/>
              <w:ind w:firstLine="0" w:firstLineChars="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政策功能</w:t>
            </w:r>
          </w:p>
        </w:tc>
        <w:tc>
          <w:tcPr>
            <w:tcW w:w="7877" w:type="dxa"/>
            <w:tcBorders>
              <w:tl2br w:val="nil"/>
              <w:tr2bl w:val="nil"/>
            </w:tcBorders>
            <w:vAlign w:val="center"/>
          </w:tcPr>
          <w:p w14:paraId="0E9ADC64">
            <w:pPr>
              <w:keepNext w:val="0"/>
              <w:keepLines w:val="0"/>
              <w:pageBreakBefore w:val="0"/>
              <w:widowControl w:val="0"/>
              <w:kinsoku/>
              <w:wordWrap/>
              <w:overflowPunct/>
              <w:topLinePunct w:val="0"/>
              <w:bidi w:val="0"/>
              <w:adjustRightInd/>
              <w:snapToGrid/>
              <w:spacing w:line="264" w:lineRule="auto"/>
              <w:ind w:firstLine="0" w:firstLineChars="0"/>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对于提供节能、环保标志产品，采购人及其委托的采购代理机构应当依据国家确定的认证机构出具的、处于有效期之内的节能产品、环境标志产品认证证书，对获得证书的产品实施政府优先采购或强制采购。对</w:t>
            </w:r>
            <w:r>
              <w:rPr>
                <w:rFonts w:hint="eastAsia" w:ascii="宋体" w:hAnsi="宋体" w:eastAsia="宋体" w:cs="宋体"/>
                <w:color w:val="auto"/>
                <w:sz w:val="24"/>
                <w:szCs w:val="24"/>
              </w:rPr>
              <w:t>符合《政府采购促进中小企业发展管理办法》规定的小微企业的报价，残疾人福利性单位、监狱企业的报价</w:t>
            </w:r>
            <w:r>
              <w:rPr>
                <w:rFonts w:hint="eastAsia" w:ascii="宋体" w:hAnsi="宋体" w:eastAsia="宋体" w:cs="宋体"/>
                <w:color w:val="auto"/>
                <w:sz w:val="24"/>
                <w:szCs w:val="24"/>
                <w:u w:val="none"/>
                <w:lang w:val="en-US" w:eastAsia="zh-CN"/>
              </w:rPr>
              <w:t>给予10%的价格扣除。</w:t>
            </w:r>
          </w:p>
        </w:tc>
      </w:tr>
      <w:tr w14:paraId="50FCDBF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40" w:type="dxa"/>
            <w:bottom w:w="0" w:type="dxa"/>
            <w:right w:w="40" w:type="dxa"/>
          </w:tblCellMar>
        </w:tblPrEx>
        <w:trPr>
          <w:trHeight w:val="23" w:hRule="atLeast"/>
          <w:jc w:val="center"/>
        </w:trPr>
        <w:tc>
          <w:tcPr>
            <w:tcW w:w="2328" w:type="dxa"/>
            <w:tcBorders>
              <w:tl2br w:val="nil"/>
              <w:tr2bl w:val="nil"/>
            </w:tcBorders>
            <w:vAlign w:val="center"/>
          </w:tcPr>
          <w:p w14:paraId="33F3D178">
            <w:pPr>
              <w:keepNext w:val="0"/>
              <w:keepLines w:val="0"/>
              <w:pageBreakBefore w:val="0"/>
              <w:widowControl w:val="0"/>
              <w:kinsoku/>
              <w:wordWrap/>
              <w:overflowPunct/>
              <w:topLinePunct w:val="0"/>
              <w:bidi w:val="0"/>
              <w:adjustRightInd/>
              <w:snapToGrid/>
              <w:spacing w:line="264" w:lineRule="auto"/>
              <w:ind w:firstLine="0" w:firstLineChars="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代理服务费</w:t>
            </w:r>
          </w:p>
        </w:tc>
        <w:tc>
          <w:tcPr>
            <w:tcW w:w="7877" w:type="dxa"/>
            <w:tcBorders>
              <w:tl2br w:val="nil"/>
              <w:tr2bl w:val="nil"/>
            </w:tcBorders>
            <w:vAlign w:val="center"/>
          </w:tcPr>
          <w:p w14:paraId="123F59F1">
            <w:pPr>
              <w:keepNext w:val="0"/>
              <w:keepLines w:val="0"/>
              <w:pageBreakBefore w:val="0"/>
              <w:widowControl w:val="0"/>
              <w:kinsoku/>
              <w:wordWrap/>
              <w:overflowPunct/>
              <w:topLinePunct w:val="0"/>
              <w:autoSpaceDE w:val="0"/>
              <w:autoSpaceDN w:val="0"/>
              <w:bidi w:val="0"/>
              <w:adjustRightInd/>
              <w:spacing w:line="264" w:lineRule="auto"/>
              <w:ind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rPr>
              <w:t>收取对象：</w:t>
            </w:r>
            <w:r>
              <w:rPr>
                <w:rFonts w:hint="eastAsia" w:ascii="宋体" w:hAnsi="宋体" w:eastAsia="宋体" w:cs="宋体"/>
                <w:b/>
                <w:bCs/>
                <w:color w:val="auto"/>
                <w:sz w:val="24"/>
                <w:szCs w:val="24"/>
                <w:lang w:val="en-US" w:eastAsia="zh-CN"/>
              </w:rPr>
              <w:t>成交供应商</w:t>
            </w:r>
          </w:p>
          <w:p w14:paraId="7E14314E">
            <w:pPr>
              <w:keepNext w:val="0"/>
              <w:keepLines w:val="0"/>
              <w:pageBreakBefore w:val="0"/>
              <w:widowControl w:val="0"/>
              <w:kinsoku/>
              <w:wordWrap/>
              <w:overflowPunct/>
              <w:topLinePunct w:val="0"/>
              <w:autoSpaceDE w:val="0"/>
              <w:autoSpaceDN w:val="0"/>
              <w:bidi w:val="0"/>
              <w:adjustRightInd/>
              <w:spacing w:line="264" w:lineRule="auto"/>
              <w:ind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rPr>
              <w:t>收费金额：</w:t>
            </w:r>
            <w:r>
              <w:rPr>
                <w:rFonts w:hint="eastAsia" w:ascii="宋体" w:hAnsi="宋体" w:eastAsia="宋体" w:cs="宋体"/>
                <w:b/>
                <w:bCs/>
                <w:color w:val="auto"/>
                <w:sz w:val="24"/>
                <w:szCs w:val="24"/>
                <w:lang w:val="en-US" w:eastAsia="zh-CN"/>
              </w:rPr>
              <w:t>33000</w:t>
            </w:r>
            <w:r>
              <w:rPr>
                <w:rFonts w:hint="eastAsia" w:ascii="宋体" w:hAnsi="宋体" w:eastAsia="宋体" w:cs="宋体"/>
                <w:b/>
                <w:bCs/>
                <w:color w:val="auto"/>
                <w:sz w:val="24"/>
                <w:szCs w:val="24"/>
                <w:lang w:val="zh-CN" w:eastAsia="zh-CN"/>
              </w:rPr>
              <w:t>元</w:t>
            </w:r>
          </w:p>
          <w:p w14:paraId="4D8FA3AE">
            <w:pPr>
              <w:keepNext w:val="0"/>
              <w:keepLines w:val="0"/>
              <w:pageBreakBefore w:val="0"/>
              <w:widowControl w:val="0"/>
              <w:kinsoku/>
              <w:wordWrap/>
              <w:overflowPunct/>
              <w:topLinePunct w:val="0"/>
              <w:autoSpaceDE w:val="0"/>
              <w:autoSpaceDN w:val="0"/>
              <w:bidi w:val="0"/>
              <w:adjustRightInd/>
              <w:spacing w:line="264" w:lineRule="auto"/>
              <w:ind w:firstLine="0" w:firstLineChars="0"/>
              <w:jc w:val="left"/>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收款单位：青海鼎钊招标代理有限公司</w:t>
            </w:r>
          </w:p>
          <w:p w14:paraId="1DA402CA">
            <w:pPr>
              <w:keepNext w:val="0"/>
              <w:keepLines w:val="0"/>
              <w:pageBreakBefore w:val="0"/>
              <w:widowControl w:val="0"/>
              <w:kinsoku/>
              <w:wordWrap/>
              <w:overflowPunct/>
              <w:topLinePunct w:val="0"/>
              <w:autoSpaceDE w:val="0"/>
              <w:autoSpaceDN w:val="0"/>
              <w:bidi w:val="0"/>
              <w:adjustRightInd/>
              <w:spacing w:line="264" w:lineRule="auto"/>
              <w:ind w:firstLine="0" w:firstLineChars="0"/>
              <w:jc w:val="left"/>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开户行：</w:t>
            </w:r>
            <w:r>
              <w:rPr>
                <w:rFonts w:hint="eastAsia" w:ascii="宋体" w:hAnsi="宋体" w:eastAsia="宋体" w:cs="宋体"/>
                <w:color w:val="auto"/>
                <w:sz w:val="24"/>
                <w:szCs w:val="24"/>
                <w:lang w:eastAsia="zh-CN"/>
              </w:rPr>
              <w:t>中国农业银行股份有限公司西宁城东经济技术开发区支行</w:t>
            </w:r>
          </w:p>
          <w:p w14:paraId="540BC977">
            <w:pPr>
              <w:keepNext w:val="0"/>
              <w:keepLines w:val="0"/>
              <w:pageBreakBefore w:val="0"/>
              <w:widowControl w:val="0"/>
              <w:kinsoku/>
              <w:wordWrap/>
              <w:overflowPunct/>
              <w:topLinePunct w:val="0"/>
              <w:bidi w:val="0"/>
              <w:adjustRightInd/>
              <w:snapToGrid/>
              <w:spacing w:line="264" w:lineRule="auto"/>
              <w:ind w:firstLine="0" w:firstLineChars="0"/>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lang w:val="zh-CN" w:eastAsia="zh-CN"/>
              </w:rPr>
              <w:t>银行账号：</w:t>
            </w:r>
            <w:r>
              <w:rPr>
                <w:rFonts w:hint="eastAsia" w:ascii="宋体" w:hAnsi="宋体" w:eastAsia="宋体" w:cs="宋体"/>
                <w:color w:val="auto"/>
                <w:sz w:val="24"/>
                <w:szCs w:val="24"/>
                <w:lang w:eastAsia="zh-CN"/>
              </w:rPr>
              <w:t>2801 2001 0400 0229 1</w:t>
            </w:r>
          </w:p>
        </w:tc>
      </w:tr>
      <w:tr w14:paraId="2F87DBF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40" w:type="dxa"/>
            <w:bottom w:w="0" w:type="dxa"/>
            <w:right w:w="40" w:type="dxa"/>
          </w:tblCellMar>
        </w:tblPrEx>
        <w:trPr>
          <w:trHeight w:val="23" w:hRule="atLeast"/>
          <w:jc w:val="center"/>
        </w:trPr>
        <w:tc>
          <w:tcPr>
            <w:tcW w:w="2328" w:type="dxa"/>
            <w:tcBorders>
              <w:tl2br w:val="nil"/>
              <w:tr2bl w:val="nil"/>
            </w:tcBorders>
            <w:vAlign w:val="center"/>
          </w:tcPr>
          <w:p w14:paraId="5A31AC2E">
            <w:pPr>
              <w:keepNext w:val="0"/>
              <w:keepLines w:val="0"/>
              <w:pageBreakBefore w:val="0"/>
              <w:widowControl w:val="0"/>
              <w:kinsoku/>
              <w:wordWrap/>
              <w:overflowPunct/>
              <w:topLinePunct w:val="0"/>
              <w:bidi w:val="0"/>
              <w:adjustRightInd/>
              <w:snapToGrid/>
              <w:spacing w:line="264" w:lineRule="auto"/>
              <w:ind w:firstLine="0" w:firstLineChars="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其他规定</w:t>
            </w:r>
          </w:p>
        </w:tc>
        <w:tc>
          <w:tcPr>
            <w:tcW w:w="7877" w:type="dxa"/>
            <w:tcBorders>
              <w:tl2br w:val="nil"/>
              <w:tr2bl w:val="nil"/>
            </w:tcBorders>
            <w:vAlign w:val="center"/>
          </w:tcPr>
          <w:p w14:paraId="042A79A0">
            <w:pPr>
              <w:keepNext w:val="0"/>
              <w:keepLines w:val="0"/>
              <w:pageBreakBefore w:val="0"/>
              <w:widowControl w:val="0"/>
              <w:kinsoku/>
              <w:wordWrap/>
              <w:overflowPunct/>
              <w:topLinePunct w:val="0"/>
              <w:bidi w:val="0"/>
              <w:adjustRightInd/>
              <w:snapToGrid/>
              <w:spacing w:line="264" w:lineRule="auto"/>
              <w:ind w:firstLine="0" w:firstLineChars="0"/>
              <w:jc w:val="left"/>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CN" w:eastAsia="zh-CN"/>
              </w:rPr>
              <w:t>公告发布</w:t>
            </w:r>
            <w:r>
              <w:rPr>
                <w:rFonts w:hint="eastAsia" w:ascii="宋体" w:hAnsi="宋体" w:eastAsia="宋体" w:cs="宋体"/>
                <w:color w:val="auto"/>
                <w:sz w:val="24"/>
                <w:szCs w:val="24"/>
                <w:lang w:val="en-US" w:eastAsia="zh-CN"/>
              </w:rPr>
              <w:t>网站</w:t>
            </w:r>
            <w:r>
              <w:rPr>
                <w:rFonts w:hint="eastAsia" w:ascii="宋体" w:hAnsi="宋体" w:eastAsia="宋体" w:cs="宋体"/>
                <w:color w:val="auto"/>
                <w:sz w:val="24"/>
                <w:szCs w:val="24"/>
                <w:lang w:val="zh-CN" w:eastAsia="zh-CN"/>
              </w:rPr>
              <w:t>：《青海政府采购网》、《青海省电子招标投标公共服务平台》、《青海项目信息网》，公告内容以《青海政府采购网》发布的为准。</w:t>
            </w:r>
          </w:p>
          <w:p w14:paraId="4612BFEF">
            <w:pPr>
              <w:keepNext w:val="0"/>
              <w:keepLines w:val="0"/>
              <w:pageBreakBefore w:val="0"/>
              <w:widowControl w:val="0"/>
              <w:kinsoku/>
              <w:wordWrap/>
              <w:overflowPunct/>
              <w:topLinePunct w:val="0"/>
              <w:bidi w:val="0"/>
              <w:adjustRightInd/>
              <w:snapToGrid/>
              <w:spacing w:line="264" w:lineRule="auto"/>
              <w:ind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2.本次采购采用线上提交电子响应文件的方式进行采购，电子响应文件须在提交响应文件截止时间前上传。</w:t>
            </w:r>
          </w:p>
          <w:p w14:paraId="64A51650">
            <w:pPr>
              <w:keepNext w:val="0"/>
              <w:keepLines w:val="0"/>
              <w:pageBreakBefore w:val="0"/>
              <w:widowControl w:val="0"/>
              <w:kinsoku/>
              <w:wordWrap/>
              <w:overflowPunct/>
              <w:topLinePunct w:val="0"/>
              <w:bidi w:val="0"/>
              <w:adjustRightInd/>
              <w:snapToGrid/>
              <w:spacing w:line="264" w:lineRule="auto"/>
              <w:ind w:firstLine="0" w:firstLineChars="0"/>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lang w:val="en-US" w:eastAsia="zh-CN"/>
              </w:rPr>
              <w:t>3.若对项目采购电子交易系统操作有疑问，可登录</w:t>
            </w:r>
            <w:r>
              <w:rPr>
                <w:rFonts w:hint="eastAsia" w:ascii="宋体" w:hAnsi="宋体" w:eastAsia="宋体" w:cs="宋体"/>
                <w:color w:val="auto"/>
                <w:sz w:val="24"/>
                <w:szCs w:val="24"/>
                <w:lang w:val="zh-CN"/>
              </w:rPr>
              <w:t>政采云平台</w:t>
            </w:r>
            <w:r>
              <w:rPr>
                <w:rFonts w:hint="eastAsia" w:ascii="宋体" w:hAnsi="宋体" w:eastAsia="宋体" w:cs="宋体"/>
                <w:color w:val="auto"/>
                <w:sz w:val="24"/>
                <w:szCs w:val="24"/>
                <w:lang w:val="en-US" w:eastAsia="zh-CN"/>
              </w:rPr>
              <w:t>点击右侧咨询小采或拨打政采云服务热线95763。</w:t>
            </w:r>
          </w:p>
        </w:tc>
      </w:tr>
      <w:tr w14:paraId="35C5AC1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40" w:type="dxa"/>
            <w:bottom w:w="0" w:type="dxa"/>
            <w:right w:w="40" w:type="dxa"/>
          </w:tblCellMar>
        </w:tblPrEx>
        <w:trPr>
          <w:trHeight w:val="23" w:hRule="atLeast"/>
          <w:jc w:val="center"/>
        </w:trPr>
        <w:tc>
          <w:tcPr>
            <w:tcW w:w="2328" w:type="dxa"/>
            <w:tcBorders>
              <w:tl2br w:val="nil"/>
              <w:tr2bl w:val="nil"/>
            </w:tcBorders>
            <w:vAlign w:val="center"/>
          </w:tcPr>
          <w:p w14:paraId="01BFF24C">
            <w:pPr>
              <w:keepNext w:val="0"/>
              <w:keepLines w:val="0"/>
              <w:pageBreakBefore w:val="0"/>
              <w:widowControl w:val="0"/>
              <w:kinsoku/>
              <w:wordWrap/>
              <w:overflowPunct/>
              <w:topLinePunct w:val="0"/>
              <w:bidi w:val="0"/>
              <w:adjustRightInd/>
              <w:snapToGrid/>
              <w:spacing w:line="264" w:lineRule="auto"/>
              <w:ind w:firstLine="0" w:firstLineChars="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财政监管部门及电话</w:t>
            </w:r>
          </w:p>
        </w:tc>
        <w:tc>
          <w:tcPr>
            <w:tcW w:w="7877" w:type="dxa"/>
            <w:tcBorders>
              <w:tl2br w:val="nil"/>
              <w:tr2bl w:val="nil"/>
            </w:tcBorders>
            <w:vAlign w:val="center"/>
          </w:tcPr>
          <w:p w14:paraId="083AD639">
            <w:pPr>
              <w:keepNext w:val="0"/>
              <w:keepLines w:val="0"/>
              <w:pageBreakBefore w:val="0"/>
              <w:widowControl w:val="0"/>
              <w:kinsoku/>
              <w:wordWrap/>
              <w:overflowPunct/>
              <w:topLinePunct w:val="0"/>
              <w:bidi w:val="0"/>
              <w:adjustRightInd/>
              <w:snapToGrid/>
              <w:spacing w:line="264" w:lineRule="auto"/>
              <w:ind w:firstLine="0" w:firstLineChars="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zh-CN"/>
              </w:rPr>
              <w:t>监督单位：</w:t>
            </w:r>
            <w:r>
              <w:rPr>
                <w:rFonts w:hint="eastAsia" w:ascii="宋体" w:hAnsi="宋体" w:eastAsia="宋体" w:cs="宋体"/>
                <w:color w:val="auto"/>
                <w:kern w:val="0"/>
                <w:sz w:val="24"/>
                <w:szCs w:val="24"/>
                <w:lang w:val="en-US" w:eastAsia="zh-CN"/>
              </w:rPr>
              <w:t>玉树市财政局</w:t>
            </w:r>
          </w:p>
          <w:p w14:paraId="396DD327">
            <w:pPr>
              <w:keepNext w:val="0"/>
              <w:keepLines w:val="0"/>
              <w:pageBreakBefore w:val="0"/>
              <w:widowControl w:val="0"/>
              <w:kinsoku/>
              <w:wordWrap/>
              <w:overflowPunct/>
              <w:topLinePunct w:val="0"/>
              <w:bidi w:val="0"/>
              <w:adjustRightInd/>
              <w:snapToGrid/>
              <w:spacing w:line="264" w:lineRule="auto"/>
              <w:ind w:firstLine="0" w:firstLineChars="0"/>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kern w:val="0"/>
                <w:sz w:val="24"/>
                <w:szCs w:val="24"/>
                <w:lang w:val="zh-CN"/>
              </w:rPr>
              <w:t>联系电话：0976-8824177</w:t>
            </w:r>
          </w:p>
        </w:tc>
      </w:tr>
    </w:tbl>
    <w:p w14:paraId="412C8715">
      <w:pPr>
        <w:spacing w:line="360" w:lineRule="auto"/>
        <w:jc w:val="right"/>
        <w:rPr>
          <w:rFonts w:hint="eastAsia" w:ascii="宋体" w:hAnsi="宋体" w:eastAsia="宋体" w:cs="宋体"/>
          <w:b w:val="0"/>
          <w:bCs w:val="0"/>
          <w:color w:val="auto"/>
          <w:sz w:val="24"/>
          <w:szCs w:val="24"/>
          <w:lang w:val="en-US" w:eastAsia="zh-CN"/>
        </w:rPr>
      </w:pPr>
      <w:bookmarkStart w:id="2" w:name="_Toc7063_WPSOffice_Level1"/>
      <w:bookmarkStart w:id="3" w:name="_Toc26774_WPSOffice_Level1"/>
      <w:bookmarkStart w:id="4" w:name="_Toc17554"/>
      <w:bookmarkStart w:id="5" w:name="_Toc29348_WPSOffice_Level1"/>
      <w:bookmarkStart w:id="6" w:name="_Toc68"/>
      <w:bookmarkStart w:id="7" w:name="_Toc29806_WPSOffice_Level1"/>
      <w:bookmarkStart w:id="8" w:name="_Toc13430_WPSOffice_Level1"/>
      <w:bookmarkStart w:id="9" w:name="_Toc25918_WPSOffice_Level1"/>
      <w:bookmarkStart w:id="10" w:name="_Toc19849"/>
      <w:r>
        <w:rPr>
          <w:rFonts w:hint="eastAsia" w:ascii="宋体" w:hAnsi="宋体" w:eastAsia="宋体" w:cs="宋体"/>
          <w:b w:val="0"/>
          <w:bCs w:val="0"/>
          <w:color w:val="auto"/>
          <w:sz w:val="24"/>
          <w:szCs w:val="24"/>
          <w:lang w:val="en-US" w:eastAsia="zh-CN"/>
        </w:rPr>
        <w:t>青海鼎钊招标代理有限公司</w:t>
      </w:r>
    </w:p>
    <w:p w14:paraId="0808C35B">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2024年</w:t>
      </w:r>
      <w:r>
        <w:rPr>
          <w:rFonts w:hint="eastAsia" w:ascii="宋体" w:hAnsi="宋体" w:eastAsia="宋体" w:cs="宋体"/>
          <w:color w:val="auto"/>
          <w:sz w:val="24"/>
          <w:szCs w:val="24"/>
          <w:lang w:val="en-US" w:eastAsia="zh-CN"/>
        </w:rPr>
        <w:t>09</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lang w:val="en-US" w:eastAsia="zh-CN"/>
        </w:rPr>
        <w:t>13日</w:t>
      </w:r>
    </w:p>
    <w:p w14:paraId="52C7F2C1">
      <w:pPr>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44"/>
          <w:szCs w:val="44"/>
          <w:lang w:val="en-US" w:eastAsia="zh-CN"/>
        </w:rPr>
        <w:br w:type="page"/>
      </w:r>
    </w:p>
    <w:p w14:paraId="6FBBF24B">
      <w:pPr>
        <w:pStyle w:val="3"/>
        <w:numPr>
          <w:ilvl w:val="0"/>
          <w:numId w:val="0"/>
        </w:numPr>
        <w:wordWrap/>
        <w:adjustRightInd w:val="0"/>
        <w:snapToGrid w:val="0"/>
        <w:spacing w:before="157" w:beforeLines="50" w:line="560" w:lineRule="exact"/>
        <w:jc w:val="center"/>
        <w:outlineLvl w:val="0"/>
        <w:rPr>
          <w:rFonts w:hint="eastAsia" w:ascii="宋体" w:hAnsi="宋体" w:eastAsia="宋体" w:cs="宋体"/>
          <w:b/>
          <w:bCs/>
          <w:color w:val="auto"/>
          <w:sz w:val="32"/>
          <w:szCs w:val="32"/>
          <w:lang w:val="en-US" w:eastAsia="zh-CN"/>
        </w:rPr>
      </w:pPr>
      <w:bookmarkStart w:id="11" w:name="_Toc19955"/>
      <w:r>
        <w:rPr>
          <w:rFonts w:hint="eastAsia" w:ascii="宋体" w:hAnsi="宋体" w:eastAsia="宋体" w:cs="宋体"/>
          <w:b/>
          <w:bCs/>
          <w:color w:val="auto"/>
          <w:sz w:val="32"/>
          <w:szCs w:val="32"/>
          <w:lang w:val="en-US" w:eastAsia="zh-CN"/>
        </w:rPr>
        <w:t>第二部分  谈判须知</w:t>
      </w:r>
      <w:bookmarkEnd w:id="2"/>
      <w:bookmarkEnd w:id="3"/>
      <w:bookmarkEnd w:id="4"/>
      <w:bookmarkEnd w:id="5"/>
      <w:bookmarkEnd w:id="6"/>
      <w:bookmarkEnd w:id="7"/>
      <w:bookmarkEnd w:id="8"/>
      <w:bookmarkEnd w:id="9"/>
      <w:bookmarkEnd w:id="10"/>
      <w:bookmarkEnd w:id="11"/>
    </w:p>
    <w:p w14:paraId="43EC3A25">
      <w:pPr>
        <w:pageBreakBefore w:val="0"/>
        <w:widowControl w:val="0"/>
        <w:kinsoku/>
        <w:wordWrap/>
        <w:overflowPunct/>
        <w:topLinePunct w:val="0"/>
        <w:autoSpaceDE/>
        <w:autoSpaceDN/>
        <w:bidi w:val="0"/>
        <w:adjustRightInd/>
        <w:snapToGrid/>
        <w:spacing w:before="157" w:beforeLines="50" w:line="360" w:lineRule="auto"/>
        <w:ind w:firstLine="0" w:firstLineChars="0"/>
        <w:jc w:val="center"/>
        <w:textAlignment w:val="auto"/>
        <w:outlineLvl w:val="1"/>
        <w:rPr>
          <w:rFonts w:hint="eastAsia" w:ascii="宋体" w:hAnsi="宋体" w:eastAsia="宋体" w:cs="宋体"/>
          <w:b/>
          <w:bCs/>
          <w:color w:val="auto"/>
          <w:kern w:val="2"/>
          <w:sz w:val="28"/>
          <w:szCs w:val="28"/>
          <w:lang w:val="en-US" w:eastAsia="zh-CN" w:bidi="ar-SA"/>
        </w:rPr>
      </w:pPr>
      <w:bookmarkStart w:id="12" w:name="_Toc8350"/>
      <w:bookmarkStart w:id="13" w:name="_Toc9336"/>
      <w:bookmarkStart w:id="14" w:name="_Toc34637765"/>
      <w:bookmarkStart w:id="15" w:name="_Toc17019_WPSOffice_Level2"/>
      <w:bookmarkStart w:id="16" w:name="_Toc27795"/>
      <w:bookmarkStart w:id="17" w:name="_Toc7063_WPSOffice_Level2"/>
      <w:bookmarkStart w:id="18" w:name="_Toc29348_WPSOffice_Level2"/>
      <w:bookmarkStart w:id="19" w:name="_Toc16562"/>
      <w:r>
        <w:rPr>
          <w:rFonts w:hint="eastAsia" w:ascii="宋体" w:hAnsi="宋体" w:eastAsia="宋体" w:cs="宋体"/>
          <w:b/>
          <w:bCs/>
          <w:color w:val="auto"/>
          <w:kern w:val="2"/>
          <w:sz w:val="28"/>
          <w:szCs w:val="28"/>
          <w:lang w:val="en-US" w:eastAsia="zh-CN" w:bidi="ar-SA"/>
        </w:rPr>
        <w:t>一、说明</w:t>
      </w:r>
      <w:bookmarkEnd w:id="12"/>
      <w:bookmarkEnd w:id="13"/>
      <w:bookmarkEnd w:id="14"/>
      <w:bookmarkEnd w:id="15"/>
      <w:bookmarkEnd w:id="16"/>
      <w:bookmarkEnd w:id="17"/>
      <w:bookmarkEnd w:id="18"/>
      <w:bookmarkEnd w:id="19"/>
    </w:p>
    <w:p w14:paraId="5915A75D">
      <w:pPr>
        <w:pStyle w:val="5"/>
        <w:pageBreakBefore w:val="0"/>
        <w:widowControl w:val="0"/>
        <w:kinsoku/>
        <w:wordWrap/>
        <w:overflowPunct/>
        <w:topLinePunct w:val="0"/>
        <w:autoSpaceDE/>
        <w:autoSpaceDN/>
        <w:bidi w:val="0"/>
        <w:adjustRightInd/>
        <w:snapToGrid/>
        <w:spacing w:before="157" w:beforeLines="5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20" w:name="_Toc7063_WPSOffice_Level3"/>
      <w:bookmarkStart w:id="21" w:name="_Toc11775_WPSOffice_Level3"/>
      <w:bookmarkStart w:id="22" w:name="_Toc29026"/>
      <w:bookmarkStart w:id="23" w:name="_Toc3322"/>
      <w:bookmarkStart w:id="24" w:name="_Toc13645"/>
      <w:r>
        <w:rPr>
          <w:rFonts w:hint="eastAsia" w:ascii="宋体" w:hAnsi="宋体" w:eastAsia="宋体" w:cs="宋体"/>
          <w:b/>
          <w:bCs/>
          <w:color w:val="auto"/>
          <w:kern w:val="2"/>
          <w:sz w:val="24"/>
          <w:szCs w:val="24"/>
          <w:lang w:val="en-US" w:eastAsia="zh-CN" w:bidi="ar-SA"/>
        </w:rPr>
        <w:t>1.适用范围</w:t>
      </w:r>
      <w:bookmarkEnd w:id="20"/>
      <w:bookmarkEnd w:id="21"/>
      <w:bookmarkEnd w:id="22"/>
      <w:bookmarkEnd w:id="23"/>
      <w:bookmarkEnd w:id="24"/>
    </w:p>
    <w:p w14:paraId="1769E62E">
      <w:pPr>
        <w:pageBreakBefore w:val="0"/>
        <w:widowControl w:val="0"/>
        <w:kinsoku/>
        <w:wordWrap/>
        <w:overflowPunct/>
        <w:topLinePunct w:val="0"/>
        <w:autoSpaceDE/>
        <w:autoSpaceDN/>
        <w:bidi w:val="0"/>
        <w:adjustRightInd/>
        <w:snapToGrid/>
        <w:spacing w:before="157" w:beforeLines="50" w:line="360" w:lineRule="auto"/>
        <w:ind w:firstLine="240" w:firstLineChars="1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本竞争性谈判文件仅适用于</w:t>
      </w:r>
      <w:r>
        <w:rPr>
          <w:rFonts w:hint="eastAsia" w:ascii="宋体" w:hAnsi="宋体" w:eastAsia="宋体" w:cs="宋体"/>
          <w:color w:val="auto"/>
          <w:sz w:val="24"/>
          <w:szCs w:val="24"/>
          <w:lang w:eastAsia="zh-CN"/>
        </w:rPr>
        <w:t>前述</w:t>
      </w:r>
      <w:r>
        <w:rPr>
          <w:rFonts w:hint="eastAsia" w:ascii="宋体" w:hAnsi="宋体" w:eastAsia="宋体" w:cs="宋体"/>
          <w:b/>
          <w:color w:val="auto"/>
          <w:sz w:val="24"/>
          <w:szCs w:val="24"/>
        </w:rPr>
        <w:t>【</w:t>
      </w:r>
      <w:r>
        <w:rPr>
          <w:rFonts w:hint="eastAsia" w:ascii="宋体" w:hAnsi="宋体" w:eastAsia="宋体" w:cs="宋体"/>
          <w:b w:val="0"/>
          <w:bCs/>
          <w:color w:val="auto"/>
          <w:sz w:val="24"/>
          <w:szCs w:val="24"/>
          <w:lang w:eastAsia="zh-CN"/>
        </w:rPr>
        <w:t>谈判须知前附表</w:t>
      </w:r>
      <w:r>
        <w:rPr>
          <w:rFonts w:hint="eastAsia" w:ascii="宋体" w:hAnsi="宋体" w:eastAsia="宋体" w:cs="宋体"/>
          <w:b/>
          <w:color w:val="auto"/>
          <w:sz w:val="24"/>
          <w:szCs w:val="24"/>
        </w:rPr>
        <w:t>】</w:t>
      </w:r>
      <w:r>
        <w:rPr>
          <w:rFonts w:hint="eastAsia" w:ascii="宋体" w:hAnsi="宋体" w:eastAsia="宋体" w:cs="宋体"/>
          <w:color w:val="auto"/>
          <w:sz w:val="24"/>
          <w:szCs w:val="24"/>
        </w:rPr>
        <w:t>中所叙述的采购项目。</w:t>
      </w:r>
    </w:p>
    <w:p w14:paraId="1CEE6062">
      <w:pPr>
        <w:pStyle w:val="5"/>
        <w:pageBreakBefore w:val="0"/>
        <w:widowControl w:val="0"/>
        <w:kinsoku/>
        <w:wordWrap/>
        <w:overflowPunct/>
        <w:topLinePunct w:val="0"/>
        <w:autoSpaceDE/>
        <w:autoSpaceDN/>
        <w:bidi w:val="0"/>
        <w:adjustRightInd/>
        <w:snapToGrid/>
        <w:spacing w:before="157" w:beforeLines="5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25" w:name="_Toc2112"/>
      <w:bookmarkStart w:id="26" w:name="_Toc2404_WPSOffice_Level3"/>
      <w:bookmarkStart w:id="27" w:name="_Toc1646"/>
      <w:bookmarkStart w:id="28" w:name="_Toc12080"/>
      <w:bookmarkStart w:id="29" w:name="_Toc15754_WPSOffice_Level3"/>
      <w:r>
        <w:rPr>
          <w:rFonts w:hint="eastAsia" w:ascii="宋体" w:hAnsi="宋体" w:eastAsia="宋体" w:cs="宋体"/>
          <w:b/>
          <w:bCs/>
          <w:color w:val="auto"/>
          <w:kern w:val="2"/>
          <w:sz w:val="24"/>
          <w:szCs w:val="24"/>
          <w:lang w:val="en-US" w:eastAsia="zh-CN" w:bidi="ar-SA"/>
        </w:rPr>
        <w:t>2.采购人及代理机构</w:t>
      </w:r>
      <w:bookmarkEnd w:id="25"/>
      <w:bookmarkEnd w:id="26"/>
      <w:bookmarkEnd w:id="27"/>
      <w:bookmarkEnd w:id="28"/>
      <w:bookmarkEnd w:id="29"/>
    </w:p>
    <w:p w14:paraId="62031387">
      <w:pPr>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2.2</w:t>
      </w:r>
      <w:r>
        <w:rPr>
          <w:rFonts w:hint="eastAsia" w:ascii="宋体" w:hAnsi="宋体" w:eastAsia="宋体" w:cs="宋体"/>
          <w:color w:val="auto"/>
          <w:sz w:val="24"/>
          <w:szCs w:val="24"/>
        </w:rPr>
        <w:t>采购人名称、地址、电话、联系人见【</w:t>
      </w:r>
      <w:r>
        <w:rPr>
          <w:rFonts w:hint="eastAsia" w:ascii="宋体" w:hAnsi="宋体" w:eastAsia="宋体" w:cs="宋体"/>
          <w:color w:val="auto"/>
          <w:sz w:val="24"/>
          <w:szCs w:val="24"/>
          <w:lang w:eastAsia="zh-CN"/>
        </w:rPr>
        <w:t>谈判须知前附表</w:t>
      </w:r>
      <w:r>
        <w:rPr>
          <w:rFonts w:hint="eastAsia" w:ascii="宋体" w:hAnsi="宋体" w:eastAsia="宋体" w:cs="宋体"/>
          <w:color w:val="auto"/>
          <w:sz w:val="24"/>
          <w:szCs w:val="24"/>
        </w:rPr>
        <w:t>】。</w:t>
      </w:r>
    </w:p>
    <w:p w14:paraId="0300D739">
      <w:pPr>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2.3</w:t>
      </w:r>
      <w:r>
        <w:rPr>
          <w:rFonts w:hint="eastAsia" w:ascii="宋体" w:hAnsi="宋体" w:eastAsia="宋体" w:cs="宋体"/>
          <w:color w:val="auto"/>
          <w:sz w:val="24"/>
          <w:szCs w:val="24"/>
        </w:rPr>
        <w:t>采购</w:t>
      </w:r>
      <w:r>
        <w:rPr>
          <w:rFonts w:hint="eastAsia" w:ascii="宋体" w:hAnsi="宋体" w:eastAsia="宋体" w:cs="宋体"/>
          <w:color w:val="auto"/>
          <w:sz w:val="24"/>
          <w:szCs w:val="24"/>
          <w:lang w:val="zh-CN"/>
        </w:rPr>
        <w:t>代理机构名称</w:t>
      </w:r>
      <w:r>
        <w:rPr>
          <w:rFonts w:hint="eastAsia" w:ascii="宋体" w:hAnsi="宋体" w:eastAsia="宋体" w:cs="宋体"/>
          <w:color w:val="auto"/>
          <w:sz w:val="24"/>
          <w:szCs w:val="24"/>
        </w:rPr>
        <w:t>、地址、电话、联系人</w:t>
      </w:r>
      <w:r>
        <w:rPr>
          <w:rFonts w:hint="eastAsia" w:ascii="宋体" w:hAnsi="宋体" w:eastAsia="宋体" w:cs="宋体"/>
          <w:color w:val="auto"/>
          <w:sz w:val="24"/>
          <w:szCs w:val="24"/>
          <w:lang w:eastAsia="zh-CN"/>
        </w:rPr>
        <w:t>、邮箱</w:t>
      </w:r>
      <w:r>
        <w:rPr>
          <w:rFonts w:hint="eastAsia" w:ascii="宋体" w:hAnsi="宋体" w:eastAsia="宋体" w:cs="宋体"/>
          <w:color w:val="auto"/>
          <w:sz w:val="24"/>
          <w:szCs w:val="24"/>
        </w:rPr>
        <w:t>见【</w:t>
      </w:r>
      <w:r>
        <w:rPr>
          <w:rFonts w:hint="eastAsia" w:ascii="宋体" w:hAnsi="宋体" w:eastAsia="宋体" w:cs="宋体"/>
          <w:color w:val="auto"/>
          <w:sz w:val="24"/>
          <w:szCs w:val="24"/>
          <w:lang w:eastAsia="zh-CN"/>
        </w:rPr>
        <w:t>谈判须知前附表</w:t>
      </w:r>
      <w:r>
        <w:rPr>
          <w:rFonts w:hint="eastAsia" w:ascii="宋体" w:hAnsi="宋体" w:eastAsia="宋体" w:cs="宋体"/>
          <w:color w:val="auto"/>
          <w:sz w:val="24"/>
          <w:szCs w:val="24"/>
        </w:rPr>
        <w:t>】。</w:t>
      </w:r>
    </w:p>
    <w:p w14:paraId="425EB7EC">
      <w:pPr>
        <w:pStyle w:val="5"/>
        <w:pageBreakBefore w:val="0"/>
        <w:widowControl w:val="0"/>
        <w:kinsoku/>
        <w:wordWrap/>
        <w:overflowPunct/>
        <w:topLinePunct w:val="0"/>
        <w:autoSpaceDE/>
        <w:autoSpaceDN/>
        <w:bidi w:val="0"/>
        <w:adjustRightInd/>
        <w:snapToGrid/>
        <w:spacing w:before="157" w:beforeLines="5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30" w:name="_Toc8089_WPSOffice_Level3"/>
      <w:bookmarkStart w:id="31" w:name="_Toc19728"/>
      <w:bookmarkStart w:id="32" w:name="_Toc955_WPSOffice_Level3"/>
      <w:bookmarkStart w:id="33" w:name="_Toc21695"/>
      <w:bookmarkStart w:id="34" w:name="_Toc31395"/>
      <w:r>
        <w:rPr>
          <w:rFonts w:hint="eastAsia" w:ascii="宋体" w:hAnsi="宋体" w:eastAsia="宋体" w:cs="宋体"/>
          <w:b/>
          <w:bCs/>
          <w:color w:val="auto"/>
          <w:kern w:val="2"/>
          <w:sz w:val="24"/>
          <w:szCs w:val="24"/>
          <w:lang w:val="en-US" w:eastAsia="zh-CN" w:bidi="ar-SA"/>
        </w:rPr>
        <w:t>3.供应商的资格要求</w:t>
      </w:r>
      <w:bookmarkEnd w:id="30"/>
      <w:bookmarkEnd w:id="31"/>
      <w:bookmarkEnd w:id="32"/>
      <w:bookmarkEnd w:id="33"/>
      <w:bookmarkEnd w:id="34"/>
    </w:p>
    <w:p w14:paraId="6FCD28AF">
      <w:pPr>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3.1供应商是指响应谈判文件要求、参加竞争性谈判采购的法人、其他组织或者自然人。</w:t>
      </w:r>
    </w:p>
    <w:p w14:paraId="7463B535">
      <w:pPr>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3.2供应商应当符合【谈判须知前附表】规定的供应商资格条件。</w:t>
      </w:r>
    </w:p>
    <w:p w14:paraId="6FA1E65A">
      <w:pPr>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3.3【谈判须知前附表】规定接受联合体形式的，供应商除应符合上述资格条件的规定外，还应遵守以下规定：</w:t>
      </w:r>
    </w:p>
    <w:p w14:paraId="292E325F">
      <w:pPr>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（l）联合体中有同类资质的供应商按照联合体分工承担相同工作的，应当按照资质等级较低的供应商确定资质等级。</w:t>
      </w:r>
    </w:p>
    <w:p w14:paraId="0D9D2963">
      <w:pPr>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（2）联合体各方应按谈判文件提供的格式签订联合体协议书，明确联合体牵头人和各方的权利义务、合同工作量比例；</w:t>
      </w:r>
    </w:p>
    <w:p w14:paraId="78E260AC">
      <w:pPr>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rPr>
        <w:t>（3）联合体各方签订联合体协议书后，</w:t>
      </w:r>
      <w:r>
        <w:rPr>
          <w:rFonts w:hint="eastAsia" w:ascii="宋体" w:hAnsi="宋体" w:eastAsia="宋体" w:cs="宋体"/>
          <w:color w:val="auto"/>
          <w:sz w:val="24"/>
          <w:szCs w:val="24"/>
          <w:lang w:val="zh-CN"/>
        </w:rPr>
        <w:t>不得再单独参加或者与其他供应商组成新的联合体参加同一合同项下的采购活动。</w:t>
      </w:r>
    </w:p>
    <w:p w14:paraId="6FAF5E75">
      <w:pPr>
        <w:pStyle w:val="5"/>
        <w:pageBreakBefore w:val="0"/>
        <w:widowControl w:val="0"/>
        <w:kinsoku/>
        <w:wordWrap/>
        <w:overflowPunct/>
        <w:topLinePunct w:val="0"/>
        <w:autoSpaceDE/>
        <w:autoSpaceDN/>
        <w:bidi w:val="0"/>
        <w:adjustRightInd/>
        <w:snapToGrid/>
        <w:spacing w:before="157" w:beforeLines="5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35" w:name="_Toc13228"/>
      <w:bookmarkStart w:id="36" w:name="_Toc15386"/>
      <w:bookmarkStart w:id="37" w:name="_Toc18921"/>
      <w:bookmarkStart w:id="38" w:name="_Toc29322_WPSOffice_Level3"/>
      <w:bookmarkStart w:id="39" w:name="_Toc24112_WPSOffice_Level3"/>
      <w:r>
        <w:rPr>
          <w:rFonts w:hint="eastAsia" w:ascii="宋体" w:hAnsi="宋体" w:eastAsia="宋体" w:cs="宋体"/>
          <w:b/>
          <w:bCs/>
          <w:color w:val="auto"/>
          <w:kern w:val="2"/>
          <w:sz w:val="24"/>
          <w:szCs w:val="24"/>
          <w:lang w:val="en-US" w:eastAsia="zh-CN" w:bidi="ar-SA"/>
        </w:rPr>
        <w:t>4.谈判费用</w:t>
      </w:r>
      <w:bookmarkEnd w:id="35"/>
      <w:bookmarkEnd w:id="36"/>
      <w:bookmarkEnd w:id="37"/>
      <w:bookmarkEnd w:id="38"/>
      <w:bookmarkEnd w:id="39"/>
    </w:p>
    <w:p w14:paraId="62B338F4">
      <w:pPr>
        <w:pageBreakBefore w:val="0"/>
        <w:widowControl w:val="0"/>
        <w:kinsoku/>
        <w:wordWrap/>
        <w:overflowPunct/>
        <w:topLinePunct w:val="0"/>
        <w:autoSpaceDE/>
        <w:autoSpaceDN/>
        <w:bidi w:val="0"/>
        <w:adjustRightInd/>
        <w:snapToGrid/>
        <w:spacing w:before="157" w:beforeLines="50" w:line="360" w:lineRule="auto"/>
        <w:ind w:firstLine="240" w:firstLineChars="1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无论谈判的结果如何，供应商应自行承担所有与竞争性谈判采购活动有关的全部费用。</w:t>
      </w:r>
    </w:p>
    <w:p w14:paraId="36453553">
      <w:pPr>
        <w:pageBreakBefore w:val="0"/>
        <w:widowControl w:val="0"/>
        <w:kinsoku/>
        <w:wordWrap/>
        <w:overflowPunct/>
        <w:topLinePunct w:val="0"/>
        <w:autoSpaceDE/>
        <w:autoSpaceDN/>
        <w:bidi w:val="0"/>
        <w:adjustRightInd/>
        <w:snapToGrid/>
        <w:spacing w:before="157" w:beforeLines="50" w:line="360" w:lineRule="auto"/>
        <w:jc w:val="center"/>
        <w:textAlignment w:val="auto"/>
        <w:outlineLvl w:val="1"/>
        <w:rPr>
          <w:rFonts w:hint="eastAsia" w:ascii="宋体" w:hAnsi="宋体" w:eastAsia="宋体" w:cs="宋体"/>
          <w:b/>
          <w:bCs/>
          <w:color w:val="auto"/>
          <w:kern w:val="2"/>
          <w:sz w:val="28"/>
          <w:szCs w:val="28"/>
          <w:lang w:val="en-US" w:eastAsia="zh-CN" w:bidi="ar-SA"/>
        </w:rPr>
      </w:pPr>
      <w:bookmarkStart w:id="40" w:name="_Toc34637766"/>
      <w:bookmarkStart w:id="41" w:name="_Toc28758"/>
      <w:bookmarkStart w:id="42" w:name="_Toc24182"/>
      <w:bookmarkStart w:id="43" w:name="_Toc24356"/>
      <w:bookmarkStart w:id="44" w:name="_Toc2404_WPSOffice_Level2"/>
      <w:bookmarkStart w:id="45" w:name="_Toc19663_WPSOffice_Level2"/>
      <w:bookmarkStart w:id="46" w:name="_Toc5605"/>
      <w:bookmarkStart w:id="47" w:name="_Toc4912_WPSOffice_Level2"/>
      <w:r>
        <w:rPr>
          <w:rFonts w:hint="eastAsia" w:ascii="宋体" w:hAnsi="宋体" w:eastAsia="宋体" w:cs="宋体"/>
          <w:b/>
          <w:bCs/>
          <w:color w:val="auto"/>
          <w:kern w:val="2"/>
          <w:sz w:val="28"/>
          <w:szCs w:val="28"/>
          <w:lang w:val="en-US" w:eastAsia="zh-CN" w:bidi="ar-SA"/>
        </w:rPr>
        <w:t>二、谈判文件</w:t>
      </w:r>
      <w:bookmarkEnd w:id="40"/>
      <w:bookmarkEnd w:id="41"/>
      <w:bookmarkEnd w:id="42"/>
      <w:bookmarkEnd w:id="43"/>
      <w:bookmarkEnd w:id="44"/>
      <w:bookmarkEnd w:id="45"/>
      <w:bookmarkEnd w:id="46"/>
      <w:bookmarkEnd w:id="47"/>
    </w:p>
    <w:p w14:paraId="3EC9F6E6">
      <w:pPr>
        <w:pStyle w:val="5"/>
        <w:pageBreakBefore w:val="0"/>
        <w:widowControl w:val="0"/>
        <w:kinsoku/>
        <w:wordWrap/>
        <w:overflowPunct/>
        <w:topLinePunct w:val="0"/>
        <w:autoSpaceDE/>
        <w:autoSpaceDN/>
        <w:bidi w:val="0"/>
        <w:adjustRightInd/>
        <w:snapToGrid/>
        <w:spacing w:before="157" w:beforeLines="5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48" w:name="_Toc14464"/>
      <w:bookmarkStart w:id="49" w:name="_Toc1826"/>
      <w:bookmarkStart w:id="50" w:name="_Toc18786_WPSOffice_Level3"/>
      <w:bookmarkStart w:id="51" w:name="_Toc29785_WPSOffice_Level3"/>
      <w:bookmarkStart w:id="52" w:name="_Toc19841"/>
      <w:r>
        <w:rPr>
          <w:rFonts w:hint="eastAsia" w:ascii="宋体" w:hAnsi="宋体" w:eastAsia="宋体" w:cs="宋体"/>
          <w:b/>
          <w:bCs/>
          <w:color w:val="auto"/>
          <w:kern w:val="2"/>
          <w:sz w:val="24"/>
          <w:szCs w:val="24"/>
          <w:lang w:val="en-US" w:eastAsia="zh-CN" w:bidi="ar-SA"/>
        </w:rPr>
        <w:t>5.谈判文件的组成</w:t>
      </w:r>
      <w:bookmarkEnd w:id="48"/>
      <w:bookmarkEnd w:id="49"/>
      <w:bookmarkEnd w:id="50"/>
      <w:bookmarkEnd w:id="51"/>
      <w:bookmarkEnd w:id="52"/>
    </w:p>
    <w:p w14:paraId="4859A45E">
      <w:pPr>
        <w:pStyle w:val="1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5.1谈判文件由下列文件组成：</w:t>
      </w:r>
    </w:p>
    <w:p w14:paraId="241768ED">
      <w:pPr>
        <w:pStyle w:val="1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谈判须知前附表</w:t>
      </w:r>
    </w:p>
    <w:p w14:paraId="48A48B16">
      <w:pPr>
        <w:pStyle w:val="1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（2）谈判须知</w:t>
      </w:r>
    </w:p>
    <w:p w14:paraId="4EAFE48E">
      <w:pPr>
        <w:pStyle w:val="1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（3）采购需求</w:t>
      </w:r>
    </w:p>
    <w:p w14:paraId="3B3EC2DB">
      <w:pPr>
        <w:pStyle w:val="1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（4）响应文件格式</w:t>
      </w:r>
    </w:p>
    <w:p w14:paraId="2E1F4938">
      <w:pPr>
        <w:pStyle w:val="1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（5）青海省政府采购项目合同书</w:t>
      </w:r>
    </w:p>
    <w:p w14:paraId="7970A940">
      <w:pPr>
        <w:pStyle w:val="1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5.2采购人、采购代理机构或者谈判小组在提交首次响应文件截止之日前对已发出的谈判文件进行的澄清或者修改，构成谈判文件的组成部分。</w:t>
      </w:r>
    </w:p>
    <w:p w14:paraId="5E422581">
      <w:pPr>
        <w:pStyle w:val="1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5.3谈判文件中，谈判小组根据与供应商谈判情况可能实质性变动的内容见【谈判须知前附表】。对谈判文件作出的实质性变动是谈判文件的有效组成部分。</w:t>
      </w:r>
    </w:p>
    <w:p w14:paraId="7AACABD5">
      <w:pPr>
        <w:pStyle w:val="5"/>
        <w:pageBreakBefore w:val="0"/>
        <w:widowControl w:val="0"/>
        <w:kinsoku/>
        <w:wordWrap/>
        <w:overflowPunct/>
        <w:topLinePunct w:val="0"/>
        <w:autoSpaceDE/>
        <w:autoSpaceDN/>
        <w:bidi w:val="0"/>
        <w:adjustRightInd/>
        <w:snapToGrid/>
        <w:spacing w:before="157" w:beforeLines="5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53" w:name="_Toc27269"/>
      <w:bookmarkStart w:id="54" w:name="_Toc1317"/>
      <w:bookmarkStart w:id="55" w:name="_Toc18056"/>
      <w:bookmarkStart w:id="56" w:name="_Toc25455_WPSOffice_Level3"/>
      <w:bookmarkStart w:id="57" w:name="_Toc31604_WPSOffice_Level3"/>
      <w:r>
        <w:rPr>
          <w:rFonts w:hint="eastAsia" w:ascii="宋体" w:hAnsi="宋体" w:eastAsia="宋体" w:cs="宋体"/>
          <w:b/>
          <w:bCs/>
          <w:color w:val="auto"/>
          <w:kern w:val="2"/>
          <w:sz w:val="24"/>
          <w:szCs w:val="24"/>
          <w:lang w:val="en-US" w:eastAsia="zh-CN" w:bidi="ar-SA"/>
        </w:rPr>
        <w:t>6.谈判文件的澄清</w:t>
      </w:r>
      <w:r>
        <w:rPr>
          <w:rFonts w:hint="eastAsia" w:ascii="宋体" w:hAnsi="宋体" w:eastAsia="宋体" w:cs="宋体"/>
          <w:b/>
          <w:bCs/>
          <w:color w:val="auto"/>
          <w:kern w:val="2"/>
          <w:sz w:val="24"/>
          <w:szCs w:val="24"/>
          <w:lang w:val="zh-CN" w:eastAsia="zh-CN" w:bidi="ar-SA"/>
        </w:rPr>
        <w:t>或者</w:t>
      </w:r>
      <w:r>
        <w:rPr>
          <w:rFonts w:hint="eastAsia" w:ascii="宋体" w:hAnsi="宋体" w:eastAsia="宋体" w:cs="宋体"/>
          <w:b/>
          <w:bCs/>
          <w:color w:val="auto"/>
          <w:kern w:val="2"/>
          <w:sz w:val="24"/>
          <w:szCs w:val="24"/>
          <w:lang w:val="en-US" w:eastAsia="zh-CN" w:bidi="ar-SA"/>
        </w:rPr>
        <w:t>修改</w:t>
      </w:r>
      <w:bookmarkEnd w:id="53"/>
      <w:bookmarkEnd w:id="54"/>
      <w:bookmarkEnd w:id="55"/>
      <w:bookmarkEnd w:id="56"/>
      <w:bookmarkEnd w:id="57"/>
    </w:p>
    <w:p w14:paraId="490CD71C">
      <w:pPr>
        <w:pStyle w:val="1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6.1在提交首次响应文件截止之日前，采购人、采购代理机构或者谈判小组可以对已发出的谈判文件进行必要的澄清或者修改。</w:t>
      </w:r>
    </w:p>
    <w:p w14:paraId="7445B332">
      <w:pPr>
        <w:pStyle w:val="1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6.2澄清或者修改的内容可能影响响应文件编制的，采购人、采购代理机构或者谈判小组应当在提交首次响应文件截止之日3个工作日前，以书面形式通知所有接收谈判文件的供应商，不足3个工作日的，顺延供应商提交首次响应文件截止时间。</w:t>
      </w:r>
    </w:p>
    <w:p w14:paraId="4F1A33C5">
      <w:pPr>
        <w:pStyle w:val="5"/>
        <w:pageBreakBefore w:val="0"/>
        <w:widowControl w:val="0"/>
        <w:kinsoku/>
        <w:wordWrap/>
        <w:overflowPunct/>
        <w:topLinePunct w:val="0"/>
        <w:autoSpaceDE/>
        <w:autoSpaceDN/>
        <w:bidi w:val="0"/>
        <w:adjustRightInd/>
        <w:snapToGrid/>
        <w:spacing w:before="157" w:beforeLines="5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58" w:name="_Toc6866_WPSOffice_Level3"/>
      <w:bookmarkStart w:id="59" w:name="_Toc4138_WPSOffice_Level3"/>
      <w:bookmarkStart w:id="60" w:name="_Toc27617"/>
      <w:bookmarkStart w:id="61" w:name="_Toc27004"/>
      <w:bookmarkStart w:id="62" w:name="_Toc30"/>
      <w:bookmarkStart w:id="63" w:name="_Toc25126"/>
      <w:bookmarkStart w:id="64" w:name="_Toc34637767"/>
      <w:r>
        <w:rPr>
          <w:rFonts w:hint="eastAsia" w:ascii="宋体" w:hAnsi="宋体" w:eastAsia="宋体" w:cs="宋体"/>
          <w:b/>
          <w:bCs/>
          <w:color w:val="auto"/>
          <w:kern w:val="2"/>
          <w:sz w:val="24"/>
          <w:szCs w:val="24"/>
          <w:lang w:val="en-US" w:eastAsia="zh-CN" w:bidi="ar-SA"/>
        </w:rPr>
        <w:t>7.谈判文件的询问或质疑</w:t>
      </w:r>
      <w:bookmarkEnd w:id="58"/>
      <w:bookmarkEnd w:id="59"/>
      <w:bookmarkEnd w:id="60"/>
      <w:bookmarkEnd w:id="61"/>
      <w:bookmarkEnd w:id="62"/>
      <w:bookmarkEnd w:id="63"/>
    </w:p>
    <w:p w14:paraId="4FD538D3">
      <w:pPr>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7.1供应商对谈判文件有疑问的，可以向采购人、采购代理机构提出询问。</w:t>
      </w:r>
    </w:p>
    <w:p w14:paraId="08852DA7">
      <w:pPr>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7.2提出质疑的供应商应当符合《中华人民共和国政府采购法》第二十二条的相关规定，对谈判文件提出质疑的，应当在获取采购文件或者采购文件公告期限届满之日起7个工作日内，按法律法规及其规章的规定向采购人、采购代理机构书面提出质疑。</w:t>
      </w:r>
    </w:p>
    <w:p w14:paraId="1B5808E5">
      <w:pPr>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7.3供应商认为谈判文件使自己的权益受到损害的，应以书面形式提出质疑（不接受匿名质疑），供应商须在法定质疑期内一次性提出针对同一采购程序环节的质疑。</w:t>
      </w:r>
    </w:p>
    <w:p w14:paraId="32FB6E08">
      <w:pPr>
        <w:pageBreakBefore w:val="0"/>
        <w:widowControl w:val="0"/>
        <w:kinsoku/>
        <w:wordWrap/>
        <w:overflowPunct/>
        <w:topLinePunct w:val="0"/>
        <w:autoSpaceDE/>
        <w:autoSpaceDN/>
        <w:bidi w:val="0"/>
        <w:adjustRightInd/>
        <w:snapToGrid/>
        <w:spacing w:before="157" w:beforeLines="50" w:line="360" w:lineRule="auto"/>
        <w:jc w:val="center"/>
        <w:textAlignment w:val="auto"/>
        <w:outlineLvl w:val="1"/>
        <w:rPr>
          <w:rFonts w:hint="eastAsia" w:ascii="宋体" w:hAnsi="宋体" w:eastAsia="宋体" w:cs="宋体"/>
          <w:b/>
          <w:bCs/>
          <w:color w:val="auto"/>
          <w:kern w:val="2"/>
          <w:sz w:val="28"/>
          <w:szCs w:val="28"/>
          <w:lang w:val="en-US" w:eastAsia="zh-CN" w:bidi="ar-SA"/>
        </w:rPr>
      </w:pPr>
      <w:bookmarkStart w:id="65" w:name="_Toc16902"/>
      <w:bookmarkStart w:id="66" w:name="_Toc955_WPSOffice_Level2"/>
      <w:bookmarkStart w:id="67" w:name="_Toc23235_WPSOffice_Level2"/>
      <w:bookmarkStart w:id="68" w:name="_Toc28815"/>
      <w:bookmarkStart w:id="69" w:name="_Toc12997"/>
      <w:bookmarkStart w:id="70" w:name="_Toc5732_WPSOffice_Level2"/>
      <w:r>
        <w:rPr>
          <w:rFonts w:hint="eastAsia" w:ascii="宋体" w:hAnsi="宋体" w:eastAsia="宋体" w:cs="宋体"/>
          <w:b/>
          <w:bCs/>
          <w:color w:val="auto"/>
          <w:kern w:val="2"/>
          <w:sz w:val="28"/>
          <w:szCs w:val="28"/>
          <w:lang w:val="en-US" w:eastAsia="zh-CN" w:bidi="ar-SA"/>
        </w:rPr>
        <w:t>三、响应文件</w:t>
      </w:r>
      <w:bookmarkEnd w:id="64"/>
      <w:bookmarkEnd w:id="65"/>
      <w:bookmarkEnd w:id="66"/>
      <w:bookmarkEnd w:id="67"/>
      <w:bookmarkEnd w:id="68"/>
      <w:bookmarkEnd w:id="69"/>
      <w:bookmarkEnd w:id="70"/>
    </w:p>
    <w:p w14:paraId="2A6354E4">
      <w:pPr>
        <w:pStyle w:val="5"/>
        <w:pageBreakBefore w:val="0"/>
        <w:widowControl w:val="0"/>
        <w:kinsoku/>
        <w:wordWrap/>
        <w:overflowPunct/>
        <w:topLinePunct w:val="0"/>
        <w:autoSpaceDE/>
        <w:autoSpaceDN/>
        <w:bidi w:val="0"/>
        <w:adjustRightInd/>
        <w:snapToGrid/>
        <w:spacing w:before="157" w:beforeLines="5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71" w:name="_Toc16540"/>
      <w:bookmarkStart w:id="72" w:name="_Toc1096_WPSOffice_Level3"/>
      <w:bookmarkStart w:id="73" w:name="_Toc22063"/>
      <w:bookmarkStart w:id="74" w:name="_Toc2475"/>
      <w:bookmarkStart w:id="75" w:name="_Toc10843_WPSOffice_Level3"/>
      <w:bookmarkStart w:id="76" w:name="_Toc17983"/>
      <w:r>
        <w:rPr>
          <w:rFonts w:hint="eastAsia" w:ascii="宋体" w:hAnsi="宋体" w:eastAsia="宋体" w:cs="宋体"/>
          <w:b/>
          <w:bCs/>
          <w:color w:val="auto"/>
          <w:kern w:val="2"/>
          <w:sz w:val="24"/>
          <w:szCs w:val="24"/>
          <w:lang w:val="en-US" w:eastAsia="zh-CN" w:bidi="ar-SA"/>
        </w:rPr>
        <w:t>8.一般要求</w:t>
      </w:r>
      <w:bookmarkEnd w:id="71"/>
      <w:bookmarkEnd w:id="72"/>
      <w:bookmarkEnd w:id="73"/>
      <w:bookmarkEnd w:id="74"/>
      <w:bookmarkEnd w:id="75"/>
      <w:bookmarkEnd w:id="76"/>
    </w:p>
    <w:p w14:paraId="6CAF3EB1">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8.1供应商应仔细阅读谈判文件的所有内容，按谈判文件的要求编制响应文件，并保证所提供的全部资料的真实性，以使其响应文件对谈判文件做出实质性的响应。任何对谈判文件的忽略或误解不能作为响应文件存在缺陷或瑕疵的理由，其风险由供应商承担。</w:t>
      </w:r>
    </w:p>
    <w:p w14:paraId="204B2B4D">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8.2供应商提交的响应文件及供应商与采购人或采购代理机构、谈判小组就有关谈判的所有来往函电均使用中文。附有外文资料的，须翻译成中文并加盖供应商公章，若翻译的中文资料与外文资料存在差异和矛盾，则以中文资料为准。其准确性由供应商负责。</w:t>
      </w:r>
    </w:p>
    <w:p w14:paraId="0D11A4DB">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8.3除谈判文件中另有规定外，响应文件所使用的度量衡单位，均须采用国家法定计量单位。未列明时应默认为我国法定计量单位。</w:t>
      </w:r>
    </w:p>
    <w:p w14:paraId="045A79F9">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8.4响应文件应采用书面形式，电报、传真、电子邮件形式的响应文件概不接受。</w:t>
      </w:r>
    </w:p>
    <w:p w14:paraId="2747D293">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8.5</w:t>
      </w:r>
      <w:r>
        <w:rPr>
          <w:rFonts w:hint="eastAsia" w:ascii="宋体" w:hAnsi="宋体" w:eastAsia="宋体" w:cs="宋体"/>
          <w:b/>
          <w:bCs/>
          <w:color w:val="auto"/>
          <w:kern w:val="2"/>
          <w:sz w:val="24"/>
          <w:szCs w:val="24"/>
          <w:lang w:val="en-US" w:eastAsia="zh-CN" w:bidi="ar-SA"/>
        </w:rPr>
        <w:t>供应商应按谈判文件中提供的响应文件格式进行填写。</w:t>
      </w:r>
    </w:p>
    <w:p w14:paraId="373A42AF">
      <w:pPr>
        <w:pStyle w:val="5"/>
        <w:pageBreakBefore w:val="0"/>
        <w:widowControl w:val="0"/>
        <w:kinsoku/>
        <w:wordWrap/>
        <w:overflowPunct/>
        <w:topLinePunct w:val="0"/>
        <w:autoSpaceDE/>
        <w:autoSpaceDN/>
        <w:bidi w:val="0"/>
        <w:adjustRightInd/>
        <w:snapToGrid/>
        <w:spacing w:before="157" w:beforeLines="5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77" w:name="_Toc16030"/>
      <w:bookmarkStart w:id="78" w:name="_Toc14527_WPSOffice_Level3"/>
      <w:bookmarkStart w:id="79" w:name="_Toc25922"/>
      <w:bookmarkStart w:id="80" w:name="_Toc20423_WPSOffice_Level3"/>
      <w:bookmarkStart w:id="81" w:name="_Toc12007"/>
      <w:r>
        <w:rPr>
          <w:rFonts w:hint="eastAsia" w:ascii="宋体" w:hAnsi="宋体" w:eastAsia="宋体" w:cs="宋体"/>
          <w:b/>
          <w:bCs/>
          <w:color w:val="auto"/>
          <w:kern w:val="2"/>
          <w:sz w:val="24"/>
          <w:szCs w:val="24"/>
          <w:lang w:val="en-US" w:eastAsia="zh-CN" w:bidi="ar-SA"/>
        </w:rPr>
        <w:t>9.报价要求</w:t>
      </w:r>
      <w:bookmarkEnd w:id="77"/>
      <w:bookmarkEnd w:id="78"/>
      <w:bookmarkEnd w:id="79"/>
      <w:bookmarkEnd w:id="80"/>
      <w:bookmarkEnd w:id="81"/>
    </w:p>
    <w:p w14:paraId="698D73F0">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9.1供应商应当根据谈判文件“分项报价表”逐一报价；</w:t>
      </w:r>
    </w:p>
    <w:p w14:paraId="6271D8B8">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9.2在首次报价表、分项报价表、最后报价表填写报价时应注意下列要求：</w:t>
      </w:r>
    </w:p>
    <w:p w14:paraId="77AE6BA8">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（1）采购需求要求的</w:t>
      </w:r>
      <w:r>
        <w:rPr>
          <w:rFonts w:hint="eastAsia" w:ascii="宋体" w:hAnsi="宋体" w:eastAsia="宋体" w:cs="宋体"/>
          <w:bCs/>
          <w:color w:val="auto"/>
          <w:sz w:val="24"/>
          <w:szCs w:val="24"/>
          <w:u w:val="none"/>
          <w:lang w:eastAsia="zh-CN"/>
        </w:rPr>
        <w:t>车辆费、运输费、保险费、检验费、手续费、售后服务费、招标代理费、税金及其他不可预见费等全部费用。</w:t>
      </w:r>
    </w:p>
    <w:p w14:paraId="29E289C8">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（2）所有根据合同或其它原因应由供应商交纳和支付的税款和费用。</w:t>
      </w:r>
    </w:p>
    <w:p w14:paraId="102B816F">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（3）供应商报价应为完成本竞争性谈判文件中所要求的服务所应包括内容的所有价格。</w:t>
      </w:r>
    </w:p>
    <w:p w14:paraId="64AC87B3">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9.3</w:t>
      </w:r>
      <w:r>
        <w:rPr>
          <w:rFonts w:hint="eastAsia" w:ascii="宋体" w:hAnsi="宋体" w:eastAsia="宋体" w:cs="宋体"/>
          <w:color w:val="auto"/>
          <w:kern w:val="2"/>
          <w:sz w:val="24"/>
          <w:szCs w:val="24"/>
          <w:lang w:val="zh-CN" w:eastAsia="zh-CN" w:bidi="ar-SA"/>
        </w:rPr>
        <w:t>供应商</w:t>
      </w:r>
      <w:r>
        <w:rPr>
          <w:rFonts w:hint="eastAsia" w:ascii="宋体" w:hAnsi="宋体" w:eastAsia="宋体" w:cs="宋体"/>
          <w:color w:val="auto"/>
          <w:kern w:val="2"/>
          <w:sz w:val="24"/>
          <w:szCs w:val="24"/>
          <w:lang w:val="en-US" w:eastAsia="zh-CN" w:bidi="ar-SA"/>
        </w:rPr>
        <w:t>的</w:t>
      </w:r>
      <w:r>
        <w:rPr>
          <w:rFonts w:hint="eastAsia" w:ascii="宋体" w:hAnsi="宋体" w:eastAsia="宋体" w:cs="宋体"/>
          <w:b/>
          <w:bCs/>
          <w:color w:val="auto"/>
          <w:kern w:val="2"/>
          <w:sz w:val="24"/>
          <w:szCs w:val="24"/>
          <w:lang w:val="en-US" w:eastAsia="zh-CN" w:bidi="ar-SA"/>
        </w:rPr>
        <w:t>每次报价均不得超过采购项目预算，否则视为无效响应</w:t>
      </w:r>
      <w:r>
        <w:rPr>
          <w:rFonts w:hint="eastAsia" w:ascii="宋体" w:hAnsi="宋体" w:eastAsia="宋体" w:cs="宋体"/>
          <w:color w:val="auto"/>
          <w:kern w:val="2"/>
          <w:sz w:val="24"/>
          <w:szCs w:val="24"/>
          <w:lang w:val="en-US" w:eastAsia="zh-CN" w:bidi="ar-SA"/>
        </w:rPr>
        <w:t>。采购项目预算见【谈判须知前附表】。</w:t>
      </w:r>
    </w:p>
    <w:p w14:paraId="077E68F5">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9.4供应商提交的最后报价在</w:t>
      </w:r>
      <w:r>
        <w:rPr>
          <w:rFonts w:hint="eastAsia" w:ascii="宋体" w:hAnsi="宋体" w:eastAsia="宋体" w:cs="宋体"/>
          <w:b/>
          <w:bCs/>
          <w:color w:val="auto"/>
          <w:kern w:val="2"/>
          <w:sz w:val="24"/>
          <w:szCs w:val="24"/>
          <w:lang w:val="en-US" w:eastAsia="zh-CN" w:bidi="ar-SA"/>
        </w:rPr>
        <w:t>合同执行过程中是固定不变的</w:t>
      </w:r>
      <w:r>
        <w:rPr>
          <w:rFonts w:hint="eastAsia" w:ascii="宋体" w:hAnsi="宋体" w:eastAsia="宋体" w:cs="宋体"/>
          <w:color w:val="auto"/>
          <w:kern w:val="2"/>
          <w:sz w:val="24"/>
          <w:szCs w:val="24"/>
          <w:lang w:val="en-US" w:eastAsia="zh-CN" w:bidi="ar-SA"/>
        </w:rPr>
        <w:t>，不得以任何理由予以变更。</w:t>
      </w:r>
      <w:r>
        <w:rPr>
          <w:rFonts w:hint="eastAsia" w:ascii="宋体" w:hAnsi="宋体" w:eastAsia="宋体" w:cs="宋体"/>
          <w:b/>
          <w:bCs/>
          <w:color w:val="auto"/>
          <w:kern w:val="2"/>
          <w:sz w:val="24"/>
          <w:szCs w:val="24"/>
          <w:lang w:val="en-US" w:eastAsia="zh-CN" w:bidi="ar-SA"/>
        </w:rPr>
        <w:t>以可变动价格提交的报价将被认为是非实质响应而被拒绝。</w:t>
      </w:r>
    </w:p>
    <w:p w14:paraId="5606C7E8">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9.5</w:t>
      </w:r>
      <w:r>
        <w:rPr>
          <w:rFonts w:hint="eastAsia" w:ascii="宋体" w:hAnsi="宋体" w:eastAsia="宋体" w:cs="宋体"/>
          <w:b/>
          <w:bCs/>
          <w:color w:val="auto"/>
          <w:kern w:val="2"/>
          <w:sz w:val="24"/>
          <w:szCs w:val="24"/>
          <w:lang w:val="en-US" w:eastAsia="zh-CN" w:bidi="ar-SA"/>
        </w:rPr>
        <w:t>谈判报价为总价</w:t>
      </w:r>
      <w:r>
        <w:rPr>
          <w:rFonts w:hint="eastAsia" w:ascii="宋体" w:hAnsi="宋体" w:eastAsia="宋体" w:cs="宋体"/>
          <w:color w:val="auto"/>
          <w:kern w:val="2"/>
          <w:sz w:val="24"/>
          <w:szCs w:val="24"/>
          <w:lang w:val="en-US" w:eastAsia="zh-CN" w:bidi="ar-SA"/>
        </w:rPr>
        <w:t>。供应商须按要求填写谈判总报价，最后报价不得出现两个或两个以上的报价方案。</w:t>
      </w:r>
    </w:p>
    <w:p w14:paraId="2080C049">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9.6报价币种为人民币。</w:t>
      </w:r>
    </w:p>
    <w:p w14:paraId="74FAAF7E">
      <w:pPr>
        <w:pStyle w:val="5"/>
        <w:pageBreakBefore w:val="0"/>
        <w:widowControl w:val="0"/>
        <w:kinsoku/>
        <w:wordWrap/>
        <w:overflowPunct/>
        <w:topLinePunct w:val="0"/>
        <w:autoSpaceDE/>
        <w:autoSpaceDN/>
        <w:bidi w:val="0"/>
        <w:adjustRightInd/>
        <w:snapToGrid/>
        <w:spacing w:before="157" w:beforeLines="5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82" w:name="_Toc19609_WPSOffice_Level3"/>
      <w:bookmarkStart w:id="83" w:name="_Toc27585"/>
      <w:bookmarkStart w:id="84" w:name="_Toc24956_WPSOffice_Level3"/>
      <w:bookmarkStart w:id="85" w:name="_Toc30481"/>
      <w:bookmarkStart w:id="86" w:name="_Toc30839"/>
      <w:r>
        <w:rPr>
          <w:rFonts w:hint="eastAsia" w:ascii="宋体" w:hAnsi="宋体" w:eastAsia="宋体" w:cs="宋体"/>
          <w:b/>
          <w:bCs/>
          <w:color w:val="auto"/>
          <w:kern w:val="2"/>
          <w:sz w:val="24"/>
          <w:szCs w:val="24"/>
          <w:lang w:val="en-US" w:eastAsia="zh-CN" w:bidi="ar-SA"/>
        </w:rPr>
        <w:t>10.保证金</w:t>
      </w:r>
      <w:bookmarkEnd w:id="82"/>
      <w:bookmarkEnd w:id="83"/>
      <w:bookmarkEnd w:id="84"/>
      <w:bookmarkEnd w:id="85"/>
      <w:bookmarkEnd w:id="86"/>
    </w:p>
    <w:p w14:paraId="21FED251">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10.1供应商应按【谈判须知前附表】的规定，在</w:t>
      </w:r>
      <w:r>
        <w:rPr>
          <w:rFonts w:hint="eastAsia" w:ascii="宋体" w:hAnsi="宋体" w:eastAsia="宋体" w:cs="宋体"/>
          <w:b/>
          <w:bCs/>
          <w:color w:val="auto"/>
          <w:kern w:val="2"/>
          <w:sz w:val="24"/>
          <w:szCs w:val="24"/>
          <w:lang w:val="en-US" w:eastAsia="zh-CN" w:bidi="ar-SA"/>
        </w:rPr>
        <w:t>提交响应文件的截止时间前</w:t>
      </w:r>
      <w:r>
        <w:rPr>
          <w:rFonts w:hint="eastAsia" w:ascii="宋体" w:hAnsi="宋体" w:eastAsia="宋体" w:cs="宋体"/>
          <w:color w:val="auto"/>
          <w:kern w:val="2"/>
          <w:sz w:val="24"/>
          <w:szCs w:val="24"/>
          <w:lang w:val="en-US" w:eastAsia="zh-CN" w:bidi="ar-SA"/>
        </w:rPr>
        <w:t>提交不少于本谈判文件规定的人民币金额的谈判保证金。谈判保证金应当以转账、支票、本票或者金融机构、担保机构出具的保函等非现金形式提交。供应商未按照谈判文件要求提交谈判保证金的，视为非实质性响应，其响应文件不予接受。谈判保证金所有递交方式均以到账时间为准。</w:t>
      </w:r>
    </w:p>
    <w:p w14:paraId="1D07E704">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10.2</w:t>
      </w:r>
      <w:r>
        <w:rPr>
          <w:rFonts w:hint="eastAsia" w:ascii="宋体" w:hAnsi="宋体" w:eastAsia="宋体" w:cs="宋体"/>
          <w:color w:val="auto"/>
          <w:kern w:val="2"/>
          <w:sz w:val="24"/>
          <w:szCs w:val="24"/>
          <w:lang w:val="zh-CN" w:eastAsia="zh-CN" w:bidi="ar-SA"/>
        </w:rPr>
        <w:t>供应商为联合体的，可以由联合体中的一方或者共同交纳保证金，其交纳的保证金，对联合体各方均具有约束力。</w:t>
      </w:r>
    </w:p>
    <w:p w14:paraId="1BB315AC">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10.3</w:t>
      </w:r>
      <w:r>
        <w:rPr>
          <w:rFonts w:hint="eastAsia" w:ascii="宋体" w:hAnsi="宋体" w:eastAsia="宋体" w:cs="宋体"/>
          <w:b/>
          <w:bCs/>
          <w:color w:val="auto"/>
          <w:kern w:val="2"/>
          <w:sz w:val="24"/>
          <w:szCs w:val="24"/>
          <w:lang w:val="en-US" w:eastAsia="zh-CN" w:bidi="ar-SA"/>
        </w:rPr>
        <w:t>保证金的退还按以下规定办理：</w:t>
      </w:r>
    </w:p>
    <w:p w14:paraId="0F861876">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（1）成交供应商的保证金，在政府采购合同签订后5个工作日内退还，但因供应商自身原因导致无法退还的除外。</w:t>
      </w:r>
    </w:p>
    <w:p w14:paraId="2B9E1DBE">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（2）未成交供应商的保证金，在成交通知书发出后5个工作日内退还。</w:t>
      </w:r>
    </w:p>
    <w:p w14:paraId="3D1992BE">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（3）终止竞争性谈判采购活动的，在发布项目终止公告后5个工作日内退还。</w:t>
      </w:r>
    </w:p>
    <w:p w14:paraId="582198BC">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10.4</w:t>
      </w:r>
      <w:r>
        <w:rPr>
          <w:rFonts w:hint="eastAsia" w:ascii="宋体" w:hAnsi="宋体" w:eastAsia="宋体" w:cs="宋体"/>
          <w:b/>
          <w:bCs/>
          <w:color w:val="auto"/>
          <w:kern w:val="2"/>
          <w:sz w:val="24"/>
          <w:szCs w:val="24"/>
          <w:lang w:val="en-US" w:eastAsia="zh-CN" w:bidi="ar-SA"/>
        </w:rPr>
        <w:t>有下列情形之一的，保证金不予退还，并上缴同级财政国库</w:t>
      </w:r>
      <w:r>
        <w:rPr>
          <w:rFonts w:hint="eastAsia" w:ascii="宋体" w:hAnsi="宋体" w:eastAsia="宋体" w:cs="宋体"/>
          <w:color w:val="auto"/>
          <w:kern w:val="2"/>
          <w:sz w:val="24"/>
          <w:szCs w:val="24"/>
          <w:lang w:val="en-US" w:eastAsia="zh-CN" w:bidi="ar-SA"/>
        </w:rPr>
        <w:t>：</w:t>
      </w:r>
    </w:p>
    <w:p w14:paraId="3A83253D">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（1）供应商在提交响应文件截止时间后撤回响应文件的；</w:t>
      </w:r>
    </w:p>
    <w:p w14:paraId="786E6E37">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（2）供应商在响应文件中提供虚假材料的；</w:t>
      </w:r>
    </w:p>
    <w:p w14:paraId="23DE1E74">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（3）除因不可抗力或谈判文件认可的情形以外，成交供应商不与采购人签订合同的；</w:t>
      </w:r>
    </w:p>
    <w:p w14:paraId="1230F4AA">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（4）供应商与采购人、其他供应商或者采购代理机构恶意串通的；</w:t>
      </w:r>
    </w:p>
    <w:p w14:paraId="73BEFDB9">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（5）谈判文件规定的其他情形。</w:t>
      </w:r>
    </w:p>
    <w:p w14:paraId="2BE0448D">
      <w:pPr>
        <w:pStyle w:val="5"/>
        <w:pageBreakBefore w:val="0"/>
        <w:widowControl w:val="0"/>
        <w:kinsoku/>
        <w:wordWrap/>
        <w:overflowPunct/>
        <w:topLinePunct w:val="0"/>
        <w:autoSpaceDE/>
        <w:autoSpaceDN/>
        <w:bidi w:val="0"/>
        <w:adjustRightInd/>
        <w:snapToGrid/>
        <w:spacing w:before="157" w:beforeLines="5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87" w:name="_Toc4945_WPSOffice_Level3"/>
      <w:bookmarkStart w:id="88" w:name="_Toc5897"/>
      <w:bookmarkStart w:id="89" w:name="_Toc18765_WPSOffice_Level3"/>
      <w:bookmarkStart w:id="90" w:name="_Toc7718"/>
      <w:bookmarkStart w:id="91" w:name="_Toc14144"/>
      <w:r>
        <w:rPr>
          <w:rFonts w:hint="eastAsia" w:ascii="宋体" w:hAnsi="宋体" w:eastAsia="宋体" w:cs="宋体"/>
          <w:b/>
          <w:bCs/>
          <w:color w:val="auto"/>
          <w:kern w:val="2"/>
          <w:sz w:val="24"/>
          <w:szCs w:val="24"/>
          <w:lang w:val="en-US" w:eastAsia="zh-CN" w:bidi="ar-SA"/>
        </w:rPr>
        <w:t>11.响应文件的组成</w:t>
      </w:r>
      <w:bookmarkEnd w:id="87"/>
      <w:bookmarkEnd w:id="88"/>
      <w:bookmarkEnd w:id="89"/>
      <w:bookmarkEnd w:id="90"/>
      <w:bookmarkEnd w:id="91"/>
    </w:p>
    <w:p w14:paraId="74441EF2">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11.1响应文件包括下列内容：</w:t>
      </w:r>
    </w:p>
    <w:p w14:paraId="0351089F">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lang w:val="en-US" w:eastAsia="zh-CN" w:bidi="ar-SA"/>
        </w:rPr>
        <w:t>供应商应提交相关证明材料，作为其参加谈判和成交后有能力履行合同的证明。编写的响应文件须包括以下内容（</w:t>
      </w:r>
      <w:r>
        <w:rPr>
          <w:rFonts w:hint="eastAsia" w:ascii="宋体" w:hAnsi="宋体" w:eastAsia="宋体" w:cs="宋体"/>
          <w:color w:val="auto"/>
          <w:kern w:val="2"/>
          <w:sz w:val="24"/>
          <w:szCs w:val="24"/>
          <w:highlight w:val="none"/>
          <w:lang w:val="en-US" w:eastAsia="zh-CN" w:bidi="ar-SA"/>
        </w:rPr>
        <w:t>格式详见谈判文件第四部分内容）：</w:t>
      </w:r>
    </w:p>
    <w:p w14:paraId="0D82E076">
      <w:pPr>
        <w:keepNext w:val="0"/>
        <w:keepLines w:val="0"/>
        <w:pageBreakBefore w:val="0"/>
        <w:widowControl w:val="0"/>
        <w:kinsoku/>
        <w:wordWrap/>
        <w:overflowPunct/>
        <w:topLinePunct w:val="0"/>
        <w:autoSpaceDE/>
        <w:autoSpaceDN/>
        <w:bidi w:val="0"/>
        <w:adjustRightInd/>
        <w:snapToGrid/>
        <w:spacing w:line="360" w:lineRule="auto"/>
        <w:ind w:firstLine="241" w:firstLineChars="100"/>
        <w:jc w:val="left"/>
        <w:textAlignment w:val="auto"/>
        <w:rPr>
          <w:rFonts w:hint="eastAsia" w:ascii="宋体" w:hAnsi="宋体" w:eastAsia="宋体" w:cs="宋体"/>
          <w:b/>
          <w:bCs/>
          <w:color w:val="auto"/>
          <w:kern w:val="2"/>
          <w:sz w:val="24"/>
          <w:szCs w:val="24"/>
          <w:lang w:val="zh-CN" w:eastAsia="zh-CN" w:bidi="ar-SA"/>
        </w:rPr>
      </w:pPr>
      <w:r>
        <w:rPr>
          <w:rFonts w:hint="eastAsia" w:ascii="宋体" w:hAnsi="宋体" w:eastAsia="宋体" w:cs="宋体"/>
          <w:b/>
          <w:bCs/>
          <w:color w:val="auto"/>
          <w:kern w:val="2"/>
          <w:sz w:val="24"/>
          <w:szCs w:val="24"/>
          <w:lang w:val="en-US" w:eastAsia="zh-CN" w:bidi="ar-SA"/>
        </w:rPr>
        <w:t>11.1.1</w:t>
      </w:r>
      <w:r>
        <w:rPr>
          <w:rFonts w:hint="eastAsia" w:ascii="宋体" w:hAnsi="宋体" w:eastAsia="宋体" w:cs="宋体"/>
          <w:b/>
          <w:bCs/>
          <w:color w:val="auto"/>
          <w:kern w:val="2"/>
          <w:sz w:val="24"/>
          <w:szCs w:val="24"/>
          <w:lang w:val="zh-CN" w:eastAsia="zh-CN" w:bidi="ar-SA"/>
        </w:rPr>
        <w:t>资格审查部分</w:t>
      </w:r>
    </w:p>
    <w:p w14:paraId="3698975B">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1、响应函</w:t>
      </w:r>
    </w:p>
    <w:p w14:paraId="4A865D4B">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2、法定代表人证明书</w:t>
      </w:r>
    </w:p>
    <w:p w14:paraId="4E38A305">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3、法定代表人授权书</w:t>
      </w:r>
    </w:p>
    <w:p w14:paraId="41E35DC3">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4、供应商承诺函</w:t>
      </w:r>
    </w:p>
    <w:p w14:paraId="5A660EB6">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5、供应商诚信承诺书</w:t>
      </w:r>
    </w:p>
    <w:p w14:paraId="76872815">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6、供应商资格证明文件</w:t>
      </w:r>
    </w:p>
    <w:p w14:paraId="56097BD3">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7、财务状况、缴纳税收和社会保障资金证明</w:t>
      </w:r>
    </w:p>
    <w:p w14:paraId="35116170">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8、无重大违法记录声明</w:t>
      </w:r>
    </w:p>
    <w:p w14:paraId="5B3C9CE0">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9、谈判保证金证明</w:t>
      </w:r>
    </w:p>
    <w:p w14:paraId="51E9C213">
      <w:pPr>
        <w:keepNext w:val="0"/>
        <w:keepLines w:val="0"/>
        <w:pageBreakBefore w:val="0"/>
        <w:widowControl w:val="0"/>
        <w:kinsoku/>
        <w:wordWrap/>
        <w:overflowPunct/>
        <w:topLinePunct w:val="0"/>
        <w:autoSpaceDE/>
        <w:autoSpaceDN/>
        <w:bidi w:val="0"/>
        <w:adjustRightInd/>
        <w:snapToGrid/>
        <w:spacing w:line="360" w:lineRule="auto"/>
        <w:ind w:firstLine="241" w:firstLineChars="100"/>
        <w:jc w:val="left"/>
        <w:textAlignment w:val="auto"/>
        <w:rPr>
          <w:rFonts w:hint="eastAsia" w:ascii="宋体" w:hAnsi="宋体" w:eastAsia="宋体" w:cs="宋体"/>
          <w:b/>
          <w:bCs/>
          <w:color w:val="auto"/>
          <w:kern w:val="2"/>
          <w:sz w:val="24"/>
          <w:szCs w:val="24"/>
          <w:lang w:val="zh-CN" w:eastAsia="zh-CN" w:bidi="ar-SA"/>
        </w:rPr>
      </w:pPr>
      <w:r>
        <w:rPr>
          <w:rFonts w:hint="eastAsia" w:ascii="宋体" w:hAnsi="宋体" w:eastAsia="宋体" w:cs="宋体"/>
          <w:b/>
          <w:bCs/>
          <w:color w:val="auto"/>
          <w:kern w:val="2"/>
          <w:sz w:val="24"/>
          <w:szCs w:val="24"/>
          <w:lang w:val="en-US" w:eastAsia="zh-CN" w:bidi="ar-SA"/>
        </w:rPr>
        <w:t>11.1.2有效性、完整性、响应程度审查</w:t>
      </w:r>
      <w:r>
        <w:rPr>
          <w:rFonts w:hint="eastAsia" w:ascii="宋体" w:hAnsi="宋体" w:eastAsia="宋体" w:cs="宋体"/>
          <w:b/>
          <w:bCs/>
          <w:color w:val="auto"/>
          <w:kern w:val="2"/>
          <w:sz w:val="24"/>
          <w:szCs w:val="24"/>
          <w:lang w:val="zh-CN" w:eastAsia="zh-CN" w:bidi="ar-SA"/>
        </w:rPr>
        <w:t>部分</w:t>
      </w:r>
    </w:p>
    <w:p w14:paraId="34A8F98B">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en-US" w:eastAsia="zh-CN" w:bidi="ar-SA"/>
        </w:rPr>
        <w:t>1</w:t>
      </w:r>
      <w:r>
        <w:rPr>
          <w:rFonts w:hint="eastAsia" w:ascii="宋体" w:hAnsi="宋体" w:eastAsia="宋体" w:cs="宋体"/>
          <w:color w:val="auto"/>
          <w:kern w:val="2"/>
          <w:sz w:val="24"/>
          <w:szCs w:val="24"/>
          <w:lang w:val="zh-CN" w:eastAsia="zh-CN" w:bidi="ar-SA"/>
        </w:rPr>
        <w:t>、谈判首次报价表</w:t>
      </w:r>
    </w:p>
    <w:p w14:paraId="01AA4C66">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en-US" w:eastAsia="zh-CN" w:bidi="ar-SA"/>
        </w:rPr>
        <w:t>2</w:t>
      </w:r>
      <w:r>
        <w:rPr>
          <w:rFonts w:hint="eastAsia" w:ascii="宋体" w:hAnsi="宋体" w:eastAsia="宋体" w:cs="宋体"/>
          <w:color w:val="auto"/>
          <w:kern w:val="2"/>
          <w:sz w:val="24"/>
          <w:szCs w:val="24"/>
          <w:lang w:val="zh-CN" w:eastAsia="zh-CN" w:bidi="ar-SA"/>
        </w:rPr>
        <w:t>、分项报价表</w:t>
      </w:r>
    </w:p>
    <w:p w14:paraId="477D17E6">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en-US" w:eastAsia="zh-CN" w:bidi="ar-SA"/>
        </w:rPr>
        <w:t>3</w:t>
      </w:r>
      <w:r>
        <w:rPr>
          <w:rFonts w:hint="eastAsia" w:ascii="宋体" w:hAnsi="宋体" w:eastAsia="宋体" w:cs="宋体"/>
          <w:color w:val="auto"/>
          <w:kern w:val="2"/>
          <w:sz w:val="24"/>
          <w:szCs w:val="24"/>
          <w:lang w:val="zh-CN" w:eastAsia="zh-CN" w:bidi="ar-SA"/>
        </w:rPr>
        <w:t>、</w:t>
      </w:r>
      <w:r>
        <w:rPr>
          <w:rFonts w:hint="eastAsia" w:ascii="宋体" w:hAnsi="宋体" w:eastAsia="宋体" w:cs="宋体"/>
          <w:color w:val="auto"/>
          <w:kern w:val="2"/>
          <w:sz w:val="24"/>
          <w:szCs w:val="24"/>
          <w:lang w:val="en-US" w:eastAsia="zh-CN" w:bidi="ar-SA"/>
        </w:rPr>
        <w:t>技术规格</w:t>
      </w:r>
      <w:r>
        <w:rPr>
          <w:rFonts w:hint="eastAsia" w:ascii="宋体" w:hAnsi="宋体" w:eastAsia="宋体" w:cs="宋体"/>
          <w:color w:val="auto"/>
          <w:kern w:val="2"/>
          <w:sz w:val="24"/>
          <w:szCs w:val="24"/>
          <w:lang w:val="zh-CN" w:eastAsia="zh-CN" w:bidi="ar-SA"/>
        </w:rPr>
        <w:t>响应表</w:t>
      </w:r>
    </w:p>
    <w:p w14:paraId="2C11BEA1">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en-US" w:eastAsia="zh-CN" w:bidi="ar-SA"/>
        </w:rPr>
        <w:t>4</w:t>
      </w:r>
      <w:r>
        <w:rPr>
          <w:rFonts w:hint="eastAsia" w:ascii="宋体" w:hAnsi="宋体" w:eastAsia="宋体" w:cs="宋体"/>
          <w:color w:val="auto"/>
          <w:kern w:val="2"/>
          <w:sz w:val="24"/>
          <w:szCs w:val="24"/>
          <w:lang w:val="zh-CN" w:eastAsia="zh-CN" w:bidi="ar-SA"/>
        </w:rPr>
        <w:t>、</w:t>
      </w:r>
      <w:r>
        <w:rPr>
          <w:rFonts w:hint="eastAsia" w:ascii="宋体" w:hAnsi="宋体" w:eastAsia="宋体" w:cs="宋体"/>
          <w:color w:val="auto"/>
          <w:kern w:val="2"/>
          <w:sz w:val="24"/>
          <w:szCs w:val="24"/>
          <w:lang w:val="en-US" w:eastAsia="zh-CN" w:bidi="ar-SA"/>
        </w:rPr>
        <w:t>产品相关资料（</w:t>
      </w:r>
      <w:r>
        <w:rPr>
          <w:rFonts w:hint="eastAsia" w:ascii="宋体" w:hAnsi="宋体" w:eastAsia="宋体" w:cs="宋体"/>
          <w:color w:val="auto"/>
          <w:kern w:val="2"/>
          <w:sz w:val="24"/>
          <w:szCs w:val="24"/>
          <w:lang w:val="zh-CN" w:eastAsia="zh-CN" w:bidi="ar-SA"/>
        </w:rPr>
        <w:t>具备履行合同所必须的设备和专业技术能力证明</w:t>
      </w:r>
      <w:r>
        <w:rPr>
          <w:rFonts w:hint="eastAsia" w:ascii="宋体" w:hAnsi="宋体" w:eastAsia="宋体" w:cs="宋体"/>
          <w:color w:val="auto"/>
          <w:kern w:val="2"/>
          <w:sz w:val="24"/>
          <w:szCs w:val="24"/>
          <w:lang w:val="en-US" w:eastAsia="zh-CN" w:bidi="ar-SA"/>
        </w:rPr>
        <w:t>）</w:t>
      </w:r>
    </w:p>
    <w:p w14:paraId="390DA835">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en-US" w:eastAsia="zh-CN" w:bidi="ar-SA"/>
        </w:rPr>
        <w:t>5</w:t>
      </w:r>
      <w:r>
        <w:rPr>
          <w:rFonts w:hint="eastAsia" w:ascii="宋体" w:hAnsi="宋体" w:eastAsia="宋体" w:cs="宋体"/>
          <w:color w:val="auto"/>
          <w:kern w:val="2"/>
          <w:sz w:val="24"/>
          <w:szCs w:val="24"/>
          <w:lang w:val="zh-CN" w:eastAsia="zh-CN" w:bidi="ar-SA"/>
        </w:rPr>
        <w:t>、供应商认为在其他方面有必要说明的事项</w:t>
      </w:r>
    </w:p>
    <w:p w14:paraId="29EBBE50">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en-US" w:eastAsia="zh-CN" w:bidi="ar-SA"/>
        </w:rPr>
        <w:t>6</w:t>
      </w:r>
      <w:r>
        <w:rPr>
          <w:rFonts w:hint="eastAsia" w:ascii="宋体" w:hAnsi="宋体" w:eastAsia="宋体" w:cs="宋体"/>
          <w:color w:val="auto"/>
          <w:kern w:val="2"/>
          <w:sz w:val="24"/>
          <w:szCs w:val="24"/>
          <w:lang w:val="zh-CN" w:eastAsia="zh-CN" w:bidi="ar-SA"/>
        </w:rPr>
        <w:t>、享受政府采购政策优惠的证明资料</w:t>
      </w:r>
    </w:p>
    <w:p w14:paraId="7C6D8C62">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7、</w:t>
      </w:r>
      <w:r>
        <w:rPr>
          <w:rFonts w:hint="eastAsia" w:ascii="宋体" w:hAnsi="宋体" w:eastAsia="宋体" w:cs="宋体"/>
          <w:color w:val="auto"/>
          <w:kern w:val="2"/>
          <w:sz w:val="24"/>
          <w:szCs w:val="24"/>
          <w:lang w:val="zh-CN" w:eastAsia="zh-CN" w:bidi="ar-SA"/>
        </w:rPr>
        <w:t>其他证明材料</w:t>
      </w:r>
    </w:p>
    <w:p w14:paraId="1B52A1BC">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供应商须按上述内容、顺序和格式编制响应文件，并按要求编制目录、页码，并保证所提供的全部资料真实可信，自愿承担相应责任。</w:t>
      </w:r>
    </w:p>
    <w:p w14:paraId="6E95B61C">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11.2 在谈判过程中，</w:t>
      </w:r>
      <w:r>
        <w:rPr>
          <w:rFonts w:hint="eastAsia" w:ascii="宋体" w:hAnsi="宋体" w:eastAsia="宋体" w:cs="宋体"/>
          <w:b/>
          <w:bCs/>
          <w:color w:val="auto"/>
          <w:kern w:val="2"/>
          <w:sz w:val="24"/>
          <w:szCs w:val="24"/>
          <w:lang w:val="en-US" w:eastAsia="zh-CN" w:bidi="ar-SA"/>
        </w:rPr>
        <w:t>供应商根据谈判小组书面形式要求提交的最后报价(或者重新提交的响应文件和最后报价)</w:t>
      </w:r>
      <w:r>
        <w:rPr>
          <w:rFonts w:hint="eastAsia" w:ascii="宋体" w:hAnsi="宋体" w:eastAsia="宋体" w:cs="宋体"/>
          <w:color w:val="auto"/>
          <w:kern w:val="2"/>
          <w:sz w:val="24"/>
          <w:szCs w:val="24"/>
          <w:lang w:val="en-US" w:eastAsia="zh-CN" w:bidi="ar-SA"/>
        </w:rPr>
        <w:t>是响应文件的有效组成部分。</w:t>
      </w:r>
    </w:p>
    <w:p w14:paraId="6C6C1B21">
      <w:pPr>
        <w:pStyle w:val="5"/>
        <w:pageBreakBefore w:val="0"/>
        <w:widowControl w:val="0"/>
        <w:kinsoku/>
        <w:wordWrap/>
        <w:overflowPunct/>
        <w:topLinePunct w:val="0"/>
        <w:autoSpaceDE/>
        <w:autoSpaceDN/>
        <w:bidi w:val="0"/>
        <w:adjustRightInd/>
        <w:snapToGrid/>
        <w:spacing w:before="157" w:beforeLines="5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92" w:name="_Toc26621"/>
      <w:bookmarkStart w:id="93" w:name="_Toc11674"/>
      <w:bookmarkStart w:id="94" w:name="_Toc14930_WPSOffice_Level3"/>
      <w:bookmarkStart w:id="95" w:name="_Toc3694_WPSOffice_Level3"/>
      <w:bookmarkStart w:id="96" w:name="_Toc3004"/>
      <w:r>
        <w:rPr>
          <w:rFonts w:hint="eastAsia" w:ascii="宋体" w:hAnsi="宋体" w:eastAsia="宋体" w:cs="宋体"/>
          <w:b/>
          <w:bCs/>
          <w:color w:val="auto"/>
          <w:kern w:val="2"/>
          <w:sz w:val="24"/>
          <w:szCs w:val="24"/>
          <w:lang w:val="en-US" w:eastAsia="zh-CN" w:bidi="ar-SA"/>
        </w:rPr>
        <w:t>12.响应文件有效期</w:t>
      </w:r>
      <w:bookmarkEnd w:id="92"/>
      <w:bookmarkEnd w:id="93"/>
      <w:bookmarkEnd w:id="94"/>
      <w:bookmarkEnd w:id="95"/>
      <w:bookmarkEnd w:id="96"/>
    </w:p>
    <w:p w14:paraId="231A2F95">
      <w:pPr>
        <w:pageBreakBefore w:val="0"/>
        <w:widowControl w:val="0"/>
        <w:kinsoku/>
        <w:wordWrap/>
        <w:overflowPunct/>
        <w:topLinePunct w:val="0"/>
        <w:autoSpaceDE/>
        <w:autoSpaceDN/>
        <w:bidi w:val="0"/>
        <w:adjustRightInd/>
        <w:snapToGrid/>
        <w:spacing w:before="157" w:beforeLines="50" w:line="360" w:lineRule="auto"/>
        <w:ind w:firstLine="240" w:firstLineChars="100"/>
        <w:jc w:val="left"/>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响应文件有效期见【谈判须知前附表】，在此期间响应文件对供应商具有法律约束力，从提交首次响应文件截止时间之日起计算。</w:t>
      </w:r>
      <w:r>
        <w:rPr>
          <w:rFonts w:hint="eastAsia" w:ascii="宋体" w:hAnsi="宋体" w:eastAsia="宋体" w:cs="宋体"/>
          <w:b/>
          <w:bCs/>
          <w:color w:val="auto"/>
          <w:kern w:val="2"/>
          <w:sz w:val="24"/>
          <w:szCs w:val="24"/>
          <w:lang w:val="zh-CN" w:eastAsia="zh-CN" w:bidi="ar-SA"/>
        </w:rPr>
        <w:t>响应文件有效期不足的将被视为无效响应。</w:t>
      </w:r>
    </w:p>
    <w:p w14:paraId="4720FB47">
      <w:pPr>
        <w:pStyle w:val="5"/>
        <w:pageBreakBefore w:val="0"/>
        <w:widowControl w:val="0"/>
        <w:kinsoku/>
        <w:wordWrap/>
        <w:overflowPunct/>
        <w:topLinePunct w:val="0"/>
        <w:autoSpaceDE/>
        <w:autoSpaceDN/>
        <w:bidi w:val="0"/>
        <w:adjustRightInd/>
        <w:snapToGrid/>
        <w:spacing w:before="157" w:beforeLines="5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97" w:name="_Toc8507_WPSOffice_Level3"/>
      <w:bookmarkStart w:id="98" w:name="_Toc31682_WPSOffice_Level3"/>
      <w:bookmarkStart w:id="99" w:name="_Toc29012"/>
      <w:bookmarkStart w:id="100" w:name="_Toc21033"/>
      <w:bookmarkStart w:id="101" w:name="_Toc20265"/>
      <w:r>
        <w:rPr>
          <w:rFonts w:hint="eastAsia" w:ascii="宋体" w:hAnsi="宋体" w:eastAsia="宋体" w:cs="宋体"/>
          <w:b/>
          <w:bCs/>
          <w:color w:val="auto"/>
          <w:kern w:val="2"/>
          <w:sz w:val="24"/>
          <w:szCs w:val="24"/>
          <w:lang w:val="en-US" w:eastAsia="zh-CN" w:bidi="ar-SA"/>
        </w:rPr>
        <w:t>13.响应文件的签署及规定</w:t>
      </w:r>
      <w:bookmarkEnd w:id="97"/>
      <w:bookmarkEnd w:id="98"/>
      <w:bookmarkEnd w:id="99"/>
      <w:bookmarkEnd w:id="100"/>
      <w:bookmarkEnd w:id="101"/>
    </w:p>
    <w:p w14:paraId="45B703C2">
      <w:pPr>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13.1响应文件应按谈判文件要求签字、盖章。供应商代表可为供应商法定代表人(非法人组织为负责人或合伙人、个体工商户为负责人，谈判文件统称单位负责人)；供应商代表不是供应商的法定代表人（单位负责人）的，应提供法定代表人（单位负责人）授权委托书。</w:t>
      </w:r>
    </w:p>
    <w:p w14:paraId="21C556FA">
      <w:pPr>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13.2 </w:t>
      </w:r>
      <w:r>
        <w:rPr>
          <w:rFonts w:hint="eastAsia" w:ascii="宋体" w:hAnsi="宋体" w:eastAsia="宋体" w:cs="宋体"/>
          <w:color w:val="auto"/>
          <w:kern w:val="2"/>
          <w:sz w:val="24"/>
          <w:szCs w:val="24"/>
          <w:lang w:val="zh-CN" w:eastAsia="zh-CN" w:bidi="ar-SA"/>
        </w:rPr>
        <w:t>供应商应按照谈判文件所提供的文件格式，分别填写谈判文件</w:t>
      </w:r>
      <w:r>
        <w:rPr>
          <w:rFonts w:hint="eastAsia" w:ascii="宋体" w:hAnsi="宋体" w:eastAsia="宋体" w:cs="宋体"/>
          <w:color w:val="auto"/>
          <w:kern w:val="2"/>
          <w:sz w:val="24"/>
          <w:szCs w:val="24"/>
          <w:highlight w:val="none"/>
          <w:lang w:val="zh-CN" w:eastAsia="zh-CN" w:bidi="ar-SA"/>
        </w:rPr>
        <w:t>第四部分</w:t>
      </w:r>
      <w:r>
        <w:rPr>
          <w:rFonts w:hint="eastAsia" w:ascii="宋体" w:hAnsi="宋体" w:eastAsia="宋体" w:cs="宋体"/>
          <w:color w:val="auto"/>
          <w:kern w:val="2"/>
          <w:sz w:val="24"/>
          <w:szCs w:val="24"/>
          <w:lang w:val="zh-CN" w:eastAsia="zh-CN" w:bidi="ar-SA"/>
        </w:rPr>
        <w:t>的内容；谈判文件要求签字、盖章的地方必须由供应商的法定代表人或委托代理人签字、盖章。</w:t>
      </w:r>
      <w:r>
        <w:rPr>
          <w:rFonts w:hint="eastAsia" w:ascii="宋体" w:hAnsi="宋体" w:eastAsia="宋体" w:cs="宋体"/>
          <w:color w:val="auto"/>
          <w:kern w:val="2"/>
          <w:sz w:val="24"/>
          <w:szCs w:val="24"/>
          <w:lang w:val="en-US" w:eastAsia="zh-CN" w:bidi="ar-SA"/>
        </w:rPr>
        <w:t>并扫描上传一份电子响应文件。</w:t>
      </w:r>
    </w:p>
    <w:p w14:paraId="12D82A78">
      <w:pPr>
        <w:pageBreakBefore w:val="0"/>
        <w:widowControl w:val="0"/>
        <w:kinsoku/>
        <w:wordWrap/>
        <w:overflowPunct/>
        <w:topLinePunct w:val="0"/>
        <w:autoSpaceDE/>
        <w:autoSpaceDN/>
        <w:bidi w:val="0"/>
        <w:adjustRightInd/>
        <w:snapToGrid/>
        <w:spacing w:before="157" w:beforeLines="50" w:line="360" w:lineRule="auto"/>
        <w:jc w:val="center"/>
        <w:textAlignment w:val="auto"/>
        <w:outlineLvl w:val="1"/>
        <w:rPr>
          <w:rFonts w:hint="eastAsia" w:ascii="宋体" w:hAnsi="宋体" w:eastAsia="宋体" w:cs="宋体"/>
          <w:b/>
          <w:bCs/>
          <w:color w:val="auto"/>
          <w:kern w:val="2"/>
          <w:sz w:val="28"/>
          <w:szCs w:val="28"/>
          <w:lang w:val="en-US" w:eastAsia="zh-CN" w:bidi="ar-SA"/>
        </w:rPr>
      </w:pPr>
      <w:bookmarkStart w:id="102" w:name="_Toc16239"/>
      <w:bookmarkStart w:id="103" w:name="_Toc24112_WPSOffice_Level2"/>
      <w:bookmarkStart w:id="104" w:name="_Toc32627_WPSOffice_Level2"/>
      <w:bookmarkStart w:id="105" w:name="_Toc30575"/>
      <w:bookmarkStart w:id="106" w:name="_Toc31349_WPSOffice_Level2"/>
      <w:bookmarkStart w:id="107" w:name="_Toc25869"/>
      <w:bookmarkStart w:id="108" w:name="_Toc34637768"/>
      <w:bookmarkStart w:id="109" w:name="_Toc8361"/>
      <w:r>
        <w:rPr>
          <w:rFonts w:hint="eastAsia" w:ascii="宋体" w:hAnsi="宋体" w:eastAsia="宋体" w:cs="宋体"/>
          <w:b/>
          <w:bCs/>
          <w:color w:val="auto"/>
          <w:kern w:val="2"/>
          <w:sz w:val="28"/>
          <w:szCs w:val="28"/>
          <w:lang w:val="en-US" w:eastAsia="zh-CN" w:bidi="ar-SA"/>
        </w:rPr>
        <w:t>四、响应文件的递交</w:t>
      </w:r>
      <w:bookmarkEnd w:id="102"/>
      <w:bookmarkEnd w:id="103"/>
      <w:bookmarkEnd w:id="104"/>
      <w:bookmarkEnd w:id="105"/>
      <w:bookmarkEnd w:id="106"/>
      <w:bookmarkEnd w:id="107"/>
      <w:bookmarkEnd w:id="108"/>
      <w:bookmarkEnd w:id="109"/>
    </w:p>
    <w:p w14:paraId="216923F3">
      <w:pPr>
        <w:pStyle w:val="5"/>
        <w:pageBreakBefore w:val="0"/>
        <w:widowControl w:val="0"/>
        <w:kinsoku/>
        <w:wordWrap/>
        <w:overflowPunct/>
        <w:topLinePunct w:val="0"/>
        <w:autoSpaceDE/>
        <w:autoSpaceDN/>
        <w:bidi w:val="0"/>
        <w:adjustRightInd/>
        <w:snapToGrid/>
        <w:spacing w:before="157" w:beforeLines="5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110" w:name="_Toc23622_WPSOffice_Level3"/>
      <w:bookmarkStart w:id="111" w:name="_Toc31398"/>
      <w:bookmarkStart w:id="112" w:name="_Toc20825_WPSOffice_Level3"/>
      <w:bookmarkStart w:id="113" w:name="_Toc6095"/>
      <w:bookmarkStart w:id="114" w:name="_Toc4459"/>
      <w:r>
        <w:rPr>
          <w:rFonts w:hint="eastAsia" w:ascii="宋体" w:hAnsi="宋体" w:eastAsia="宋体" w:cs="宋体"/>
          <w:b/>
          <w:bCs/>
          <w:color w:val="auto"/>
          <w:kern w:val="2"/>
          <w:sz w:val="24"/>
          <w:szCs w:val="24"/>
          <w:lang w:val="en-US" w:eastAsia="zh-CN" w:bidi="ar-SA"/>
        </w:rPr>
        <w:t>14.响应文件的密封和标记</w:t>
      </w:r>
      <w:bookmarkEnd w:id="110"/>
      <w:bookmarkEnd w:id="111"/>
      <w:bookmarkEnd w:id="112"/>
      <w:bookmarkEnd w:id="113"/>
      <w:bookmarkEnd w:id="114"/>
    </w:p>
    <w:p w14:paraId="1B4CEE84">
      <w:pPr>
        <w:pageBreakBefore w:val="0"/>
        <w:widowControl w:val="0"/>
        <w:kinsoku/>
        <w:wordWrap/>
        <w:overflowPunct/>
        <w:topLinePunct w:val="0"/>
        <w:autoSpaceDE/>
        <w:autoSpaceDN/>
        <w:bidi w:val="0"/>
        <w:adjustRightInd/>
        <w:snapToGrid/>
        <w:spacing w:before="157" w:beforeLines="50" w:line="360" w:lineRule="auto"/>
        <w:ind w:firstLine="240" w:firstLineChars="100"/>
        <w:jc w:val="left"/>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w:t>
      </w:r>
    </w:p>
    <w:p w14:paraId="2931B96E">
      <w:pPr>
        <w:pStyle w:val="5"/>
        <w:pageBreakBefore w:val="0"/>
        <w:widowControl w:val="0"/>
        <w:kinsoku/>
        <w:wordWrap/>
        <w:overflowPunct/>
        <w:topLinePunct w:val="0"/>
        <w:autoSpaceDE/>
        <w:autoSpaceDN/>
        <w:bidi w:val="0"/>
        <w:adjustRightInd/>
        <w:snapToGrid/>
        <w:spacing w:before="157" w:beforeLines="5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115" w:name="_Toc7845_WPSOffice_Level3"/>
      <w:bookmarkStart w:id="116" w:name="_Toc18048"/>
      <w:bookmarkStart w:id="117" w:name="_Toc1241"/>
      <w:bookmarkStart w:id="118" w:name="_Toc13231_WPSOffice_Level3"/>
      <w:bookmarkStart w:id="119" w:name="_Toc12764"/>
      <w:r>
        <w:rPr>
          <w:rFonts w:hint="eastAsia" w:ascii="宋体" w:hAnsi="宋体" w:eastAsia="宋体" w:cs="宋体"/>
          <w:b/>
          <w:bCs/>
          <w:color w:val="auto"/>
          <w:kern w:val="2"/>
          <w:sz w:val="24"/>
          <w:szCs w:val="24"/>
          <w:lang w:val="en-US" w:eastAsia="zh-CN" w:bidi="ar-SA"/>
        </w:rPr>
        <w:t>15.响应文件的递交与接收</w:t>
      </w:r>
      <w:bookmarkEnd w:id="115"/>
      <w:bookmarkEnd w:id="116"/>
      <w:bookmarkEnd w:id="117"/>
      <w:bookmarkEnd w:id="118"/>
      <w:bookmarkEnd w:id="119"/>
    </w:p>
    <w:p w14:paraId="0D13E0A6">
      <w:pPr>
        <w:pageBreakBefore w:val="0"/>
        <w:widowControl w:val="0"/>
        <w:kinsoku/>
        <w:wordWrap/>
        <w:overflowPunct/>
        <w:topLinePunct w:val="0"/>
        <w:autoSpaceDE/>
        <w:autoSpaceDN/>
        <w:bidi w:val="0"/>
        <w:adjustRightInd/>
        <w:snapToGrid/>
        <w:spacing w:before="157" w:beforeLines="50" w:line="360" w:lineRule="auto"/>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15.1 供应商应当在谈判文件要求提交响应文件的截止时间前，将电子响应文件上传至政采云投标客户端。</w:t>
      </w:r>
    </w:p>
    <w:p w14:paraId="18FAC3FB">
      <w:pPr>
        <w:pageBreakBefore w:val="0"/>
        <w:widowControl w:val="0"/>
        <w:kinsoku/>
        <w:wordWrap/>
        <w:overflowPunct/>
        <w:topLinePunct w:val="0"/>
        <w:autoSpaceDE/>
        <w:autoSpaceDN/>
        <w:bidi w:val="0"/>
        <w:adjustRightInd/>
        <w:snapToGrid/>
        <w:spacing w:before="157" w:beforeLines="50" w:line="360" w:lineRule="auto"/>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15.2 供应商在谈判文件要求提交响应文件的截止时间前，未将电子响应文件上传至政采云投标客户端、或文件解密失败的，视为无效响应。</w:t>
      </w:r>
    </w:p>
    <w:p w14:paraId="6333AD85">
      <w:pPr>
        <w:pStyle w:val="5"/>
        <w:pageBreakBefore w:val="0"/>
        <w:widowControl w:val="0"/>
        <w:kinsoku/>
        <w:wordWrap/>
        <w:overflowPunct/>
        <w:topLinePunct w:val="0"/>
        <w:autoSpaceDE/>
        <w:autoSpaceDN/>
        <w:bidi w:val="0"/>
        <w:adjustRightInd/>
        <w:snapToGrid/>
        <w:spacing w:before="157" w:beforeLines="5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120" w:name="_Toc5063_WPSOffice_Level3"/>
      <w:bookmarkStart w:id="121" w:name="_Toc19521_WPSOffice_Level3"/>
      <w:bookmarkStart w:id="122" w:name="_Toc17912"/>
      <w:bookmarkStart w:id="123" w:name="_Toc31959"/>
      <w:bookmarkStart w:id="124" w:name="_Toc1373"/>
      <w:r>
        <w:rPr>
          <w:rFonts w:hint="eastAsia" w:ascii="宋体" w:hAnsi="宋体" w:eastAsia="宋体" w:cs="宋体"/>
          <w:b/>
          <w:bCs/>
          <w:color w:val="auto"/>
          <w:kern w:val="2"/>
          <w:sz w:val="24"/>
          <w:szCs w:val="24"/>
          <w:lang w:val="en-US" w:eastAsia="zh-CN" w:bidi="ar-SA"/>
        </w:rPr>
        <w:t>16.响应文件的</w:t>
      </w:r>
      <w:r>
        <w:rPr>
          <w:rFonts w:hint="eastAsia" w:ascii="宋体" w:hAnsi="宋体" w:eastAsia="宋体" w:cs="宋体"/>
          <w:b/>
          <w:bCs/>
          <w:color w:val="auto"/>
          <w:kern w:val="2"/>
          <w:sz w:val="24"/>
          <w:szCs w:val="24"/>
          <w:lang w:val="zh-CN" w:eastAsia="zh-CN" w:bidi="ar-SA"/>
        </w:rPr>
        <w:t>补充、修改或者撤回</w:t>
      </w:r>
      <w:bookmarkEnd w:id="120"/>
      <w:bookmarkEnd w:id="121"/>
      <w:bookmarkEnd w:id="122"/>
      <w:bookmarkEnd w:id="123"/>
      <w:bookmarkEnd w:id="124"/>
    </w:p>
    <w:p w14:paraId="57D407EB">
      <w:pPr>
        <w:pageBreakBefore w:val="0"/>
        <w:widowControl w:val="0"/>
        <w:kinsoku/>
        <w:wordWrap/>
        <w:overflowPunct/>
        <w:topLinePunct w:val="0"/>
        <w:autoSpaceDE/>
        <w:autoSpaceDN/>
        <w:bidi w:val="0"/>
        <w:adjustRightInd/>
        <w:snapToGrid/>
        <w:spacing w:before="157" w:beforeLines="50"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bookmarkStart w:id="125" w:name="_Toc34637769"/>
      <w:r>
        <w:rPr>
          <w:rFonts w:hint="eastAsia" w:ascii="宋体" w:hAnsi="宋体" w:eastAsia="宋体" w:cs="宋体"/>
          <w:color w:val="auto"/>
          <w:kern w:val="2"/>
          <w:sz w:val="24"/>
          <w:szCs w:val="24"/>
          <w:lang w:val="en-US" w:eastAsia="zh-CN" w:bidi="ar-SA"/>
        </w:rPr>
        <w:t>供应商在谈判文件开启时间前，可以对所上传的响应文件进行补充、修改或者撤回，补充、修改或者撤回的内容作为响应文件的组成部分。</w:t>
      </w:r>
    </w:p>
    <w:p w14:paraId="3E5CB580">
      <w:pPr>
        <w:pageBreakBefore w:val="0"/>
        <w:widowControl w:val="0"/>
        <w:kinsoku/>
        <w:wordWrap/>
        <w:overflowPunct/>
        <w:topLinePunct w:val="0"/>
        <w:autoSpaceDE/>
        <w:autoSpaceDN/>
        <w:bidi w:val="0"/>
        <w:adjustRightInd/>
        <w:snapToGrid/>
        <w:spacing w:before="157" w:beforeLines="50" w:line="360" w:lineRule="auto"/>
        <w:jc w:val="center"/>
        <w:textAlignment w:val="auto"/>
        <w:outlineLvl w:val="1"/>
        <w:rPr>
          <w:rFonts w:hint="eastAsia" w:ascii="宋体" w:hAnsi="宋体" w:eastAsia="宋体" w:cs="宋体"/>
          <w:b w:val="0"/>
          <w:bCs w:val="0"/>
          <w:color w:val="auto"/>
          <w:kern w:val="2"/>
          <w:sz w:val="28"/>
          <w:szCs w:val="28"/>
          <w:lang w:val="en-US" w:eastAsia="zh-CN" w:bidi="ar-SA"/>
        </w:rPr>
      </w:pPr>
      <w:bookmarkStart w:id="126" w:name="_Toc17502"/>
      <w:bookmarkStart w:id="127" w:name="_Toc10968"/>
      <w:bookmarkStart w:id="128" w:name="_Toc18610_WPSOffice_Level2"/>
      <w:bookmarkStart w:id="129" w:name="_Toc25721_WPSOffice_Level2"/>
      <w:bookmarkStart w:id="130" w:name="_Toc31993"/>
      <w:bookmarkStart w:id="131" w:name="_Toc29785_WPSOffice_Level2"/>
      <w:bookmarkStart w:id="132" w:name="_Toc12974"/>
      <w:r>
        <w:rPr>
          <w:rFonts w:hint="eastAsia" w:ascii="宋体" w:hAnsi="宋体" w:eastAsia="宋体" w:cs="宋体"/>
          <w:b/>
          <w:bCs/>
          <w:color w:val="auto"/>
          <w:kern w:val="2"/>
          <w:sz w:val="28"/>
          <w:szCs w:val="28"/>
          <w:lang w:val="en-US" w:eastAsia="zh-CN" w:bidi="ar-SA"/>
        </w:rPr>
        <w:t>五、响应文件的评审与谈判</w:t>
      </w:r>
      <w:bookmarkEnd w:id="125"/>
      <w:bookmarkEnd w:id="126"/>
      <w:bookmarkEnd w:id="127"/>
      <w:bookmarkEnd w:id="128"/>
      <w:bookmarkEnd w:id="129"/>
      <w:bookmarkEnd w:id="130"/>
      <w:bookmarkEnd w:id="131"/>
      <w:bookmarkEnd w:id="132"/>
    </w:p>
    <w:p w14:paraId="358EE6EA">
      <w:pPr>
        <w:pStyle w:val="5"/>
        <w:pageBreakBefore w:val="0"/>
        <w:widowControl w:val="0"/>
        <w:kinsoku/>
        <w:wordWrap/>
        <w:overflowPunct/>
        <w:topLinePunct w:val="0"/>
        <w:autoSpaceDE/>
        <w:autoSpaceDN/>
        <w:bidi w:val="0"/>
        <w:adjustRightInd/>
        <w:snapToGrid/>
        <w:spacing w:before="157" w:beforeLines="5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133" w:name="_Toc174"/>
      <w:bookmarkStart w:id="134" w:name="_Toc18713_WPSOffice_Level3"/>
      <w:bookmarkStart w:id="135" w:name="_Toc11267"/>
      <w:bookmarkStart w:id="136" w:name="_Toc26446"/>
      <w:bookmarkStart w:id="137" w:name="_Toc19596_WPSOffice_Level3"/>
      <w:r>
        <w:rPr>
          <w:rFonts w:hint="eastAsia" w:ascii="宋体" w:hAnsi="宋体" w:eastAsia="宋体" w:cs="宋体"/>
          <w:b/>
          <w:bCs/>
          <w:color w:val="auto"/>
          <w:kern w:val="2"/>
          <w:sz w:val="24"/>
          <w:szCs w:val="24"/>
          <w:lang w:val="en-US" w:eastAsia="zh-CN" w:bidi="ar-SA"/>
        </w:rPr>
        <w:t>17.谈判小组</w:t>
      </w:r>
      <w:bookmarkEnd w:id="133"/>
      <w:bookmarkEnd w:id="134"/>
      <w:bookmarkEnd w:id="135"/>
      <w:bookmarkEnd w:id="136"/>
      <w:bookmarkEnd w:id="137"/>
    </w:p>
    <w:p w14:paraId="53AECD5E">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17.1竞争性谈判小组由采购人代表和评审专家共</w:t>
      </w:r>
      <w:r>
        <w:rPr>
          <w:rFonts w:hint="eastAsia" w:ascii="宋体" w:hAnsi="宋体" w:eastAsia="宋体" w:cs="宋体"/>
          <w:color w:val="auto"/>
          <w:kern w:val="2"/>
          <w:sz w:val="24"/>
          <w:szCs w:val="24"/>
          <w:u w:val="none"/>
          <w:lang w:val="en-US" w:eastAsia="zh-CN" w:bidi="ar-SA"/>
        </w:rPr>
        <w:t>3</w:t>
      </w:r>
      <w:r>
        <w:rPr>
          <w:rFonts w:hint="eastAsia" w:ascii="宋体" w:hAnsi="宋体" w:eastAsia="宋体" w:cs="宋体"/>
          <w:color w:val="auto"/>
          <w:kern w:val="2"/>
          <w:sz w:val="24"/>
          <w:szCs w:val="24"/>
          <w:lang w:val="en-US" w:eastAsia="zh-CN" w:bidi="ar-SA"/>
        </w:rPr>
        <w:t>人以上单数组成，其中评审专家不得少于竞争性谈判小组成员总数的2/3。采购人不得以评审专家身份参加本采购项目的评审。谈判小组评审专家从政府采购评审专家库内相关专业的专家名单中随机抽取。</w:t>
      </w:r>
    </w:p>
    <w:p w14:paraId="176ABF61">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17.2谈判由采购代理机构负责组织，具体谈判事务由依法组建的谈判小组负责，</w:t>
      </w:r>
      <w:r>
        <w:rPr>
          <w:rFonts w:hint="eastAsia" w:ascii="宋体" w:hAnsi="宋体" w:eastAsia="宋体" w:cs="宋体"/>
          <w:b/>
          <w:bCs/>
          <w:color w:val="auto"/>
          <w:kern w:val="2"/>
          <w:sz w:val="24"/>
          <w:szCs w:val="24"/>
          <w:lang w:val="en-US" w:eastAsia="zh-CN" w:bidi="ar-SA"/>
        </w:rPr>
        <w:t>并独立履行下列职责</w:t>
      </w:r>
      <w:r>
        <w:rPr>
          <w:rFonts w:hint="eastAsia" w:ascii="宋体" w:hAnsi="宋体" w:eastAsia="宋体" w:cs="宋体"/>
          <w:color w:val="auto"/>
          <w:kern w:val="2"/>
          <w:sz w:val="24"/>
          <w:szCs w:val="24"/>
          <w:lang w:val="en-US" w:eastAsia="zh-CN" w:bidi="ar-SA"/>
        </w:rPr>
        <w:t>：</w:t>
      </w:r>
    </w:p>
    <w:p w14:paraId="5226D47C">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r>
        <w:rPr>
          <w:rFonts w:hint="eastAsia" w:ascii="宋体" w:hAnsi="宋体" w:eastAsia="宋体" w:cs="宋体"/>
          <w:color w:val="auto"/>
          <w:kern w:val="2"/>
          <w:sz w:val="24"/>
          <w:szCs w:val="24"/>
          <w:u w:val="none"/>
          <w:lang w:val="en-US" w:eastAsia="zh-CN" w:bidi="ar-SA"/>
        </w:rPr>
        <w:t>确认谈判文件</w:t>
      </w:r>
      <w:r>
        <w:rPr>
          <w:rFonts w:hint="eastAsia" w:ascii="宋体" w:hAnsi="宋体" w:eastAsia="宋体" w:cs="宋体"/>
          <w:color w:val="auto"/>
          <w:kern w:val="2"/>
          <w:sz w:val="24"/>
          <w:szCs w:val="24"/>
          <w:lang w:val="en-US" w:eastAsia="zh-CN" w:bidi="ar-SA"/>
        </w:rPr>
        <w:t>；</w:t>
      </w:r>
    </w:p>
    <w:p w14:paraId="735C548B">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（2）审查供应商的响应文件并作出评价；</w:t>
      </w:r>
    </w:p>
    <w:p w14:paraId="169524D0">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（3）要求供应商对谈判文件有关事项作出澄清或者说明；</w:t>
      </w:r>
    </w:p>
    <w:p w14:paraId="03B0EC09">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（4）编写评审报告；</w:t>
      </w:r>
    </w:p>
    <w:p w14:paraId="7696F7A7">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（5）确定成交候选人名单，以及根据采购人委托直接确定成交供应商；</w:t>
      </w:r>
    </w:p>
    <w:p w14:paraId="5112171D">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（6）告知采购人、采购代理机构在评审过程中发现的供应商的违法违规行为。</w:t>
      </w:r>
    </w:p>
    <w:p w14:paraId="651B9DE1">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17.3谈判小组应遵守并履行下列义务：</w:t>
      </w:r>
    </w:p>
    <w:p w14:paraId="34F67089">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（1）遵纪守法，客观、公正、廉洁地履行职责；</w:t>
      </w:r>
    </w:p>
    <w:p w14:paraId="18492774">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（2）按照谈判文件规定的成交方法评审，对评审意见承担谈判小组成员责任；</w:t>
      </w:r>
    </w:p>
    <w:p w14:paraId="363E6C57">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（3）对响应文件、谈判情况和谈判中获悉的国家秘密、商业秘密保密；</w:t>
      </w:r>
    </w:p>
    <w:p w14:paraId="35FFB81C">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（4）参与评审报告的起草；</w:t>
      </w:r>
    </w:p>
    <w:p w14:paraId="43F68F21">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（5）配合采购人、采购代理机构答复供应商提出的质疑；</w:t>
      </w:r>
    </w:p>
    <w:p w14:paraId="788B800C">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（6）配合财政部门的投诉处理和监督检查工作。</w:t>
      </w:r>
    </w:p>
    <w:p w14:paraId="20F31BE4">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17.4</w:t>
      </w:r>
      <w:r>
        <w:rPr>
          <w:rFonts w:hint="eastAsia" w:ascii="宋体" w:hAnsi="宋体" w:eastAsia="宋体" w:cs="宋体"/>
          <w:b/>
          <w:bCs/>
          <w:color w:val="auto"/>
          <w:kern w:val="2"/>
          <w:sz w:val="24"/>
          <w:szCs w:val="24"/>
          <w:lang w:val="en-US" w:eastAsia="zh-CN" w:bidi="ar-SA"/>
        </w:rPr>
        <w:t>谈判小组成员有下列情形之一的，应当回避</w:t>
      </w:r>
      <w:r>
        <w:rPr>
          <w:rFonts w:hint="eastAsia" w:ascii="宋体" w:hAnsi="宋体" w:eastAsia="宋体" w:cs="宋体"/>
          <w:color w:val="auto"/>
          <w:kern w:val="2"/>
          <w:sz w:val="24"/>
          <w:szCs w:val="24"/>
          <w:lang w:val="en-US" w:eastAsia="zh-CN" w:bidi="ar-SA"/>
        </w:rPr>
        <w:t>：</w:t>
      </w:r>
    </w:p>
    <w:p w14:paraId="428F5BB3">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（1）参加采购活动前 3 年内与供应商存在劳动关系；</w:t>
      </w:r>
    </w:p>
    <w:p w14:paraId="145687C6">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（2）参加采购活动前 3 年内担任供应商的董事、监事；</w:t>
      </w:r>
    </w:p>
    <w:p w14:paraId="797C0E63">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（3）参加采购活动前 3 年内是供应商的控股股东或者实际控制人；</w:t>
      </w:r>
    </w:p>
    <w:p w14:paraId="74DEB34C">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（4）与供应商的法定代表人或者负责人有夫妻、直系血亲、三代以内旁系血亲或者近姻亲关系；</w:t>
      </w:r>
    </w:p>
    <w:p w14:paraId="619B6F25">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（5）与供应商有其他可能影响政府采购活动公平、公正进行的关系。</w:t>
      </w:r>
      <w:bookmarkStart w:id="138" w:name="_Toc19122"/>
      <w:bookmarkStart w:id="139" w:name="_Toc16350_WPSOffice_Level3"/>
    </w:p>
    <w:p w14:paraId="0AA03815">
      <w:pPr>
        <w:pStyle w:val="5"/>
        <w:pageBreakBefore w:val="0"/>
        <w:widowControl w:val="0"/>
        <w:kinsoku/>
        <w:wordWrap/>
        <w:overflowPunct/>
        <w:topLinePunct w:val="0"/>
        <w:autoSpaceDE/>
        <w:autoSpaceDN/>
        <w:bidi w:val="0"/>
        <w:adjustRightInd/>
        <w:snapToGrid/>
        <w:spacing w:before="157" w:beforeLines="5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140" w:name="_Toc22044_WPSOffice_Level3"/>
      <w:bookmarkStart w:id="141" w:name="_Toc21386"/>
      <w:r>
        <w:rPr>
          <w:rFonts w:hint="eastAsia" w:ascii="宋体" w:hAnsi="宋体" w:eastAsia="宋体" w:cs="宋体"/>
          <w:b/>
          <w:bCs/>
          <w:color w:val="auto"/>
          <w:kern w:val="2"/>
          <w:sz w:val="24"/>
          <w:szCs w:val="24"/>
          <w:lang w:val="en-US" w:eastAsia="zh-CN" w:bidi="ar-SA"/>
        </w:rPr>
        <w:t>18.响应文件审查</w:t>
      </w:r>
      <w:bookmarkEnd w:id="138"/>
      <w:bookmarkEnd w:id="139"/>
      <w:bookmarkEnd w:id="140"/>
      <w:bookmarkEnd w:id="141"/>
    </w:p>
    <w:p w14:paraId="6DBEBE27">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18.1谈判小组应当对响应文件进行评审，并根据谈判文件规定的程序、评定成交的标准等事项与</w:t>
      </w:r>
      <w:r>
        <w:rPr>
          <w:rFonts w:hint="eastAsia" w:ascii="宋体" w:hAnsi="宋体" w:eastAsia="宋体" w:cs="宋体"/>
          <w:b/>
          <w:bCs/>
          <w:color w:val="auto"/>
          <w:kern w:val="2"/>
          <w:sz w:val="24"/>
          <w:szCs w:val="24"/>
          <w:lang w:val="en-US" w:eastAsia="zh-CN" w:bidi="ar-SA"/>
        </w:rPr>
        <w:t>实质性响应谈判文件要求的供应商进行谈判</w:t>
      </w:r>
      <w:r>
        <w:rPr>
          <w:rFonts w:hint="eastAsia" w:ascii="宋体" w:hAnsi="宋体" w:eastAsia="宋体" w:cs="宋体"/>
          <w:color w:val="auto"/>
          <w:kern w:val="2"/>
          <w:sz w:val="24"/>
          <w:szCs w:val="24"/>
          <w:lang w:val="en-US" w:eastAsia="zh-CN" w:bidi="ar-SA"/>
        </w:rPr>
        <w:t>。</w:t>
      </w:r>
    </w:p>
    <w:p w14:paraId="54EF034A">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18.2在对供应商进行审查时，</w:t>
      </w:r>
      <w:r>
        <w:rPr>
          <w:rFonts w:hint="eastAsia" w:ascii="宋体" w:hAnsi="宋体" w:eastAsia="宋体" w:cs="宋体"/>
          <w:b/>
          <w:bCs/>
          <w:color w:val="auto"/>
          <w:kern w:val="2"/>
          <w:sz w:val="24"/>
          <w:szCs w:val="24"/>
          <w:lang w:val="en-US" w:eastAsia="zh-CN" w:bidi="ar-SA"/>
        </w:rPr>
        <w:t>存在下列情况之一的，按无效处理：</w:t>
      </w:r>
    </w:p>
    <w:p w14:paraId="5CE0937E">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（1）不符合谈判文件第一部分  谈判须知前附表“供应商资格条件”的；</w:t>
      </w:r>
    </w:p>
    <w:p w14:paraId="478C9BDA">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（2）未按第11.1.1款“</w:t>
      </w:r>
      <w:r>
        <w:rPr>
          <w:rFonts w:hint="eastAsia" w:ascii="宋体" w:hAnsi="宋体" w:eastAsia="宋体" w:cs="宋体"/>
          <w:color w:val="auto"/>
          <w:kern w:val="2"/>
          <w:sz w:val="24"/>
          <w:szCs w:val="24"/>
          <w:lang w:val="zh-CN" w:eastAsia="zh-CN" w:bidi="ar-SA"/>
        </w:rPr>
        <w:t>资格审查部分</w:t>
      </w:r>
      <w:r>
        <w:rPr>
          <w:rFonts w:hint="eastAsia" w:ascii="宋体" w:hAnsi="宋体" w:eastAsia="宋体" w:cs="宋体"/>
          <w:color w:val="auto"/>
          <w:kern w:val="2"/>
          <w:sz w:val="24"/>
          <w:szCs w:val="24"/>
          <w:lang w:val="en-US" w:eastAsia="zh-CN" w:bidi="ar-SA"/>
        </w:rPr>
        <w:t>”要求提供相关资料的；</w:t>
      </w:r>
    </w:p>
    <w:p w14:paraId="06BA040B">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（3）交货时间、交货地点及质保期不能满足谈判文件要求的；</w:t>
      </w:r>
    </w:p>
    <w:p w14:paraId="10848056">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（4）响应文件没有按谈判文件规定和要求签字、盖章的；</w:t>
      </w:r>
    </w:p>
    <w:p w14:paraId="19EA3886">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（5）谈判有效期不能满足谈判文件要求的；</w:t>
      </w:r>
    </w:p>
    <w:p w14:paraId="426AE4C5">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（6）谈判报价超过谈判文件规定的采购预算额度的；</w:t>
      </w:r>
    </w:p>
    <w:p w14:paraId="331B9B4D">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（7）所提供产品的技术规格、技术标准明显不符合采购项目要求的；</w:t>
      </w:r>
    </w:p>
    <w:p w14:paraId="2122D66F">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（8）响应文件含有采购人不能接受的附加条件的；</w:t>
      </w:r>
    </w:p>
    <w:p w14:paraId="1B26E67F">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（9）响应文件不满足谈判文件实质性要求和条件的；</w:t>
      </w:r>
    </w:p>
    <w:p w14:paraId="11E73682">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（10）谈判小组认为应按无效谈判处理的其他情况；</w:t>
      </w:r>
    </w:p>
    <w:p w14:paraId="2116993C">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（11）法律、法规规定的其他情形。</w:t>
      </w:r>
    </w:p>
    <w:p w14:paraId="116B8B85">
      <w:pPr>
        <w:pStyle w:val="5"/>
        <w:pageBreakBefore w:val="0"/>
        <w:widowControl w:val="0"/>
        <w:kinsoku/>
        <w:wordWrap/>
        <w:overflowPunct/>
        <w:topLinePunct w:val="0"/>
        <w:autoSpaceDE/>
        <w:autoSpaceDN/>
        <w:bidi w:val="0"/>
        <w:adjustRightInd/>
        <w:snapToGrid/>
        <w:spacing w:before="157" w:beforeLines="5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142" w:name="_Toc1673_WPSOffice_Level3"/>
      <w:bookmarkStart w:id="143" w:name="_Toc7233"/>
      <w:bookmarkStart w:id="144" w:name="_Toc17197"/>
      <w:bookmarkStart w:id="145" w:name="_Toc11154"/>
      <w:bookmarkStart w:id="146" w:name="_Toc17887_WPSOffice_Level3"/>
      <w:r>
        <w:rPr>
          <w:rFonts w:hint="eastAsia" w:ascii="宋体" w:hAnsi="宋体" w:eastAsia="宋体" w:cs="宋体"/>
          <w:b/>
          <w:bCs/>
          <w:color w:val="auto"/>
          <w:kern w:val="2"/>
          <w:sz w:val="24"/>
          <w:szCs w:val="24"/>
          <w:lang w:val="en-US" w:eastAsia="zh-CN" w:bidi="ar-SA"/>
        </w:rPr>
        <w:t>19.谈判程序</w:t>
      </w:r>
      <w:bookmarkEnd w:id="142"/>
      <w:bookmarkEnd w:id="143"/>
      <w:bookmarkEnd w:id="144"/>
      <w:bookmarkEnd w:id="145"/>
      <w:bookmarkEnd w:id="146"/>
    </w:p>
    <w:p w14:paraId="3A059B93">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19.1在谈判过程中，谈判小组所有成员集中与单一供应商分别进行谈判，负责审议所有通过资格条件供应商的响应文件，给予所有参加谈判的供应商平等的谈判机会。供应商应派其代表参加谈判。在谈判过程中谈判的任何一方不得向他人透露与谈判有关的技术资料、价格或其他信息。</w:t>
      </w:r>
    </w:p>
    <w:p w14:paraId="37121EAE">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19.2在谈判过程中，</w:t>
      </w:r>
      <w:r>
        <w:rPr>
          <w:rFonts w:hint="eastAsia" w:ascii="宋体" w:hAnsi="宋体" w:eastAsia="宋体" w:cs="宋体"/>
          <w:color w:val="auto"/>
          <w:kern w:val="2"/>
          <w:sz w:val="24"/>
          <w:szCs w:val="24"/>
          <w:u w:val="none"/>
          <w:lang w:val="en-US" w:eastAsia="zh-CN" w:bidi="ar-SA"/>
        </w:rPr>
        <w:t>谈判小组可以根据谈判文件和谈判情况实质性变动技术标准及要求中的技术、服务要求以及合同草案条款，但不得变动谈判文件中的其他内容。</w:t>
      </w:r>
      <w:r>
        <w:rPr>
          <w:rFonts w:hint="eastAsia" w:ascii="宋体" w:hAnsi="宋体" w:eastAsia="宋体" w:cs="宋体"/>
          <w:color w:val="auto"/>
          <w:kern w:val="2"/>
          <w:sz w:val="24"/>
          <w:szCs w:val="24"/>
          <w:lang w:val="en-US" w:eastAsia="zh-CN" w:bidi="ar-SA"/>
        </w:rPr>
        <w:t>实质性变动的内容，须经采购人代表确认，谈判小组将以书面形式将修改内容同时通知所有参加谈判的供应商。</w:t>
      </w:r>
    </w:p>
    <w:p w14:paraId="3047C262">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u w:val="single"/>
          <w:lang w:val="en-US" w:eastAsia="zh-CN" w:bidi="ar-SA"/>
        </w:rPr>
      </w:pPr>
      <w:r>
        <w:rPr>
          <w:rFonts w:hint="eastAsia" w:ascii="宋体" w:hAnsi="宋体" w:eastAsia="宋体" w:cs="宋体"/>
          <w:color w:val="auto"/>
          <w:kern w:val="2"/>
          <w:sz w:val="24"/>
          <w:szCs w:val="24"/>
          <w:lang w:val="en-US" w:eastAsia="zh-CN" w:bidi="ar-SA"/>
        </w:rPr>
        <w:t>19.3</w:t>
      </w:r>
      <w:r>
        <w:rPr>
          <w:rFonts w:hint="eastAsia" w:ascii="宋体" w:hAnsi="宋体" w:eastAsia="宋体" w:cs="宋体"/>
          <w:color w:val="auto"/>
          <w:kern w:val="2"/>
          <w:sz w:val="24"/>
          <w:szCs w:val="24"/>
          <w:u w:val="none"/>
          <w:lang w:val="en-US" w:eastAsia="zh-CN" w:bidi="ar-SA"/>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14:paraId="5260AF2F">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19.4响应文件中首次报价表内的报价为首次报价，根据技术、服务等满足谈判文件要求的情况，供应商可进行二次报价。</w:t>
      </w:r>
    </w:p>
    <w:p w14:paraId="72E3F19B">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u w:val="single" w:color="auto"/>
          <w:lang w:val="en-US" w:eastAsia="zh-CN" w:bidi="ar-SA"/>
        </w:rPr>
      </w:pPr>
      <w:r>
        <w:rPr>
          <w:rFonts w:hint="eastAsia" w:ascii="宋体" w:hAnsi="宋体" w:eastAsia="宋体" w:cs="宋体"/>
          <w:color w:val="auto"/>
          <w:kern w:val="2"/>
          <w:sz w:val="24"/>
          <w:szCs w:val="24"/>
          <w:lang w:val="en-US" w:eastAsia="zh-CN" w:bidi="ar-SA"/>
        </w:rPr>
        <w:t>19.5</w:t>
      </w:r>
      <w:r>
        <w:rPr>
          <w:rFonts w:hint="eastAsia" w:ascii="宋体" w:hAnsi="宋体" w:eastAsia="宋体" w:cs="宋体"/>
          <w:color w:val="auto"/>
          <w:kern w:val="2"/>
          <w:sz w:val="24"/>
          <w:szCs w:val="24"/>
          <w:u w:val="none" w:color="auto"/>
          <w:lang w:val="en-US" w:eastAsia="zh-CN" w:bidi="ar-SA"/>
        </w:rPr>
        <w:t>谈判小组认为供应商的最后报价明显低于其他通过有效性、完整性、响应程度审查供应商的报价，有可能影响产品质量或者不能诚信履约的，应当要求其在谈判现场合理的时间内提供书面说明，必要时提交相关证明材料；供应商不能证明其报价合理性的，谈判小组应当将其作为无效谈判处理。</w:t>
      </w:r>
    </w:p>
    <w:p w14:paraId="30EC89FF">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19.6谈判工作在有关部门的监督下依法开展，任何单位和个人不得非法干预、影响谈判工作和谈判结果。</w:t>
      </w:r>
    </w:p>
    <w:p w14:paraId="7B60E3C3">
      <w:pPr>
        <w:pStyle w:val="5"/>
        <w:pageBreakBefore w:val="0"/>
        <w:widowControl w:val="0"/>
        <w:kinsoku/>
        <w:wordWrap/>
        <w:overflowPunct/>
        <w:topLinePunct w:val="0"/>
        <w:autoSpaceDE/>
        <w:autoSpaceDN/>
        <w:bidi w:val="0"/>
        <w:adjustRightInd/>
        <w:snapToGrid/>
        <w:spacing w:before="157" w:beforeLines="5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147" w:name="_Toc2176"/>
      <w:bookmarkStart w:id="148" w:name="_Toc25644_WPSOffice_Level3"/>
      <w:bookmarkStart w:id="149" w:name="_Toc13352"/>
      <w:bookmarkStart w:id="150" w:name="_Toc14903"/>
      <w:bookmarkStart w:id="151" w:name="_Toc24288_WPSOffice_Level3"/>
      <w:r>
        <w:rPr>
          <w:rFonts w:hint="eastAsia" w:ascii="宋体" w:hAnsi="宋体" w:eastAsia="宋体" w:cs="宋体"/>
          <w:b/>
          <w:bCs/>
          <w:color w:val="auto"/>
          <w:kern w:val="2"/>
          <w:sz w:val="24"/>
          <w:szCs w:val="24"/>
          <w:lang w:val="en-US" w:eastAsia="zh-CN" w:bidi="ar-SA"/>
        </w:rPr>
        <w:t>20.澄清</w:t>
      </w:r>
      <w:bookmarkEnd w:id="147"/>
      <w:bookmarkEnd w:id="148"/>
      <w:bookmarkEnd w:id="149"/>
      <w:bookmarkEnd w:id="150"/>
      <w:bookmarkEnd w:id="151"/>
    </w:p>
    <w:p w14:paraId="284D9AB5">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20.1谈判小组在对响应文件(包括首次提交的响应文件、重新提交的响应文件)的有效性、完整性和对谈判文件的响应程度进行审查时，可以要求供应商对响应文件中含义不明确、同类问题表述不一致或者有明显文字和计算错误的内容等作出必要的澄清、说明或者更正。</w:t>
      </w:r>
    </w:p>
    <w:p w14:paraId="5F8206CD">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20.2供应商的澄清、说明或者更正响应文件应当采用书面形式，由法定代表人或其授权代表签字或者加盖公章。由授权代表签字的，应当附法定代表人授权书。供应商为自然人的，应当由本人签字并附身份证明，供应商的澄清、说明或者更正不得超出谈判文件的范围或者改变响应文件的实质性内容。</w:t>
      </w:r>
    </w:p>
    <w:p w14:paraId="4FEB351D">
      <w:pPr>
        <w:pStyle w:val="5"/>
        <w:pageBreakBefore w:val="0"/>
        <w:widowControl w:val="0"/>
        <w:kinsoku/>
        <w:wordWrap/>
        <w:overflowPunct/>
        <w:topLinePunct w:val="0"/>
        <w:autoSpaceDE/>
        <w:autoSpaceDN/>
        <w:bidi w:val="0"/>
        <w:adjustRightInd/>
        <w:snapToGrid/>
        <w:spacing w:before="157" w:beforeLines="5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152" w:name="_Toc4997"/>
      <w:bookmarkStart w:id="153" w:name="_Toc8374"/>
      <w:bookmarkStart w:id="154" w:name="_Toc13262_WPSOffice_Level3"/>
      <w:bookmarkStart w:id="155" w:name="_Toc18040"/>
      <w:bookmarkStart w:id="156" w:name="_Toc6898_WPSOffice_Level3"/>
      <w:r>
        <w:rPr>
          <w:rFonts w:hint="eastAsia" w:ascii="宋体" w:hAnsi="宋体" w:eastAsia="宋体" w:cs="宋体"/>
          <w:b/>
          <w:bCs/>
          <w:color w:val="auto"/>
          <w:kern w:val="2"/>
          <w:sz w:val="24"/>
          <w:szCs w:val="24"/>
          <w:lang w:val="en-US" w:eastAsia="zh-CN" w:bidi="ar-SA"/>
        </w:rPr>
        <w:t>21.退出谈判</w:t>
      </w:r>
      <w:bookmarkEnd w:id="152"/>
      <w:bookmarkEnd w:id="153"/>
      <w:bookmarkEnd w:id="154"/>
      <w:bookmarkEnd w:id="155"/>
      <w:bookmarkEnd w:id="156"/>
    </w:p>
    <w:p w14:paraId="2536E891">
      <w:pPr>
        <w:pageBreakBefore w:val="0"/>
        <w:widowControl w:val="0"/>
        <w:kinsoku/>
        <w:wordWrap/>
        <w:overflowPunct/>
        <w:topLinePunct w:val="0"/>
        <w:autoSpaceDE/>
        <w:autoSpaceDN/>
        <w:bidi w:val="0"/>
        <w:adjustRightInd/>
        <w:snapToGrid/>
        <w:spacing w:before="157" w:beforeLines="50"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供应商在提交最后报价之前，可以根据谈判情况退出谈判，并由法定代表人或其授权代表签字或加盖公章书面通知采购人、采购代理机构或者谈判小组。采购人、采购代理机构按规定退还退出谈判的供应商的保证金。</w:t>
      </w:r>
    </w:p>
    <w:p w14:paraId="52B8089A">
      <w:pPr>
        <w:pStyle w:val="5"/>
        <w:pageBreakBefore w:val="0"/>
        <w:widowControl w:val="0"/>
        <w:kinsoku/>
        <w:wordWrap/>
        <w:overflowPunct/>
        <w:topLinePunct w:val="0"/>
        <w:autoSpaceDE/>
        <w:autoSpaceDN/>
        <w:bidi w:val="0"/>
        <w:adjustRightInd/>
        <w:snapToGrid/>
        <w:spacing w:before="157" w:beforeLines="5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157" w:name="_Toc18169_WPSOffice_Level3"/>
      <w:bookmarkStart w:id="158" w:name="_Toc12522"/>
      <w:bookmarkStart w:id="159" w:name="_Toc14748"/>
      <w:bookmarkStart w:id="160" w:name="_Toc5048_WPSOffice_Level3"/>
      <w:bookmarkStart w:id="161" w:name="_Toc32003"/>
      <w:r>
        <w:rPr>
          <w:rFonts w:hint="eastAsia" w:ascii="宋体" w:hAnsi="宋体" w:eastAsia="宋体" w:cs="宋体"/>
          <w:b/>
          <w:bCs/>
          <w:color w:val="auto"/>
          <w:kern w:val="2"/>
          <w:sz w:val="24"/>
          <w:szCs w:val="24"/>
          <w:lang w:val="en-US" w:eastAsia="zh-CN" w:bidi="ar-SA"/>
        </w:rPr>
        <w:t>22.最后报价</w:t>
      </w:r>
      <w:bookmarkEnd w:id="157"/>
      <w:bookmarkEnd w:id="158"/>
      <w:bookmarkEnd w:id="159"/>
      <w:bookmarkEnd w:id="160"/>
      <w:bookmarkEnd w:id="161"/>
    </w:p>
    <w:p w14:paraId="64653D4B">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22.1谈判结束后，符合谈判文件规定的实质性要求和条件的供应商不少于3家的，谈判小组应当要求符合谈判文件规定的实质性要求和条件的供应商在规定时间内提交最后报价。最后报价应由供应商代表签字或者加盖供应商单位公章。</w:t>
      </w:r>
    </w:p>
    <w:p w14:paraId="057D2A98">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u w:val="none" w:color="auto"/>
          <w:lang w:val="en-US" w:eastAsia="zh-CN" w:bidi="ar-SA"/>
        </w:rPr>
      </w:pPr>
      <w:r>
        <w:rPr>
          <w:rFonts w:hint="eastAsia" w:ascii="宋体" w:hAnsi="宋体" w:eastAsia="宋体" w:cs="宋体"/>
          <w:color w:val="auto"/>
          <w:kern w:val="2"/>
          <w:sz w:val="24"/>
          <w:szCs w:val="24"/>
          <w:u w:val="none" w:color="auto"/>
          <w:lang w:val="en-US" w:eastAsia="zh-CN" w:bidi="ar-SA"/>
        </w:rPr>
        <w:t>22.2谈判文件不能详细列明采购需求的技术、服务要求，需经谈判由供应商提供最终设计方案或解决方案的，谈判结束后，谈判小组应当按照少数服从多数的原则投票推荐3家以上供应商的设计方案或者解决方案，并要求其在规定时间内提交最后报价。</w:t>
      </w:r>
    </w:p>
    <w:p w14:paraId="45041200">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22.3最后报价的评审</w:t>
      </w:r>
    </w:p>
    <w:p w14:paraId="4349541D">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（1）最后报价出现大写金额和小写金额不一致的，以大写金额为准。</w:t>
      </w:r>
    </w:p>
    <w:p w14:paraId="7EF9627F">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（2）需落实政府采购政策的，按相关规定进行价格扣除。</w:t>
      </w:r>
    </w:p>
    <w:p w14:paraId="05FC8FC6">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22.4</w:t>
      </w:r>
      <w:r>
        <w:rPr>
          <w:rFonts w:hint="eastAsia" w:ascii="宋体" w:hAnsi="宋体" w:eastAsia="宋体" w:cs="宋体"/>
          <w:color w:val="auto"/>
          <w:kern w:val="2"/>
          <w:sz w:val="24"/>
          <w:szCs w:val="24"/>
          <w:u w:val="none" w:color="auto"/>
          <w:lang w:val="en-US" w:eastAsia="zh-CN" w:bidi="ar-SA"/>
        </w:rPr>
        <w:t>最后报价如果高于其响应文件中的首次报价的，以最后报价为准。</w:t>
      </w:r>
    </w:p>
    <w:p w14:paraId="73A3DF50">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22.5采购人、采购代理机构在按规定公布供应商的最后报价前，不得公开供应商的技术资料、价格和其他信息。</w:t>
      </w:r>
    </w:p>
    <w:p w14:paraId="53BE84A0">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u w:val="none" w:color="auto"/>
          <w:lang w:val="en-US" w:eastAsia="zh-CN" w:bidi="ar-SA"/>
        </w:rPr>
      </w:pPr>
      <w:r>
        <w:rPr>
          <w:rFonts w:hint="eastAsia" w:ascii="宋体" w:hAnsi="宋体" w:eastAsia="宋体" w:cs="宋体"/>
          <w:color w:val="auto"/>
          <w:kern w:val="2"/>
          <w:sz w:val="24"/>
          <w:szCs w:val="24"/>
          <w:u w:val="none" w:color="auto"/>
          <w:lang w:val="en-US" w:eastAsia="zh-CN" w:bidi="ar-SA"/>
        </w:rPr>
        <w:t>22.6若最后报价时出现最低价相同的情形，谈判小组应召集报价相同的供应商进行再次报价（或直接提出成交候选人）（由采购人、代理机构自主选择）。</w:t>
      </w:r>
    </w:p>
    <w:p w14:paraId="21278C36">
      <w:pPr>
        <w:pStyle w:val="5"/>
        <w:pageBreakBefore w:val="0"/>
        <w:widowControl w:val="0"/>
        <w:kinsoku/>
        <w:wordWrap/>
        <w:overflowPunct/>
        <w:topLinePunct w:val="0"/>
        <w:autoSpaceDE/>
        <w:autoSpaceDN/>
        <w:bidi w:val="0"/>
        <w:adjustRightInd/>
        <w:snapToGrid/>
        <w:spacing w:before="157" w:beforeLines="5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162" w:name="_Toc16084_WPSOffice_Level3"/>
      <w:bookmarkStart w:id="163" w:name="_Toc8242_WPSOffice_Level3"/>
      <w:bookmarkStart w:id="164" w:name="_Toc1797"/>
      <w:bookmarkStart w:id="165" w:name="_Toc16163"/>
      <w:bookmarkStart w:id="166" w:name="_Toc7275"/>
      <w:r>
        <w:rPr>
          <w:rFonts w:hint="eastAsia" w:ascii="宋体" w:hAnsi="宋体" w:eastAsia="宋体" w:cs="宋体"/>
          <w:b/>
          <w:bCs/>
          <w:color w:val="auto"/>
          <w:kern w:val="2"/>
          <w:sz w:val="24"/>
          <w:szCs w:val="24"/>
          <w:lang w:val="en-US" w:eastAsia="zh-CN" w:bidi="ar-SA"/>
        </w:rPr>
        <w:t>23.确定成交供应商</w:t>
      </w:r>
      <w:bookmarkEnd w:id="162"/>
      <w:bookmarkEnd w:id="163"/>
      <w:bookmarkEnd w:id="164"/>
      <w:bookmarkEnd w:id="165"/>
      <w:bookmarkEnd w:id="166"/>
    </w:p>
    <w:p w14:paraId="69D17AD8">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23.1谈判小组应当从质量和服务均能满足采购文件实质性响应要求的供应商中，按照最后报价由低到高的顺序提出3名以上成交候选人，并编写评审报告。供应商最后报价涉及算术修正、需落实政府采购政策的，按上款规定由低到高顺序排序。</w:t>
      </w:r>
    </w:p>
    <w:p w14:paraId="20E8537E">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23.2谈判小组应当根据评审记录和评审结果编写评审报告。评审报告应当由谈判小组全体人员签字认可。谈判小组成员对评审报告有异议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164A49E4">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23.3采购代理机构应当在评审结束后2个工作日内将评审报告送采购人确认。</w:t>
      </w:r>
    </w:p>
    <w:p w14:paraId="3F28E899">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23.4采购人应当在收到评审报告后5个工作日内，从评审报告提出的成交候选人中，根据质量和服务均能满足采购文件实质性响应要求且最后报价最低的原则确定成交供应商，也可以书面授权谈判小组直接确定成交供应商。</w:t>
      </w:r>
    </w:p>
    <w:p w14:paraId="6CE53E2D">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23.5采购人逾期未确定成交供应商且不提出异议的，视为确定评审报告提出的最后报价最低的供应商为成交供应商。</w:t>
      </w:r>
    </w:p>
    <w:p w14:paraId="32CE3AE3">
      <w:pPr>
        <w:pStyle w:val="5"/>
        <w:pageBreakBefore w:val="0"/>
        <w:widowControl w:val="0"/>
        <w:kinsoku/>
        <w:wordWrap/>
        <w:overflowPunct/>
        <w:topLinePunct w:val="0"/>
        <w:autoSpaceDE/>
        <w:autoSpaceDN/>
        <w:bidi w:val="0"/>
        <w:adjustRightInd/>
        <w:snapToGrid/>
        <w:spacing w:before="157" w:beforeLines="5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167" w:name="_Toc17639_WPSOffice_Level3"/>
      <w:bookmarkStart w:id="168" w:name="_Toc24684"/>
      <w:bookmarkStart w:id="169" w:name="_Toc20869_WPSOffice_Level3"/>
      <w:bookmarkStart w:id="170" w:name="_Toc10295"/>
      <w:bookmarkStart w:id="171" w:name="_Toc22206"/>
      <w:r>
        <w:rPr>
          <w:rFonts w:hint="eastAsia" w:ascii="宋体" w:hAnsi="宋体" w:eastAsia="宋体" w:cs="宋体"/>
          <w:b/>
          <w:bCs/>
          <w:color w:val="auto"/>
          <w:kern w:val="2"/>
          <w:sz w:val="24"/>
          <w:szCs w:val="24"/>
          <w:lang w:val="en-US" w:eastAsia="zh-CN" w:bidi="ar-SA"/>
        </w:rPr>
        <w:t>24.重新评审</w:t>
      </w:r>
      <w:bookmarkEnd w:id="167"/>
      <w:bookmarkEnd w:id="168"/>
      <w:bookmarkEnd w:id="169"/>
      <w:bookmarkEnd w:id="170"/>
      <w:bookmarkEnd w:id="171"/>
    </w:p>
    <w:p w14:paraId="67E0EF44">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24.1除资格审查认定错误和价格计算错误外，采购人、采购代理机构不以任何理由组织重新评审。</w:t>
      </w:r>
    </w:p>
    <w:p w14:paraId="61743C25">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24.2采购人、采购代理机构发现谈判小组未按照谈判文件规定的评定成交标准进行评审的，应当重新开展采购活动，并同时书面报告同级财政部门。</w:t>
      </w:r>
    </w:p>
    <w:p w14:paraId="1FD4EF44">
      <w:pPr>
        <w:pStyle w:val="5"/>
        <w:pageBreakBefore w:val="0"/>
        <w:widowControl w:val="0"/>
        <w:kinsoku/>
        <w:wordWrap/>
        <w:overflowPunct/>
        <w:topLinePunct w:val="0"/>
        <w:autoSpaceDE/>
        <w:autoSpaceDN/>
        <w:bidi w:val="0"/>
        <w:adjustRightInd/>
        <w:snapToGrid/>
        <w:spacing w:before="157" w:beforeLines="5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172" w:name="_Toc2122"/>
      <w:bookmarkStart w:id="173" w:name="_Toc12673"/>
      <w:bookmarkStart w:id="174" w:name="_Toc3509"/>
      <w:bookmarkStart w:id="175" w:name="_Toc26374_WPSOffice_Level3"/>
      <w:bookmarkStart w:id="176" w:name="_Toc1388_WPSOffice_Level3"/>
      <w:r>
        <w:rPr>
          <w:rFonts w:hint="eastAsia" w:ascii="宋体" w:hAnsi="宋体" w:eastAsia="宋体" w:cs="宋体"/>
          <w:b/>
          <w:bCs/>
          <w:color w:val="auto"/>
          <w:kern w:val="2"/>
          <w:sz w:val="24"/>
          <w:szCs w:val="24"/>
          <w:lang w:val="en-US" w:eastAsia="zh-CN" w:bidi="ar-SA"/>
        </w:rPr>
        <w:t>25.谈判终止</w:t>
      </w:r>
      <w:bookmarkEnd w:id="172"/>
      <w:bookmarkEnd w:id="173"/>
      <w:bookmarkEnd w:id="174"/>
      <w:bookmarkEnd w:id="175"/>
      <w:bookmarkEnd w:id="176"/>
    </w:p>
    <w:p w14:paraId="6464BF4E">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25.1出现下列情形之一的，采购人、采购代理机构应当终止竞争性谈判采购活动，在指定的媒体上发布项目终止公告并说明原因，重新开展采购活动：</w:t>
      </w:r>
    </w:p>
    <w:p w14:paraId="32FE5FA9">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（1）因情况变化，不再符合规定的竞争性谈判采购方式适用情形的；</w:t>
      </w:r>
    </w:p>
    <w:p w14:paraId="3C721903">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（2）出现影响采购公正的违法、违规行为的；</w:t>
      </w:r>
    </w:p>
    <w:p w14:paraId="74FF5424">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（3）在采购过程中符合谈判要求的供应商或者报价未超过采购预算的供应商不足3家的，或者提交最后报价的供应商少于3家的；</w:t>
      </w:r>
    </w:p>
    <w:p w14:paraId="6E33E5B8">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（4）因重大变故，采购任务取消的。</w:t>
      </w:r>
    </w:p>
    <w:p w14:paraId="0E367ED2">
      <w:pPr>
        <w:pStyle w:val="5"/>
        <w:keepNext/>
        <w:keepLines/>
        <w:pageBreakBefore w:val="0"/>
        <w:widowControl w:val="0"/>
        <w:kinsoku/>
        <w:wordWrap/>
        <w:overflowPunct/>
        <w:topLinePunct w:val="0"/>
        <w:autoSpaceDE/>
        <w:autoSpaceDN/>
        <w:bidi w:val="0"/>
        <w:adjustRightInd/>
        <w:snapToGrid/>
        <w:spacing w:before="157" w:beforeLines="5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177" w:name="_Toc11721"/>
      <w:bookmarkStart w:id="178" w:name="_Toc18635_WPSOffice_Level3"/>
      <w:bookmarkStart w:id="179" w:name="_Toc3325"/>
      <w:bookmarkStart w:id="180" w:name="_Toc20688_WPSOffice_Level3"/>
      <w:bookmarkStart w:id="181" w:name="_Toc32730"/>
      <w:r>
        <w:rPr>
          <w:rFonts w:hint="eastAsia" w:ascii="宋体" w:hAnsi="宋体" w:eastAsia="宋体" w:cs="宋体"/>
          <w:b/>
          <w:bCs/>
          <w:color w:val="auto"/>
          <w:kern w:val="2"/>
          <w:sz w:val="24"/>
          <w:szCs w:val="24"/>
          <w:lang w:val="en-US" w:eastAsia="zh-CN" w:bidi="ar-SA"/>
        </w:rPr>
        <w:t>26.串通情形认定及处理</w:t>
      </w:r>
      <w:bookmarkEnd w:id="177"/>
      <w:bookmarkEnd w:id="178"/>
      <w:bookmarkEnd w:id="179"/>
      <w:bookmarkEnd w:id="180"/>
      <w:bookmarkEnd w:id="181"/>
    </w:p>
    <w:p w14:paraId="1ABDB6D7">
      <w:pPr>
        <w:pageBreakBefore w:val="0"/>
        <w:widowControl w:val="0"/>
        <w:kinsoku/>
        <w:wordWrap/>
        <w:overflowPunct/>
        <w:topLinePunct w:val="0"/>
        <w:autoSpaceDE/>
        <w:autoSpaceDN/>
        <w:bidi w:val="0"/>
        <w:adjustRightInd/>
        <w:snapToGrid/>
        <w:spacing w:line="360" w:lineRule="auto"/>
        <w:ind w:right="0" w:firstLine="240" w:firstLineChars="1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kern w:val="2"/>
          <w:sz w:val="24"/>
          <w:szCs w:val="24"/>
          <w:lang w:val="en-US" w:eastAsia="zh-CN" w:bidi="ar-SA"/>
        </w:rPr>
        <w:t>26.1供应商不得与采购人、采购代理机构、其他供应商恶意串通；不得向采购人、采购代理机构或者谈判小组成员行贿或者提供其他不正当利益；不得提供虚假材料谋取成交；不得以任何方式干扰、影响</w:t>
      </w:r>
      <w:r>
        <w:rPr>
          <w:rFonts w:hint="eastAsia" w:ascii="宋体" w:hAnsi="宋体" w:eastAsia="宋体" w:cs="宋体"/>
          <w:color w:val="auto"/>
          <w:sz w:val="24"/>
          <w:szCs w:val="24"/>
          <w:lang w:val="en-US" w:eastAsia="zh-CN"/>
        </w:rPr>
        <w:t>采购工作。</w:t>
      </w:r>
    </w:p>
    <w:p w14:paraId="19A6E593">
      <w:pPr>
        <w:pageBreakBefore w:val="0"/>
        <w:widowControl w:val="0"/>
        <w:kinsoku/>
        <w:wordWrap/>
        <w:overflowPunct/>
        <w:topLinePunct w:val="0"/>
        <w:autoSpaceDE/>
        <w:autoSpaceDN/>
        <w:bidi w:val="0"/>
        <w:adjustRightInd/>
        <w:snapToGrid/>
        <w:spacing w:line="360" w:lineRule="auto"/>
        <w:ind w:right="0" w:firstLine="240" w:firstLineChars="100"/>
        <w:textAlignment w:val="auto"/>
        <w:outlineLvl w:val="9"/>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26.2</w:t>
      </w:r>
      <w:r>
        <w:rPr>
          <w:rFonts w:hint="eastAsia" w:ascii="宋体" w:hAnsi="宋体" w:eastAsia="宋体" w:cs="宋体"/>
          <w:b/>
          <w:bCs/>
          <w:color w:val="auto"/>
          <w:sz w:val="24"/>
          <w:szCs w:val="24"/>
          <w:lang w:val="en-US" w:eastAsia="zh-CN"/>
        </w:rPr>
        <w:t>有下列情形之一的，成交无效，</w:t>
      </w:r>
      <w:r>
        <w:rPr>
          <w:rFonts w:hint="eastAsia" w:ascii="宋体" w:hAnsi="宋体" w:eastAsia="宋体" w:cs="宋体"/>
          <w:color w:val="auto"/>
          <w:sz w:val="24"/>
          <w:szCs w:val="24"/>
          <w:lang w:val="en-US" w:eastAsia="zh-CN"/>
        </w:rPr>
        <w:t>对供应商</w:t>
      </w:r>
      <w:r>
        <w:rPr>
          <w:rFonts w:hint="eastAsia" w:ascii="宋体" w:hAnsi="宋体" w:eastAsia="宋体" w:cs="宋体"/>
          <w:color w:val="auto"/>
          <w:sz w:val="24"/>
          <w:szCs w:val="24"/>
          <w:lang w:val="zh-CN" w:eastAsia="zh-CN"/>
        </w:rPr>
        <w:t>依照《政府采购法》第七十七条的规定追究法律责任：</w:t>
      </w:r>
    </w:p>
    <w:p w14:paraId="0EE65DD6">
      <w:pPr>
        <w:pageBreakBefore w:val="0"/>
        <w:widowControl w:val="0"/>
        <w:kinsoku/>
        <w:wordWrap/>
        <w:overflowPunct/>
        <w:topLinePunct w:val="0"/>
        <w:autoSpaceDE/>
        <w:autoSpaceDN/>
        <w:bidi w:val="0"/>
        <w:adjustRightInd/>
        <w:snapToGrid/>
        <w:spacing w:line="360" w:lineRule="auto"/>
        <w:ind w:right="0"/>
        <w:textAlignment w:val="auto"/>
        <w:outlineLvl w:val="9"/>
        <w:rPr>
          <w:rFonts w:hint="eastAsia" w:ascii="宋体" w:hAnsi="宋体" w:eastAsia="宋体" w:cs="宋体"/>
          <w:color w:val="auto"/>
          <w:sz w:val="24"/>
          <w:szCs w:val="24"/>
          <w:lang w:val="en-US" w:eastAsia="zh-CN"/>
        </w:rPr>
      </w:pPr>
      <w:bookmarkStart w:id="182" w:name="_Toc22761"/>
      <w:bookmarkStart w:id="183" w:name="_Toc34637770"/>
      <w:r>
        <w:rPr>
          <w:rFonts w:hint="eastAsia" w:ascii="宋体" w:hAnsi="宋体" w:eastAsia="宋体" w:cs="宋体"/>
          <w:color w:val="auto"/>
          <w:sz w:val="24"/>
          <w:szCs w:val="24"/>
          <w:lang w:val="en-US" w:eastAsia="zh-CN"/>
        </w:rPr>
        <w:t xml:space="preserve">  （1）供应商直接或者间接从采购人或者采购代理机构处获得其他供应商的相关情况并修改其响应文件；</w:t>
      </w:r>
    </w:p>
    <w:p w14:paraId="7A597B31">
      <w:pPr>
        <w:pageBreakBefore w:val="0"/>
        <w:widowControl w:val="0"/>
        <w:kinsoku/>
        <w:wordWrap/>
        <w:overflowPunct/>
        <w:topLinePunct w:val="0"/>
        <w:autoSpaceDE/>
        <w:autoSpaceDN/>
        <w:bidi w:val="0"/>
        <w:adjustRightInd/>
        <w:snapToGrid/>
        <w:spacing w:line="360" w:lineRule="auto"/>
        <w:ind w:right="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（2）供应商按照采购人或者采购代理机构的授意撤换、修改响应文件；</w:t>
      </w:r>
    </w:p>
    <w:p w14:paraId="5C0211D9">
      <w:pPr>
        <w:pageBreakBefore w:val="0"/>
        <w:widowControl w:val="0"/>
        <w:kinsoku/>
        <w:wordWrap/>
        <w:overflowPunct/>
        <w:topLinePunct w:val="0"/>
        <w:autoSpaceDE/>
        <w:autoSpaceDN/>
        <w:bidi w:val="0"/>
        <w:adjustRightInd/>
        <w:snapToGrid/>
        <w:spacing w:line="360" w:lineRule="auto"/>
        <w:ind w:right="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（3）供应商之间协商报价、技术方案等响应文件的实质性内容；</w:t>
      </w:r>
    </w:p>
    <w:p w14:paraId="743C206D">
      <w:pPr>
        <w:pageBreakBefore w:val="0"/>
        <w:widowControl w:val="0"/>
        <w:kinsoku/>
        <w:wordWrap/>
        <w:overflowPunct/>
        <w:topLinePunct w:val="0"/>
        <w:autoSpaceDE/>
        <w:autoSpaceDN/>
        <w:bidi w:val="0"/>
        <w:adjustRightInd/>
        <w:snapToGrid/>
        <w:spacing w:line="360" w:lineRule="auto"/>
        <w:ind w:right="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（4）属于同一集团、协会、商会等组织成员的供应商按照该组织要求协同参加政府采购活动；</w:t>
      </w:r>
    </w:p>
    <w:p w14:paraId="758C0DBC">
      <w:pPr>
        <w:pageBreakBefore w:val="0"/>
        <w:widowControl w:val="0"/>
        <w:kinsoku/>
        <w:wordWrap/>
        <w:overflowPunct/>
        <w:topLinePunct w:val="0"/>
        <w:autoSpaceDE/>
        <w:autoSpaceDN/>
        <w:bidi w:val="0"/>
        <w:adjustRightInd/>
        <w:snapToGrid/>
        <w:spacing w:line="360" w:lineRule="auto"/>
        <w:ind w:right="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（5）供应商之间事先约定由某一特定供应商成交；</w:t>
      </w:r>
    </w:p>
    <w:p w14:paraId="22B01186">
      <w:pPr>
        <w:pageBreakBefore w:val="0"/>
        <w:widowControl w:val="0"/>
        <w:kinsoku/>
        <w:wordWrap/>
        <w:overflowPunct/>
        <w:topLinePunct w:val="0"/>
        <w:autoSpaceDE/>
        <w:autoSpaceDN/>
        <w:bidi w:val="0"/>
        <w:adjustRightInd/>
        <w:snapToGrid/>
        <w:spacing w:line="360" w:lineRule="auto"/>
        <w:ind w:right="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（6）供应商之间商定部分供应商放弃参加政府采购活动或者放弃成交；</w:t>
      </w:r>
    </w:p>
    <w:p w14:paraId="25A61EB8">
      <w:pPr>
        <w:pageBreakBefore w:val="0"/>
        <w:widowControl w:val="0"/>
        <w:kinsoku/>
        <w:wordWrap/>
        <w:overflowPunct/>
        <w:topLinePunct w:val="0"/>
        <w:autoSpaceDE/>
        <w:autoSpaceDN/>
        <w:bidi w:val="0"/>
        <w:adjustRightInd/>
        <w:snapToGrid/>
        <w:spacing w:line="360" w:lineRule="auto"/>
        <w:ind w:right="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（7）供应商与采购人或者采购代理机构之间、供应商相互之间，为谋求特定供应商成交或者排斥其他供应商的其他串通行为。</w:t>
      </w:r>
    </w:p>
    <w:p w14:paraId="6F0B2BDF">
      <w:pPr>
        <w:pageBreakBefore w:val="0"/>
        <w:widowControl w:val="0"/>
        <w:kinsoku/>
        <w:wordWrap/>
        <w:overflowPunct/>
        <w:topLinePunct w:val="0"/>
        <w:autoSpaceDE/>
        <w:autoSpaceDN/>
        <w:bidi w:val="0"/>
        <w:adjustRightInd/>
        <w:snapToGrid/>
        <w:spacing w:line="360" w:lineRule="auto"/>
        <w:ind w:right="0" w:firstLine="240" w:firstLineChars="1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26.3 </w:t>
      </w:r>
      <w:r>
        <w:rPr>
          <w:rFonts w:hint="eastAsia" w:ascii="宋体" w:hAnsi="宋体" w:eastAsia="宋体" w:cs="宋体"/>
          <w:b/>
          <w:bCs/>
          <w:color w:val="auto"/>
          <w:sz w:val="24"/>
          <w:szCs w:val="24"/>
          <w:lang w:val="en-US" w:eastAsia="zh-CN"/>
        </w:rPr>
        <w:t>有下列情形之一的，视为供应商串通，其响应无效：</w:t>
      </w:r>
    </w:p>
    <w:p w14:paraId="4F8E1E6C">
      <w:pPr>
        <w:keepNext w:val="0"/>
        <w:keepLines w:val="0"/>
        <w:pageBreakBefore w:val="0"/>
        <w:widowControl w:val="0"/>
        <w:kinsoku/>
        <w:wordWrap/>
        <w:overflowPunct/>
        <w:topLinePunct w:val="0"/>
        <w:autoSpaceDE/>
        <w:autoSpaceDN/>
        <w:bidi w:val="0"/>
        <w:adjustRightInd/>
        <w:snapToGrid/>
        <w:spacing w:line="360" w:lineRule="auto"/>
        <w:ind w:right="0" w:firstLine="240" w:firstLineChars="1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（1）不同供应商的响应文件由同一单位或者个人编制；</w:t>
      </w:r>
    </w:p>
    <w:p w14:paraId="0007CE79">
      <w:pPr>
        <w:keepNext w:val="0"/>
        <w:keepLines w:val="0"/>
        <w:pageBreakBefore w:val="0"/>
        <w:widowControl w:val="0"/>
        <w:kinsoku/>
        <w:wordWrap/>
        <w:overflowPunct/>
        <w:topLinePunct w:val="0"/>
        <w:autoSpaceDE/>
        <w:autoSpaceDN/>
        <w:bidi w:val="0"/>
        <w:adjustRightInd/>
        <w:snapToGrid/>
        <w:spacing w:line="360" w:lineRule="auto"/>
        <w:ind w:right="0" w:firstLine="240" w:firstLineChars="1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（2）不同供应商委托同一单位或者个人办理谈判事宜；</w:t>
      </w:r>
    </w:p>
    <w:p w14:paraId="2D4B0FF2">
      <w:pPr>
        <w:keepNext w:val="0"/>
        <w:keepLines w:val="0"/>
        <w:pageBreakBefore w:val="0"/>
        <w:widowControl w:val="0"/>
        <w:kinsoku/>
        <w:wordWrap/>
        <w:overflowPunct/>
        <w:topLinePunct w:val="0"/>
        <w:autoSpaceDE/>
        <w:autoSpaceDN/>
        <w:bidi w:val="0"/>
        <w:adjustRightInd/>
        <w:snapToGrid/>
        <w:spacing w:line="360" w:lineRule="auto"/>
        <w:ind w:right="0" w:firstLine="240" w:firstLineChars="1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（3）不同供应商的响应文件载明的项目管理成员或者联系人员为同一人；</w:t>
      </w:r>
    </w:p>
    <w:p w14:paraId="5AF09649">
      <w:pPr>
        <w:keepNext w:val="0"/>
        <w:keepLines w:val="0"/>
        <w:pageBreakBefore w:val="0"/>
        <w:widowControl w:val="0"/>
        <w:kinsoku/>
        <w:wordWrap/>
        <w:overflowPunct/>
        <w:topLinePunct w:val="0"/>
        <w:autoSpaceDE/>
        <w:autoSpaceDN/>
        <w:bidi w:val="0"/>
        <w:adjustRightInd/>
        <w:snapToGrid/>
        <w:spacing w:line="360" w:lineRule="auto"/>
        <w:ind w:right="0" w:firstLine="240" w:firstLineChars="1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（4）不同供应商的响应文件异常一致或者报价呈规律性差异；</w:t>
      </w:r>
    </w:p>
    <w:p w14:paraId="780B3C4D">
      <w:pPr>
        <w:keepNext w:val="0"/>
        <w:keepLines w:val="0"/>
        <w:pageBreakBefore w:val="0"/>
        <w:widowControl w:val="0"/>
        <w:kinsoku/>
        <w:wordWrap/>
        <w:overflowPunct/>
        <w:topLinePunct w:val="0"/>
        <w:autoSpaceDE/>
        <w:autoSpaceDN/>
        <w:bidi w:val="0"/>
        <w:adjustRightInd/>
        <w:snapToGrid/>
        <w:spacing w:line="360" w:lineRule="auto"/>
        <w:ind w:right="0" w:firstLine="240" w:firstLineChars="1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（5）不同供应商的响应文件相互混装；</w:t>
      </w:r>
    </w:p>
    <w:p w14:paraId="45B4107E">
      <w:pPr>
        <w:keepNext w:val="0"/>
        <w:keepLines w:val="0"/>
        <w:pageBreakBefore w:val="0"/>
        <w:widowControl w:val="0"/>
        <w:kinsoku/>
        <w:wordWrap/>
        <w:overflowPunct/>
        <w:topLinePunct w:val="0"/>
        <w:autoSpaceDE/>
        <w:autoSpaceDN/>
        <w:bidi w:val="0"/>
        <w:adjustRightInd/>
        <w:snapToGrid/>
        <w:spacing w:line="360" w:lineRule="auto"/>
        <w:ind w:right="0" w:firstLine="240" w:firstLineChars="1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（6）不同供应商的保证金从同一单位或者个人的账户转出。</w:t>
      </w:r>
    </w:p>
    <w:p w14:paraId="3DADBB99">
      <w:pPr>
        <w:pageBreakBefore w:val="0"/>
        <w:widowControl w:val="0"/>
        <w:kinsoku/>
        <w:wordWrap/>
        <w:overflowPunct/>
        <w:topLinePunct w:val="0"/>
        <w:autoSpaceDE/>
        <w:autoSpaceDN/>
        <w:bidi w:val="0"/>
        <w:adjustRightInd/>
        <w:snapToGrid/>
        <w:spacing w:before="157" w:beforeLines="50" w:line="360" w:lineRule="auto"/>
        <w:jc w:val="center"/>
        <w:textAlignment w:val="auto"/>
        <w:outlineLvl w:val="1"/>
        <w:rPr>
          <w:rFonts w:hint="eastAsia" w:ascii="宋体" w:hAnsi="宋体" w:eastAsia="宋体" w:cs="宋体"/>
          <w:b/>
          <w:bCs/>
          <w:color w:val="auto"/>
          <w:kern w:val="2"/>
          <w:sz w:val="28"/>
          <w:szCs w:val="28"/>
          <w:highlight w:val="none"/>
          <w:lang w:val="en-US" w:eastAsia="zh-CN" w:bidi="ar-SA"/>
        </w:rPr>
      </w:pPr>
      <w:bookmarkStart w:id="184" w:name="_Toc27536"/>
      <w:r>
        <w:rPr>
          <w:rFonts w:hint="eastAsia" w:ascii="宋体" w:hAnsi="宋体" w:eastAsia="宋体" w:cs="宋体"/>
          <w:b/>
          <w:bCs/>
          <w:color w:val="auto"/>
          <w:kern w:val="2"/>
          <w:sz w:val="28"/>
          <w:szCs w:val="28"/>
          <w:highlight w:val="none"/>
          <w:lang w:val="en-US" w:eastAsia="zh-CN" w:bidi="ar-SA"/>
        </w:rPr>
        <w:t>六、成交结果信息公布与授予合同</w:t>
      </w:r>
      <w:bookmarkEnd w:id="182"/>
      <w:bookmarkEnd w:id="183"/>
      <w:bookmarkEnd w:id="184"/>
    </w:p>
    <w:p w14:paraId="006C47D2">
      <w:pPr>
        <w:pStyle w:val="5"/>
        <w:keepNext/>
        <w:keepLines/>
        <w:pageBreakBefore w:val="0"/>
        <w:widowControl w:val="0"/>
        <w:kinsoku/>
        <w:wordWrap/>
        <w:overflowPunct/>
        <w:topLinePunct w:val="0"/>
        <w:autoSpaceDE/>
        <w:autoSpaceDN/>
        <w:bidi w:val="0"/>
        <w:adjustRightInd/>
        <w:snapToGrid/>
        <w:spacing w:before="157" w:beforeLines="50" w:after="0" w:line="360" w:lineRule="auto"/>
        <w:textAlignment w:val="auto"/>
        <w:outlineLvl w:val="2"/>
        <w:rPr>
          <w:rFonts w:hint="eastAsia" w:ascii="宋体" w:hAnsi="宋体" w:eastAsia="宋体" w:cs="宋体"/>
          <w:b/>
          <w:bCs/>
          <w:color w:val="auto"/>
          <w:kern w:val="2"/>
          <w:sz w:val="24"/>
          <w:szCs w:val="24"/>
          <w:lang w:val="en-US" w:eastAsia="zh-CN" w:bidi="ar-SA"/>
        </w:rPr>
      </w:pPr>
      <w:bookmarkStart w:id="185" w:name="_Toc8339_WPSOffice_Level3"/>
      <w:bookmarkStart w:id="186" w:name="_Toc947"/>
      <w:bookmarkStart w:id="187" w:name="_Toc23126"/>
      <w:bookmarkStart w:id="188" w:name="_Toc8130"/>
      <w:bookmarkStart w:id="189" w:name="_Toc30784_WPSOffice_Level3"/>
      <w:r>
        <w:rPr>
          <w:rFonts w:hint="eastAsia" w:ascii="宋体" w:hAnsi="宋体" w:eastAsia="宋体" w:cs="宋体"/>
          <w:b/>
          <w:bCs/>
          <w:color w:val="auto"/>
          <w:kern w:val="2"/>
          <w:sz w:val="24"/>
          <w:szCs w:val="24"/>
          <w:lang w:val="en-US" w:eastAsia="zh-CN" w:bidi="ar-SA"/>
        </w:rPr>
        <w:t>27.成交信息的公布与通知</w:t>
      </w:r>
      <w:bookmarkEnd w:id="185"/>
      <w:bookmarkEnd w:id="186"/>
      <w:bookmarkEnd w:id="187"/>
      <w:bookmarkEnd w:id="188"/>
      <w:bookmarkEnd w:id="189"/>
    </w:p>
    <w:p w14:paraId="73FDECBD">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27.1采购代理机构应自确定成交供应商之日起2个工作日内在</w:t>
      </w:r>
      <w:r>
        <w:rPr>
          <w:rFonts w:hint="eastAsia" w:ascii="宋体" w:hAnsi="宋体" w:eastAsia="宋体" w:cs="宋体"/>
          <w:color w:val="auto"/>
          <w:sz w:val="24"/>
        </w:rPr>
        <w:t>《</w:t>
      </w:r>
      <w:r>
        <w:rPr>
          <w:rFonts w:hint="eastAsia" w:ascii="宋体" w:hAnsi="宋体" w:eastAsia="宋体" w:cs="宋体"/>
          <w:color w:val="auto"/>
          <w:sz w:val="24"/>
          <w:lang w:eastAsia="zh-CN"/>
        </w:rPr>
        <w:t>青海政府采购网</w:t>
      </w:r>
      <w:r>
        <w:rPr>
          <w:rFonts w:hint="eastAsia" w:ascii="宋体" w:hAnsi="宋体" w:eastAsia="宋体" w:cs="宋体"/>
          <w:color w:val="auto"/>
          <w:sz w:val="24"/>
        </w:rPr>
        <w:t>》</w:t>
      </w:r>
      <w:r>
        <w:rPr>
          <w:rFonts w:hint="eastAsia" w:ascii="宋体" w:hAnsi="宋体" w:eastAsia="宋体" w:cs="宋体"/>
          <w:color w:val="auto"/>
          <w:kern w:val="2"/>
          <w:sz w:val="24"/>
          <w:szCs w:val="24"/>
          <w:lang w:val="en-US" w:eastAsia="zh-CN" w:bidi="ar-SA"/>
        </w:rPr>
        <w:t>上公告成交结果，同时向成交供应商发出《成交通知书》。成交通知书对采购人和成交供应商具有同等法律效力。</w:t>
      </w:r>
    </w:p>
    <w:p w14:paraId="75C760D2">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27.2成交结果公告应当包括以下内容：</w:t>
      </w:r>
    </w:p>
    <w:p w14:paraId="154233C3">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（1）采购人和采购代理机构的名称、地址和联系方式；</w:t>
      </w:r>
    </w:p>
    <w:p w14:paraId="787A7219">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（2）项目名称和项目编号；</w:t>
      </w:r>
    </w:p>
    <w:p w14:paraId="169403E9">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（3）成交供应商名称、地址和成交金额；</w:t>
      </w:r>
    </w:p>
    <w:p w14:paraId="355C5DD9">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（4）主要成交标的的名称、规格型号、数量、单价、服务要求；</w:t>
      </w:r>
    </w:p>
    <w:p w14:paraId="79536388">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（5）谈判小组成员名单。</w:t>
      </w:r>
    </w:p>
    <w:p w14:paraId="179E0C26">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27.3《成交通知书》发出后，采购人不得违法改变采购结果，成交供应商无正当理由不得放弃。</w:t>
      </w:r>
    </w:p>
    <w:p w14:paraId="3C816DA3">
      <w:pPr>
        <w:pStyle w:val="5"/>
        <w:keepNext/>
        <w:keepLines/>
        <w:pageBreakBefore w:val="0"/>
        <w:widowControl w:val="0"/>
        <w:kinsoku/>
        <w:wordWrap/>
        <w:overflowPunct/>
        <w:topLinePunct w:val="0"/>
        <w:autoSpaceDE/>
        <w:autoSpaceDN/>
        <w:bidi w:val="0"/>
        <w:adjustRightInd/>
        <w:snapToGrid/>
        <w:spacing w:before="157" w:beforeLines="50" w:after="0" w:line="360" w:lineRule="auto"/>
        <w:textAlignment w:val="auto"/>
        <w:outlineLvl w:val="2"/>
        <w:rPr>
          <w:rFonts w:hint="eastAsia" w:ascii="宋体" w:hAnsi="宋体" w:eastAsia="宋体" w:cs="宋体"/>
          <w:b/>
          <w:bCs/>
          <w:color w:val="auto"/>
          <w:kern w:val="2"/>
          <w:sz w:val="24"/>
          <w:szCs w:val="24"/>
          <w:lang w:val="en-US" w:eastAsia="zh-CN" w:bidi="ar-SA"/>
        </w:rPr>
      </w:pPr>
      <w:bookmarkStart w:id="190" w:name="_Toc5068_WPSOffice_Level3"/>
      <w:bookmarkStart w:id="191" w:name="_Toc13860_WPSOffice_Level3"/>
      <w:bookmarkStart w:id="192" w:name="_Toc4510"/>
      <w:bookmarkStart w:id="193" w:name="_Toc20586"/>
      <w:bookmarkStart w:id="194" w:name="_Toc29441"/>
      <w:r>
        <w:rPr>
          <w:rFonts w:hint="eastAsia" w:ascii="宋体" w:hAnsi="宋体" w:eastAsia="宋体" w:cs="宋体"/>
          <w:b/>
          <w:bCs/>
          <w:color w:val="auto"/>
          <w:kern w:val="2"/>
          <w:sz w:val="24"/>
          <w:szCs w:val="24"/>
          <w:lang w:val="en-US" w:eastAsia="zh-CN" w:bidi="ar-SA"/>
        </w:rPr>
        <w:t>28.授予合同</w:t>
      </w:r>
      <w:bookmarkEnd w:id="190"/>
      <w:bookmarkEnd w:id="191"/>
      <w:bookmarkEnd w:id="192"/>
      <w:bookmarkEnd w:id="193"/>
      <w:bookmarkEnd w:id="194"/>
    </w:p>
    <w:p w14:paraId="4C8C7F4F">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28.1谈判文件、成交供应商的响应文件及其补充的响应文件、成交通知书等均为签订政府采购合同的依据。</w:t>
      </w:r>
    </w:p>
    <w:p w14:paraId="40443E44">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28.2采购人与成交供应商双方应当自《成交通知书》发出之日起30日内，按照谈判文件确定的合同文本以及采购标的、规格型号、采购金额、采购数量、技术和服务要求等事项签订政府采购合同。</w:t>
      </w:r>
    </w:p>
    <w:p w14:paraId="173585F7">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28.3采购人不得向成交供应商提出超出谈判文件以外的任何要求作为订立合同的条件，不得与成交供应商订立背离谈判文件确定的合同文本以及采购标的、规格型号、采购金额、采购数量、技术和服务要求等实质性内容的协议。</w:t>
      </w:r>
    </w:p>
    <w:p w14:paraId="3013DC7E">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bookmarkStart w:id="195" w:name="_Toc376936761"/>
      <w:bookmarkStart w:id="196" w:name="_Toc325726030"/>
      <w:r>
        <w:rPr>
          <w:rFonts w:hint="eastAsia" w:ascii="宋体" w:hAnsi="宋体" w:eastAsia="宋体" w:cs="宋体"/>
          <w:color w:val="auto"/>
          <w:kern w:val="2"/>
          <w:sz w:val="24"/>
          <w:szCs w:val="24"/>
          <w:lang w:val="en-US" w:eastAsia="zh-CN" w:bidi="ar-SA"/>
        </w:rPr>
        <w:t>28.4采购人或采购代理机构应当自采购合同签订之日起2个工作日内，将采购合同在青海政府采购信息网上公告，但政府采购合同中涉及国家秘密、商业秘密的内容除外。</w:t>
      </w:r>
    </w:p>
    <w:p w14:paraId="175E699B">
      <w:pPr>
        <w:pStyle w:val="5"/>
        <w:keepNext/>
        <w:keepLines/>
        <w:pageBreakBefore w:val="0"/>
        <w:widowControl w:val="0"/>
        <w:kinsoku/>
        <w:wordWrap/>
        <w:overflowPunct/>
        <w:topLinePunct w:val="0"/>
        <w:autoSpaceDE/>
        <w:autoSpaceDN/>
        <w:bidi w:val="0"/>
        <w:adjustRightInd/>
        <w:snapToGrid/>
        <w:spacing w:before="157" w:beforeLines="50" w:after="0" w:line="360" w:lineRule="auto"/>
        <w:textAlignment w:val="auto"/>
        <w:outlineLvl w:val="2"/>
        <w:rPr>
          <w:rFonts w:hint="eastAsia" w:ascii="宋体" w:hAnsi="宋体" w:eastAsia="宋体" w:cs="宋体"/>
          <w:b/>
          <w:bCs/>
          <w:color w:val="auto"/>
          <w:kern w:val="2"/>
          <w:sz w:val="24"/>
          <w:szCs w:val="24"/>
          <w:lang w:val="en-US" w:eastAsia="zh-CN" w:bidi="ar-SA"/>
        </w:rPr>
      </w:pPr>
      <w:bookmarkStart w:id="197" w:name="_Toc8740_WPSOffice_Level3"/>
      <w:bookmarkStart w:id="198" w:name="_Toc22051"/>
      <w:bookmarkStart w:id="199" w:name="_Toc16258_WPSOffice_Level3"/>
      <w:bookmarkStart w:id="200" w:name="_Toc16374"/>
      <w:bookmarkStart w:id="201" w:name="_Toc32538"/>
      <w:r>
        <w:rPr>
          <w:rFonts w:hint="eastAsia" w:ascii="宋体" w:hAnsi="宋体" w:eastAsia="宋体" w:cs="宋体"/>
          <w:b/>
          <w:bCs/>
          <w:color w:val="auto"/>
          <w:kern w:val="2"/>
          <w:sz w:val="24"/>
          <w:szCs w:val="24"/>
          <w:lang w:val="en-US" w:eastAsia="zh-CN" w:bidi="ar-SA"/>
        </w:rPr>
        <w:t>29.履约验收</w:t>
      </w:r>
      <w:bookmarkEnd w:id="197"/>
      <w:bookmarkEnd w:id="198"/>
      <w:bookmarkEnd w:id="199"/>
      <w:bookmarkEnd w:id="200"/>
      <w:bookmarkEnd w:id="201"/>
    </w:p>
    <w:p w14:paraId="75F218A0">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29.1</w:t>
      </w:r>
      <w:r>
        <w:rPr>
          <w:rFonts w:hint="eastAsia" w:ascii="宋体" w:hAnsi="宋体" w:eastAsia="宋体" w:cs="宋体"/>
          <w:b w:val="0"/>
          <w:bCs w:val="0"/>
          <w:color w:val="auto"/>
          <w:kern w:val="2"/>
          <w:sz w:val="24"/>
          <w:szCs w:val="24"/>
          <w:u w:val="none"/>
          <w:lang w:val="en-US" w:eastAsia="zh-CN" w:bidi="ar-SA"/>
        </w:rPr>
        <w:t>履约保证金：签订合同时，成交供应商应当以支票、汇票、本票或者金融机构、担保机构出具的保函等非现金形式向采购人指定的账户交纳履约保证金。</w:t>
      </w:r>
      <w:r>
        <w:rPr>
          <w:rFonts w:hint="eastAsia" w:ascii="宋体" w:hAnsi="宋体" w:eastAsia="宋体" w:cs="宋体"/>
          <w:b/>
          <w:bCs/>
          <w:color w:val="auto"/>
          <w:kern w:val="2"/>
          <w:sz w:val="24"/>
          <w:szCs w:val="24"/>
          <w:u w:val="none"/>
          <w:lang w:val="en-US" w:eastAsia="zh-CN" w:bidi="ar-SA"/>
        </w:rPr>
        <w:t>本项目履约保证金金额为成交金额的5％。</w:t>
      </w:r>
    </w:p>
    <w:p w14:paraId="02019B88">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29.2采购人或者采购代理机构应当按照政府采购合同规定的技术、服务、安全标准组织对供应商履约情况进行验收，并出具验收书。验收书应当包括每一项技术、服务、安全标准的履约情况。</w:t>
      </w:r>
    </w:p>
    <w:p w14:paraId="3D3CD7A9">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29.3采购人可以邀请参加本项目的其他供应商或者第三方机构参与验收。参与验收的供应商或者第三方机构的意见作为验收书的参考资料一并存档。</w:t>
      </w:r>
    </w:p>
    <w:p w14:paraId="7DF4385A">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29.4采购人应当加强履约管理，并按照采购合同约定，及时向成交供应商支付采购资金。对于成交供应商违反采购合同约定的行为，采购人应当及时处理，依法追究其违约责任。</w:t>
      </w:r>
    </w:p>
    <w:p w14:paraId="381E7774">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29.5采购人、采购代理机构应当建立真实完整的谈判档案，妥善保存谈判的相关资料。</w:t>
      </w:r>
    </w:p>
    <w:p w14:paraId="255C75BF">
      <w:pPr>
        <w:pageBreakBefore w:val="0"/>
        <w:widowControl w:val="0"/>
        <w:kinsoku/>
        <w:wordWrap/>
        <w:overflowPunct/>
        <w:topLinePunct w:val="0"/>
        <w:autoSpaceDE/>
        <w:autoSpaceDN/>
        <w:bidi w:val="0"/>
        <w:adjustRightInd/>
        <w:snapToGrid/>
        <w:spacing w:before="157" w:beforeLines="50" w:line="360" w:lineRule="auto"/>
        <w:jc w:val="center"/>
        <w:textAlignment w:val="auto"/>
        <w:outlineLvl w:val="1"/>
        <w:rPr>
          <w:rFonts w:hint="eastAsia" w:ascii="宋体" w:hAnsi="宋体" w:eastAsia="宋体" w:cs="宋体"/>
          <w:b/>
          <w:bCs/>
          <w:color w:val="auto"/>
          <w:kern w:val="2"/>
          <w:sz w:val="28"/>
          <w:szCs w:val="28"/>
          <w:highlight w:val="none"/>
          <w:lang w:val="en-US" w:eastAsia="zh-CN" w:bidi="ar-SA"/>
        </w:rPr>
      </w:pPr>
      <w:bookmarkStart w:id="202" w:name="_Toc2658_WPSOffice_Level2"/>
      <w:bookmarkStart w:id="203" w:name="_Toc10745"/>
      <w:bookmarkStart w:id="204" w:name="_Toc3517_WPSOffice_Level2"/>
      <w:bookmarkStart w:id="205" w:name="_Toc6881"/>
      <w:bookmarkStart w:id="206" w:name="_Toc32362"/>
      <w:bookmarkStart w:id="207" w:name="_Toc31604_WPSOffice_Level2"/>
      <w:bookmarkStart w:id="208" w:name="_Toc4328"/>
      <w:r>
        <w:rPr>
          <w:rFonts w:hint="eastAsia" w:ascii="宋体" w:hAnsi="宋体" w:eastAsia="宋体" w:cs="宋体"/>
          <w:b/>
          <w:bCs/>
          <w:color w:val="auto"/>
          <w:kern w:val="2"/>
          <w:sz w:val="28"/>
          <w:szCs w:val="28"/>
          <w:highlight w:val="none"/>
          <w:lang w:val="en-US" w:eastAsia="zh-CN" w:bidi="ar-SA"/>
        </w:rPr>
        <w:t>七、询问与质疑</w:t>
      </w:r>
      <w:bookmarkEnd w:id="195"/>
      <w:bookmarkEnd w:id="196"/>
      <w:bookmarkEnd w:id="202"/>
      <w:bookmarkEnd w:id="203"/>
      <w:bookmarkEnd w:id="204"/>
      <w:bookmarkEnd w:id="205"/>
      <w:bookmarkEnd w:id="206"/>
      <w:bookmarkEnd w:id="207"/>
      <w:bookmarkEnd w:id="208"/>
    </w:p>
    <w:p w14:paraId="5D5CDD01">
      <w:pPr>
        <w:pStyle w:val="5"/>
        <w:keepNext/>
        <w:keepLines/>
        <w:pageBreakBefore w:val="0"/>
        <w:widowControl w:val="0"/>
        <w:kinsoku/>
        <w:wordWrap/>
        <w:overflowPunct/>
        <w:topLinePunct w:val="0"/>
        <w:autoSpaceDE/>
        <w:autoSpaceDN/>
        <w:bidi w:val="0"/>
        <w:adjustRightInd/>
        <w:snapToGrid/>
        <w:spacing w:before="157" w:beforeLines="50" w:after="0" w:line="360" w:lineRule="auto"/>
        <w:textAlignment w:val="auto"/>
        <w:outlineLvl w:val="2"/>
        <w:rPr>
          <w:rFonts w:hint="eastAsia" w:ascii="宋体" w:hAnsi="宋体" w:eastAsia="宋体" w:cs="宋体"/>
          <w:b/>
          <w:bCs/>
          <w:color w:val="auto"/>
          <w:kern w:val="2"/>
          <w:sz w:val="24"/>
          <w:szCs w:val="24"/>
          <w:lang w:val="en-US" w:eastAsia="zh-CN" w:bidi="ar-SA"/>
        </w:rPr>
      </w:pPr>
      <w:bookmarkStart w:id="209" w:name="_Toc23314_WPSOffice_Level3"/>
      <w:bookmarkStart w:id="210" w:name="_Toc25982_WPSOffice_Level3"/>
      <w:bookmarkStart w:id="211" w:name="_Toc21641"/>
      <w:bookmarkStart w:id="212" w:name="_Toc15153"/>
      <w:bookmarkStart w:id="213" w:name="_Toc29785"/>
      <w:r>
        <w:rPr>
          <w:rFonts w:hint="eastAsia" w:ascii="宋体" w:hAnsi="宋体" w:eastAsia="宋体" w:cs="宋体"/>
          <w:b/>
          <w:bCs/>
          <w:color w:val="auto"/>
          <w:kern w:val="2"/>
          <w:sz w:val="24"/>
          <w:szCs w:val="24"/>
          <w:lang w:val="en-US" w:eastAsia="zh-CN" w:bidi="ar-SA"/>
        </w:rPr>
        <w:t>30.对采购过程、结果的询问及质疑</w:t>
      </w:r>
      <w:bookmarkEnd w:id="209"/>
      <w:bookmarkEnd w:id="210"/>
      <w:bookmarkEnd w:id="211"/>
      <w:bookmarkEnd w:id="212"/>
      <w:bookmarkEnd w:id="213"/>
    </w:p>
    <w:p w14:paraId="15FDA80D">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30.1供应商对政府采购过程、结果有疑问的，可以向采购人、采购代理机构提出询问。</w:t>
      </w:r>
    </w:p>
    <w:p w14:paraId="1526AA2B">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30.2参与所质疑项目的供应商认为采购过程、成交结果使自己的权益受到损害的，可以在知道或者应知其权益受到损害之日起7个工作日内，以书面形式向采购人、采购代理机构提出质疑。</w:t>
      </w:r>
    </w:p>
    <w:p w14:paraId="3ADF8DF0">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30.3供应商应在法定质疑期内一次性提出针对同一采购程序环节的质疑。</w:t>
      </w:r>
    </w:p>
    <w:p w14:paraId="17A30B15">
      <w:pPr>
        <w:pageBreakBefore w:val="0"/>
        <w:widowControl w:val="0"/>
        <w:kinsoku/>
        <w:wordWrap/>
        <w:overflowPunct/>
        <w:topLinePunct w:val="0"/>
        <w:autoSpaceDE/>
        <w:autoSpaceDN/>
        <w:bidi w:val="0"/>
        <w:adjustRightInd/>
        <w:snapToGrid/>
        <w:spacing w:before="157" w:beforeLines="50" w:line="360" w:lineRule="auto"/>
        <w:jc w:val="center"/>
        <w:textAlignment w:val="auto"/>
        <w:outlineLvl w:val="1"/>
        <w:rPr>
          <w:rFonts w:hint="eastAsia" w:ascii="宋体" w:hAnsi="宋体" w:eastAsia="宋体" w:cs="宋体"/>
          <w:b/>
          <w:bCs/>
          <w:color w:val="auto"/>
          <w:kern w:val="2"/>
          <w:sz w:val="28"/>
          <w:szCs w:val="28"/>
          <w:highlight w:val="none"/>
          <w:lang w:val="en-US" w:eastAsia="zh-CN" w:bidi="ar-SA"/>
        </w:rPr>
      </w:pPr>
      <w:bookmarkStart w:id="214" w:name="_Toc11509_WPSOffice_Level2"/>
      <w:bookmarkStart w:id="215" w:name="_Toc20109"/>
      <w:bookmarkStart w:id="216" w:name="_Toc21832"/>
      <w:bookmarkStart w:id="217" w:name="_Toc4534"/>
      <w:bookmarkStart w:id="218" w:name="_Toc6866_WPSOffice_Level2"/>
      <w:bookmarkStart w:id="219" w:name="_Toc22889"/>
      <w:bookmarkStart w:id="220" w:name="_Toc22201076"/>
      <w:bookmarkStart w:id="221" w:name="_Toc34637771"/>
      <w:bookmarkStart w:id="222" w:name="_Toc9701_WPSOffice_Level2"/>
      <w:r>
        <w:rPr>
          <w:rFonts w:hint="eastAsia" w:ascii="宋体" w:hAnsi="宋体" w:eastAsia="宋体" w:cs="宋体"/>
          <w:b/>
          <w:bCs/>
          <w:color w:val="auto"/>
          <w:kern w:val="2"/>
          <w:sz w:val="28"/>
          <w:szCs w:val="28"/>
          <w:highlight w:val="none"/>
          <w:lang w:val="en-US" w:eastAsia="zh-CN" w:bidi="ar-SA"/>
        </w:rPr>
        <w:t>八、政府采购政策</w:t>
      </w:r>
      <w:bookmarkEnd w:id="214"/>
      <w:bookmarkEnd w:id="215"/>
      <w:bookmarkEnd w:id="216"/>
      <w:bookmarkEnd w:id="217"/>
      <w:bookmarkEnd w:id="218"/>
      <w:bookmarkEnd w:id="219"/>
      <w:bookmarkEnd w:id="220"/>
      <w:bookmarkEnd w:id="221"/>
      <w:bookmarkEnd w:id="222"/>
    </w:p>
    <w:p w14:paraId="4C6A6B86">
      <w:pPr>
        <w:pStyle w:val="5"/>
        <w:keepNext/>
        <w:keepLines/>
        <w:pageBreakBefore w:val="0"/>
        <w:widowControl w:val="0"/>
        <w:kinsoku/>
        <w:wordWrap/>
        <w:overflowPunct/>
        <w:topLinePunct w:val="0"/>
        <w:autoSpaceDE/>
        <w:autoSpaceDN/>
        <w:bidi w:val="0"/>
        <w:adjustRightInd/>
        <w:snapToGrid/>
        <w:spacing w:before="157" w:beforeLines="50" w:after="0" w:line="360" w:lineRule="auto"/>
        <w:textAlignment w:val="auto"/>
        <w:outlineLvl w:val="2"/>
        <w:rPr>
          <w:rFonts w:hint="eastAsia" w:ascii="宋体" w:hAnsi="宋体" w:eastAsia="宋体" w:cs="宋体"/>
          <w:b/>
          <w:bCs/>
          <w:color w:val="auto"/>
          <w:kern w:val="2"/>
          <w:sz w:val="24"/>
          <w:szCs w:val="24"/>
          <w:lang w:val="en-US" w:eastAsia="zh-CN" w:bidi="ar-SA"/>
        </w:rPr>
      </w:pPr>
      <w:bookmarkStart w:id="223" w:name="_Toc16893"/>
      <w:bookmarkStart w:id="224" w:name="_Toc14303"/>
      <w:bookmarkStart w:id="225" w:name="_Toc17253_WPSOffice_Level3"/>
      <w:bookmarkStart w:id="226" w:name="_Toc27584"/>
      <w:bookmarkStart w:id="227" w:name="_Toc19360_WPSOffice_Level3"/>
      <w:r>
        <w:rPr>
          <w:rFonts w:hint="eastAsia" w:ascii="宋体" w:hAnsi="宋体" w:eastAsia="宋体" w:cs="宋体"/>
          <w:b/>
          <w:bCs/>
          <w:color w:val="auto"/>
          <w:kern w:val="2"/>
          <w:sz w:val="24"/>
          <w:szCs w:val="24"/>
          <w:lang w:val="en-US" w:eastAsia="zh-CN" w:bidi="ar-SA"/>
        </w:rPr>
        <w:t>31.政府采购政策</w:t>
      </w:r>
      <w:bookmarkEnd w:id="223"/>
      <w:bookmarkEnd w:id="224"/>
      <w:bookmarkEnd w:id="225"/>
      <w:bookmarkEnd w:id="226"/>
      <w:bookmarkEnd w:id="227"/>
    </w:p>
    <w:p w14:paraId="2CE29ADD">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31.1节能产品、环境标志产品的采购：</w:t>
      </w:r>
    </w:p>
    <w:p w14:paraId="24FC4D56">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根据《关于调整优化节能产品、环境标志产品政府采购执行机制的通知》（财库〔2019〕9号）的要求，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0CE5F999">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31.2价格评审优惠：</w:t>
      </w:r>
    </w:p>
    <w:p w14:paraId="04BB8703">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r>
        <w:rPr>
          <w:rFonts w:hint="eastAsia" w:ascii="宋体" w:hAnsi="宋体" w:eastAsia="宋体" w:cs="宋体"/>
          <w:color w:val="auto"/>
          <w:sz w:val="24"/>
          <w:szCs w:val="24"/>
          <w:u w:val="none"/>
          <w:lang w:val="en-US" w:eastAsia="zh-CN"/>
        </w:rPr>
        <w:t>对</w:t>
      </w:r>
      <w:r>
        <w:rPr>
          <w:rFonts w:hint="eastAsia" w:ascii="宋体" w:hAnsi="宋体" w:eastAsia="宋体" w:cs="宋体"/>
          <w:color w:val="auto"/>
          <w:sz w:val="24"/>
          <w:szCs w:val="24"/>
        </w:rPr>
        <w:t>符合《政府采购促进中小企业发展管理办法》规定的小微企业的报价，残疾人福利性单位、监狱企业的报价</w:t>
      </w:r>
      <w:r>
        <w:rPr>
          <w:rFonts w:hint="eastAsia" w:ascii="宋体" w:hAnsi="宋体" w:eastAsia="宋体" w:cs="宋体"/>
          <w:color w:val="auto"/>
          <w:sz w:val="24"/>
          <w:szCs w:val="24"/>
          <w:u w:val="none"/>
          <w:lang w:val="en-US" w:eastAsia="zh-CN"/>
        </w:rPr>
        <w:t>给予10%的价格扣除</w:t>
      </w:r>
      <w:r>
        <w:rPr>
          <w:rFonts w:hint="eastAsia" w:ascii="宋体" w:hAnsi="宋体" w:eastAsia="宋体" w:cs="宋体"/>
          <w:color w:val="auto"/>
          <w:kern w:val="2"/>
          <w:sz w:val="24"/>
          <w:szCs w:val="24"/>
          <w:lang w:val="en-US" w:eastAsia="zh-CN" w:bidi="ar-SA"/>
        </w:rPr>
        <w:t>（最后报价），用扣除后的价格参与评审，须提供《中小企业声明函》、《残疾人福利性单位声明函》、监狱企业证明材料；</w:t>
      </w:r>
    </w:p>
    <w:p w14:paraId="3DB1ED34">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本项目采购标的所属行业为：</w:t>
      </w:r>
      <w:r>
        <w:rPr>
          <w:rFonts w:hint="eastAsia" w:ascii="宋体" w:hAnsi="宋体" w:eastAsia="宋体" w:cs="宋体"/>
          <w:b/>
          <w:bCs/>
          <w:color w:val="auto"/>
          <w:kern w:val="2"/>
          <w:sz w:val="24"/>
          <w:szCs w:val="24"/>
          <w:lang w:val="en-US" w:eastAsia="zh-CN" w:bidi="ar-SA"/>
        </w:rPr>
        <w:t>工业</w:t>
      </w:r>
    </w:p>
    <w:p w14:paraId="5CCC643C">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（2）监狱企业、残疾人福利性单位视同小型、微型企业，享受评审中价格扣除等促进中小企业发展的政府采购政策。</w:t>
      </w:r>
    </w:p>
    <w:p w14:paraId="7710A27C">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31.3供应商同时符合小型、微型企业及监狱企业、残疾人福利性单位要求的，评审时只有一种类型享受价格评审优惠政策；</w:t>
      </w:r>
    </w:p>
    <w:p w14:paraId="7AC5884D">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31.4响应文件符合前款规定的，供应商应提供相关证明资料，且所提供资料必须真实可信。如有虚假，将依法承担相应责任。</w:t>
      </w:r>
    </w:p>
    <w:p w14:paraId="4F4BC99F">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31.5进口产品是指符合《政府采购进口产品管理办法》（财库〔2007〕119号）和《关于政府采购进口产品管理有关问题的通知》（财办库〔2008〕248号）文件规定的产品。除【谈判须知前附表】另有规定外，采购项目拒绝进口产品参加谈判。本款规定同意购买进口产品的，不限制满足谈判文件要求的国内产品参与谈判竞争。</w:t>
      </w:r>
    </w:p>
    <w:p w14:paraId="60B425C5">
      <w:pPr>
        <w:pageBreakBefore w:val="0"/>
        <w:widowControl w:val="0"/>
        <w:kinsoku/>
        <w:wordWrap/>
        <w:overflowPunct/>
        <w:topLinePunct w:val="0"/>
        <w:autoSpaceDE/>
        <w:autoSpaceDN/>
        <w:bidi w:val="0"/>
        <w:adjustRightInd/>
        <w:snapToGrid/>
        <w:spacing w:before="157" w:beforeLines="50" w:line="360" w:lineRule="auto"/>
        <w:jc w:val="center"/>
        <w:textAlignment w:val="auto"/>
        <w:outlineLvl w:val="1"/>
        <w:rPr>
          <w:rFonts w:hint="eastAsia" w:ascii="宋体" w:hAnsi="宋体" w:eastAsia="宋体" w:cs="宋体"/>
          <w:b w:val="0"/>
          <w:bCs w:val="0"/>
          <w:color w:val="auto"/>
          <w:kern w:val="2"/>
          <w:sz w:val="24"/>
          <w:szCs w:val="24"/>
          <w:highlight w:val="none"/>
          <w:lang w:val="en-US" w:eastAsia="zh-CN" w:bidi="ar-SA"/>
        </w:rPr>
      </w:pPr>
      <w:bookmarkStart w:id="228" w:name="_Toc10843_WPSOffice_Level2"/>
      <w:bookmarkStart w:id="229" w:name="_Toc28078_WPSOffice_Level2"/>
      <w:bookmarkStart w:id="230" w:name="_Toc26727"/>
      <w:bookmarkStart w:id="231" w:name="_Toc15316"/>
      <w:bookmarkStart w:id="232" w:name="_Toc30960"/>
      <w:bookmarkStart w:id="233" w:name="_Toc34637772"/>
      <w:bookmarkStart w:id="234" w:name="_Toc3719_WPSOffice_Level2"/>
      <w:bookmarkStart w:id="235" w:name="_Toc15805"/>
      <w:r>
        <w:rPr>
          <w:rFonts w:hint="eastAsia" w:ascii="宋体" w:hAnsi="宋体" w:eastAsia="宋体" w:cs="宋体"/>
          <w:b/>
          <w:bCs/>
          <w:color w:val="auto"/>
          <w:kern w:val="2"/>
          <w:sz w:val="28"/>
          <w:szCs w:val="28"/>
          <w:highlight w:val="none"/>
          <w:lang w:val="en-US" w:eastAsia="zh-CN" w:bidi="ar-SA"/>
        </w:rPr>
        <w:t>九、其他规定</w:t>
      </w:r>
      <w:bookmarkEnd w:id="228"/>
      <w:bookmarkEnd w:id="229"/>
      <w:bookmarkEnd w:id="230"/>
      <w:bookmarkEnd w:id="231"/>
      <w:bookmarkEnd w:id="232"/>
      <w:bookmarkEnd w:id="233"/>
      <w:bookmarkEnd w:id="234"/>
      <w:bookmarkEnd w:id="235"/>
    </w:p>
    <w:p w14:paraId="68AA0A26">
      <w:pPr>
        <w:pStyle w:val="5"/>
        <w:keepNext/>
        <w:keepLines/>
        <w:pageBreakBefore w:val="0"/>
        <w:widowControl w:val="0"/>
        <w:kinsoku/>
        <w:wordWrap/>
        <w:overflowPunct/>
        <w:topLinePunct w:val="0"/>
        <w:autoSpaceDE/>
        <w:autoSpaceDN/>
        <w:bidi w:val="0"/>
        <w:adjustRightInd/>
        <w:snapToGrid/>
        <w:spacing w:before="157" w:beforeLines="50" w:after="0" w:line="360" w:lineRule="auto"/>
        <w:textAlignment w:val="auto"/>
        <w:outlineLvl w:val="2"/>
        <w:rPr>
          <w:rFonts w:hint="eastAsia" w:ascii="宋体" w:hAnsi="宋体" w:eastAsia="宋体" w:cs="宋体"/>
          <w:b/>
          <w:bCs/>
          <w:color w:val="auto"/>
          <w:kern w:val="2"/>
          <w:sz w:val="24"/>
          <w:szCs w:val="24"/>
          <w:lang w:val="en-US" w:eastAsia="zh-CN" w:bidi="ar-SA"/>
        </w:rPr>
      </w:pPr>
      <w:bookmarkStart w:id="236" w:name="_Toc10855"/>
      <w:bookmarkStart w:id="237" w:name="_Toc12390_WPSOffice_Level3"/>
      <w:bookmarkStart w:id="238" w:name="_Toc19781"/>
      <w:bookmarkStart w:id="239" w:name="_Toc10247"/>
      <w:bookmarkStart w:id="240" w:name="_Toc22185_WPSOffice_Level3"/>
      <w:r>
        <w:rPr>
          <w:rFonts w:hint="eastAsia" w:ascii="宋体" w:hAnsi="宋体" w:eastAsia="宋体" w:cs="宋体"/>
          <w:b/>
          <w:bCs/>
          <w:color w:val="auto"/>
          <w:kern w:val="2"/>
          <w:sz w:val="24"/>
          <w:szCs w:val="24"/>
          <w:lang w:val="en-US" w:eastAsia="zh-CN" w:bidi="ar-SA"/>
        </w:rPr>
        <w:t>32.代理服务费</w:t>
      </w:r>
      <w:bookmarkEnd w:id="236"/>
      <w:bookmarkEnd w:id="237"/>
      <w:bookmarkEnd w:id="238"/>
      <w:bookmarkEnd w:id="239"/>
      <w:bookmarkEnd w:id="240"/>
    </w:p>
    <w:p w14:paraId="56966FAF">
      <w:pPr>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采购代理服务费由成交供应商支付的，供应商应按【谈判须知前附表】规定向采购代理机构交纳代理服务费，并在谈判文件中提供代理服务费承诺书。</w:t>
      </w:r>
    </w:p>
    <w:p w14:paraId="58CE96E9">
      <w:pPr>
        <w:pStyle w:val="5"/>
        <w:pageBreakBefore w:val="0"/>
        <w:widowControl w:val="0"/>
        <w:kinsoku/>
        <w:wordWrap/>
        <w:overflowPunct/>
        <w:topLinePunct w:val="0"/>
        <w:autoSpaceDE/>
        <w:autoSpaceDN/>
        <w:bidi w:val="0"/>
        <w:adjustRightInd/>
        <w:snapToGrid/>
        <w:spacing w:before="157" w:beforeLines="50" w:after="0" w:line="360" w:lineRule="auto"/>
        <w:textAlignment w:val="auto"/>
        <w:outlineLvl w:val="2"/>
        <w:rPr>
          <w:rFonts w:hint="eastAsia" w:ascii="宋体" w:hAnsi="宋体" w:eastAsia="宋体" w:cs="宋体"/>
          <w:b/>
          <w:bCs/>
          <w:color w:val="auto"/>
          <w:kern w:val="2"/>
          <w:sz w:val="24"/>
          <w:szCs w:val="24"/>
          <w:lang w:val="en-US" w:eastAsia="zh-CN" w:bidi="ar-SA"/>
        </w:rPr>
      </w:pPr>
      <w:bookmarkStart w:id="241" w:name="_Toc14580"/>
      <w:bookmarkStart w:id="242" w:name="_Toc18298"/>
      <w:bookmarkStart w:id="243" w:name="_Toc18975"/>
      <w:bookmarkStart w:id="244" w:name="_Toc27699_WPSOffice_Level3"/>
      <w:bookmarkStart w:id="245" w:name="_Toc1461_WPSOffice_Level3"/>
      <w:r>
        <w:rPr>
          <w:rFonts w:hint="eastAsia" w:ascii="宋体" w:hAnsi="宋体" w:eastAsia="宋体" w:cs="宋体"/>
          <w:b/>
          <w:bCs/>
          <w:color w:val="auto"/>
          <w:kern w:val="2"/>
          <w:sz w:val="24"/>
          <w:szCs w:val="24"/>
          <w:lang w:val="en-US" w:eastAsia="zh-CN" w:bidi="ar-SA"/>
        </w:rPr>
        <w:t>33.其他规定</w:t>
      </w:r>
      <w:bookmarkEnd w:id="241"/>
      <w:bookmarkEnd w:id="242"/>
      <w:bookmarkEnd w:id="243"/>
      <w:bookmarkEnd w:id="244"/>
      <w:bookmarkEnd w:id="245"/>
    </w:p>
    <w:p w14:paraId="0A37E745">
      <w:pPr>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szCs w:val="21"/>
        </w:rPr>
      </w:pPr>
      <w:r>
        <w:rPr>
          <w:rFonts w:hint="eastAsia" w:ascii="宋体" w:hAnsi="宋体" w:eastAsia="宋体" w:cs="宋体"/>
          <w:color w:val="auto"/>
          <w:kern w:val="2"/>
          <w:sz w:val="24"/>
          <w:szCs w:val="24"/>
          <w:lang w:val="en-US" w:eastAsia="zh-CN" w:bidi="ar-SA"/>
        </w:rPr>
        <w:t>谈判文件的其他规定见【谈判须知前附表】。</w:t>
      </w:r>
    </w:p>
    <w:p w14:paraId="2EF28581">
      <w:pPr>
        <w:pStyle w:val="3"/>
        <w:keepNext/>
        <w:widowControl w:val="0"/>
        <w:numPr>
          <w:ilvl w:val="0"/>
          <w:numId w:val="0"/>
        </w:numPr>
        <w:wordWrap/>
        <w:adjustRightInd w:val="0"/>
        <w:snapToGrid w:val="0"/>
        <w:spacing w:before="157" w:beforeLines="50" w:line="560" w:lineRule="exact"/>
        <w:jc w:val="center"/>
        <w:textAlignment w:val="auto"/>
        <w:outlineLvl w:val="0"/>
        <w:rPr>
          <w:rFonts w:hint="eastAsia" w:ascii="宋体" w:hAnsi="宋体" w:eastAsia="宋体" w:cs="宋体"/>
          <w:b w:val="0"/>
          <w:bCs w:val="0"/>
          <w:color w:val="auto"/>
          <w:sz w:val="44"/>
          <w:szCs w:val="44"/>
          <w:highlight w:val="none"/>
          <w:lang w:val="en-US" w:eastAsia="zh-CN"/>
        </w:rPr>
      </w:pPr>
      <w:bookmarkStart w:id="246" w:name="_Toc2404_WPSOffice_Level1"/>
      <w:bookmarkStart w:id="247" w:name="_Toc20750"/>
      <w:bookmarkStart w:id="248" w:name="_Toc4912_WPSOffice_Level1"/>
      <w:bookmarkStart w:id="249" w:name="_Toc31765_WPSOffice_Level1"/>
      <w:bookmarkStart w:id="250" w:name="_Toc7780_WPSOffice_Level1"/>
      <w:bookmarkStart w:id="251" w:name="_Toc18130_WPSOffice_Level1"/>
      <w:bookmarkStart w:id="252" w:name="_Toc34637773"/>
      <w:bookmarkStart w:id="253" w:name="_Toc7566"/>
      <w:bookmarkStart w:id="254" w:name="_Toc29561_WPSOffice_Level1"/>
      <w:bookmarkStart w:id="255" w:name="_Toc13204"/>
      <w:r>
        <w:rPr>
          <w:rFonts w:hint="eastAsia" w:ascii="宋体" w:hAnsi="宋体" w:eastAsia="宋体" w:cs="宋体"/>
          <w:b w:val="0"/>
          <w:bCs w:val="0"/>
          <w:color w:val="auto"/>
          <w:sz w:val="44"/>
          <w:szCs w:val="44"/>
          <w:highlight w:val="none"/>
          <w:lang w:val="en-US" w:eastAsia="zh-CN"/>
        </w:rPr>
        <w:br w:type="page"/>
      </w:r>
      <w:bookmarkStart w:id="256" w:name="_Toc31195"/>
      <w:r>
        <w:rPr>
          <w:rFonts w:hint="eastAsia" w:ascii="宋体" w:hAnsi="宋体" w:eastAsia="宋体" w:cs="宋体"/>
          <w:b/>
          <w:bCs/>
          <w:color w:val="auto"/>
          <w:sz w:val="32"/>
          <w:szCs w:val="32"/>
          <w:highlight w:val="none"/>
          <w:lang w:val="en-US" w:eastAsia="zh-CN"/>
        </w:rPr>
        <w:t>第三部分  采购需求</w:t>
      </w:r>
      <w:bookmarkEnd w:id="246"/>
      <w:bookmarkEnd w:id="247"/>
      <w:bookmarkEnd w:id="248"/>
      <w:bookmarkEnd w:id="249"/>
      <w:bookmarkEnd w:id="250"/>
      <w:bookmarkEnd w:id="251"/>
      <w:bookmarkEnd w:id="252"/>
      <w:bookmarkEnd w:id="253"/>
      <w:bookmarkEnd w:id="254"/>
      <w:bookmarkEnd w:id="255"/>
      <w:bookmarkEnd w:id="256"/>
    </w:p>
    <w:p w14:paraId="3C9512FB">
      <w:pPr>
        <w:widowControl w:val="0"/>
        <w:wordWrap/>
        <w:adjustRightInd w:val="0"/>
        <w:snapToGrid w:val="0"/>
        <w:spacing w:before="157" w:beforeLines="50" w:line="560" w:lineRule="exact"/>
        <w:jc w:val="center"/>
        <w:textAlignment w:val="auto"/>
        <w:outlineLvl w:val="1"/>
        <w:rPr>
          <w:rFonts w:hint="eastAsia" w:ascii="宋体" w:hAnsi="宋体" w:eastAsia="宋体" w:cs="宋体"/>
          <w:b w:val="0"/>
          <w:bCs w:val="0"/>
          <w:color w:val="auto"/>
          <w:kern w:val="2"/>
          <w:sz w:val="24"/>
          <w:szCs w:val="24"/>
          <w:highlight w:val="none"/>
          <w:lang w:val="zh-CN" w:eastAsia="zh-CN" w:bidi="ar-SA"/>
        </w:rPr>
      </w:pPr>
      <w:bookmarkStart w:id="257" w:name="_Toc17070"/>
      <w:bookmarkStart w:id="258" w:name="_Toc515908232"/>
      <w:bookmarkStart w:id="259" w:name="_Toc19812_WPSOffice_Level2"/>
      <w:bookmarkStart w:id="260" w:name="_Toc8656"/>
      <w:bookmarkStart w:id="261" w:name="_Toc13326_WPSOffice_Level2"/>
      <w:bookmarkStart w:id="262" w:name="_Toc20423_WPSOffice_Level2"/>
      <w:bookmarkStart w:id="263" w:name="_Toc4601"/>
      <w:bookmarkStart w:id="264" w:name="_Toc28010"/>
      <w:r>
        <w:rPr>
          <w:rFonts w:hint="eastAsia" w:ascii="宋体" w:hAnsi="宋体" w:eastAsia="宋体" w:cs="宋体"/>
          <w:b/>
          <w:bCs/>
          <w:color w:val="auto"/>
          <w:kern w:val="2"/>
          <w:sz w:val="28"/>
          <w:szCs w:val="28"/>
          <w:highlight w:val="none"/>
          <w:lang w:val="zh-CN" w:eastAsia="zh-CN" w:bidi="ar-SA"/>
        </w:rPr>
        <w:t>十、响应说明</w:t>
      </w:r>
      <w:bookmarkEnd w:id="257"/>
      <w:bookmarkEnd w:id="258"/>
      <w:bookmarkEnd w:id="259"/>
      <w:bookmarkEnd w:id="260"/>
      <w:bookmarkEnd w:id="261"/>
      <w:bookmarkEnd w:id="262"/>
      <w:bookmarkEnd w:id="263"/>
      <w:bookmarkEnd w:id="264"/>
    </w:p>
    <w:p w14:paraId="21BF97C0">
      <w:pPr>
        <w:widowControl w:val="0"/>
        <w:wordWrap/>
        <w:adjustRightInd w:val="0"/>
        <w:snapToGrid w:val="0"/>
        <w:spacing w:line="560" w:lineRule="exact"/>
        <w:ind w:left="0" w:leftChars="0" w:right="0" w:firstLine="480" w:firstLineChars="200"/>
        <w:jc w:val="left"/>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zh-CN" w:eastAsia="zh-CN" w:bidi="ar-SA"/>
        </w:rPr>
        <w:t>供应商可以按照谈判文件规定的包号选择响应，但必须对所响应包号中的所有内容作为一个整体进行响应，不能拆分或少报，</w:t>
      </w:r>
      <w:r>
        <w:rPr>
          <w:rFonts w:hint="eastAsia" w:ascii="宋体" w:hAnsi="宋体" w:eastAsia="宋体" w:cs="宋体"/>
          <w:color w:val="auto"/>
          <w:kern w:val="2"/>
          <w:sz w:val="24"/>
          <w:szCs w:val="24"/>
          <w:highlight w:val="none"/>
          <w:lang w:val="en-US" w:eastAsia="zh-CN" w:bidi="ar-SA"/>
        </w:rPr>
        <w:t>如有缺项、漏项，其响应无效。</w:t>
      </w:r>
    </w:p>
    <w:p w14:paraId="12F895C3">
      <w:pPr>
        <w:widowControl w:val="0"/>
        <w:wordWrap/>
        <w:adjustRightInd w:val="0"/>
        <w:snapToGrid w:val="0"/>
        <w:spacing w:line="560" w:lineRule="exact"/>
        <w:ind w:left="0" w:leftChars="0" w:right="0" w:firstLine="480" w:firstLineChars="200"/>
        <w:jc w:val="left"/>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2.谈判</w:t>
      </w:r>
      <w:r>
        <w:rPr>
          <w:rFonts w:hint="eastAsia" w:ascii="宋体" w:hAnsi="宋体" w:eastAsia="宋体" w:cs="宋体"/>
          <w:color w:val="auto"/>
          <w:kern w:val="2"/>
          <w:sz w:val="24"/>
          <w:szCs w:val="24"/>
          <w:highlight w:val="none"/>
          <w:lang w:val="zh-CN" w:eastAsia="zh-CN" w:bidi="ar-SA"/>
        </w:rPr>
        <w:t>内容中未特别标注为“</w:t>
      </w:r>
      <w:r>
        <w:rPr>
          <w:rFonts w:hint="eastAsia" w:ascii="宋体" w:hAnsi="宋体" w:eastAsia="宋体" w:cs="宋体"/>
          <w:color w:val="auto"/>
          <w:sz w:val="24"/>
          <w:szCs w:val="24"/>
          <w:lang w:val="zh-CN"/>
        </w:rPr>
        <w:t>原装进口</w:t>
      </w:r>
      <w:r>
        <w:rPr>
          <w:rFonts w:hint="eastAsia" w:ascii="宋体" w:hAnsi="宋体" w:eastAsia="宋体" w:cs="宋体"/>
          <w:color w:val="auto"/>
          <w:kern w:val="2"/>
          <w:sz w:val="24"/>
          <w:szCs w:val="24"/>
          <w:highlight w:val="none"/>
          <w:lang w:val="zh-CN" w:eastAsia="zh-CN" w:bidi="ar-SA"/>
        </w:rPr>
        <w:t>”字样的产品，供应商必须提供国产产品；标注为“</w:t>
      </w:r>
      <w:r>
        <w:rPr>
          <w:rFonts w:hint="eastAsia" w:ascii="宋体" w:hAnsi="宋体" w:eastAsia="宋体" w:cs="宋体"/>
          <w:color w:val="auto"/>
          <w:sz w:val="24"/>
          <w:szCs w:val="24"/>
          <w:lang w:val="zh-CN"/>
        </w:rPr>
        <w:t>原装进口</w:t>
      </w:r>
      <w:r>
        <w:rPr>
          <w:rFonts w:hint="eastAsia" w:ascii="宋体" w:hAnsi="宋体" w:eastAsia="宋体" w:cs="宋体"/>
          <w:color w:val="auto"/>
          <w:kern w:val="2"/>
          <w:sz w:val="24"/>
          <w:szCs w:val="24"/>
          <w:highlight w:val="none"/>
          <w:lang w:val="zh-CN" w:eastAsia="zh-CN" w:bidi="ar-SA"/>
        </w:rPr>
        <w:t>”字样的产品，供应商应该提供进口产品，但如果因信息不对称等原因，仍有满足采购需求的国内产品要求参与采购竞争的，可以提供国产产品，并且按照公平竞争原则实施采购。</w:t>
      </w:r>
    </w:p>
    <w:p w14:paraId="4E7A16CF">
      <w:pPr>
        <w:widowControl w:val="0"/>
        <w:wordWrap/>
        <w:adjustRightInd w:val="0"/>
        <w:snapToGrid w:val="0"/>
        <w:spacing w:line="560" w:lineRule="exact"/>
        <w:ind w:left="0" w:leftChars="0" w:right="0" w:firstLine="480" w:firstLineChars="200"/>
        <w:jc w:val="left"/>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3.所提供产品或其任何一部分不得侵犯专利权、著作权、商标权和工业设计权等知识产权。</w:t>
      </w:r>
    </w:p>
    <w:p w14:paraId="1D43408A">
      <w:pPr>
        <w:widowControl w:val="0"/>
        <w:wordWrap/>
        <w:adjustRightInd w:val="0"/>
        <w:snapToGrid w:val="0"/>
        <w:spacing w:before="157" w:beforeLines="50" w:line="560" w:lineRule="exact"/>
        <w:ind w:right="0"/>
        <w:jc w:val="center"/>
        <w:textAlignment w:val="auto"/>
        <w:outlineLvl w:val="1"/>
        <w:rPr>
          <w:rFonts w:hint="eastAsia" w:ascii="宋体" w:hAnsi="宋体" w:eastAsia="宋体" w:cs="宋体"/>
          <w:b/>
          <w:bCs/>
          <w:color w:val="auto"/>
          <w:kern w:val="2"/>
          <w:sz w:val="28"/>
          <w:szCs w:val="28"/>
          <w:highlight w:val="none"/>
          <w:lang w:val="zh-CN" w:eastAsia="zh-CN" w:bidi="ar-SA"/>
        </w:rPr>
      </w:pPr>
      <w:bookmarkStart w:id="265" w:name="_Toc22092"/>
      <w:bookmarkStart w:id="266" w:name="_Toc515908233"/>
      <w:bookmarkStart w:id="267" w:name="_Toc27034"/>
      <w:bookmarkStart w:id="268" w:name="_Toc28791"/>
      <w:bookmarkStart w:id="269" w:name="_Toc16271_WPSOffice_Level2"/>
      <w:bookmarkStart w:id="270" w:name="_Toc26560_WPSOffice_Level2"/>
      <w:bookmarkStart w:id="271" w:name="_Toc19609_WPSOffice_Level2"/>
      <w:bookmarkStart w:id="272" w:name="_Toc1475"/>
      <w:r>
        <w:rPr>
          <w:rFonts w:hint="eastAsia" w:ascii="宋体" w:hAnsi="宋体" w:eastAsia="宋体" w:cs="宋体"/>
          <w:b/>
          <w:bCs/>
          <w:color w:val="auto"/>
          <w:kern w:val="2"/>
          <w:sz w:val="28"/>
          <w:szCs w:val="28"/>
          <w:highlight w:val="none"/>
          <w:lang w:val="zh-CN" w:eastAsia="zh-CN" w:bidi="ar-SA"/>
        </w:rPr>
        <w:t>十一、重要指标</w:t>
      </w:r>
      <w:bookmarkEnd w:id="265"/>
      <w:bookmarkEnd w:id="266"/>
      <w:bookmarkEnd w:id="267"/>
      <w:bookmarkEnd w:id="268"/>
      <w:bookmarkEnd w:id="269"/>
      <w:bookmarkEnd w:id="270"/>
      <w:bookmarkEnd w:id="271"/>
      <w:bookmarkEnd w:id="272"/>
    </w:p>
    <w:p w14:paraId="3E7924D0">
      <w:pPr>
        <w:widowControl w:val="0"/>
        <w:wordWrap/>
        <w:adjustRightInd w:val="0"/>
        <w:snapToGrid w:val="0"/>
        <w:spacing w:line="560" w:lineRule="exact"/>
        <w:ind w:left="0" w:leftChars="0" w:right="0" w:firstLine="480" w:firstLineChars="200"/>
        <w:jc w:val="left"/>
        <w:textAlignment w:val="auto"/>
        <w:rPr>
          <w:rFonts w:hint="eastAsia" w:ascii="宋体" w:hAnsi="宋体" w:eastAsia="宋体" w:cs="宋体"/>
          <w:color w:val="auto"/>
          <w:kern w:val="2"/>
          <w:sz w:val="24"/>
          <w:szCs w:val="24"/>
          <w:highlight w:val="none"/>
          <w:lang w:val="zh-CN" w:eastAsia="zh-CN" w:bidi="ar-SA"/>
        </w:rPr>
      </w:pPr>
      <w:bookmarkStart w:id="273" w:name="_Toc18880"/>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zh-CN" w:eastAsia="zh-CN" w:bidi="ar-SA"/>
        </w:rPr>
        <w:t>谈判文件在技术参数中列出了采购人可以接受的最低技术指标，供应商必须对“项目概况及技术参数表”中各项产品和指标进行实质性响应，所</w:t>
      </w:r>
      <w:r>
        <w:rPr>
          <w:rFonts w:hint="eastAsia" w:ascii="宋体" w:hAnsi="宋体" w:eastAsia="宋体" w:cs="宋体"/>
          <w:color w:val="auto"/>
          <w:kern w:val="2"/>
          <w:sz w:val="24"/>
          <w:szCs w:val="24"/>
          <w:highlight w:val="none"/>
          <w:lang w:val="en-US" w:eastAsia="zh-CN" w:bidi="ar-SA"/>
        </w:rPr>
        <w:t>投</w:t>
      </w:r>
      <w:r>
        <w:rPr>
          <w:rFonts w:hint="eastAsia" w:ascii="宋体" w:hAnsi="宋体" w:eastAsia="宋体" w:cs="宋体"/>
          <w:color w:val="auto"/>
          <w:kern w:val="2"/>
          <w:sz w:val="24"/>
          <w:szCs w:val="24"/>
          <w:highlight w:val="none"/>
          <w:lang w:val="zh-CN" w:eastAsia="zh-CN" w:bidi="ar-SA"/>
        </w:rPr>
        <w:t>的每一项产品在性能上不能低于所列的各项指标。否则，响应无效。</w:t>
      </w:r>
    </w:p>
    <w:p w14:paraId="74BA7D30">
      <w:pPr>
        <w:widowControl w:val="0"/>
        <w:wordWrap/>
        <w:adjustRightInd w:val="0"/>
        <w:snapToGrid w:val="0"/>
        <w:spacing w:line="560" w:lineRule="exact"/>
        <w:ind w:left="0" w:leftChars="0" w:right="0" w:firstLine="480" w:firstLineChars="200"/>
        <w:jc w:val="left"/>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zh-CN" w:eastAsia="zh-CN" w:bidi="ar-SA"/>
        </w:rPr>
        <w:t>谈判文件中凡需与原有设备、系统并机、兼容、匹配等要求的，请主动和采购人联系，取得原有设备、系统相关资料。若有谈判文件未提及或变更内容的，请及时与采购人或者采购代理机构联系。</w:t>
      </w:r>
    </w:p>
    <w:p w14:paraId="4A8902E1">
      <w:pPr>
        <w:widowControl w:val="0"/>
        <w:wordWrap/>
        <w:adjustRightInd w:val="0"/>
        <w:snapToGrid w:val="0"/>
        <w:spacing w:line="560" w:lineRule="exact"/>
        <w:ind w:left="0" w:leftChars="0" w:righ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zh-CN" w:eastAsia="zh-CN" w:bidi="ar-SA"/>
        </w:rPr>
        <w:t>技术参数”中除注明签订合同时提供</w:t>
      </w:r>
      <w:r>
        <w:rPr>
          <w:rFonts w:hint="eastAsia" w:ascii="宋体" w:hAnsi="宋体" w:eastAsia="宋体" w:cs="宋体"/>
          <w:color w:val="auto"/>
          <w:kern w:val="2"/>
          <w:sz w:val="24"/>
          <w:szCs w:val="24"/>
          <w:highlight w:val="none"/>
          <w:lang w:val="en-US" w:eastAsia="zh-CN" w:bidi="ar-SA"/>
        </w:rPr>
        <w:t>的相关授权、服务承诺等资料以外，其余相关资料在响应时必须附在响应文件中。</w:t>
      </w:r>
    </w:p>
    <w:p w14:paraId="16E7F847">
      <w:pPr>
        <w:widowControl w:val="0"/>
        <w:wordWrap/>
        <w:adjustRightInd w:val="0"/>
        <w:snapToGrid w:val="0"/>
        <w:spacing w:line="560" w:lineRule="exact"/>
        <w:ind w:left="0" w:leftChars="0" w:right="0" w:firstLine="482" w:firstLineChars="200"/>
        <w:jc w:val="left"/>
        <w:textAlignment w:val="auto"/>
        <w:rPr>
          <w:rFonts w:hint="eastAsia" w:ascii="宋体" w:hAnsi="宋体" w:eastAsia="宋体" w:cs="宋体"/>
          <w:color w:val="auto"/>
          <w:sz w:val="24"/>
          <w:szCs w:val="24"/>
          <w:lang w:val="zh-CN"/>
        </w:rPr>
      </w:pPr>
      <w:bookmarkStart w:id="274" w:name="_Toc5036"/>
      <w:bookmarkStart w:id="275" w:name="_Toc8338"/>
      <w:bookmarkStart w:id="276" w:name="_Toc24486"/>
      <w:r>
        <w:rPr>
          <w:rFonts w:hint="eastAsia" w:ascii="宋体" w:hAnsi="宋体" w:eastAsia="宋体" w:cs="宋体"/>
          <w:b/>
          <w:bCs/>
          <w:color w:val="auto"/>
          <w:sz w:val="24"/>
          <w:szCs w:val="24"/>
          <w:lang w:val="zh-CN"/>
        </w:rPr>
        <w:t>4.商务要求</w:t>
      </w:r>
      <w:bookmarkEnd w:id="274"/>
      <w:bookmarkEnd w:id="275"/>
      <w:bookmarkEnd w:id="276"/>
    </w:p>
    <w:p w14:paraId="4B9037A4">
      <w:pPr>
        <w:autoSpaceDE w:val="0"/>
        <w:autoSpaceDN w:val="0"/>
        <w:spacing w:line="360" w:lineRule="auto"/>
        <w:ind w:firstLine="48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rPr>
        <w:t>4.1.</w:t>
      </w:r>
      <w:r>
        <w:rPr>
          <w:rFonts w:hint="eastAsia" w:ascii="宋体" w:hAnsi="宋体" w:eastAsia="宋体" w:cs="宋体"/>
          <w:color w:val="auto"/>
          <w:sz w:val="24"/>
          <w:szCs w:val="24"/>
        </w:rPr>
        <w:t>交货时间</w:t>
      </w:r>
      <w:r>
        <w:rPr>
          <w:rFonts w:hint="eastAsia" w:ascii="宋体" w:hAnsi="宋体" w:eastAsia="宋体" w:cs="宋体"/>
          <w:color w:val="auto"/>
          <w:sz w:val="24"/>
          <w:szCs w:val="24"/>
          <w:lang w:val="zh-CN"/>
        </w:rPr>
        <w:t>：</w:t>
      </w:r>
      <w:r>
        <w:rPr>
          <w:rFonts w:hint="eastAsia" w:ascii="宋体" w:hAnsi="宋体" w:eastAsia="宋体" w:cs="宋体"/>
          <w:b/>
          <w:bCs/>
          <w:color w:val="auto"/>
          <w:sz w:val="24"/>
          <w:szCs w:val="24"/>
        </w:rPr>
        <w:t>合同签订后</w:t>
      </w:r>
      <w:r>
        <w:rPr>
          <w:rFonts w:hint="eastAsia" w:ascii="宋体" w:hAnsi="宋体" w:eastAsia="宋体" w:cs="宋体"/>
          <w:b/>
          <w:bCs/>
          <w:color w:val="auto"/>
          <w:sz w:val="24"/>
          <w:szCs w:val="24"/>
          <w:lang w:val="en-US" w:eastAsia="zh-CN"/>
        </w:rPr>
        <w:t>10</w:t>
      </w:r>
      <w:r>
        <w:rPr>
          <w:rFonts w:hint="eastAsia" w:ascii="宋体" w:hAnsi="宋体" w:eastAsia="宋体" w:cs="宋体"/>
          <w:b/>
          <w:bCs/>
          <w:color w:val="auto"/>
          <w:sz w:val="24"/>
          <w:szCs w:val="24"/>
        </w:rPr>
        <w:t>个工作日</w:t>
      </w:r>
    </w:p>
    <w:p w14:paraId="47100429">
      <w:pPr>
        <w:autoSpaceDE w:val="0"/>
        <w:autoSpaceDN w:val="0"/>
        <w:spacing w:line="360" w:lineRule="auto"/>
        <w:ind w:firstLine="48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rPr>
        <w:t>4.2.</w:t>
      </w:r>
      <w:r>
        <w:rPr>
          <w:rFonts w:hint="eastAsia" w:ascii="宋体" w:hAnsi="宋体" w:eastAsia="宋体" w:cs="宋体"/>
          <w:color w:val="auto"/>
          <w:sz w:val="24"/>
          <w:szCs w:val="24"/>
        </w:rPr>
        <w:t>交货</w:t>
      </w:r>
      <w:r>
        <w:rPr>
          <w:rFonts w:hint="eastAsia" w:ascii="宋体" w:hAnsi="宋体" w:eastAsia="宋体" w:cs="宋体"/>
          <w:color w:val="auto"/>
          <w:sz w:val="24"/>
          <w:szCs w:val="24"/>
          <w:lang w:val="zh-CN"/>
        </w:rPr>
        <w:t>地点：</w:t>
      </w:r>
      <w:r>
        <w:rPr>
          <w:rFonts w:hint="eastAsia" w:ascii="宋体" w:hAnsi="宋体" w:eastAsia="宋体" w:cs="宋体"/>
          <w:b/>
          <w:bCs/>
          <w:color w:val="auto"/>
          <w:sz w:val="24"/>
          <w:szCs w:val="24"/>
          <w:lang w:val="en-US" w:eastAsia="zh-CN"/>
        </w:rPr>
        <w:t>采购人指定地点</w:t>
      </w:r>
    </w:p>
    <w:p w14:paraId="4B0970EE">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4.3.付款方式：</w:t>
      </w:r>
      <w:r>
        <w:rPr>
          <w:rFonts w:hint="eastAsia" w:ascii="宋体" w:hAnsi="宋体" w:eastAsia="宋体" w:cs="宋体"/>
          <w:color w:val="auto"/>
          <w:sz w:val="24"/>
          <w:szCs w:val="24"/>
        </w:rPr>
        <w:t>详见“第四部分  采购项目合同书”中“四、付款方式”的规定</w:t>
      </w:r>
    </w:p>
    <w:p w14:paraId="3FF78AC0">
      <w:pPr>
        <w:widowControl w:val="0"/>
        <w:wordWrap/>
        <w:adjustRightInd w:val="0"/>
        <w:snapToGrid w:val="0"/>
        <w:spacing w:line="560" w:lineRule="exact"/>
        <w:ind w:left="0" w:leftChars="0" w:righ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lang w:val="zh-CN"/>
        </w:rPr>
        <w:t>4.4.免费质量保证期：</w:t>
      </w:r>
      <w:r>
        <w:rPr>
          <w:rFonts w:hint="eastAsia" w:ascii="宋体" w:hAnsi="宋体" w:eastAsia="宋体" w:cs="宋体"/>
          <w:b/>
          <w:bCs/>
          <w:color w:val="auto"/>
          <w:sz w:val="24"/>
          <w:szCs w:val="24"/>
          <w:lang w:val="en-US" w:eastAsia="zh-CN"/>
        </w:rPr>
        <w:t>整车质保3年或10万公里以上。</w:t>
      </w:r>
    </w:p>
    <w:p w14:paraId="56544863">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br w:type="page"/>
      </w:r>
    </w:p>
    <w:p w14:paraId="264094AA">
      <w:pPr>
        <w:pStyle w:val="16"/>
        <w:spacing w:before="0" w:after="0" w:line="360" w:lineRule="auto"/>
        <w:ind w:firstLine="0" w:firstLineChars="0"/>
        <w:rPr>
          <w:rFonts w:hint="eastAsia" w:ascii="宋体" w:hAnsi="宋体" w:eastAsia="宋体" w:cs="宋体"/>
          <w:b/>
          <w:bCs/>
          <w:color w:val="auto"/>
          <w:kern w:val="2"/>
          <w:sz w:val="28"/>
          <w:szCs w:val="28"/>
          <w:highlight w:val="none"/>
          <w:lang w:val="zh-CN" w:eastAsia="zh-CN" w:bidi="ar-SA"/>
        </w:rPr>
      </w:pPr>
      <w:r>
        <w:rPr>
          <w:rFonts w:hint="eastAsia" w:ascii="宋体" w:hAnsi="宋体" w:eastAsia="宋体" w:cs="宋体"/>
          <w:color w:val="auto"/>
          <w:sz w:val="28"/>
          <w:szCs w:val="28"/>
          <w:lang w:val="zh-CN"/>
        </w:rPr>
        <w:t>项目概况及技术参数</w:t>
      </w:r>
    </w:p>
    <w:tbl>
      <w:tblPr>
        <w:tblStyle w:val="19"/>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41"/>
        <w:gridCol w:w="1418"/>
        <w:gridCol w:w="6847"/>
        <w:gridCol w:w="660"/>
        <w:gridCol w:w="639"/>
      </w:tblGrid>
      <w:tr w14:paraId="6B6A7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641" w:type="dxa"/>
            <w:vAlign w:val="center"/>
          </w:tcPr>
          <w:p w14:paraId="29A4AD83">
            <w:pPr>
              <w:spacing w:line="240" w:lineRule="auto"/>
              <w:ind w:firstLine="0" w:firstLineChars="0"/>
              <w:jc w:val="center"/>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rPr>
              <w:t>序号</w:t>
            </w:r>
          </w:p>
        </w:tc>
        <w:tc>
          <w:tcPr>
            <w:tcW w:w="1418" w:type="dxa"/>
            <w:vAlign w:val="center"/>
          </w:tcPr>
          <w:p w14:paraId="2F46F37C">
            <w:pPr>
              <w:spacing w:line="240" w:lineRule="auto"/>
              <w:ind w:firstLine="0" w:firstLineChars="0"/>
              <w:jc w:val="center"/>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rPr>
              <w:t>产品名称</w:t>
            </w:r>
          </w:p>
        </w:tc>
        <w:tc>
          <w:tcPr>
            <w:tcW w:w="6847" w:type="dxa"/>
            <w:vAlign w:val="center"/>
          </w:tcPr>
          <w:p w14:paraId="660BDC68">
            <w:pPr>
              <w:spacing w:line="240" w:lineRule="auto"/>
              <w:ind w:firstLine="0" w:firstLineChars="0"/>
              <w:jc w:val="center"/>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rPr>
              <w:t>技术参数</w:t>
            </w:r>
          </w:p>
        </w:tc>
        <w:tc>
          <w:tcPr>
            <w:tcW w:w="660" w:type="dxa"/>
            <w:vAlign w:val="center"/>
          </w:tcPr>
          <w:p w14:paraId="23BBB251">
            <w:pPr>
              <w:spacing w:line="240" w:lineRule="auto"/>
              <w:ind w:firstLine="0" w:firstLineChars="0"/>
              <w:jc w:val="center"/>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rPr>
              <w:t>数量</w:t>
            </w:r>
          </w:p>
        </w:tc>
        <w:tc>
          <w:tcPr>
            <w:tcW w:w="639" w:type="dxa"/>
            <w:vAlign w:val="center"/>
          </w:tcPr>
          <w:p w14:paraId="0F1F6D51">
            <w:pPr>
              <w:spacing w:line="240" w:lineRule="auto"/>
              <w:ind w:firstLine="0" w:firstLineChars="0"/>
              <w:jc w:val="center"/>
              <w:rPr>
                <w:rFonts w:hint="eastAsia" w:ascii="宋体" w:hAnsi="宋体" w:eastAsia="宋体" w:cs="宋体"/>
                <w:b/>
                <w:bCs/>
                <w:color w:val="auto"/>
                <w:kern w:val="2"/>
                <w:sz w:val="24"/>
                <w:szCs w:val="24"/>
                <w:highlight w:val="red"/>
              </w:rPr>
            </w:pPr>
            <w:r>
              <w:rPr>
                <w:rFonts w:hint="eastAsia" w:ascii="宋体" w:hAnsi="宋体" w:eastAsia="宋体" w:cs="宋体"/>
                <w:b/>
                <w:bCs/>
                <w:color w:val="auto"/>
                <w:kern w:val="2"/>
                <w:sz w:val="24"/>
                <w:szCs w:val="24"/>
              </w:rPr>
              <w:t>单位</w:t>
            </w:r>
          </w:p>
        </w:tc>
      </w:tr>
      <w:tr w14:paraId="3D7FB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99" w:hRule="atLeast"/>
          <w:jc w:val="center"/>
        </w:trPr>
        <w:tc>
          <w:tcPr>
            <w:tcW w:w="641" w:type="dxa"/>
            <w:vMerge w:val="restart"/>
            <w:vAlign w:val="center"/>
          </w:tcPr>
          <w:p w14:paraId="15BD57EA">
            <w:pPr>
              <w:spacing w:line="240" w:lineRule="auto"/>
              <w:ind w:firstLine="0" w:firstLineChars="0"/>
              <w:jc w:val="center"/>
              <w:rPr>
                <w:rFonts w:hint="eastAsia" w:ascii="宋体" w:hAnsi="宋体" w:eastAsia="宋体" w:cs="宋体"/>
                <w:b w:val="0"/>
                <w:bCs w:val="0"/>
                <w:color w:val="auto"/>
                <w:kern w:val="2"/>
                <w:sz w:val="24"/>
                <w:szCs w:val="24"/>
                <w:lang w:val="en-US" w:eastAsia="zh-CN"/>
              </w:rPr>
            </w:pPr>
            <w:r>
              <w:rPr>
                <w:rFonts w:hint="eastAsia" w:ascii="宋体" w:hAnsi="宋体" w:eastAsia="宋体" w:cs="宋体"/>
                <w:b w:val="0"/>
                <w:bCs w:val="0"/>
                <w:color w:val="auto"/>
                <w:kern w:val="2"/>
                <w:sz w:val="24"/>
                <w:szCs w:val="24"/>
                <w:lang w:val="en-US" w:eastAsia="zh-CN"/>
              </w:rPr>
              <w:t>1</w:t>
            </w:r>
          </w:p>
        </w:tc>
        <w:tc>
          <w:tcPr>
            <w:tcW w:w="1418" w:type="dxa"/>
            <w:vMerge w:val="restart"/>
            <w:vAlign w:val="center"/>
          </w:tcPr>
          <w:p w14:paraId="512FFE03">
            <w:pPr>
              <w:spacing w:line="240" w:lineRule="auto"/>
              <w:ind w:firstLine="0" w:firstLineChars="0"/>
              <w:jc w:val="center"/>
              <w:rPr>
                <w:rFonts w:hint="eastAsia" w:ascii="宋体" w:hAnsi="宋体" w:eastAsia="宋体" w:cs="宋体"/>
                <w:b w:val="0"/>
                <w:bCs w:val="0"/>
                <w:color w:val="auto"/>
                <w:kern w:val="2"/>
                <w:sz w:val="24"/>
                <w:szCs w:val="24"/>
                <w:lang w:val="en-US" w:eastAsia="zh-CN"/>
              </w:rPr>
            </w:pPr>
            <w:r>
              <w:rPr>
                <w:rFonts w:hint="eastAsia" w:ascii="宋体" w:hAnsi="宋体" w:eastAsia="宋体" w:cs="宋体"/>
                <w:b w:val="0"/>
                <w:bCs w:val="0"/>
                <w:i w:val="0"/>
                <w:iCs w:val="0"/>
                <w:color w:val="auto"/>
                <w:kern w:val="0"/>
                <w:sz w:val="24"/>
                <w:szCs w:val="24"/>
                <w:u w:val="none"/>
                <w:lang w:val="en-US" w:eastAsia="zh-CN" w:bidi="ar"/>
              </w:rPr>
              <w:t>SUV</w:t>
            </w:r>
          </w:p>
        </w:tc>
        <w:tc>
          <w:tcPr>
            <w:tcW w:w="6847" w:type="dxa"/>
            <w:shd w:val="clear" w:color="auto" w:fill="auto"/>
            <w:vAlign w:val="center"/>
          </w:tcPr>
          <w:p w14:paraId="76592E8B">
            <w:pPr>
              <w:keepNext w:val="0"/>
              <w:keepLines w:val="0"/>
              <w:widowControl/>
              <w:suppressLineNumbers w:val="0"/>
              <w:jc w:val="both"/>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级别：城市SUV；</w:t>
            </w:r>
          </w:p>
        </w:tc>
        <w:tc>
          <w:tcPr>
            <w:tcW w:w="660" w:type="dxa"/>
            <w:vMerge w:val="restart"/>
            <w:vAlign w:val="center"/>
          </w:tcPr>
          <w:p w14:paraId="1BF3FF50">
            <w:pPr>
              <w:spacing w:line="240" w:lineRule="auto"/>
              <w:ind w:firstLine="0" w:firstLineChars="0"/>
              <w:jc w:val="center"/>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8</w:t>
            </w:r>
          </w:p>
        </w:tc>
        <w:tc>
          <w:tcPr>
            <w:tcW w:w="639" w:type="dxa"/>
            <w:vMerge w:val="restart"/>
            <w:vAlign w:val="center"/>
          </w:tcPr>
          <w:p w14:paraId="4CFB5B68">
            <w:pPr>
              <w:spacing w:line="240" w:lineRule="auto"/>
              <w:ind w:firstLine="0" w:firstLineChars="0"/>
              <w:jc w:val="center"/>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val="en-US" w:eastAsia="zh-CN"/>
              </w:rPr>
              <w:t>辆</w:t>
            </w:r>
          </w:p>
        </w:tc>
      </w:tr>
      <w:tr w14:paraId="31965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641" w:type="dxa"/>
            <w:vMerge w:val="continue"/>
          </w:tcPr>
          <w:p w14:paraId="1670CBE4">
            <w:pPr>
              <w:spacing w:line="240" w:lineRule="auto"/>
              <w:ind w:firstLine="0" w:firstLineChars="0"/>
              <w:jc w:val="center"/>
              <w:rPr>
                <w:rFonts w:hint="eastAsia" w:ascii="宋体" w:hAnsi="宋体" w:eastAsia="宋体" w:cs="宋体"/>
                <w:color w:val="auto"/>
                <w:kern w:val="2"/>
                <w:sz w:val="24"/>
                <w:szCs w:val="24"/>
              </w:rPr>
            </w:pPr>
          </w:p>
        </w:tc>
        <w:tc>
          <w:tcPr>
            <w:tcW w:w="1418" w:type="dxa"/>
            <w:vMerge w:val="continue"/>
          </w:tcPr>
          <w:p w14:paraId="4CD1E30A">
            <w:pPr>
              <w:spacing w:line="240" w:lineRule="auto"/>
              <w:ind w:firstLine="0" w:firstLineChars="0"/>
              <w:jc w:val="center"/>
              <w:rPr>
                <w:rFonts w:hint="eastAsia" w:ascii="宋体" w:hAnsi="宋体" w:eastAsia="宋体" w:cs="宋体"/>
                <w:color w:val="auto"/>
                <w:kern w:val="2"/>
                <w:sz w:val="24"/>
                <w:szCs w:val="24"/>
                <w:lang w:val="en-US" w:eastAsia="zh-CN"/>
              </w:rPr>
            </w:pPr>
          </w:p>
        </w:tc>
        <w:tc>
          <w:tcPr>
            <w:tcW w:w="6847" w:type="dxa"/>
            <w:shd w:val="clear" w:color="auto" w:fill="auto"/>
            <w:vAlign w:val="center"/>
          </w:tcPr>
          <w:p w14:paraId="3C639611">
            <w:pPr>
              <w:keepNext w:val="0"/>
              <w:keepLines w:val="0"/>
              <w:widowControl/>
              <w:suppressLineNumbers w:val="0"/>
              <w:jc w:val="both"/>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发动机：2.0L；</w:t>
            </w:r>
          </w:p>
        </w:tc>
        <w:tc>
          <w:tcPr>
            <w:tcW w:w="660" w:type="dxa"/>
            <w:vMerge w:val="continue"/>
          </w:tcPr>
          <w:p w14:paraId="6E1A39D7">
            <w:pPr>
              <w:spacing w:line="240" w:lineRule="auto"/>
              <w:ind w:firstLine="0" w:firstLineChars="0"/>
              <w:jc w:val="center"/>
              <w:rPr>
                <w:rFonts w:hint="eastAsia" w:ascii="宋体" w:hAnsi="宋体" w:eastAsia="宋体" w:cs="宋体"/>
                <w:color w:val="auto"/>
                <w:kern w:val="2"/>
                <w:sz w:val="24"/>
                <w:szCs w:val="24"/>
                <w:lang w:val="en-US" w:eastAsia="zh-CN"/>
              </w:rPr>
            </w:pPr>
          </w:p>
        </w:tc>
        <w:tc>
          <w:tcPr>
            <w:tcW w:w="639" w:type="dxa"/>
            <w:vMerge w:val="continue"/>
          </w:tcPr>
          <w:p w14:paraId="1688B349">
            <w:pPr>
              <w:spacing w:line="240" w:lineRule="auto"/>
              <w:ind w:firstLine="0" w:firstLineChars="0"/>
              <w:jc w:val="center"/>
              <w:rPr>
                <w:rFonts w:hint="eastAsia" w:ascii="宋体" w:hAnsi="宋体" w:eastAsia="宋体" w:cs="宋体"/>
                <w:color w:val="auto"/>
                <w:kern w:val="2"/>
                <w:sz w:val="24"/>
                <w:szCs w:val="24"/>
                <w:lang w:eastAsia="zh-CN"/>
              </w:rPr>
            </w:pPr>
          </w:p>
        </w:tc>
      </w:tr>
      <w:tr w14:paraId="6169D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641" w:type="dxa"/>
            <w:vMerge w:val="continue"/>
          </w:tcPr>
          <w:p w14:paraId="26EDC787">
            <w:pPr>
              <w:spacing w:line="240" w:lineRule="auto"/>
              <w:ind w:firstLine="0" w:firstLineChars="0"/>
              <w:jc w:val="center"/>
              <w:rPr>
                <w:rFonts w:hint="eastAsia" w:ascii="宋体" w:hAnsi="宋体" w:eastAsia="宋体" w:cs="宋体"/>
                <w:color w:val="auto"/>
                <w:kern w:val="2"/>
                <w:sz w:val="24"/>
                <w:szCs w:val="24"/>
              </w:rPr>
            </w:pPr>
          </w:p>
        </w:tc>
        <w:tc>
          <w:tcPr>
            <w:tcW w:w="1418" w:type="dxa"/>
            <w:vMerge w:val="continue"/>
          </w:tcPr>
          <w:p w14:paraId="2DE5DA74">
            <w:pPr>
              <w:spacing w:line="240" w:lineRule="auto"/>
              <w:ind w:firstLine="0" w:firstLineChars="0"/>
              <w:jc w:val="center"/>
              <w:rPr>
                <w:rFonts w:hint="eastAsia" w:ascii="宋体" w:hAnsi="宋体" w:eastAsia="宋体" w:cs="宋体"/>
                <w:color w:val="auto"/>
                <w:kern w:val="2"/>
                <w:sz w:val="24"/>
                <w:szCs w:val="24"/>
                <w:lang w:val="en-US" w:eastAsia="zh-CN"/>
              </w:rPr>
            </w:pPr>
          </w:p>
        </w:tc>
        <w:tc>
          <w:tcPr>
            <w:tcW w:w="6847" w:type="dxa"/>
            <w:shd w:val="clear" w:color="auto" w:fill="auto"/>
            <w:vAlign w:val="center"/>
          </w:tcPr>
          <w:p w14:paraId="774E64AB">
            <w:pPr>
              <w:keepNext w:val="0"/>
              <w:keepLines w:val="0"/>
              <w:widowControl/>
              <w:suppressLineNumbers w:val="0"/>
              <w:jc w:val="both"/>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变速箱：CVT；</w:t>
            </w:r>
          </w:p>
        </w:tc>
        <w:tc>
          <w:tcPr>
            <w:tcW w:w="660" w:type="dxa"/>
            <w:vMerge w:val="continue"/>
          </w:tcPr>
          <w:p w14:paraId="4F3FA10E">
            <w:pPr>
              <w:spacing w:line="240" w:lineRule="auto"/>
              <w:ind w:firstLine="0" w:firstLineChars="0"/>
              <w:jc w:val="center"/>
              <w:rPr>
                <w:rFonts w:hint="eastAsia" w:ascii="宋体" w:hAnsi="宋体" w:eastAsia="宋体" w:cs="宋体"/>
                <w:color w:val="auto"/>
                <w:kern w:val="2"/>
                <w:sz w:val="24"/>
                <w:szCs w:val="24"/>
                <w:lang w:val="en-US" w:eastAsia="zh-CN"/>
              </w:rPr>
            </w:pPr>
          </w:p>
        </w:tc>
        <w:tc>
          <w:tcPr>
            <w:tcW w:w="639" w:type="dxa"/>
            <w:vMerge w:val="continue"/>
          </w:tcPr>
          <w:p w14:paraId="0D3F4566">
            <w:pPr>
              <w:spacing w:line="240" w:lineRule="auto"/>
              <w:ind w:firstLine="0" w:firstLineChars="0"/>
              <w:jc w:val="center"/>
              <w:rPr>
                <w:rFonts w:hint="eastAsia" w:ascii="宋体" w:hAnsi="宋体" w:eastAsia="宋体" w:cs="宋体"/>
                <w:color w:val="auto"/>
                <w:kern w:val="2"/>
                <w:sz w:val="24"/>
                <w:szCs w:val="24"/>
                <w:lang w:eastAsia="zh-CN"/>
              </w:rPr>
            </w:pPr>
          </w:p>
        </w:tc>
      </w:tr>
      <w:tr w14:paraId="29821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641" w:type="dxa"/>
            <w:vMerge w:val="continue"/>
          </w:tcPr>
          <w:p w14:paraId="325A8193">
            <w:pPr>
              <w:spacing w:line="240" w:lineRule="auto"/>
              <w:ind w:firstLine="0" w:firstLineChars="0"/>
              <w:jc w:val="center"/>
              <w:rPr>
                <w:rFonts w:hint="eastAsia" w:ascii="宋体" w:hAnsi="宋体" w:eastAsia="宋体" w:cs="宋体"/>
                <w:color w:val="auto"/>
                <w:kern w:val="2"/>
                <w:sz w:val="24"/>
                <w:szCs w:val="24"/>
              </w:rPr>
            </w:pPr>
          </w:p>
        </w:tc>
        <w:tc>
          <w:tcPr>
            <w:tcW w:w="1418" w:type="dxa"/>
            <w:vMerge w:val="continue"/>
          </w:tcPr>
          <w:p w14:paraId="37B9D939">
            <w:pPr>
              <w:spacing w:line="240" w:lineRule="auto"/>
              <w:ind w:firstLine="0" w:firstLineChars="0"/>
              <w:jc w:val="center"/>
              <w:rPr>
                <w:rFonts w:hint="eastAsia" w:ascii="宋体" w:hAnsi="宋体" w:eastAsia="宋体" w:cs="宋体"/>
                <w:color w:val="auto"/>
                <w:kern w:val="2"/>
                <w:sz w:val="24"/>
                <w:szCs w:val="24"/>
                <w:lang w:val="en-US" w:eastAsia="zh-CN"/>
              </w:rPr>
            </w:pPr>
          </w:p>
        </w:tc>
        <w:tc>
          <w:tcPr>
            <w:tcW w:w="6847" w:type="dxa"/>
            <w:shd w:val="clear" w:color="auto" w:fill="auto"/>
            <w:vAlign w:val="center"/>
          </w:tcPr>
          <w:p w14:paraId="0B82FBE6">
            <w:pPr>
              <w:keepNext w:val="0"/>
              <w:keepLines w:val="0"/>
              <w:widowControl/>
              <w:suppressLineNumbers w:val="0"/>
              <w:jc w:val="both"/>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长*宽*高(mm)：≥4590*1850*1660；</w:t>
            </w:r>
          </w:p>
        </w:tc>
        <w:tc>
          <w:tcPr>
            <w:tcW w:w="660" w:type="dxa"/>
            <w:vMerge w:val="continue"/>
          </w:tcPr>
          <w:p w14:paraId="4061CA05">
            <w:pPr>
              <w:spacing w:line="240" w:lineRule="auto"/>
              <w:ind w:firstLine="0" w:firstLineChars="0"/>
              <w:jc w:val="center"/>
              <w:rPr>
                <w:rFonts w:hint="eastAsia" w:ascii="宋体" w:hAnsi="宋体" w:eastAsia="宋体" w:cs="宋体"/>
                <w:color w:val="auto"/>
                <w:kern w:val="2"/>
                <w:sz w:val="24"/>
                <w:szCs w:val="24"/>
                <w:lang w:val="en-US" w:eastAsia="zh-CN"/>
              </w:rPr>
            </w:pPr>
          </w:p>
        </w:tc>
        <w:tc>
          <w:tcPr>
            <w:tcW w:w="639" w:type="dxa"/>
            <w:vMerge w:val="continue"/>
          </w:tcPr>
          <w:p w14:paraId="518C043D">
            <w:pPr>
              <w:spacing w:line="240" w:lineRule="auto"/>
              <w:ind w:firstLine="0" w:firstLineChars="0"/>
              <w:jc w:val="center"/>
              <w:rPr>
                <w:rFonts w:hint="eastAsia" w:ascii="宋体" w:hAnsi="宋体" w:eastAsia="宋体" w:cs="宋体"/>
                <w:color w:val="auto"/>
                <w:kern w:val="2"/>
                <w:sz w:val="24"/>
                <w:szCs w:val="24"/>
                <w:lang w:eastAsia="zh-CN"/>
              </w:rPr>
            </w:pPr>
          </w:p>
        </w:tc>
      </w:tr>
      <w:tr w14:paraId="54ED5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641" w:type="dxa"/>
            <w:vMerge w:val="continue"/>
          </w:tcPr>
          <w:p w14:paraId="2DDA2F3E">
            <w:pPr>
              <w:spacing w:line="240" w:lineRule="auto"/>
              <w:ind w:firstLine="0" w:firstLineChars="0"/>
              <w:jc w:val="center"/>
              <w:rPr>
                <w:rFonts w:hint="eastAsia" w:ascii="宋体" w:hAnsi="宋体" w:eastAsia="宋体" w:cs="宋体"/>
                <w:color w:val="auto"/>
                <w:kern w:val="2"/>
                <w:sz w:val="24"/>
                <w:szCs w:val="24"/>
              </w:rPr>
            </w:pPr>
          </w:p>
        </w:tc>
        <w:tc>
          <w:tcPr>
            <w:tcW w:w="1418" w:type="dxa"/>
            <w:vMerge w:val="continue"/>
          </w:tcPr>
          <w:p w14:paraId="7556D08B">
            <w:pPr>
              <w:spacing w:line="240" w:lineRule="auto"/>
              <w:ind w:firstLine="0" w:firstLineChars="0"/>
              <w:jc w:val="center"/>
              <w:rPr>
                <w:rFonts w:hint="eastAsia" w:ascii="宋体" w:hAnsi="宋体" w:eastAsia="宋体" w:cs="宋体"/>
                <w:color w:val="auto"/>
                <w:kern w:val="2"/>
                <w:sz w:val="24"/>
                <w:szCs w:val="24"/>
                <w:lang w:val="en-US" w:eastAsia="zh-CN"/>
              </w:rPr>
            </w:pPr>
          </w:p>
        </w:tc>
        <w:tc>
          <w:tcPr>
            <w:tcW w:w="6847" w:type="dxa"/>
            <w:shd w:val="clear" w:color="auto" w:fill="auto"/>
            <w:vAlign w:val="center"/>
          </w:tcPr>
          <w:p w14:paraId="64C271E9">
            <w:pPr>
              <w:keepNext w:val="0"/>
              <w:keepLines w:val="0"/>
              <w:widowControl/>
              <w:suppressLineNumbers w:val="0"/>
              <w:jc w:val="both"/>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车身结构：5门5座SUV；</w:t>
            </w:r>
          </w:p>
        </w:tc>
        <w:tc>
          <w:tcPr>
            <w:tcW w:w="660" w:type="dxa"/>
            <w:vMerge w:val="continue"/>
          </w:tcPr>
          <w:p w14:paraId="66C27BBF">
            <w:pPr>
              <w:spacing w:line="240" w:lineRule="auto"/>
              <w:ind w:firstLine="0" w:firstLineChars="0"/>
              <w:jc w:val="center"/>
              <w:rPr>
                <w:rFonts w:hint="eastAsia" w:ascii="宋体" w:hAnsi="宋体" w:eastAsia="宋体" w:cs="宋体"/>
                <w:color w:val="auto"/>
                <w:kern w:val="2"/>
                <w:sz w:val="24"/>
                <w:szCs w:val="24"/>
                <w:lang w:val="en-US" w:eastAsia="zh-CN"/>
              </w:rPr>
            </w:pPr>
          </w:p>
        </w:tc>
        <w:tc>
          <w:tcPr>
            <w:tcW w:w="639" w:type="dxa"/>
            <w:vMerge w:val="continue"/>
          </w:tcPr>
          <w:p w14:paraId="6C6C8947">
            <w:pPr>
              <w:spacing w:line="240" w:lineRule="auto"/>
              <w:ind w:firstLine="0" w:firstLineChars="0"/>
              <w:jc w:val="center"/>
              <w:rPr>
                <w:rFonts w:hint="eastAsia" w:ascii="宋体" w:hAnsi="宋体" w:eastAsia="宋体" w:cs="宋体"/>
                <w:color w:val="auto"/>
                <w:kern w:val="2"/>
                <w:sz w:val="24"/>
                <w:szCs w:val="24"/>
                <w:lang w:eastAsia="zh-CN"/>
              </w:rPr>
            </w:pPr>
          </w:p>
        </w:tc>
      </w:tr>
      <w:tr w14:paraId="287EA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641" w:type="dxa"/>
            <w:vMerge w:val="continue"/>
          </w:tcPr>
          <w:p w14:paraId="29738CAE">
            <w:pPr>
              <w:spacing w:line="240" w:lineRule="auto"/>
              <w:ind w:firstLine="0" w:firstLineChars="0"/>
              <w:jc w:val="center"/>
              <w:rPr>
                <w:rFonts w:hint="eastAsia" w:ascii="宋体" w:hAnsi="宋体" w:eastAsia="宋体" w:cs="宋体"/>
                <w:color w:val="auto"/>
                <w:kern w:val="2"/>
                <w:sz w:val="24"/>
                <w:szCs w:val="24"/>
              </w:rPr>
            </w:pPr>
          </w:p>
        </w:tc>
        <w:tc>
          <w:tcPr>
            <w:tcW w:w="1418" w:type="dxa"/>
            <w:vMerge w:val="continue"/>
          </w:tcPr>
          <w:p w14:paraId="43A41F88">
            <w:pPr>
              <w:spacing w:line="240" w:lineRule="auto"/>
              <w:ind w:firstLine="0" w:firstLineChars="0"/>
              <w:jc w:val="center"/>
              <w:rPr>
                <w:rFonts w:hint="eastAsia" w:ascii="宋体" w:hAnsi="宋体" w:eastAsia="宋体" w:cs="宋体"/>
                <w:color w:val="auto"/>
                <w:kern w:val="2"/>
                <w:sz w:val="24"/>
                <w:szCs w:val="24"/>
                <w:lang w:val="en-US" w:eastAsia="zh-CN"/>
              </w:rPr>
            </w:pPr>
          </w:p>
        </w:tc>
        <w:tc>
          <w:tcPr>
            <w:tcW w:w="6847" w:type="dxa"/>
            <w:shd w:val="clear" w:color="auto" w:fill="auto"/>
            <w:vAlign w:val="center"/>
          </w:tcPr>
          <w:p w14:paraId="23FA50CE">
            <w:pPr>
              <w:keepNext w:val="0"/>
              <w:keepLines w:val="0"/>
              <w:widowControl/>
              <w:suppressLineNumbers w:val="0"/>
              <w:jc w:val="both"/>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整车质保：三年或10万公里；</w:t>
            </w:r>
          </w:p>
        </w:tc>
        <w:tc>
          <w:tcPr>
            <w:tcW w:w="660" w:type="dxa"/>
            <w:vMerge w:val="continue"/>
          </w:tcPr>
          <w:p w14:paraId="7A9EA809">
            <w:pPr>
              <w:spacing w:line="240" w:lineRule="auto"/>
              <w:ind w:firstLine="0" w:firstLineChars="0"/>
              <w:jc w:val="center"/>
              <w:rPr>
                <w:rFonts w:hint="eastAsia" w:ascii="宋体" w:hAnsi="宋体" w:eastAsia="宋体" w:cs="宋体"/>
                <w:color w:val="auto"/>
                <w:kern w:val="2"/>
                <w:sz w:val="24"/>
                <w:szCs w:val="24"/>
                <w:lang w:val="en-US" w:eastAsia="zh-CN"/>
              </w:rPr>
            </w:pPr>
          </w:p>
        </w:tc>
        <w:tc>
          <w:tcPr>
            <w:tcW w:w="639" w:type="dxa"/>
            <w:vMerge w:val="continue"/>
          </w:tcPr>
          <w:p w14:paraId="3DEFAFCC">
            <w:pPr>
              <w:spacing w:line="240" w:lineRule="auto"/>
              <w:ind w:firstLine="0" w:firstLineChars="0"/>
              <w:jc w:val="center"/>
              <w:rPr>
                <w:rFonts w:hint="eastAsia" w:ascii="宋体" w:hAnsi="宋体" w:eastAsia="宋体" w:cs="宋体"/>
                <w:color w:val="auto"/>
                <w:kern w:val="2"/>
                <w:sz w:val="24"/>
                <w:szCs w:val="24"/>
                <w:lang w:eastAsia="zh-CN"/>
              </w:rPr>
            </w:pPr>
          </w:p>
        </w:tc>
      </w:tr>
      <w:tr w14:paraId="7CCC3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641" w:type="dxa"/>
            <w:vMerge w:val="continue"/>
          </w:tcPr>
          <w:p w14:paraId="4261B941">
            <w:pPr>
              <w:spacing w:line="240" w:lineRule="auto"/>
              <w:ind w:firstLine="0" w:firstLineChars="0"/>
              <w:jc w:val="center"/>
              <w:rPr>
                <w:rFonts w:hint="eastAsia" w:ascii="宋体" w:hAnsi="宋体" w:eastAsia="宋体" w:cs="宋体"/>
                <w:color w:val="auto"/>
                <w:kern w:val="2"/>
                <w:sz w:val="24"/>
                <w:szCs w:val="24"/>
              </w:rPr>
            </w:pPr>
          </w:p>
        </w:tc>
        <w:tc>
          <w:tcPr>
            <w:tcW w:w="1418" w:type="dxa"/>
            <w:vMerge w:val="continue"/>
          </w:tcPr>
          <w:p w14:paraId="6CD6102D">
            <w:pPr>
              <w:spacing w:line="240" w:lineRule="auto"/>
              <w:ind w:firstLine="0" w:firstLineChars="0"/>
              <w:jc w:val="center"/>
              <w:rPr>
                <w:rFonts w:hint="eastAsia" w:ascii="宋体" w:hAnsi="宋体" w:eastAsia="宋体" w:cs="宋体"/>
                <w:color w:val="auto"/>
                <w:kern w:val="2"/>
                <w:sz w:val="24"/>
                <w:szCs w:val="24"/>
                <w:lang w:val="en-US" w:eastAsia="zh-CN"/>
              </w:rPr>
            </w:pPr>
          </w:p>
        </w:tc>
        <w:tc>
          <w:tcPr>
            <w:tcW w:w="6847" w:type="dxa"/>
            <w:shd w:val="clear" w:color="auto" w:fill="auto"/>
            <w:vAlign w:val="center"/>
          </w:tcPr>
          <w:p w14:paraId="04B4BD0E">
            <w:pPr>
              <w:keepNext w:val="0"/>
              <w:keepLines w:val="0"/>
              <w:widowControl/>
              <w:suppressLineNumbers w:val="0"/>
              <w:jc w:val="both"/>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轴距(mm)：≥2690；</w:t>
            </w:r>
          </w:p>
        </w:tc>
        <w:tc>
          <w:tcPr>
            <w:tcW w:w="660" w:type="dxa"/>
            <w:vMerge w:val="continue"/>
          </w:tcPr>
          <w:p w14:paraId="592E6881">
            <w:pPr>
              <w:spacing w:line="240" w:lineRule="auto"/>
              <w:ind w:firstLine="0" w:firstLineChars="0"/>
              <w:jc w:val="center"/>
              <w:rPr>
                <w:rFonts w:hint="eastAsia" w:ascii="宋体" w:hAnsi="宋体" w:eastAsia="宋体" w:cs="宋体"/>
                <w:color w:val="auto"/>
                <w:kern w:val="2"/>
                <w:sz w:val="24"/>
                <w:szCs w:val="24"/>
                <w:lang w:val="en-US" w:eastAsia="zh-CN"/>
              </w:rPr>
            </w:pPr>
          </w:p>
        </w:tc>
        <w:tc>
          <w:tcPr>
            <w:tcW w:w="639" w:type="dxa"/>
            <w:vMerge w:val="continue"/>
          </w:tcPr>
          <w:p w14:paraId="74FCA37B">
            <w:pPr>
              <w:spacing w:line="240" w:lineRule="auto"/>
              <w:ind w:firstLine="0" w:firstLineChars="0"/>
              <w:jc w:val="center"/>
              <w:rPr>
                <w:rFonts w:hint="eastAsia" w:ascii="宋体" w:hAnsi="宋体" w:eastAsia="宋体" w:cs="宋体"/>
                <w:color w:val="auto"/>
                <w:kern w:val="2"/>
                <w:sz w:val="24"/>
                <w:szCs w:val="24"/>
                <w:lang w:eastAsia="zh-CN"/>
              </w:rPr>
            </w:pPr>
          </w:p>
        </w:tc>
      </w:tr>
      <w:tr w14:paraId="30BDC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641" w:type="dxa"/>
            <w:vMerge w:val="continue"/>
          </w:tcPr>
          <w:p w14:paraId="06AC666C">
            <w:pPr>
              <w:spacing w:line="240" w:lineRule="auto"/>
              <w:ind w:firstLine="0" w:firstLineChars="0"/>
              <w:jc w:val="center"/>
              <w:rPr>
                <w:rFonts w:hint="eastAsia" w:ascii="宋体" w:hAnsi="宋体" w:eastAsia="宋体" w:cs="宋体"/>
                <w:color w:val="auto"/>
                <w:kern w:val="2"/>
                <w:sz w:val="24"/>
                <w:szCs w:val="24"/>
              </w:rPr>
            </w:pPr>
          </w:p>
        </w:tc>
        <w:tc>
          <w:tcPr>
            <w:tcW w:w="1418" w:type="dxa"/>
            <w:vMerge w:val="continue"/>
          </w:tcPr>
          <w:p w14:paraId="59A15013">
            <w:pPr>
              <w:spacing w:line="240" w:lineRule="auto"/>
              <w:ind w:firstLine="0" w:firstLineChars="0"/>
              <w:jc w:val="center"/>
              <w:rPr>
                <w:rFonts w:hint="eastAsia" w:ascii="宋体" w:hAnsi="宋体" w:eastAsia="宋体" w:cs="宋体"/>
                <w:color w:val="auto"/>
                <w:kern w:val="2"/>
                <w:sz w:val="24"/>
                <w:szCs w:val="24"/>
                <w:lang w:val="en-US" w:eastAsia="zh-CN"/>
              </w:rPr>
            </w:pPr>
          </w:p>
        </w:tc>
        <w:tc>
          <w:tcPr>
            <w:tcW w:w="6847" w:type="dxa"/>
            <w:shd w:val="clear" w:color="auto" w:fill="auto"/>
            <w:vAlign w:val="center"/>
          </w:tcPr>
          <w:p w14:paraId="084621A1">
            <w:pPr>
              <w:keepNext w:val="0"/>
              <w:keepLines w:val="0"/>
              <w:widowControl/>
              <w:suppressLineNumbers w:val="0"/>
              <w:jc w:val="both"/>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油箱容积(L）：≥55；</w:t>
            </w:r>
          </w:p>
        </w:tc>
        <w:tc>
          <w:tcPr>
            <w:tcW w:w="660" w:type="dxa"/>
            <w:vMerge w:val="continue"/>
          </w:tcPr>
          <w:p w14:paraId="534B2B63">
            <w:pPr>
              <w:spacing w:line="240" w:lineRule="auto"/>
              <w:ind w:firstLine="0" w:firstLineChars="0"/>
              <w:jc w:val="center"/>
              <w:rPr>
                <w:rFonts w:hint="eastAsia" w:ascii="宋体" w:hAnsi="宋体" w:eastAsia="宋体" w:cs="宋体"/>
                <w:color w:val="auto"/>
                <w:kern w:val="2"/>
                <w:sz w:val="24"/>
                <w:szCs w:val="24"/>
                <w:lang w:val="en-US" w:eastAsia="zh-CN"/>
              </w:rPr>
            </w:pPr>
          </w:p>
        </w:tc>
        <w:tc>
          <w:tcPr>
            <w:tcW w:w="639" w:type="dxa"/>
            <w:vMerge w:val="continue"/>
          </w:tcPr>
          <w:p w14:paraId="36BAE980">
            <w:pPr>
              <w:spacing w:line="240" w:lineRule="auto"/>
              <w:ind w:firstLine="0" w:firstLineChars="0"/>
              <w:jc w:val="center"/>
              <w:rPr>
                <w:rFonts w:hint="eastAsia" w:ascii="宋体" w:hAnsi="宋体" w:eastAsia="宋体" w:cs="宋体"/>
                <w:color w:val="auto"/>
                <w:kern w:val="2"/>
                <w:sz w:val="24"/>
                <w:szCs w:val="24"/>
                <w:lang w:eastAsia="zh-CN"/>
              </w:rPr>
            </w:pPr>
          </w:p>
        </w:tc>
      </w:tr>
      <w:tr w14:paraId="6D52D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641" w:type="dxa"/>
            <w:vMerge w:val="continue"/>
          </w:tcPr>
          <w:p w14:paraId="0D6EB5A2">
            <w:pPr>
              <w:spacing w:line="240" w:lineRule="auto"/>
              <w:ind w:firstLine="0" w:firstLineChars="0"/>
              <w:jc w:val="center"/>
              <w:rPr>
                <w:rFonts w:hint="eastAsia" w:ascii="宋体" w:hAnsi="宋体" w:eastAsia="宋体" w:cs="宋体"/>
                <w:color w:val="auto"/>
                <w:kern w:val="2"/>
                <w:sz w:val="24"/>
                <w:szCs w:val="24"/>
              </w:rPr>
            </w:pPr>
          </w:p>
        </w:tc>
        <w:tc>
          <w:tcPr>
            <w:tcW w:w="1418" w:type="dxa"/>
            <w:vMerge w:val="continue"/>
          </w:tcPr>
          <w:p w14:paraId="51F10984">
            <w:pPr>
              <w:spacing w:line="240" w:lineRule="auto"/>
              <w:ind w:firstLine="0" w:firstLineChars="0"/>
              <w:jc w:val="center"/>
              <w:rPr>
                <w:rFonts w:hint="eastAsia" w:ascii="宋体" w:hAnsi="宋体" w:eastAsia="宋体" w:cs="宋体"/>
                <w:color w:val="auto"/>
                <w:kern w:val="2"/>
                <w:sz w:val="24"/>
                <w:szCs w:val="24"/>
                <w:lang w:val="en-US" w:eastAsia="zh-CN"/>
              </w:rPr>
            </w:pPr>
          </w:p>
        </w:tc>
        <w:tc>
          <w:tcPr>
            <w:tcW w:w="6847" w:type="dxa"/>
            <w:shd w:val="clear" w:color="auto" w:fill="auto"/>
            <w:vAlign w:val="center"/>
          </w:tcPr>
          <w:p w14:paraId="1D134C1F">
            <w:pPr>
              <w:keepNext w:val="0"/>
              <w:keepLines w:val="0"/>
              <w:widowControl/>
              <w:suppressLineNumbers w:val="0"/>
              <w:jc w:val="both"/>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驱动方式：智能四驱；</w:t>
            </w:r>
          </w:p>
        </w:tc>
        <w:tc>
          <w:tcPr>
            <w:tcW w:w="660" w:type="dxa"/>
            <w:vMerge w:val="continue"/>
          </w:tcPr>
          <w:p w14:paraId="2DE28076">
            <w:pPr>
              <w:spacing w:line="240" w:lineRule="auto"/>
              <w:ind w:firstLine="0" w:firstLineChars="0"/>
              <w:jc w:val="center"/>
              <w:rPr>
                <w:rFonts w:hint="eastAsia" w:ascii="宋体" w:hAnsi="宋体" w:eastAsia="宋体" w:cs="宋体"/>
                <w:color w:val="auto"/>
                <w:kern w:val="2"/>
                <w:sz w:val="24"/>
                <w:szCs w:val="24"/>
                <w:lang w:val="en-US" w:eastAsia="zh-CN"/>
              </w:rPr>
            </w:pPr>
          </w:p>
        </w:tc>
        <w:tc>
          <w:tcPr>
            <w:tcW w:w="639" w:type="dxa"/>
            <w:vMerge w:val="continue"/>
          </w:tcPr>
          <w:p w14:paraId="66948D7A">
            <w:pPr>
              <w:spacing w:line="240" w:lineRule="auto"/>
              <w:ind w:firstLine="0" w:firstLineChars="0"/>
              <w:jc w:val="center"/>
              <w:rPr>
                <w:rFonts w:hint="eastAsia" w:ascii="宋体" w:hAnsi="宋体" w:eastAsia="宋体" w:cs="宋体"/>
                <w:color w:val="auto"/>
                <w:kern w:val="2"/>
                <w:sz w:val="24"/>
                <w:szCs w:val="24"/>
                <w:lang w:eastAsia="zh-CN"/>
              </w:rPr>
            </w:pPr>
          </w:p>
        </w:tc>
      </w:tr>
      <w:tr w14:paraId="0546D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641" w:type="dxa"/>
            <w:vMerge w:val="continue"/>
          </w:tcPr>
          <w:p w14:paraId="4AD268C8">
            <w:pPr>
              <w:spacing w:line="240" w:lineRule="auto"/>
              <w:ind w:firstLine="0" w:firstLineChars="0"/>
              <w:jc w:val="center"/>
              <w:rPr>
                <w:rFonts w:hint="eastAsia" w:ascii="宋体" w:hAnsi="宋体" w:eastAsia="宋体" w:cs="宋体"/>
                <w:color w:val="auto"/>
                <w:kern w:val="2"/>
                <w:sz w:val="24"/>
                <w:szCs w:val="24"/>
              </w:rPr>
            </w:pPr>
          </w:p>
        </w:tc>
        <w:tc>
          <w:tcPr>
            <w:tcW w:w="1418" w:type="dxa"/>
            <w:vMerge w:val="continue"/>
          </w:tcPr>
          <w:p w14:paraId="0E8A9278">
            <w:pPr>
              <w:spacing w:line="240" w:lineRule="auto"/>
              <w:ind w:firstLine="0" w:firstLineChars="0"/>
              <w:jc w:val="center"/>
              <w:rPr>
                <w:rFonts w:hint="eastAsia" w:ascii="宋体" w:hAnsi="宋体" w:eastAsia="宋体" w:cs="宋体"/>
                <w:color w:val="auto"/>
                <w:kern w:val="2"/>
                <w:sz w:val="24"/>
                <w:szCs w:val="24"/>
                <w:lang w:val="en-US" w:eastAsia="zh-CN"/>
              </w:rPr>
            </w:pPr>
          </w:p>
        </w:tc>
        <w:tc>
          <w:tcPr>
            <w:tcW w:w="6847" w:type="dxa"/>
            <w:shd w:val="clear" w:color="auto" w:fill="auto"/>
            <w:vAlign w:val="center"/>
          </w:tcPr>
          <w:p w14:paraId="29C36BE9">
            <w:pPr>
              <w:keepNext w:val="0"/>
              <w:keepLines w:val="0"/>
              <w:widowControl/>
              <w:suppressLineNumbers w:val="0"/>
              <w:jc w:val="both"/>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百公里油耗：≥5.8L；</w:t>
            </w:r>
          </w:p>
        </w:tc>
        <w:tc>
          <w:tcPr>
            <w:tcW w:w="660" w:type="dxa"/>
            <w:vMerge w:val="continue"/>
          </w:tcPr>
          <w:p w14:paraId="1DED0153">
            <w:pPr>
              <w:spacing w:line="240" w:lineRule="auto"/>
              <w:ind w:firstLine="0" w:firstLineChars="0"/>
              <w:jc w:val="center"/>
              <w:rPr>
                <w:rFonts w:hint="eastAsia" w:ascii="宋体" w:hAnsi="宋体" w:eastAsia="宋体" w:cs="宋体"/>
                <w:color w:val="auto"/>
                <w:kern w:val="2"/>
                <w:sz w:val="24"/>
                <w:szCs w:val="24"/>
                <w:lang w:val="en-US" w:eastAsia="zh-CN"/>
              </w:rPr>
            </w:pPr>
          </w:p>
        </w:tc>
        <w:tc>
          <w:tcPr>
            <w:tcW w:w="639" w:type="dxa"/>
            <w:vMerge w:val="continue"/>
          </w:tcPr>
          <w:p w14:paraId="09C47196">
            <w:pPr>
              <w:spacing w:line="240" w:lineRule="auto"/>
              <w:ind w:firstLine="0" w:firstLineChars="0"/>
              <w:jc w:val="center"/>
              <w:rPr>
                <w:rFonts w:hint="eastAsia" w:ascii="宋体" w:hAnsi="宋体" w:eastAsia="宋体" w:cs="宋体"/>
                <w:color w:val="auto"/>
                <w:kern w:val="2"/>
                <w:sz w:val="24"/>
                <w:szCs w:val="24"/>
                <w:lang w:eastAsia="zh-CN"/>
              </w:rPr>
            </w:pPr>
          </w:p>
        </w:tc>
      </w:tr>
      <w:tr w14:paraId="25CA2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641" w:type="dxa"/>
            <w:vMerge w:val="continue"/>
          </w:tcPr>
          <w:p w14:paraId="41F1EC82">
            <w:pPr>
              <w:spacing w:line="240" w:lineRule="auto"/>
              <w:ind w:firstLine="0" w:firstLineChars="0"/>
              <w:jc w:val="center"/>
              <w:rPr>
                <w:rFonts w:hint="eastAsia" w:ascii="宋体" w:hAnsi="宋体" w:eastAsia="宋体" w:cs="宋体"/>
                <w:color w:val="auto"/>
                <w:kern w:val="2"/>
                <w:sz w:val="24"/>
                <w:szCs w:val="24"/>
              </w:rPr>
            </w:pPr>
          </w:p>
        </w:tc>
        <w:tc>
          <w:tcPr>
            <w:tcW w:w="1418" w:type="dxa"/>
            <w:vMerge w:val="continue"/>
          </w:tcPr>
          <w:p w14:paraId="3A098E41">
            <w:pPr>
              <w:spacing w:line="240" w:lineRule="auto"/>
              <w:ind w:firstLine="0" w:firstLineChars="0"/>
              <w:jc w:val="center"/>
              <w:rPr>
                <w:rFonts w:hint="eastAsia" w:ascii="宋体" w:hAnsi="宋体" w:eastAsia="宋体" w:cs="宋体"/>
                <w:color w:val="auto"/>
                <w:kern w:val="2"/>
                <w:sz w:val="24"/>
                <w:szCs w:val="24"/>
                <w:lang w:val="en-US" w:eastAsia="zh-CN"/>
              </w:rPr>
            </w:pPr>
          </w:p>
        </w:tc>
        <w:tc>
          <w:tcPr>
            <w:tcW w:w="6847" w:type="dxa"/>
            <w:shd w:val="clear" w:color="auto" w:fill="auto"/>
            <w:vAlign w:val="center"/>
          </w:tcPr>
          <w:p w14:paraId="05FD46BB">
            <w:pPr>
              <w:keepNext w:val="0"/>
              <w:keepLines w:val="0"/>
              <w:widowControl/>
              <w:suppressLineNumbers w:val="0"/>
              <w:jc w:val="both"/>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驱动方式：前驱；</w:t>
            </w:r>
          </w:p>
        </w:tc>
        <w:tc>
          <w:tcPr>
            <w:tcW w:w="660" w:type="dxa"/>
            <w:vMerge w:val="continue"/>
          </w:tcPr>
          <w:p w14:paraId="624F064B">
            <w:pPr>
              <w:spacing w:line="240" w:lineRule="auto"/>
              <w:ind w:firstLine="0" w:firstLineChars="0"/>
              <w:jc w:val="center"/>
              <w:rPr>
                <w:rFonts w:hint="eastAsia" w:ascii="宋体" w:hAnsi="宋体" w:eastAsia="宋体" w:cs="宋体"/>
                <w:color w:val="auto"/>
                <w:kern w:val="2"/>
                <w:sz w:val="24"/>
                <w:szCs w:val="24"/>
                <w:lang w:val="en-US" w:eastAsia="zh-CN"/>
              </w:rPr>
            </w:pPr>
          </w:p>
        </w:tc>
        <w:tc>
          <w:tcPr>
            <w:tcW w:w="639" w:type="dxa"/>
            <w:vMerge w:val="continue"/>
          </w:tcPr>
          <w:p w14:paraId="2407E2CA">
            <w:pPr>
              <w:spacing w:line="240" w:lineRule="auto"/>
              <w:ind w:firstLine="0" w:firstLineChars="0"/>
              <w:jc w:val="center"/>
              <w:rPr>
                <w:rFonts w:hint="eastAsia" w:ascii="宋体" w:hAnsi="宋体" w:eastAsia="宋体" w:cs="宋体"/>
                <w:color w:val="auto"/>
                <w:kern w:val="2"/>
                <w:sz w:val="24"/>
                <w:szCs w:val="24"/>
                <w:lang w:eastAsia="zh-CN"/>
              </w:rPr>
            </w:pPr>
          </w:p>
        </w:tc>
      </w:tr>
      <w:tr w14:paraId="22BAE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641" w:type="dxa"/>
            <w:vMerge w:val="continue"/>
          </w:tcPr>
          <w:p w14:paraId="22CC8755">
            <w:pPr>
              <w:spacing w:line="240" w:lineRule="auto"/>
              <w:ind w:firstLine="0" w:firstLineChars="0"/>
              <w:jc w:val="center"/>
              <w:rPr>
                <w:rFonts w:hint="eastAsia" w:ascii="宋体" w:hAnsi="宋体" w:eastAsia="宋体" w:cs="宋体"/>
                <w:color w:val="auto"/>
                <w:kern w:val="2"/>
                <w:sz w:val="24"/>
                <w:szCs w:val="24"/>
              </w:rPr>
            </w:pPr>
          </w:p>
        </w:tc>
        <w:tc>
          <w:tcPr>
            <w:tcW w:w="1418" w:type="dxa"/>
            <w:vMerge w:val="continue"/>
          </w:tcPr>
          <w:p w14:paraId="488CDFA0">
            <w:pPr>
              <w:spacing w:line="240" w:lineRule="auto"/>
              <w:ind w:firstLine="0" w:firstLineChars="0"/>
              <w:jc w:val="center"/>
              <w:rPr>
                <w:rFonts w:hint="eastAsia" w:ascii="宋体" w:hAnsi="宋体" w:eastAsia="宋体" w:cs="宋体"/>
                <w:color w:val="auto"/>
                <w:kern w:val="2"/>
                <w:sz w:val="24"/>
                <w:szCs w:val="24"/>
                <w:lang w:val="en-US" w:eastAsia="zh-CN"/>
              </w:rPr>
            </w:pPr>
          </w:p>
        </w:tc>
        <w:tc>
          <w:tcPr>
            <w:tcW w:w="6847" w:type="dxa"/>
            <w:shd w:val="clear" w:color="auto" w:fill="auto"/>
            <w:vAlign w:val="center"/>
          </w:tcPr>
          <w:p w14:paraId="5856EB53">
            <w:pPr>
              <w:keepNext w:val="0"/>
              <w:keepLines w:val="0"/>
              <w:widowControl/>
              <w:suppressLineNumbers w:val="0"/>
              <w:jc w:val="both"/>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最大输出功率：≥126Kw/rpm；</w:t>
            </w:r>
          </w:p>
        </w:tc>
        <w:tc>
          <w:tcPr>
            <w:tcW w:w="660" w:type="dxa"/>
            <w:vMerge w:val="continue"/>
          </w:tcPr>
          <w:p w14:paraId="48B6A4C9">
            <w:pPr>
              <w:spacing w:line="240" w:lineRule="auto"/>
              <w:ind w:firstLine="0" w:firstLineChars="0"/>
              <w:jc w:val="center"/>
              <w:rPr>
                <w:rFonts w:hint="eastAsia" w:ascii="宋体" w:hAnsi="宋体" w:eastAsia="宋体" w:cs="宋体"/>
                <w:color w:val="auto"/>
                <w:kern w:val="2"/>
                <w:sz w:val="24"/>
                <w:szCs w:val="24"/>
                <w:lang w:val="en-US" w:eastAsia="zh-CN"/>
              </w:rPr>
            </w:pPr>
          </w:p>
        </w:tc>
        <w:tc>
          <w:tcPr>
            <w:tcW w:w="639" w:type="dxa"/>
            <w:vMerge w:val="continue"/>
          </w:tcPr>
          <w:p w14:paraId="6E36ED1E">
            <w:pPr>
              <w:spacing w:line="240" w:lineRule="auto"/>
              <w:ind w:firstLine="0" w:firstLineChars="0"/>
              <w:jc w:val="center"/>
              <w:rPr>
                <w:rFonts w:hint="eastAsia" w:ascii="宋体" w:hAnsi="宋体" w:eastAsia="宋体" w:cs="宋体"/>
                <w:color w:val="auto"/>
                <w:kern w:val="2"/>
                <w:sz w:val="24"/>
                <w:szCs w:val="24"/>
                <w:lang w:eastAsia="zh-CN"/>
              </w:rPr>
            </w:pPr>
          </w:p>
        </w:tc>
      </w:tr>
      <w:tr w14:paraId="58DF0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641" w:type="dxa"/>
            <w:vMerge w:val="continue"/>
          </w:tcPr>
          <w:p w14:paraId="7E147C9F">
            <w:pPr>
              <w:spacing w:line="240" w:lineRule="auto"/>
              <w:ind w:firstLine="0" w:firstLineChars="0"/>
              <w:jc w:val="center"/>
              <w:rPr>
                <w:rFonts w:hint="eastAsia" w:ascii="宋体" w:hAnsi="宋体" w:eastAsia="宋体" w:cs="宋体"/>
                <w:color w:val="auto"/>
                <w:kern w:val="2"/>
                <w:sz w:val="24"/>
                <w:szCs w:val="24"/>
              </w:rPr>
            </w:pPr>
          </w:p>
        </w:tc>
        <w:tc>
          <w:tcPr>
            <w:tcW w:w="1418" w:type="dxa"/>
            <w:vMerge w:val="continue"/>
          </w:tcPr>
          <w:p w14:paraId="44156DE7">
            <w:pPr>
              <w:spacing w:line="240" w:lineRule="auto"/>
              <w:ind w:firstLine="0" w:firstLineChars="0"/>
              <w:jc w:val="center"/>
              <w:rPr>
                <w:rFonts w:hint="eastAsia" w:ascii="宋体" w:hAnsi="宋体" w:eastAsia="宋体" w:cs="宋体"/>
                <w:color w:val="auto"/>
                <w:kern w:val="2"/>
                <w:sz w:val="24"/>
                <w:szCs w:val="24"/>
                <w:lang w:val="en-US" w:eastAsia="zh-CN"/>
              </w:rPr>
            </w:pPr>
          </w:p>
        </w:tc>
        <w:tc>
          <w:tcPr>
            <w:tcW w:w="6847" w:type="dxa"/>
            <w:shd w:val="clear" w:color="auto" w:fill="auto"/>
            <w:vAlign w:val="center"/>
          </w:tcPr>
          <w:p w14:paraId="78F740B3">
            <w:pPr>
              <w:keepNext w:val="0"/>
              <w:keepLines w:val="0"/>
              <w:widowControl/>
              <w:suppressLineNumbers w:val="0"/>
              <w:jc w:val="both"/>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扭矩：≥209Nm/rpm；</w:t>
            </w:r>
          </w:p>
        </w:tc>
        <w:tc>
          <w:tcPr>
            <w:tcW w:w="660" w:type="dxa"/>
            <w:vMerge w:val="continue"/>
          </w:tcPr>
          <w:p w14:paraId="0B5DD21C">
            <w:pPr>
              <w:spacing w:line="240" w:lineRule="auto"/>
              <w:ind w:firstLine="0" w:firstLineChars="0"/>
              <w:jc w:val="center"/>
              <w:rPr>
                <w:rFonts w:hint="eastAsia" w:ascii="宋体" w:hAnsi="宋体" w:eastAsia="宋体" w:cs="宋体"/>
                <w:color w:val="auto"/>
                <w:kern w:val="2"/>
                <w:sz w:val="24"/>
                <w:szCs w:val="24"/>
                <w:lang w:val="en-US" w:eastAsia="zh-CN"/>
              </w:rPr>
            </w:pPr>
          </w:p>
        </w:tc>
        <w:tc>
          <w:tcPr>
            <w:tcW w:w="639" w:type="dxa"/>
            <w:vMerge w:val="continue"/>
          </w:tcPr>
          <w:p w14:paraId="0FCC9001">
            <w:pPr>
              <w:spacing w:line="240" w:lineRule="auto"/>
              <w:ind w:firstLine="0" w:firstLineChars="0"/>
              <w:jc w:val="center"/>
              <w:rPr>
                <w:rFonts w:hint="eastAsia" w:ascii="宋体" w:hAnsi="宋体" w:eastAsia="宋体" w:cs="宋体"/>
                <w:color w:val="auto"/>
                <w:kern w:val="2"/>
                <w:sz w:val="24"/>
                <w:szCs w:val="24"/>
                <w:lang w:eastAsia="zh-CN"/>
              </w:rPr>
            </w:pPr>
          </w:p>
        </w:tc>
      </w:tr>
      <w:tr w14:paraId="1F01E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641" w:type="dxa"/>
            <w:vMerge w:val="continue"/>
          </w:tcPr>
          <w:p w14:paraId="51B1DE7B">
            <w:pPr>
              <w:spacing w:line="240" w:lineRule="auto"/>
              <w:ind w:firstLine="0" w:firstLineChars="0"/>
              <w:jc w:val="center"/>
              <w:rPr>
                <w:rFonts w:hint="eastAsia" w:ascii="宋体" w:hAnsi="宋体" w:eastAsia="宋体" w:cs="宋体"/>
                <w:color w:val="auto"/>
                <w:kern w:val="2"/>
                <w:sz w:val="24"/>
                <w:szCs w:val="24"/>
              </w:rPr>
            </w:pPr>
          </w:p>
        </w:tc>
        <w:tc>
          <w:tcPr>
            <w:tcW w:w="1418" w:type="dxa"/>
            <w:vMerge w:val="continue"/>
          </w:tcPr>
          <w:p w14:paraId="3ED70D49">
            <w:pPr>
              <w:spacing w:line="240" w:lineRule="auto"/>
              <w:ind w:firstLine="0" w:firstLineChars="0"/>
              <w:jc w:val="center"/>
              <w:rPr>
                <w:rFonts w:hint="eastAsia" w:ascii="宋体" w:hAnsi="宋体" w:eastAsia="宋体" w:cs="宋体"/>
                <w:color w:val="auto"/>
                <w:kern w:val="2"/>
                <w:sz w:val="24"/>
                <w:szCs w:val="24"/>
                <w:lang w:val="en-US" w:eastAsia="zh-CN"/>
              </w:rPr>
            </w:pPr>
          </w:p>
        </w:tc>
        <w:tc>
          <w:tcPr>
            <w:tcW w:w="6847" w:type="dxa"/>
            <w:shd w:val="clear" w:color="auto" w:fill="auto"/>
            <w:vAlign w:val="center"/>
          </w:tcPr>
          <w:p w14:paraId="5E451D72">
            <w:pPr>
              <w:keepNext w:val="0"/>
              <w:keepLines w:val="0"/>
              <w:widowControl/>
              <w:suppressLineNumbers w:val="0"/>
              <w:jc w:val="both"/>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主/被动安全装备：7个安全气囊；</w:t>
            </w:r>
          </w:p>
        </w:tc>
        <w:tc>
          <w:tcPr>
            <w:tcW w:w="660" w:type="dxa"/>
            <w:vMerge w:val="continue"/>
          </w:tcPr>
          <w:p w14:paraId="2B3CA9C1">
            <w:pPr>
              <w:spacing w:line="240" w:lineRule="auto"/>
              <w:ind w:firstLine="0" w:firstLineChars="0"/>
              <w:jc w:val="center"/>
              <w:rPr>
                <w:rFonts w:hint="eastAsia" w:ascii="宋体" w:hAnsi="宋体" w:eastAsia="宋体" w:cs="宋体"/>
                <w:color w:val="auto"/>
                <w:kern w:val="2"/>
                <w:sz w:val="24"/>
                <w:szCs w:val="24"/>
                <w:lang w:val="en-US" w:eastAsia="zh-CN"/>
              </w:rPr>
            </w:pPr>
          </w:p>
        </w:tc>
        <w:tc>
          <w:tcPr>
            <w:tcW w:w="639" w:type="dxa"/>
            <w:vMerge w:val="continue"/>
          </w:tcPr>
          <w:p w14:paraId="734DA571">
            <w:pPr>
              <w:spacing w:line="240" w:lineRule="auto"/>
              <w:ind w:firstLine="0" w:firstLineChars="0"/>
              <w:jc w:val="center"/>
              <w:rPr>
                <w:rFonts w:hint="eastAsia" w:ascii="宋体" w:hAnsi="宋体" w:eastAsia="宋体" w:cs="宋体"/>
                <w:color w:val="auto"/>
                <w:kern w:val="2"/>
                <w:sz w:val="24"/>
                <w:szCs w:val="24"/>
                <w:lang w:eastAsia="zh-CN"/>
              </w:rPr>
            </w:pPr>
          </w:p>
        </w:tc>
      </w:tr>
      <w:tr w14:paraId="49BEE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641" w:type="dxa"/>
            <w:vMerge w:val="continue"/>
          </w:tcPr>
          <w:p w14:paraId="0336081C">
            <w:pPr>
              <w:spacing w:line="240" w:lineRule="auto"/>
              <w:ind w:firstLine="0" w:firstLineChars="0"/>
              <w:jc w:val="center"/>
              <w:rPr>
                <w:rFonts w:hint="eastAsia" w:ascii="宋体" w:hAnsi="宋体" w:eastAsia="宋体" w:cs="宋体"/>
                <w:color w:val="auto"/>
                <w:kern w:val="2"/>
                <w:sz w:val="24"/>
                <w:szCs w:val="24"/>
              </w:rPr>
            </w:pPr>
          </w:p>
        </w:tc>
        <w:tc>
          <w:tcPr>
            <w:tcW w:w="1418" w:type="dxa"/>
            <w:vMerge w:val="continue"/>
          </w:tcPr>
          <w:p w14:paraId="59FA7A1F">
            <w:pPr>
              <w:spacing w:line="240" w:lineRule="auto"/>
              <w:ind w:firstLine="0" w:firstLineChars="0"/>
              <w:jc w:val="center"/>
              <w:rPr>
                <w:rFonts w:hint="eastAsia" w:ascii="宋体" w:hAnsi="宋体" w:eastAsia="宋体" w:cs="宋体"/>
                <w:color w:val="auto"/>
                <w:kern w:val="2"/>
                <w:sz w:val="24"/>
                <w:szCs w:val="24"/>
                <w:lang w:val="en-US" w:eastAsia="zh-CN"/>
              </w:rPr>
            </w:pPr>
          </w:p>
        </w:tc>
        <w:tc>
          <w:tcPr>
            <w:tcW w:w="6847" w:type="dxa"/>
            <w:shd w:val="clear" w:color="auto" w:fill="auto"/>
            <w:vAlign w:val="center"/>
          </w:tcPr>
          <w:p w14:paraId="6E144E51">
            <w:pPr>
              <w:keepNext w:val="0"/>
              <w:keepLines w:val="0"/>
              <w:widowControl/>
              <w:suppressLineNumbers w:val="0"/>
              <w:jc w:val="both"/>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LED前大灯；</w:t>
            </w:r>
          </w:p>
        </w:tc>
        <w:tc>
          <w:tcPr>
            <w:tcW w:w="660" w:type="dxa"/>
            <w:vMerge w:val="continue"/>
          </w:tcPr>
          <w:p w14:paraId="168ED722">
            <w:pPr>
              <w:spacing w:line="240" w:lineRule="auto"/>
              <w:ind w:firstLine="0" w:firstLineChars="0"/>
              <w:jc w:val="center"/>
              <w:rPr>
                <w:rFonts w:hint="eastAsia" w:ascii="宋体" w:hAnsi="宋体" w:eastAsia="宋体" w:cs="宋体"/>
                <w:color w:val="auto"/>
                <w:kern w:val="2"/>
                <w:sz w:val="24"/>
                <w:szCs w:val="24"/>
                <w:lang w:val="en-US" w:eastAsia="zh-CN"/>
              </w:rPr>
            </w:pPr>
          </w:p>
        </w:tc>
        <w:tc>
          <w:tcPr>
            <w:tcW w:w="639" w:type="dxa"/>
            <w:vMerge w:val="continue"/>
          </w:tcPr>
          <w:p w14:paraId="246D7942">
            <w:pPr>
              <w:spacing w:line="240" w:lineRule="auto"/>
              <w:ind w:firstLine="0" w:firstLineChars="0"/>
              <w:jc w:val="center"/>
              <w:rPr>
                <w:rFonts w:hint="eastAsia" w:ascii="宋体" w:hAnsi="宋体" w:eastAsia="宋体" w:cs="宋体"/>
                <w:color w:val="auto"/>
                <w:kern w:val="2"/>
                <w:sz w:val="24"/>
                <w:szCs w:val="24"/>
                <w:lang w:eastAsia="zh-CN"/>
              </w:rPr>
            </w:pPr>
          </w:p>
        </w:tc>
      </w:tr>
      <w:tr w14:paraId="54B6B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641" w:type="dxa"/>
            <w:vMerge w:val="continue"/>
          </w:tcPr>
          <w:p w14:paraId="6DEDC369">
            <w:pPr>
              <w:spacing w:line="240" w:lineRule="auto"/>
              <w:ind w:firstLine="0" w:firstLineChars="0"/>
              <w:jc w:val="center"/>
              <w:rPr>
                <w:rFonts w:hint="eastAsia" w:ascii="宋体" w:hAnsi="宋体" w:eastAsia="宋体" w:cs="宋体"/>
                <w:color w:val="auto"/>
                <w:kern w:val="2"/>
                <w:sz w:val="24"/>
                <w:szCs w:val="24"/>
              </w:rPr>
            </w:pPr>
          </w:p>
        </w:tc>
        <w:tc>
          <w:tcPr>
            <w:tcW w:w="1418" w:type="dxa"/>
            <w:vMerge w:val="continue"/>
          </w:tcPr>
          <w:p w14:paraId="1AA9342F">
            <w:pPr>
              <w:spacing w:line="240" w:lineRule="auto"/>
              <w:ind w:firstLine="0" w:firstLineChars="0"/>
              <w:jc w:val="center"/>
              <w:rPr>
                <w:rFonts w:hint="eastAsia" w:ascii="宋体" w:hAnsi="宋体" w:eastAsia="宋体" w:cs="宋体"/>
                <w:color w:val="auto"/>
                <w:kern w:val="2"/>
                <w:sz w:val="24"/>
                <w:szCs w:val="24"/>
                <w:lang w:val="en-US" w:eastAsia="zh-CN"/>
              </w:rPr>
            </w:pPr>
          </w:p>
        </w:tc>
        <w:tc>
          <w:tcPr>
            <w:tcW w:w="6847" w:type="dxa"/>
            <w:shd w:val="clear" w:color="auto" w:fill="auto"/>
            <w:vAlign w:val="center"/>
          </w:tcPr>
          <w:p w14:paraId="67A67636">
            <w:pPr>
              <w:keepNext w:val="0"/>
              <w:keepLines w:val="0"/>
              <w:widowControl/>
              <w:suppressLineNumbers w:val="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真皮座椅；</w:t>
            </w:r>
          </w:p>
        </w:tc>
        <w:tc>
          <w:tcPr>
            <w:tcW w:w="660" w:type="dxa"/>
            <w:vMerge w:val="continue"/>
          </w:tcPr>
          <w:p w14:paraId="4BA8C105">
            <w:pPr>
              <w:spacing w:line="240" w:lineRule="auto"/>
              <w:ind w:firstLine="0" w:firstLineChars="0"/>
              <w:jc w:val="center"/>
              <w:rPr>
                <w:rFonts w:hint="eastAsia" w:ascii="宋体" w:hAnsi="宋体" w:eastAsia="宋体" w:cs="宋体"/>
                <w:color w:val="auto"/>
                <w:kern w:val="2"/>
                <w:sz w:val="24"/>
                <w:szCs w:val="24"/>
                <w:lang w:val="en-US" w:eastAsia="zh-CN"/>
              </w:rPr>
            </w:pPr>
          </w:p>
        </w:tc>
        <w:tc>
          <w:tcPr>
            <w:tcW w:w="639" w:type="dxa"/>
            <w:vMerge w:val="continue"/>
          </w:tcPr>
          <w:p w14:paraId="536B26D3">
            <w:pPr>
              <w:spacing w:line="240" w:lineRule="auto"/>
              <w:ind w:firstLine="0" w:firstLineChars="0"/>
              <w:jc w:val="center"/>
              <w:rPr>
                <w:rFonts w:hint="eastAsia" w:ascii="宋体" w:hAnsi="宋体" w:eastAsia="宋体" w:cs="宋体"/>
                <w:color w:val="auto"/>
                <w:kern w:val="2"/>
                <w:sz w:val="24"/>
                <w:szCs w:val="24"/>
                <w:lang w:eastAsia="zh-CN"/>
              </w:rPr>
            </w:pPr>
          </w:p>
        </w:tc>
      </w:tr>
      <w:tr w14:paraId="7173B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641" w:type="dxa"/>
            <w:vMerge w:val="continue"/>
          </w:tcPr>
          <w:p w14:paraId="001F5BDE">
            <w:pPr>
              <w:spacing w:line="240" w:lineRule="auto"/>
              <w:ind w:firstLine="0" w:firstLineChars="0"/>
              <w:jc w:val="center"/>
              <w:rPr>
                <w:rFonts w:hint="eastAsia" w:ascii="宋体" w:hAnsi="宋体" w:eastAsia="宋体" w:cs="宋体"/>
                <w:color w:val="auto"/>
                <w:kern w:val="2"/>
                <w:sz w:val="24"/>
                <w:szCs w:val="24"/>
              </w:rPr>
            </w:pPr>
          </w:p>
        </w:tc>
        <w:tc>
          <w:tcPr>
            <w:tcW w:w="1418" w:type="dxa"/>
            <w:vMerge w:val="continue"/>
          </w:tcPr>
          <w:p w14:paraId="161F9AFD">
            <w:pPr>
              <w:spacing w:line="240" w:lineRule="auto"/>
              <w:ind w:firstLine="0" w:firstLineChars="0"/>
              <w:jc w:val="center"/>
              <w:rPr>
                <w:rFonts w:hint="eastAsia" w:ascii="宋体" w:hAnsi="宋体" w:eastAsia="宋体" w:cs="宋体"/>
                <w:color w:val="auto"/>
                <w:kern w:val="2"/>
                <w:sz w:val="24"/>
                <w:szCs w:val="24"/>
                <w:lang w:val="en-US" w:eastAsia="zh-CN"/>
              </w:rPr>
            </w:pPr>
          </w:p>
        </w:tc>
        <w:tc>
          <w:tcPr>
            <w:tcW w:w="6847" w:type="dxa"/>
            <w:shd w:val="clear" w:color="auto" w:fill="auto"/>
            <w:vAlign w:val="center"/>
          </w:tcPr>
          <w:p w14:paraId="7AA11EAE">
            <w:pPr>
              <w:keepNext w:val="0"/>
              <w:keepLines w:val="0"/>
              <w:widowControl/>
              <w:suppressLineNumbers w:val="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360度全景影像；</w:t>
            </w:r>
          </w:p>
        </w:tc>
        <w:tc>
          <w:tcPr>
            <w:tcW w:w="660" w:type="dxa"/>
            <w:vMerge w:val="continue"/>
          </w:tcPr>
          <w:p w14:paraId="6D453B8D">
            <w:pPr>
              <w:spacing w:line="240" w:lineRule="auto"/>
              <w:ind w:firstLine="0" w:firstLineChars="0"/>
              <w:jc w:val="center"/>
              <w:rPr>
                <w:rFonts w:hint="eastAsia" w:ascii="宋体" w:hAnsi="宋体" w:eastAsia="宋体" w:cs="宋体"/>
                <w:color w:val="auto"/>
                <w:kern w:val="2"/>
                <w:sz w:val="24"/>
                <w:szCs w:val="24"/>
                <w:lang w:val="en-US" w:eastAsia="zh-CN"/>
              </w:rPr>
            </w:pPr>
          </w:p>
        </w:tc>
        <w:tc>
          <w:tcPr>
            <w:tcW w:w="639" w:type="dxa"/>
            <w:vMerge w:val="continue"/>
          </w:tcPr>
          <w:p w14:paraId="4BCC9B92">
            <w:pPr>
              <w:spacing w:line="240" w:lineRule="auto"/>
              <w:ind w:firstLine="0" w:firstLineChars="0"/>
              <w:jc w:val="center"/>
              <w:rPr>
                <w:rFonts w:hint="eastAsia" w:ascii="宋体" w:hAnsi="宋体" w:eastAsia="宋体" w:cs="宋体"/>
                <w:color w:val="auto"/>
                <w:kern w:val="2"/>
                <w:sz w:val="24"/>
                <w:szCs w:val="24"/>
                <w:lang w:eastAsia="zh-CN"/>
              </w:rPr>
            </w:pPr>
          </w:p>
        </w:tc>
      </w:tr>
      <w:tr w14:paraId="3E088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641" w:type="dxa"/>
            <w:vMerge w:val="continue"/>
          </w:tcPr>
          <w:p w14:paraId="762D3F92">
            <w:pPr>
              <w:spacing w:line="240" w:lineRule="auto"/>
              <w:ind w:firstLine="0" w:firstLineChars="0"/>
              <w:jc w:val="center"/>
              <w:rPr>
                <w:rFonts w:hint="eastAsia" w:ascii="宋体" w:hAnsi="宋体" w:eastAsia="宋体" w:cs="宋体"/>
                <w:color w:val="auto"/>
                <w:kern w:val="2"/>
                <w:sz w:val="24"/>
                <w:szCs w:val="24"/>
              </w:rPr>
            </w:pPr>
          </w:p>
        </w:tc>
        <w:tc>
          <w:tcPr>
            <w:tcW w:w="1418" w:type="dxa"/>
            <w:vMerge w:val="continue"/>
          </w:tcPr>
          <w:p w14:paraId="58A85EED">
            <w:pPr>
              <w:spacing w:line="240" w:lineRule="auto"/>
              <w:ind w:firstLine="0" w:firstLineChars="0"/>
              <w:jc w:val="center"/>
              <w:rPr>
                <w:rFonts w:hint="eastAsia" w:ascii="宋体" w:hAnsi="宋体" w:eastAsia="宋体" w:cs="宋体"/>
                <w:color w:val="auto"/>
                <w:kern w:val="2"/>
                <w:sz w:val="24"/>
                <w:szCs w:val="24"/>
                <w:lang w:val="en-US" w:eastAsia="zh-CN"/>
              </w:rPr>
            </w:pPr>
          </w:p>
        </w:tc>
        <w:tc>
          <w:tcPr>
            <w:tcW w:w="6847" w:type="dxa"/>
            <w:shd w:val="clear" w:color="auto" w:fill="auto"/>
            <w:vAlign w:val="center"/>
          </w:tcPr>
          <w:p w14:paraId="73560D83">
            <w:pPr>
              <w:keepNext w:val="0"/>
              <w:keepLines w:val="0"/>
              <w:widowControl/>
              <w:suppressLineNumbers w:val="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S-FLOW智能气流控制功能；</w:t>
            </w:r>
          </w:p>
        </w:tc>
        <w:tc>
          <w:tcPr>
            <w:tcW w:w="660" w:type="dxa"/>
            <w:vMerge w:val="continue"/>
          </w:tcPr>
          <w:p w14:paraId="1C7490CA">
            <w:pPr>
              <w:spacing w:line="240" w:lineRule="auto"/>
              <w:ind w:firstLine="0" w:firstLineChars="0"/>
              <w:jc w:val="center"/>
              <w:rPr>
                <w:rFonts w:hint="eastAsia" w:ascii="宋体" w:hAnsi="宋体" w:eastAsia="宋体" w:cs="宋体"/>
                <w:color w:val="auto"/>
                <w:kern w:val="2"/>
                <w:sz w:val="24"/>
                <w:szCs w:val="24"/>
                <w:lang w:val="en-US" w:eastAsia="zh-CN"/>
              </w:rPr>
            </w:pPr>
          </w:p>
        </w:tc>
        <w:tc>
          <w:tcPr>
            <w:tcW w:w="639" w:type="dxa"/>
            <w:vMerge w:val="continue"/>
          </w:tcPr>
          <w:p w14:paraId="22D1995A">
            <w:pPr>
              <w:spacing w:line="240" w:lineRule="auto"/>
              <w:ind w:firstLine="0" w:firstLineChars="0"/>
              <w:jc w:val="center"/>
              <w:rPr>
                <w:rFonts w:hint="eastAsia" w:ascii="宋体" w:hAnsi="宋体" w:eastAsia="宋体" w:cs="宋体"/>
                <w:color w:val="auto"/>
                <w:kern w:val="2"/>
                <w:sz w:val="24"/>
                <w:szCs w:val="24"/>
                <w:lang w:eastAsia="zh-CN"/>
              </w:rPr>
            </w:pPr>
          </w:p>
        </w:tc>
      </w:tr>
      <w:tr w14:paraId="5DE38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641" w:type="dxa"/>
            <w:vMerge w:val="continue"/>
          </w:tcPr>
          <w:p w14:paraId="640478E4">
            <w:pPr>
              <w:spacing w:line="240" w:lineRule="auto"/>
              <w:ind w:firstLine="0" w:firstLineChars="0"/>
              <w:jc w:val="center"/>
              <w:rPr>
                <w:rFonts w:hint="eastAsia" w:ascii="宋体" w:hAnsi="宋体" w:eastAsia="宋体" w:cs="宋体"/>
                <w:color w:val="auto"/>
                <w:kern w:val="2"/>
                <w:sz w:val="24"/>
                <w:szCs w:val="24"/>
              </w:rPr>
            </w:pPr>
          </w:p>
        </w:tc>
        <w:tc>
          <w:tcPr>
            <w:tcW w:w="1418" w:type="dxa"/>
            <w:vMerge w:val="continue"/>
          </w:tcPr>
          <w:p w14:paraId="6189B187">
            <w:pPr>
              <w:spacing w:line="240" w:lineRule="auto"/>
              <w:ind w:firstLine="0" w:firstLineChars="0"/>
              <w:jc w:val="center"/>
              <w:rPr>
                <w:rFonts w:hint="eastAsia" w:ascii="宋体" w:hAnsi="宋体" w:eastAsia="宋体" w:cs="宋体"/>
                <w:color w:val="auto"/>
                <w:kern w:val="2"/>
                <w:sz w:val="24"/>
                <w:szCs w:val="24"/>
                <w:lang w:val="en-US" w:eastAsia="zh-CN"/>
              </w:rPr>
            </w:pPr>
          </w:p>
        </w:tc>
        <w:tc>
          <w:tcPr>
            <w:tcW w:w="6847" w:type="dxa"/>
            <w:shd w:val="clear" w:color="auto" w:fill="auto"/>
            <w:vAlign w:val="center"/>
          </w:tcPr>
          <w:p w14:paraId="2A6D89E5">
            <w:pPr>
              <w:keepNext w:val="0"/>
              <w:keepLines w:val="0"/>
              <w:widowControl/>
              <w:suppressLineNumbers w:val="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PCS预碰撞安全系统；</w:t>
            </w:r>
          </w:p>
        </w:tc>
        <w:tc>
          <w:tcPr>
            <w:tcW w:w="660" w:type="dxa"/>
            <w:vMerge w:val="continue"/>
          </w:tcPr>
          <w:p w14:paraId="5CB92CA3">
            <w:pPr>
              <w:spacing w:line="240" w:lineRule="auto"/>
              <w:ind w:firstLine="0" w:firstLineChars="0"/>
              <w:jc w:val="center"/>
              <w:rPr>
                <w:rFonts w:hint="eastAsia" w:ascii="宋体" w:hAnsi="宋体" w:eastAsia="宋体" w:cs="宋体"/>
                <w:color w:val="auto"/>
                <w:kern w:val="2"/>
                <w:sz w:val="24"/>
                <w:szCs w:val="24"/>
                <w:lang w:val="en-US" w:eastAsia="zh-CN"/>
              </w:rPr>
            </w:pPr>
          </w:p>
        </w:tc>
        <w:tc>
          <w:tcPr>
            <w:tcW w:w="639" w:type="dxa"/>
            <w:vMerge w:val="continue"/>
          </w:tcPr>
          <w:p w14:paraId="4719B72C">
            <w:pPr>
              <w:spacing w:line="240" w:lineRule="auto"/>
              <w:ind w:firstLine="0" w:firstLineChars="0"/>
              <w:jc w:val="center"/>
              <w:rPr>
                <w:rFonts w:hint="eastAsia" w:ascii="宋体" w:hAnsi="宋体" w:eastAsia="宋体" w:cs="宋体"/>
                <w:color w:val="auto"/>
                <w:kern w:val="2"/>
                <w:sz w:val="24"/>
                <w:szCs w:val="24"/>
                <w:lang w:eastAsia="zh-CN"/>
              </w:rPr>
            </w:pPr>
          </w:p>
        </w:tc>
      </w:tr>
      <w:tr w14:paraId="746B4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641" w:type="dxa"/>
            <w:vMerge w:val="continue"/>
          </w:tcPr>
          <w:p w14:paraId="1EE96599">
            <w:pPr>
              <w:spacing w:line="240" w:lineRule="auto"/>
              <w:ind w:firstLine="0" w:firstLineChars="0"/>
              <w:jc w:val="center"/>
              <w:rPr>
                <w:rFonts w:hint="eastAsia" w:ascii="宋体" w:hAnsi="宋体" w:eastAsia="宋体" w:cs="宋体"/>
                <w:color w:val="auto"/>
                <w:kern w:val="2"/>
                <w:sz w:val="24"/>
                <w:szCs w:val="24"/>
              </w:rPr>
            </w:pPr>
          </w:p>
        </w:tc>
        <w:tc>
          <w:tcPr>
            <w:tcW w:w="1418" w:type="dxa"/>
            <w:vMerge w:val="continue"/>
          </w:tcPr>
          <w:p w14:paraId="47870CBF">
            <w:pPr>
              <w:spacing w:line="240" w:lineRule="auto"/>
              <w:ind w:firstLine="0" w:firstLineChars="0"/>
              <w:jc w:val="center"/>
              <w:rPr>
                <w:rFonts w:hint="eastAsia" w:ascii="宋体" w:hAnsi="宋体" w:eastAsia="宋体" w:cs="宋体"/>
                <w:color w:val="auto"/>
                <w:kern w:val="2"/>
                <w:sz w:val="24"/>
                <w:szCs w:val="24"/>
                <w:lang w:val="en-US" w:eastAsia="zh-CN"/>
              </w:rPr>
            </w:pPr>
          </w:p>
        </w:tc>
        <w:tc>
          <w:tcPr>
            <w:tcW w:w="6847" w:type="dxa"/>
            <w:shd w:val="clear" w:color="auto" w:fill="auto"/>
            <w:vAlign w:val="center"/>
          </w:tcPr>
          <w:p w14:paraId="7ACD5413">
            <w:pPr>
              <w:keepNext w:val="0"/>
              <w:keepLines w:val="0"/>
              <w:widowControl/>
              <w:suppressLineNumbers w:val="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DRCC动态雷达巡航控制系统；</w:t>
            </w:r>
          </w:p>
        </w:tc>
        <w:tc>
          <w:tcPr>
            <w:tcW w:w="660" w:type="dxa"/>
            <w:vMerge w:val="continue"/>
          </w:tcPr>
          <w:p w14:paraId="21BA5B5D">
            <w:pPr>
              <w:spacing w:line="240" w:lineRule="auto"/>
              <w:ind w:firstLine="0" w:firstLineChars="0"/>
              <w:jc w:val="center"/>
              <w:rPr>
                <w:rFonts w:hint="eastAsia" w:ascii="宋体" w:hAnsi="宋体" w:eastAsia="宋体" w:cs="宋体"/>
                <w:color w:val="auto"/>
                <w:kern w:val="2"/>
                <w:sz w:val="24"/>
                <w:szCs w:val="24"/>
                <w:lang w:val="en-US" w:eastAsia="zh-CN"/>
              </w:rPr>
            </w:pPr>
          </w:p>
        </w:tc>
        <w:tc>
          <w:tcPr>
            <w:tcW w:w="639" w:type="dxa"/>
            <w:vMerge w:val="continue"/>
          </w:tcPr>
          <w:p w14:paraId="708C741B">
            <w:pPr>
              <w:spacing w:line="240" w:lineRule="auto"/>
              <w:ind w:firstLine="0" w:firstLineChars="0"/>
              <w:jc w:val="center"/>
              <w:rPr>
                <w:rFonts w:hint="eastAsia" w:ascii="宋体" w:hAnsi="宋体" w:eastAsia="宋体" w:cs="宋体"/>
                <w:color w:val="auto"/>
                <w:kern w:val="2"/>
                <w:sz w:val="24"/>
                <w:szCs w:val="24"/>
                <w:lang w:eastAsia="zh-CN"/>
              </w:rPr>
            </w:pPr>
          </w:p>
        </w:tc>
      </w:tr>
      <w:tr w14:paraId="5FA36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641" w:type="dxa"/>
            <w:vMerge w:val="continue"/>
          </w:tcPr>
          <w:p w14:paraId="13EAEF69">
            <w:pPr>
              <w:spacing w:line="240" w:lineRule="auto"/>
              <w:ind w:firstLine="0" w:firstLineChars="0"/>
              <w:jc w:val="center"/>
              <w:rPr>
                <w:rFonts w:hint="eastAsia" w:ascii="宋体" w:hAnsi="宋体" w:eastAsia="宋体" w:cs="宋体"/>
                <w:color w:val="auto"/>
                <w:kern w:val="2"/>
                <w:sz w:val="24"/>
                <w:szCs w:val="24"/>
              </w:rPr>
            </w:pPr>
          </w:p>
        </w:tc>
        <w:tc>
          <w:tcPr>
            <w:tcW w:w="1418" w:type="dxa"/>
            <w:vMerge w:val="continue"/>
          </w:tcPr>
          <w:p w14:paraId="2D5D507A">
            <w:pPr>
              <w:spacing w:line="240" w:lineRule="auto"/>
              <w:ind w:firstLine="0" w:firstLineChars="0"/>
              <w:jc w:val="center"/>
              <w:rPr>
                <w:rFonts w:hint="eastAsia" w:ascii="宋体" w:hAnsi="宋体" w:eastAsia="宋体" w:cs="宋体"/>
                <w:color w:val="auto"/>
                <w:kern w:val="2"/>
                <w:sz w:val="24"/>
                <w:szCs w:val="24"/>
                <w:lang w:val="en-US" w:eastAsia="zh-CN"/>
              </w:rPr>
            </w:pPr>
          </w:p>
        </w:tc>
        <w:tc>
          <w:tcPr>
            <w:tcW w:w="6847" w:type="dxa"/>
            <w:shd w:val="clear" w:color="auto" w:fill="auto"/>
            <w:vAlign w:val="center"/>
          </w:tcPr>
          <w:p w14:paraId="013B5A7B">
            <w:pPr>
              <w:keepNext w:val="0"/>
              <w:keepLines w:val="0"/>
              <w:widowControl/>
              <w:suppressLineNumbers w:val="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LTA车道循迹辅助系统；</w:t>
            </w:r>
          </w:p>
        </w:tc>
        <w:tc>
          <w:tcPr>
            <w:tcW w:w="660" w:type="dxa"/>
            <w:vMerge w:val="continue"/>
          </w:tcPr>
          <w:p w14:paraId="05F4F3C7">
            <w:pPr>
              <w:spacing w:line="240" w:lineRule="auto"/>
              <w:ind w:firstLine="0" w:firstLineChars="0"/>
              <w:jc w:val="center"/>
              <w:rPr>
                <w:rFonts w:hint="eastAsia" w:ascii="宋体" w:hAnsi="宋体" w:eastAsia="宋体" w:cs="宋体"/>
                <w:color w:val="auto"/>
                <w:kern w:val="2"/>
                <w:sz w:val="24"/>
                <w:szCs w:val="24"/>
                <w:lang w:val="en-US" w:eastAsia="zh-CN"/>
              </w:rPr>
            </w:pPr>
          </w:p>
        </w:tc>
        <w:tc>
          <w:tcPr>
            <w:tcW w:w="639" w:type="dxa"/>
            <w:vMerge w:val="continue"/>
          </w:tcPr>
          <w:p w14:paraId="71AAAAD9">
            <w:pPr>
              <w:spacing w:line="240" w:lineRule="auto"/>
              <w:ind w:firstLine="0" w:firstLineChars="0"/>
              <w:jc w:val="center"/>
              <w:rPr>
                <w:rFonts w:hint="eastAsia" w:ascii="宋体" w:hAnsi="宋体" w:eastAsia="宋体" w:cs="宋体"/>
                <w:color w:val="auto"/>
                <w:kern w:val="2"/>
                <w:sz w:val="24"/>
                <w:szCs w:val="24"/>
                <w:lang w:eastAsia="zh-CN"/>
              </w:rPr>
            </w:pPr>
          </w:p>
        </w:tc>
      </w:tr>
      <w:tr w14:paraId="6B144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641" w:type="dxa"/>
            <w:vMerge w:val="continue"/>
          </w:tcPr>
          <w:p w14:paraId="20760B2D">
            <w:pPr>
              <w:spacing w:line="240" w:lineRule="auto"/>
              <w:ind w:firstLine="0" w:firstLineChars="0"/>
              <w:jc w:val="center"/>
              <w:rPr>
                <w:rFonts w:hint="eastAsia" w:ascii="宋体" w:hAnsi="宋体" w:eastAsia="宋体" w:cs="宋体"/>
                <w:color w:val="auto"/>
                <w:kern w:val="2"/>
                <w:sz w:val="24"/>
                <w:szCs w:val="24"/>
              </w:rPr>
            </w:pPr>
          </w:p>
        </w:tc>
        <w:tc>
          <w:tcPr>
            <w:tcW w:w="1418" w:type="dxa"/>
            <w:vMerge w:val="continue"/>
          </w:tcPr>
          <w:p w14:paraId="6BBAE57A">
            <w:pPr>
              <w:spacing w:line="240" w:lineRule="auto"/>
              <w:ind w:firstLine="0" w:firstLineChars="0"/>
              <w:jc w:val="center"/>
              <w:rPr>
                <w:rFonts w:hint="eastAsia" w:ascii="宋体" w:hAnsi="宋体" w:eastAsia="宋体" w:cs="宋体"/>
                <w:color w:val="auto"/>
                <w:kern w:val="2"/>
                <w:sz w:val="24"/>
                <w:szCs w:val="24"/>
                <w:lang w:val="en-US" w:eastAsia="zh-CN"/>
              </w:rPr>
            </w:pPr>
          </w:p>
        </w:tc>
        <w:tc>
          <w:tcPr>
            <w:tcW w:w="6847" w:type="dxa"/>
            <w:shd w:val="clear" w:color="auto" w:fill="auto"/>
            <w:vAlign w:val="center"/>
          </w:tcPr>
          <w:p w14:paraId="1CDA99DE">
            <w:pPr>
              <w:keepNext w:val="0"/>
              <w:keepLines w:val="0"/>
              <w:widowControl/>
              <w:suppressLineNumbers w:val="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AHB自动调节远光系统；</w:t>
            </w:r>
          </w:p>
        </w:tc>
        <w:tc>
          <w:tcPr>
            <w:tcW w:w="660" w:type="dxa"/>
            <w:vMerge w:val="continue"/>
          </w:tcPr>
          <w:p w14:paraId="06BDE703">
            <w:pPr>
              <w:spacing w:line="240" w:lineRule="auto"/>
              <w:ind w:firstLine="0" w:firstLineChars="0"/>
              <w:jc w:val="center"/>
              <w:rPr>
                <w:rFonts w:hint="eastAsia" w:ascii="宋体" w:hAnsi="宋体" w:eastAsia="宋体" w:cs="宋体"/>
                <w:color w:val="auto"/>
                <w:kern w:val="2"/>
                <w:sz w:val="24"/>
                <w:szCs w:val="24"/>
                <w:lang w:val="en-US" w:eastAsia="zh-CN"/>
              </w:rPr>
            </w:pPr>
          </w:p>
        </w:tc>
        <w:tc>
          <w:tcPr>
            <w:tcW w:w="639" w:type="dxa"/>
            <w:vMerge w:val="continue"/>
          </w:tcPr>
          <w:p w14:paraId="417E5FBE">
            <w:pPr>
              <w:spacing w:line="240" w:lineRule="auto"/>
              <w:ind w:firstLine="0" w:firstLineChars="0"/>
              <w:jc w:val="center"/>
              <w:rPr>
                <w:rFonts w:hint="eastAsia" w:ascii="宋体" w:hAnsi="宋体" w:eastAsia="宋体" w:cs="宋体"/>
                <w:color w:val="auto"/>
                <w:kern w:val="2"/>
                <w:sz w:val="24"/>
                <w:szCs w:val="24"/>
                <w:lang w:eastAsia="zh-CN"/>
              </w:rPr>
            </w:pPr>
          </w:p>
        </w:tc>
      </w:tr>
      <w:tr w14:paraId="67772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641" w:type="dxa"/>
            <w:vMerge w:val="restart"/>
            <w:vAlign w:val="center"/>
          </w:tcPr>
          <w:p w14:paraId="47C07780">
            <w:pPr>
              <w:spacing w:line="240" w:lineRule="auto"/>
              <w:ind w:firstLine="0" w:firstLineChars="0"/>
              <w:jc w:val="center"/>
              <w:rPr>
                <w:rFonts w:hint="eastAsia" w:ascii="宋体" w:hAnsi="宋体" w:eastAsia="宋体" w:cs="宋体"/>
                <w:b w:val="0"/>
                <w:bCs w:val="0"/>
                <w:color w:val="auto"/>
                <w:kern w:val="2"/>
                <w:sz w:val="24"/>
                <w:szCs w:val="24"/>
                <w:lang w:val="en-US" w:eastAsia="zh-CN"/>
              </w:rPr>
            </w:pPr>
            <w:r>
              <w:rPr>
                <w:rFonts w:hint="eastAsia" w:ascii="宋体" w:hAnsi="宋体" w:eastAsia="宋体" w:cs="宋体"/>
                <w:b w:val="0"/>
                <w:bCs w:val="0"/>
                <w:color w:val="auto"/>
                <w:kern w:val="2"/>
                <w:sz w:val="24"/>
                <w:szCs w:val="24"/>
                <w:lang w:val="en-US" w:eastAsia="zh-CN"/>
              </w:rPr>
              <w:t>2</w:t>
            </w:r>
          </w:p>
        </w:tc>
        <w:tc>
          <w:tcPr>
            <w:tcW w:w="1418" w:type="dxa"/>
            <w:vMerge w:val="restart"/>
            <w:vAlign w:val="center"/>
          </w:tcPr>
          <w:p w14:paraId="310F66CC">
            <w:pPr>
              <w:spacing w:line="240" w:lineRule="auto"/>
              <w:ind w:firstLine="0" w:firstLineChars="0"/>
              <w:jc w:val="center"/>
              <w:rPr>
                <w:rFonts w:hint="eastAsia" w:ascii="宋体" w:hAnsi="宋体" w:eastAsia="宋体" w:cs="宋体"/>
                <w:b w:val="0"/>
                <w:bCs w:val="0"/>
                <w:color w:val="auto"/>
                <w:kern w:val="2"/>
                <w:sz w:val="24"/>
                <w:szCs w:val="24"/>
                <w:lang w:val="en-US" w:eastAsia="zh-CN"/>
              </w:rPr>
            </w:pPr>
            <w:r>
              <w:rPr>
                <w:rFonts w:hint="eastAsia" w:ascii="宋体" w:hAnsi="宋体" w:eastAsia="宋体" w:cs="宋体"/>
                <w:b w:val="0"/>
                <w:bCs w:val="0"/>
                <w:i w:val="0"/>
                <w:iCs w:val="0"/>
                <w:color w:val="auto"/>
                <w:kern w:val="0"/>
                <w:sz w:val="24"/>
                <w:szCs w:val="24"/>
                <w:u w:val="none"/>
                <w:lang w:val="en-US" w:eastAsia="zh-CN" w:bidi="ar"/>
              </w:rPr>
              <w:t>四驱越野车</w:t>
            </w:r>
          </w:p>
        </w:tc>
        <w:tc>
          <w:tcPr>
            <w:tcW w:w="6847" w:type="dxa"/>
            <w:shd w:val="clear" w:color="auto" w:fill="auto"/>
            <w:vAlign w:val="center"/>
          </w:tcPr>
          <w:p w14:paraId="304CBC32">
            <w:pPr>
              <w:keepNext w:val="0"/>
              <w:keepLines w:val="0"/>
              <w:widowControl/>
              <w:suppressLineNumbers w:val="0"/>
              <w:jc w:val="both"/>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发动机2.0T；</w:t>
            </w:r>
          </w:p>
        </w:tc>
        <w:tc>
          <w:tcPr>
            <w:tcW w:w="660" w:type="dxa"/>
            <w:vMerge w:val="restart"/>
            <w:shd w:val="clear" w:color="auto" w:fill="auto"/>
            <w:vAlign w:val="center"/>
          </w:tcPr>
          <w:p w14:paraId="587800DB">
            <w:pPr>
              <w:spacing w:line="240" w:lineRule="auto"/>
              <w:ind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rPr>
              <w:t>1</w:t>
            </w:r>
          </w:p>
        </w:tc>
        <w:tc>
          <w:tcPr>
            <w:tcW w:w="639" w:type="dxa"/>
            <w:vMerge w:val="restart"/>
            <w:shd w:val="clear" w:color="auto" w:fill="auto"/>
            <w:vAlign w:val="center"/>
          </w:tcPr>
          <w:p w14:paraId="5A6E7096">
            <w:pPr>
              <w:spacing w:line="240" w:lineRule="auto"/>
              <w:ind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rPr>
              <w:t>辆</w:t>
            </w:r>
          </w:p>
        </w:tc>
      </w:tr>
      <w:tr w14:paraId="01269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641" w:type="dxa"/>
            <w:vMerge w:val="continue"/>
          </w:tcPr>
          <w:p w14:paraId="265F6CDD">
            <w:pPr>
              <w:spacing w:line="240" w:lineRule="auto"/>
              <w:ind w:firstLine="0" w:firstLineChars="0"/>
              <w:jc w:val="center"/>
              <w:rPr>
                <w:rFonts w:hint="eastAsia" w:ascii="宋体" w:hAnsi="宋体" w:eastAsia="宋体" w:cs="宋体"/>
                <w:color w:val="auto"/>
                <w:kern w:val="2"/>
                <w:sz w:val="24"/>
                <w:szCs w:val="24"/>
              </w:rPr>
            </w:pPr>
          </w:p>
        </w:tc>
        <w:tc>
          <w:tcPr>
            <w:tcW w:w="1418" w:type="dxa"/>
            <w:vMerge w:val="continue"/>
          </w:tcPr>
          <w:p w14:paraId="03B82D8F">
            <w:pPr>
              <w:spacing w:line="240" w:lineRule="auto"/>
              <w:ind w:firstLine="0" w:firstLineChars="0"/>
              <w:jc w:val="center"/>
              <w:rPr>
                <w:rFonts w:hint="eastAsia" w:ascii="宋体" w:hAnsi="宋体" w:eastAsia="宋体" w:cs="宋体"/>
                <w:color w:val="auto"/>
                <w:kern w:val="2"/>
                <w:sz w:val="24"/>
                <w:szCs w:val="24"/>
                <w:lang w:val="en-US" w:eastAsia="zh-CN"/>
              </w:rPr>
            </w:pPr>
          </w:p>
        </w:tc>
        <w:tc>
          <w:tcPr>
            <w:tcW w:w="6847" w:type="dxa"/>
            <w:shd w:val="clear" w:color="auto" w:fill="auto"/>
            <w:vAlign w:val="center"/>
          </w:tcPr>
          <w:p w14:paraId="08692552">
            <w:pPr>
              <w:keepNext w:val="0"/>
              <w:keepLines w:val="0"/>
              <w:widowControl/>
              <w:suppressLineNumbers w:val="0"/>
              <w:jc w:val="both"/>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变速箱：8挡自动；</w:t>
            </w:r>
          </w:p>
        </w:tc>
        <w:tc>
          <w:tcPr>
            <w:tcW w:w="660" w:type="dxa"/>
            <w:vMerge w:val="continue"/>
          </w:tcPr>
          <w:p w14:paraId="15E5EFEB">
            <w:pPr>
              <w:spacing w:line="240" w:lineRule="auto"/>
              <w:ind w:firstLine="0" w:firstLineChars="0"/>
              <w:jc w:val="center"/>
              <w:rPr>
                <w:rFonts w:hint="eastAsia" w:ascii="宋体" w:hAnsi="宋体" w:eastAsia="宋体" w:cs="宋体"/>
                <w:color w:val="auto"/>
                <w:kern w:val="2"/>
                <w:sz w:val="24"/>
                <w:szCs w:val="24"/>
                <w:lang w:val="en-US" w:eastAsia="zh-CN"/>
              </w:rPr>
            </w:pPr>
          </w:p>
        </w:tc>
        <w:tc>
          <w:tcPr>
            <w:tcW w:w="639" w:type="dxa"/>
            <w:vMerge w:val="continue"/>
          </w:tcPr>
          <w:p w14:paraId="01AB345D">
            <w:pPr>
              <w:spacing w:line="240" w:lineRule="auto"/>
              <w:ind w:firstLine="0" w:firstLineChars="0"/>
              <w:jc w:val="center"/>
              <w:rPr>
                <w:rFonts w:hint="eastAsia" w:ascii="宋体" w:hAnsi="宋体" w:eastAsia="宋体" w:cs="宋体"/>
                <w:color w:val="auto"/>
                <w:kern w:val="2"/>
                <w:sz w:val="24"/>
                <w:szCs w:val="24"/>
                <w:lang w:eastAsia="zh-CN"/>
              </w:rPr>
            </w:pPr>
          </w:p>
        </w:tc>
      </w:tr>
      <w:tr w14:paraId="78F8F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641" w:type="dxa"/>
            <w:vMerge w:val="continue"/>
          </w:tcPr>
          <w:p w14:paraId="7CF492A5">
            <w:pPr>
              <w:spacing w:line="240" w:lineRule="auto"/>
              <w:ind w:firstLine="0" w:firstLineChars="0"/>
              <w:jc w:val="center"/>
              <w:rPr>
                <w:rFonts w:hint="eastAsia" w:ascii="宋体" w:hAnsi="宋体" w:eastAsia="宋体" w:cs="宋体"/>
                <w:color w:val="auto"/>
                <w:kern w:val="2"/>
                <w:sz w:val="24"/>
                <w:szCs w:val="24"/>
              </w:rPr>
            </w:pPr>
          </w:p>
        </w:tc>
        <w:tc>
          <w:tcPr>
            <w:tcW w:w="1418" w:type="dxa"/>
            <w:vMerge w:val="continue"/>
          </w:tcPr>
          <w:p w14:paraId="3ECDCE94">
            <w:pPr>
              <w:spacing w:line="240" w:lineRule="auto"/>
              <w:ind w:firstLine="0" w:firstLineChars="0"/>
              <w:jc w:val="center"/>
              <w:rPr>
                <w:rFonts w:hint="eastAsia" w:ascii="宋体" w:hAnsi="宋体" w:eastAsia="宋体" w:cs="宋体"/>
                <w:color w:val="auto"/>
                <w:kern w:val="2"/>
                <w:sz w:val="24"/>
                <w:szCs w:val="24"/>
                <w:lang w:val="en-US" w:eastAsia="zh-CN"/>
              </w:rPr>
            </w:pPr>
          </w:p>
        </w:tc>
        <w:tc>
          <w:tcPr>
            <w:tcW w:w="6847" w:type="dxa"/>
            <w:shd w:val="clear" w:color="auto" w:fill="auto"/>
            <w:vAlign w:val="center"/>
          </w:tcPr>
          <w:p w14:paraId="04017569">
            <w:pPr>
              <w:keepNext w:val="0"/>
              <w:keepLines w:val="0"/>
              <w:widowControl/>
              <w:suppressLineNumbers w:val="0"/>
              <w:jc w:val="both"/>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环保标准：国VI；</w:t>
            </w:r>
          </w:p>
        </w:tc>
        <w:tc>
          <w:tcPr>
            <w:tcW w:w="660" w:type="dxa"/>
            <w:vMerge w:val="continue"/>
          </w:tcPr>
          <w:p w14:paraId="2CEAD912">
            <w:pPr>
              <w:spacing w:line="240" w:lineRule="auto"/>
              <w:ind w:firstLine="0" w:firstLineChars="0"/>
              <w:jc w:val="center"/>
              <w:rPr>
                <w:rFonts w:hint="eastAsia" w:ascii="宋体" w:hAnsi="宋体" w:eastAsia="宋体" w:cs="宋体"/>
                <w:color w:val="auto"/>
                <w:kern w:val="2"/>
                <w:sz w:val="24"/>
                <w:szCs w:val="24"/>
                <w:lang w:val="en-US" w:eastAsia="zh-CN"/>
              </w:rPr>
            </w:pPr>
          </w:p>
        </w:tc>
        <w:tc>
          <w:tcPr>
            <w:tcW w:w="639" w:type="dxa"/>
            <w:vMerge w:val="continue"/>
          </w:tcPr>
          <w:p w14:paraId="0BA7306D">
            <w:pPr>
              <w:spacing w:line="240" w:lineRule="auto"/>
              <w:ind w:firstLine="0" w:firstLineChars="0"/>
              <w:jc w:val="center"/>
              <w:rPr>
                <w:rFonts w:hint="eastAsia" w:ascii="宋体" w:hAnsi="宋体" w:eastAsia="宋体" w:cs="宋体"/>
                <w:color w:val="auto"/>
                <w:kern w:val="2"/>
                <w:sz w:val="24"/>
                <w:szCs w:val="24"/>
                <w:lang w:eastAsia="zh-CN"/>
              </w:rPr>
            </w:pPr>
          </w:p>
        </w:tc>
      </w:tr>
      <w:tr w14:paraId="4A1F8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641" w:type="dxa"/>
            <w:vMerge w:val="continue"/>
          </w:tcPr>
          <w:p w14:paraId="5FB7C9B0">
            <w:pPr>
              <w:spacing w:line="240" w:lineRule="auto"/>
              <w:ind w:firstLine="0" w:firstLineChars="0"/>
              <w:jc w:val="center"/>
              <w:rPr>
                <w:rFonts w:hint="eastAsia" w:ascii="宋体" w:hAnsi="宋体" w:eastAsia="宋体" w:cs="宋体"/>
                <w:color w:val="auto"/>
                <w:kern w:val="2"/>
                <w:sz w:val="24"/>
                <w:szCs w:val="24"/>
              </w:rPr>
            </w:pPr>
          </w:p>
        </w:tc>
        <w:tc>
          <w:tcPr>
            <w:tcW w:w="1418" w:type="dxa"/>
            <w:vMerge w:val="continue"/>
          </w:tcPr>
          <w:p w14:paraId="5FF731E0">
            <w:pPr>
              <w:spacing w:line="240" w:lineRule="auto"/>
              <w:ind w:firstLine="0" w:firstLineChars="0"/>
              <w:jc w:val="center"/>
              <w:rPr>
                <w:rFonts w:hint="eastAsia" w:ascii="宋体" w:hAnsi="宋体" w:eastAsia="宋体" w:cs="宋体"/>
                <w:color w:val="auto"/>
                <w:kern w:val="2"/>
                <w:sz w:val="24"/>
                <w:szCs w:val="24"/>
                <w:lang w:val="en-US" w:eastAsia="zh-CN"/>
              </w:rPr>
            </w:pPr>
          </w:p>
        </w:tc>
        <w:tc>
          <w:tcPr>
            <w:tcW w:w="6847" w:type="dxa"/>
            <w:shd w:val="clear" w:color="auto" w:fill="auto"/>
            <w:vAlign w:val="center"/>
          </w:tcPr>
          <w:p w14:paraId="5695F654">
            <w:pPr>
              <w:keepNext w:val="0"/>
              <w:keepLines w:val="0"/>
              <w:widowControl/>
              <w:suppressLineNumbers w:val="0"/>
              <w:jc w:val="both"/>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燃料种类：汽油；</w:t>
            </w:r>
          </w:p>
        </w:tc>
        <w:tc>
          <w:tcPr>
            <w:tcW w:w="660" w:type="dxa"/>
            <w:vMerge w:val="continue"/>
          </w:tcPr>
          <w:p w14:paraId="5C4B51CD">
            <w:pPr>
              <w:spacing w:line="240" w:lineRule="auto"/>
              <w:ind w:firstLine="0" w:firstLineChars="0"/>
              <w:jc w:val="center"/>
              <w:rPr>
                <w:rFonts w:hint="eastAsia" w:ascii="宋体" w:hAnsi="宋体" w:eastAsia="宋体" w:cs="宋体"/>
                <w:color w:val="auto"/>
                <w:kern w:val="2"/>
                <w:sz w:val="24"/>
                <w:szCs w:val="24"/>
                <w:lang w:val="en-US" w:eastAsia="zh-CN"/>
              </w:rPr>
            </w:pPr>
          </w:p>
        </w:tc>
        <w:tc>
          <w:tcPr>
            <w:tcW w:w="639" w:type="dxa"/>
            <w:vMerge w:val="continue"/>
          </w:tcPr>
          <w:p w14:paraId="1430B7D6">
            <w:pPr>
              <w:spacing w:line="240" w:lineRule="auto"/>
              <w:ind w:firstLine="0" w:firstLineChars="0"/>
              <w:jc w:val="center"/>
              <w:rPr>
                <w:rFonts w:hint="eastAsia" w:ascii="宋体" w:hAnsi="宋体" w:eastAsia="宋体" w:cs="宋体"/>
                <w:color w:val="auto"/>
                <w:kern w:val="2"/>
                <w:sz w:val="24"/>
                <w:szCs w:val="24"/>
                <w:lang w:eastAsia="zh-CN"/>
              </w:rPr>
            </w:pPr>
          </w:p>
        </w:tc>
      </w:tr>
      <w:tr w14:paraId="6F7E9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641" w:type="dxa"/>
            <w:vMerge w:val="continue"/>
          </w:tcPr>
          <w:p w14:paraId="0BED778B">
            <w:pPr>
              <w:spacing w:line="240" w:lineRule="auto"/>
              <w:ind w:firstLine="0" w:firstLineChars="0"/>
              <w:jc w:val="center"/>
              <w:rPr>
                <w:rFonts w:hint="eastAsia" w:ascii="宋体" w:hAnsi="宋体" w:eastAsia="宋体" w:cs="宋体"/>
                <w:color w:val="auto"/>
                <w:kern w:val="2"/>
                <w:sz w:val="24"/>
                <w:szCs w:val="24"/>
              </w:rPr>
            </w:pPr>
          </w:p>
        </w:tc>
        <w:tc>
          <w:tcPr>
            <w:tcW w:w="1418" w:type="dxa"/>
            <w:vMerge w:val="continue"/>
          </w:tcPr>
          <w:p w14:paraId="32FD6A85">
            <w:pPr>
              <w:spacing w:line="240" w:lineRule="auto"/>
              <w:ind w:firstLine="0" w:firstLineChars="0"/>
              <w:jc w:val="center"/>
              <w:rPr>
                <w:rFonts w:hint="eastAsia" w:ascii="宋体" w:hAnsi="宋体" w:eastAsia="宋体" w:cs="宋体"/>
                <w:color w:val="auto"/>
                <w:kern w:val="2"/>
                <w:sz w:val="24"/>
                <w:szCs w:val="24"/>
                <w:lang w:val="en-US" w:eastAsia="zh-CN"/>
              </w:rPr>
            </w:pPr>
          </w:p>
        </w:tc>
        <w:tc>
          <w:tcPr>
            <w:tcW w:w="6847" w:type="dxa"/>
            <w:shd w:val="clear" w:color="auto" w:fill="auto"/>
            <w:vAlign w:val="center"/>
          </w:tcPr>
          <w:p w14:paraId="0A3ED0C5">
            <w:pPr>
              <w:keepNext w:val="0"/>
              <w:keepLines w:val="0"/>
              <w:widowControl/>
              <w:suppressLineNumbers w:val="0"/>
              <w:jc w:val="both"/>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车身结构：非承载式5门5座；</w:t>
            </w:r>
          </w:p>
        </w:tc>
        <w:tc>
          <w:tcPr>
            <w:tcW w:w="660" w:type="dxa"/>
            <w:vMerge w:val="continue"/>
          </w:tcPr>
          <w:p w14:paraId="628F9561">
            <w:pPr>
              <w:spacing w:line="240" w:lineRule="auto"/>
              <w:ind w:firstLine="0" w:firstLineChars="0"/>
              <w:jc w:val="center"/>
              <w:rPr>
                <w:rFonts w:hint="eastAsia" w:ascii="宋体" w:hAnsi="宋体" w:eastAsia="宋体" w:cs="宋体"/>
                <w:color w:val="auto"/>
                <w:kern w:val="2"/>
                <w:sz w:val="24"/>
                <w:szCs w:val="24"/>
                <w:lang w:val="en-US" w:eastAsia="zh-CN"/>
              </w:rPr>
            </w:pPr>
          </w:p>
        </w:tc>
        <w:tc>
          <w:tcPr>
            <w:tcW w:w="639" w:type="dxa"/>
            <w:vMerge w:val="continue"/>
          </w:tcPr>
          <w:p w14:paraId="427B1BFB">
            <w:pPr>
              <w:spacing w:line="240" w:lineRule="auto"/>
              <w:ind w:firstLine="0" w:firstLineChars="0"/>
              <w:jc w:val="center"/>
              <w:rPr>
                <w:rFonts w:hint="eastAsia" w:ascii="宋体" w:hAnsi="宋体" w:eastAsia="宋体" w:cs="宋体"/>
                <w:color w:val="auto"/>
                <w:kern w:val="2"/>
                <w:sz w:val="24"/>
                <w:szCs w:val="24"/>
                <w:lang w:eastAsia="zh-CN"/>
              </w:rPr>
            </w:pPr>
          </w:p>
        </w:tc>
      </w:tr>
      <w:tr w14:paraId="208B0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641" w:type="dxa"/>
            <w:vMerge w:val="continue"/>
          </w:tcPr>
          <w:p w14:paraId="4F57E810">
            <w:pPr>
              <w:spacing w:line="240" w:lineRule="auto"/>
              <w:ind w:firstLine="0" w:firstLineChars="0"/>
              <w:jc w:val="center"/>
              <w:rPr>
                <w:rFonts w:hint="eastAsia" w:ascii="宋体" w:hAnsi="宋体" w:eastAsia="宋体" w:cs="宋体"/>
                <w:color w:val="auto"/>
                <w:kern w:val="2"/>
                <w:sz w:val="24"/>
                <w:szCs w:val="24"/>
              </w:rPr>
            </w:pPr>
          </w:p>
        </w:tc>
        <w:tc>
          <w:tcPr>
            <w:tcW w:w="1418" w:type="dxa"/>
            <w:vMerge w:val="continue"/>
          </w:tcPr>
          <w:p w14:paraId="7E51DF9C">
            <w:pPr>
              <w:spacing w:line="240" w:lineRule="auto"/>
              <w:ind w:firstLine="0" w:firstLineChars="0"/>
              <w:jc w:val="center"/>
              <w:rPr>
                <w:rFonts w:hint="eastAsia" w:ascii="宋体" w:hAnsi="宋体" w:eastAsia="宋体" w:cs="宋体"/>
                <w:color w:val="auto"/>
                <w:kern w:val="2"/>
                <w:sz w:val="24"/>
                <w:szCs w:val="24"/>
                <w:lang w:val="en-US" w:eastAsia="zh-CN"/>
              </w:rPr>
            </w:pPr>
          </w:p>
        </w:tc>
        <w:tc>
          <w:tcPr>
            <w:tcW w:w="6847" w:type="dxa"/>
            <w:shd w:val="clear" w:color="auto" w:fill="auto"/>
            <w:vAlign w:val="center"/>
          </w:tcPr>
          <w:p w14:paraId="4C801741">
            <w:pPr>
              <w:keepNext w:val="0"/>
              <w:keepLines w:val="0"/>
              <w:widowControl/>
              <w:suppressLineNumbers w:val="0"/>
              <w:jc w:val="both"/>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能源类型：汽油；</w:t>
            </w:r>
          </w:p>
        </w:tc>
        <w:tc>
          <w:tcPr>
            <w:tcW w:w="660" w:type="dxa"/>
            <w:vMerge w:val="continue"/>
          </w:tcPr>
          <w:p w14:paraId="236DBAF1">
            <w:pPr>
              <w:spacing w:line="240" w:lineRule="auto"/>
              <w:ind w:firstLine="0" w:firstLineChars="0"/>
              <w:jc w:val="center"/>
              <w:rPr>
                <w:rFonts w:hint="eastAsia" w:ascii="宋体" w:hAnsi="宋体" w:eastAsia="宋体" w:cs="宋体"/>
                <w:color w:val="auto"/>
                <w:kern w:val="2"/>
                <w:sz w:val="24"/>
                <w:szCs w:val="24"/>
                <w:lang w:val="en-US" w:eastAsia="zh-CN"/>
              </w:rPr>
            </w:pPr>
          </w:p>
        </w:tc>
        <w:tc>
          <w:tcPr>
            <w:tcW w:w="639" w:type="dxa"/>
            <w:vMerge w:val="continue"/>
          </w:tcPr>
          <w:p w14:paraId="497FAF53">
            <w:pPr>
              <w:spacing w:line="240" w:lineRule="auto"/>
              <w:ind w:firstLine="0" w:firstLineChars="0"/>
              <w:jc w:val="center"/>
              <w:rPr>
                <w:rFonts w:hint="eastAsia" w:ascii="宋体" w:hAnsi="宋体" w:eastAsia="宋体" w:cs="宋体"/>
                <w:color w:val="auto"/>
                <w:kern w:val="2"/>
                <w:sz w:val="24"/>
                <w:szCs w:val="24"/>
                <w:lang w:eastAsia="zh-CN"/>
              </w:rPr>
            </w:pPr>
          </w:p>
        </w:tc>
      </w:tr>
      <w:tr w14:paraId="3EFDC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641" w:type="dxa"/>
            <w:vMerge w:val="continue"/>
          </w:tcPr>
          <w:p w14:paraId="26DD239C">
            <w:pPr>
              <w:spacing w:line="240" w:lineRule="auto"/>
              <w:ind w:firstLine="0" w:firstLineChars="0"/>
              <w:jc w:val="center"/>
              <w:rPr>
                <w:rFonts w:hint="eastAsia" w:ascii="宋体" w:hAnsi="宋体" w:eastAsia="宋体" w:cs="宋体"/>
                <w:color w:val="auto"/>
                <w:kern w:val="2"/>
                <w:sz w:val="24"/>
                <w:szCs w:val="24"/>
              </w:rPr>
            </w:pPr>
          </w:p>
        </w:tc>
        <w:tc>
          <w:tcPr>
            <w:tcW w:w="1418" w:type="dxa"/>
            <w:vMerge w:val="continue"/>
          </w:tcPr>
          <w:p w14:paraId="415973A3">
            <w:pPr>
              <w:spacing w:line="240" w:lineRule="auto"/>
              <w:ind w:firstLine="0" w:firstLineChars="0"/>
              <w:jc w:val="center"/>
              <w:rPr>
                <w:rFonts w:hint="eastAsia" w:ascii="宋体" w:hAnsi="宋体" w:eastAsia="宋体" w:cs="宋体"/>
                <w:color w:val="auto"/>
                <w:kern w:val="2"/>
                <w:sz w:val="24"/>
                <w:szCs w:val="24"/>
                <w:lang w:val="en-US" w:eastAsia="zh-CN"/>
              </w:rPr>
            </w:pPr>
          </w:p>
        </w:tc>
        <w:tc>
          <w:tcPr>
            <w:tcW w:w="6847" w:type="dxa"/>
            <w:shd w:val="clear" w:color="auto" w:fill="auto"/>
            <w:vAlign w:val="center"/>
          </w:tcPr>
          <w:p w14:paraId="4FB7BA4F">
            <w:pPr>
              <w:keepNext w:val="0"/>
              <w:keepLines w:val="0"/>
              <w:widowControl/>
              <w:suppressLineNumbers w:val="0"/>
              <w:jc w:val="both"/>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排量：2.0T、V4发动机；</w:t>
            </w:r>
          </w:p>
        </w:tc>
        <w:tc>
          <w:tcPr>
            <w:tcW w:w="660" w:type="dxa"/>
            <w:vMerge w:val="continue"/>
          </w:tcPr>
          <w:p w14:paraId="4E2A4FAF">
            <w:pPr>
              <w:spacing w:line="240" w:lineRule="auto"/>
              <w:ind w:firstLine="0" w:firstLineChars="0"/>
              <w:jc w:val="center"/>
              <w:rPr>
                <w:rFonts w:hint="eastAsia" w:ascii="宋体" w:hAnsi="宋体" w:eastAsia="宋体" w:cs="宋体"/>
                <w:color w:val="auto"/>
                <w:kern w:val="2"/>
                <w:sz w:val="24"/>
                <w:szCs w:val="24"/>
                <w:lang w:val="en-US" w:eastAsia="zh-CN"/>
              </w:rPr>
            </w:pPr>
          </w:p>
        </w:tc>
        <w:tc>
          <w:tcPr>
            <w:tcW w:w="639" w:type="dxa"/>
            <w:vMerge w:val="continue"/>
          </w:tcPr>
          <w:p w14:paraId="6FFA8CA9">
            <w:pPr>
              <w:spacing w:line="240" w:lineRule="auto"/>
              <w:ind w:firstLine="0" w:firstLineChars="0"/>
              <w:jc w:val="center"/>
              <w:rPr>
                <w:rFonts w:hint="eastAsia" w:ascii="宋体" w:hAnsi="宋体" w:eastAsia="宋体" w:cs="宋体"/>
                <w:color w:val="auto"/>
                <w:kern w:val="2"/>
                <w:sz w:val="24"/>
                <w:szCs w:val="24"/>
                <w:lang w:eastAsia="zh-CN"/>
              </w:rPr>
            </w:pPr>
          </w:p>
        </w:tc>
      </w:tr>
      <w:tr w14:paraId="4880A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641" w:type="dxa"/>
            <w:vMerge w:val="continue"/>
          </w:tcPr>
          <w:p w14:paraId="04DE8C69">
            <w:pPr>
              <w:spacing w:line="240" w:lineRule="auto"/>
              <w:ind w:firstLine="0" w:firstLineChars="0"/>
              <w:jc w:val="center"/>
              <w:rPr>
                <w:rFonts w:hint="eastAsia" w:ascii="宋体" w:hAnsi="宋体" w:eastAsia="宋体" w:cs="宋体"/>
                <w:color w:val="auto"/>
                <w:kern w:val="2"/>
                <w:sz w:val="24"/>
                <w:szCs w:val="24"/>
              </w:rPr>
            </w:pPr>
          </w:p>
        </w:tc>
        <w:tc>
          <w:tcPr>
            <w:tcW w:w="1418" w:type="dxa"/>
            <w:vMerge w:val="continue"/>
          </w:tcPr>
          <w:p w14:paraId="08E9B933">
            <w:pPr>
              <w:spacing w:line="240" w:lineRule="auto"/>
              <w:ind w:firstLine="0" w:firstLineChars="0"/>
              <w:jc w:val="center"/>
              <w:rPr>
                <w:rFonts w:hint="eastAsia" w:ascii="宋体" w:hAnsi="宋体" w:eastAsia="宋体" w:cs="宋体"/>
                <w:color w:val="auto"/>
                <w:kern w:val="2"/>
                <w:sz w:val="24"/>
                <w:szCs w:val="24"/>
                <w:lang w:val="en-US" w:eastAsia="zh-CN"/>
              </w:rPr>
            </w:pPr>
          </w:p>
        </w:tc>
        <w:tc>
          <w:tcPr>
            <w:tcW w:w="6847" w:type="dxa"/>
            <w:shd w:val="clear" w:color="auto" w:fill="auto"/>
            <w:vAlign w:val="center"/>
          </w:tcPr>
          <w:p w14:paraId="3F2B8166">
            <w:pPr>
              <w:keepNext w:val="0"/>
              <w:keepLines w:val="0"/>
              <w:widowControl/>
              <w:suppressLineNumbers w:val="0"/>
              <w:jc w:val="both"/>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进气形式：涡轮增压；</w:t>
            </w:r>
          </w:p>
        </w:tc>
        <w:tc>
          <w:tcPr>
            <w:tcW w:w="660" w:type="dxa"/>
            <w:vMerge w:val="continue"/>
          </w:tcPr>
          <w:p w14:paraId="3FEAA875">
            <w:pPr>
              <w:spacing w:line="240" w:lineRule="auto"/>
              <w:ind w:firstLine="0" w:firstLineChars="0"/>
              <w:jc w:val="center"/>
              <w:rPr>
                <w:rFonts w:hint="eastAsia" w:ascii="宋体" w:hAnsi="宋体" w:eastAsia="宋体" w:cs="宋体"/>
                <w:color w:val="auto"/>
                <w:kern w:val="2"/>
                <w:sz w:val="24"/>
                <w:szCs w:val="24"/>
                <w:lang w:val="en-US" w:eastAsia="zh-CN"/>
              </w:rPr>
            </w:pPr>
          </w:p>
        </w:tc>
        <w:tc>
          <w:tcPr>
            <w:tcW w:w="639" w:type="dxa"/>
            <w:vMerge w:val="continue"/>
          </w:tcPr>
          <w:p w14:paraId="20CCF51E">
            <w:pPr>
              <w:spacing w:line="240" w:lineRule="auto"/>
              <w:ind w:firstLine="0" w:firstLineChars="0"/>
              <w:jc w:val="center"/>
              <w:rPr>
                <w:rFonts w:hint="eastAsia" w:ascii="宋体" w:hAnsi="宋体" w:eastAsia="宋体" w:cs="宋体"/>
                <w:color w:val="auto"/>
                <w:kern w:val="2"/>
                <w:sz w:val="24"/>
                <w:szCs w:val="24"/>
                <w:lang w:eastAsia="zh-CN"/>
              </w:rPr>
            </w:pPr>
          </w:p>
        </w:tc>
      </w:tr>
      <w:tr w14:paraId="0233A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641" w:type="dxa"/>
            <w:vMerge w:val="continue"/>
          </w:tcPr>
          <w:p w14:paraId="44677651">
            <w:pPr>
              <w:spacing w:line="240" w:lineRule="auto"/>
              <w:ind w:firstLine="0" w:firstLineChars="0"/>
              <w:jc w:val="center"/>
              <w:rPr>
                <w:rFonts w:hint="eastAsia" w:ascii="宋体" w:hAnsi="宋体" w:eastAsia="宋体" w:cs="宋体"/>
                <w:color w:val="auto"/>
                <w:kern w:val="2"/>
                <w:sz w:val="24"/>
                <w:szCs w:val="24"/>
              </w:rPr>
            </w:pPr>
          </w:p>
        </w:tc>
        <w:tc>
          <w:tcPr>
            <w:tcW w:w="1418" w:type="dxa"/>
            <w:vMerge w:val="continue"/>
          </w:tcPr>
          <w:p w14:paraId="25BD2F9E">
            <w:pPr>
              <w:spacing w:line="240" w:lineRule="auto"/>
              <w:ind w:firstLine="0" w:firstLineChars="0"/>
              <w:jc w:val="center"/>
              <w:rPr>
                <w:rFonts w:hint="eastAsia" w:ascii="宋体" w:hAnsi="宋体" w:eastAsia="宋体" w:cs="宋体"/>
                <w:color w:val="auto"/>
                <w:kern w:val="2"/>
                <w:sz w:val="24"/>
                <w:szCs w:val="24"/>
                <w:lang w:val="en-US" w:eastAsia="zh-CN"/>
              </w:rPr>
            </w:pPr>
          </w:p>
        </w:tc>
        <w:tc>
          <w:tcPr>
            <w:tcW w:w="6847" w:type="dxa"/>
            <w:shd w:val="clear" w:color="auto" w:fill="auto"/>
            <w:vAlign w:val="center"/>
          </w:tcPr>
          <w:p w14:paraId="3CE5CF73">
            <w:pPr>
              <w:keepNext w:val="0"/>
              <w:keepLines w:val="0"/>
              <w:widowControl/>
              <w:suppressLineNumbers w:val="0"/>
              <w:jc w:val="both"/>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变速器形式：8AT手自一体；</w:t>
            </w:r>
          </w:p>
        </w:tc>
        <w:tc>
          <w:tcPr>
            <w:tcW w:w="660" w:type="dxa"/>
            <w:vMerge w:val="continue"/>
          </w:tcPr>
          <w:p w14:paraId="473AF93F">
            <w:pPr>
              <w:spacing w:line="240" w:lineRule="auto"/>
              <w:ind w:firstLine="0" w:firstLineChars="0"/>
              <w:jc w:val="center"/>
              <w:rPr>
                <w:rFonts w:hint="eastAsia" w:ascii="宋体" w:hAnsi="宋体" w:eastAsia="宋体" w:cs="宋体"/>
                <w:color w:val="auto"/>
                <w:kern w:val="2"/>
                <w:sz w:val="24"/>
                <w:szCs w:val="24"/>
                <w:lang w:val="en-US" w:eastAsia="zh-CN"/>
              </w:rPr>
            </w:pPr>
          </w:p>
        </w:tc>
        <w:tc>
          <w:tcPr>
            <w:tcW w:w="639" w:type="dxa"/>
            <w:vMerge w:val="continue"/>
          </w:tcPr>
          <w:p w14:paraId="338D94E1">
            <w:pPr>
              <w:spacing w:line="240" w:lineRule="auto"/>
              <w:ind w:firstLine="0" w:firstLineChars="0"/>
              <w:jc w:val="center"/>
              <w:rPr>
                <w:rFonts w:hint="eastAsia" w:ascii="宋体" w:hAnsi="宋体" w:eastAsia="宋体" w:cs="宋体"/>
                <w:color w:val="auto"/>
                <w:kern w:val="2"/>
                <w:sz w:val="24"/>
                <w:szCs w:val="24"/>
                <w:lang w:eastAsia="zh-CN"/>
              </w:rPr>
            </w:pPr>
          </w:p>
        </w:tc>
      </w:tr>
      <w:tr w14:paraId="0ED9E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641" w:type="dxa"/>
            <w:vMerge w:val="continue"/>
          </w:tcPr>
          <w:p w14:paraId="1D7FACDD">
            <w:pPr>
              <w:spacing w:line="240" w:lineRule="auto"/>
              <w:ind w:firstLine="0" w:firstLineChars="0"/>
              <w:jc w:val="center"/>
              <w:rPr>
                <w:rFonts w:hint="eastAsia" w:ascii="宋体" w:hAnsi="宋体" w:eastAsia="宋体" w:cs="宋体"/>
                <w:color w:val="auto"/>
                <w:kern w:val="2"/>
                <w:sz w:val="24"/>
                <w:szCs w:val="24"/>
              </w:rPr>
            </w:pPr>
          </w:p>
        </w:tc>
        <w:tc>
          <w:tcPr>
            <w:tcW w:w="1418" w:type="dxa"/>
            <w:vMerge w:val="continue"/>
          </w:tcPr>
          <w:p w14:paraId="632F8168">
            <w:pPr>
              <w:spacing w:line="240" w:lineRule="auto"/>
              <w:ind w:firstLine="0" w:firstLineChars="0"/>
              <w:jc w:val="center"/>
              <w:rPr>
                <w:rFonts w:hint="eastAsia" w:ascii="宋体" w:hAnsi="宋体" w:eastAsia="宋体" w:cs="宋体"/>
                <w:color w:val="auto"/>
                <w:kern w:val="2"/>
                <w:sz w:val="24"/>
                <w:szCs w:val="24"/>
                <w:lang w:val="en-US" w:eastAsia="zh-CN"/>
              </w:rPr>
            </w:pPr>
          </w:p>
        </w:tc>
        <w:tc>
          <w:tcPr>
            <w:tcW w:w="6847" w:type="dxa"/>
            <w:shd w:val="clear" w:color="auto" w:fill="auto"/>
            <w:vAlign w:val="center"/>
          </w:tcPr>
          <w:p w14:paraId="454677BC">
            <w:pPr>
              <w:keepNext w:val="0"/>
              <w:keepLines w:val="0"/>
              <w:widowControl/>
              <w:suppressLineNumbers w:val="0"/>
              <w:jc w:val="both"/>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整车长宽高(mm)：5070*1960*1930；</w:t>
            </w:r>
          </w:p>
        </w:tc>
        <w:tc>
          <w:tcPr>
            <w:tcW w:w="660" w:type="dxa"/>
            <w:vMerge w:val="continue"/>
          </w:tcPr>
          <w:p w14:paraId="27516D5D">
            <w:pPr>
              <w:spacing w:line="240" w:lineRule="auto"/>
              <w:ind w:firstLine="0" w:firstLineChars="0"/>
              <w:jc w:val="center"/>
              <w:rPr>
                <w:rFonts w:hint="eastAsia" w:ascii="宋体" w:hAnsi="宋体" w:eastAsia="宋体" w:cs="宋体"/>
                <w:color w:val="auto"/>
                <w:kern w:val="2"/>
                <w:sz w:val="24"/>
                <w:szCs w:val="24"/>
                <w:lang w:val="en-US" w:eastAsia="zh-CN"/>
              </w:rPr>
            </w:pPr>
          </w:p>
        </w:tc>
        <w:tc>
          <w:tcPr>
            <w:tcW w:w="639" w:type="dxa"/>
            <w:vMerge w:val="continue"/>
          </w:tcPr>
          <w:p w14:paraId="2F9C095F">
            <w:pPr>
              <w:spacing w:line="240" w:lineRule="auto"/>
              <w:ind w:firstLine="0" w:firstLineChars="0"/>
              <w:jc w:val="center"/>
              <w:rPr>
                <w:rFonts w:hint="eastAsia" w:ascii="宋体" w:hAnsi="宋体" w:eastAsia="宋体" w:cs="宋体"/>
                <w:color w:val="auto"/>
                <w:kern w:val="2"/>
                <w:sz w:val="24"/>
                <w:szCs w:val="24"/>
                <w:lang w:eastAsia="zh-CN"/>
              </w:rPr>
            </w:pPr>
          </w:p>
        </w:tc>
      </w:tr>
      <w:tr w14:paraId="7853A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641" w:type="dxa"/>
            <w:vMerge w:val="continue"/>
          </w:tcPr>
          <w:p w14:paraId="2FC6D922">
            <w:pPr>
              <w:spacing w:line="240" w:lineRule="auto"/>
              <w:ind w:firstLine="0" w:firstLineChars="0"/>
              <w:jc w:val="center"/>
              <w:rPr>
                <w:rFonts w:hint="eastAsia" w:ascii="宋体" w:hAnsi="宋体" w:eastAsia="宋体" w:cs="宋体"/>
                <w:color w:val="auto"/>
                <w:kern w:val="2"/>
                <w:sz w:val="24"/>
                <w:szCs w:val="24"/>
              </w:rPr>
            </w:pPr>
          </w:p>
        </w:tc>
        <w:tc>
          <w:tcPr>
            <w:tcW w:w="1418" w:type="dxa"/>
            <w:vMerge w:val="continue"/>
          </w:tcPr>
          <w:p w14:paraId="0B778AB8">
            <w:pPr>
              <w:spacing w:line="240" w:lineRule="auto"/>
              <w:ind w:firstLine="0" w:firstLineChars="0"/>
              <w:jc w:val="center"/>
              <w:rPr>
                <w:rFonts w:hint="eastAsia" w:ascii="宋体" w:hAnsi="宋体" w:eastAsia="宋体" w:cs="宋体"/>
                <w:color w:val="auto"/>
                <w:kern w:val="2"/>
                <w:sz w:val="24"/>
                <w:szCs w:val="24"/>
                <w:lang w:val="en-US" w:eastAsia="zh-CN"/>
              </w:rPr>
            </w:pPr>
          </w:p>
        </w:tc>
        <w:tc>
          <w:tcPr>
            <w:tcW w:w="6847" w:type="dxa"/>
            <w:shd w:val="clear" w:color="auto" w:fill="auto"/>
            <w:vAlign w:val="center"/>
          </w:tcPr>
          <w:p w14:paraId="27B757BE">
            <w:pPr>
              <w:keepNext w:val="0"/>
              <w:keepLines w:val="0"/>
              <w:widowControl/>
              <w:suppressLineNumbers w:val="0"/>
              <w:jc w:val="both"/>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最大功率：160kW；</w:t>
            </w:r>
          </w:p>
        </w:tc>
        <w:tc>
          <w:tcPr>
            <w:tcW w:w="660" w:type="dxa"/>
            <w:vMerge w:val="continue"/>
          </w:tcPr>
          <w:p w14:paraId="72979B78">
            <w:pPr>
              <w:spacing w:line="240" w:lineRule="auto"/>
              <w:ind w:firstLine="0" w:firstLineChars="0"/>
              <w:jc w:val="center"/>
              <w:rPr>
                <w:rFonts w:hint="eastAsia" w:ascii="宋体" w:hAnsi="宋体" w:eastAsia="宋体" w:cs="宋体"/>
                <w:color w:val="auto"/>
                <w:kern w:val="2"/>
                <w:sz w:val="24"/>
                <w:szCs w:val="24"/>
                <w:lang w:val="en-US" w:eastAsia="zh-CN"/>
              </w:rPr>
            </w:pPr>
          </w:p>
        </w:tc>
        <w:tc>
          <w:tcPr>
            <w:tcW w:w="639" w:type="dxa"/>
            <w:vMerge w:val="continue"/>
          </w:tcPr>
          <w:p w14:paraId="23EA5681">
            <w:pPr>
              <w:spacing w:line="240" w:lineRule="auto"/>
              <w:ind w:firstLine="0" w:firstLineChars="0"/>
              <w:jc w:val="center"/>
              <w:rPr>
                <w:rFonts w:hint="eastAsia" w:ascii="宋体" w:hAnsi="宋体" w:eastAsia="宋体" w:cs="宋体"/>
                <w:color w:val="auto"/>
                <w:kern w:val="2"/>
                <w:sz w:val="24"/>
                <w:szCs w:val="24"/>
                <w:lang w:eastAsia="zh-CN"/>
              </w:rPr>
            </w:pPr>
          </w:p>
        </w:tc>
      </w:tr>
      <w:tr w14:paraId="23FF6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641" w:type="dxa"/>
            <w:vMerge w:val="continue"/>
          </w:tcPr>
          <w:p w14:paraId="189065E5">
            <w:pPr>
              <w:spacing w:line="240" w:lineRule="auto"/>
              <w:ind w:firstLine="0" w:firstLineChars="0"/>
              <w:jc w:val="center"/>
              <w:rPr>
                <w:rFonts w:hint="eastAsia" w:ascii="宋体" w:hAnsi="宋体" w:eastAsia="宋体" w:cs="宋体"/>
                <w:color w:val="auto"/>
                <w:kern w:val="2"/>
                <w:sz w:val="24"/>
                <w:szCs w:val="24"/>
              </w:rPr>
            </w:pPr>
          </w:p>
        </w:tc>
        <w:tc>
          <w:tcPr>
            <w:tcW w:w="1418" w:type="dxa"/>
            <w:vMerge w:val="continue"/>
          </w:tcPr>
          <w:p w14:paraId="04B0FEEF">
            <w:pPr>
              <w:spacing w:line="240" w:lineRule="auto"/>
              <w:ind w:firstLine="0" w:firstLineChars="0"/>
              <w:jc w:val="center"/>
              <w:rPr>
                <w:rFonts w:hint="eastAsia" w:ascii="宋体" w:hAnsi="宋体" w:eastAsia="宋体" w:cs="宋体"/>
                <w:color w:val="auto"/>
                <w:kern w:val="2"/>
                <w:sz w:val="24"/>
                <w:szCs w:val="24"/>
                <w:lang w:val="en-US" w:eastAsia="zh-CN"/>
              </w:rPr>
            </w:pPr>
          </w:p>
        </w:tc>
        <w:tc>
          <w:tcPr>
            <w:tcW w:w="6847" w:type="dxa"/>
            <w:shd w:val="clear" w:color="auto" w:fill="auto"/>
            <w:vAlign w:val="center"/>
          </w:tcPr>
          <w:p w14:paraId="704867A3">
            <w:pPr>
              <w:keepNext w:val="0"/>
              <w:keepLines w:val="0"/>
              <w:widowControl/>
              <w:suppressLineNumbers w:val="0"/>
              <w:jc w:val="both"/>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最大轴距：2850mm；</w:t>
            </w:r>
          </w:p>
        </w:tc>
        <w:tc>
          <w:tcPr>
            <w:tcW w:w="660" w:type="dxa"/>
            <w:vMerge w:val="continue"/>
          </w:tcPr>
          <w:p w14:paraId="1B24EBFC">
            <w:pPr>
              <w:spacing w:line="240" w:lineRule="auto"/>
              <w:ind w:firstLine="0" w:firstLineChars="0"/>
              <w:jc w:val="center"/>
              <w:rPr>
                <w:rFonts w:hint="eastAsia" w:ascii="宋体" w:hAnsi="宋体" w:eastAsia="宋体" w:cs="宋体"/>
                <w:color w:val="auto"/>
                <w:kern w:val="2"/>
                <w:sz w:val="24"/>
                <w:szCs w:val="24"/>
                <w:lang w:val="en-US" w:eastAsia="zh-CN"/>
              </w:rPr>
            </w:pPr>
          </w:p>
        </w:tc>
        <w:tc>
          <w:tcPr>
            <w:tcW w:w="639" w:type="dxa"/>
            <w:vMerge w:val="continue"/>
          </w:tcPr>
          <w:p w14:paraId="3F65B2BC">
            <w:pPr>
              <w:spacing w:line="240" w:lineRule="auto"/>
              <w:ind w:firstLine="0" w:firstLineChars="0"/>
              <w:jc w:val="center"/>
              <w:rPr>
                <w:rFonts w:hint="eastAsia" w:ascii="宋体" w:hAnsi="宋体" w:eastAsia="宋体" w:cs="宋体"/>
                <w:color w:val="auto"/>
                <w:kern w:val="2"/>
                <w:sz w:val="24"/>
                <w:szCs w:val="24"/>
                <w:lang w:eastAsia="zh-CN"/>
              </w:rPr>
            </w:pPr>
          </w:p>
        </w:tc>
      </w:tr>
      <w:tr w14:paraId="1FE72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641" w:type="dxa"/>
            <w:vMerge w:val="continue"/>
          </w:tcPr>
          <w:p w14:paraId="6B870B0A">
            <w:pPr>
              <w:spacing w:line="240" w:lineRule="auto"/>
              <w:ind w:firstLine="0" w:firstLineChars="0"/>
              <w:jc w:val="center"/>
              <w:rPr>
                <w:rFonts w:hint="eastAsia" w:ascii="宋体" w:hAnsi="宋体" w:eastAsia="宋体" w:cs="宋体"/>
                <w:color w:val="auto"/>
                <w:kern w:val="2"/>
                <w:sz w:val="24"/>
                <w:szCs w:val="24"/>
              </w:rPr>
            </w:pPr>
          </w:p>
        </w:tc>
        <w:tc>
          <w:tcPr>
            <w:tcW w:w="1418" w:type="dxa"/>
            <w:vMerge w:val="continue"/>
          </w:tcPr>
          <w:p w14:paraId="69011455">
            <w:pPr>
              <w:spacing w:line="240" w:lineRule="auto"/>
              <w:ind w:firstLine="0" w:firstLineChars="0"/>
              <w:jc w:val="center"/>
              <w:rPr>
                <w:rFonts w:hint="eastAsia" w:ascii="宋体" w:hAnsi="宋体" w:eastAsia="宋体" w:cs="宋体"/>
                <w:color w:val="auto"/>
                <w:kern w:val="2"/>
                <w:sz w:val="24"/>
                <w:szCs w:val="24"/>
                <w:lang w:val="en-US" w:eastAsia="zh-CN"/>
              </w:rPr>
            </w:pPr>
          </w:p>
        </w:tc>
        <w:tc>
          <w:tcPr>
            <w:tcW w:w="6847" w:type="dxa"/>
            <w:shd w:val="clear" w:color="auto" w:fill="auto"/>
            <w:vAlign w:val="center"/>
          </w:tcPr>
          <w:p w14:paraId="4ED40CE7">
            <w:pPr>
              <w:keepNext w:val="0"/>
              <w:keepLines w:val="0"/>
              <w:widowControl/>
              <w:suppressLineNumbers w:val="0"/>
              <w:jc w:val="both"/>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最大扭矩：380N·m；</w:t>
            </w:r>
          </w:p>
        </w:tc>
        <w:tc>
          <w:tcPr>
            <w:tcW w:w="660" w:type="dxa"/>
            <w:vMerge w:val="continue"/>
          </w:tcPr>
          <w:p w14:paraId="12C6AE85">
            <w:pPr>
              <w:spacing w:line="240" w:lineRule="auto"/>
              <w:ind w:firstLine="0" w:firstLineChars="0"/>
              <w:jc w:val="center"/>
              <w:rPr>
                <w:rFonts w:hint="eastAsia" w:ascii="宋体" w:hAnsi="宋体" w:eastAsia="宋体" w:cs="宋体"/>
                <w:color w:val="auto"/>
                <w:kern w:val="2"/>
                <w:sz w:val="24"/>
                <w:szCs w:val="24"/>
                <w:lang w:val="en-US" w:eastAsia="zh-CN"/>
              </w:rPr>
            </w:pPr>
          </w:p>
        </w:tc>
        <w:tc>
          <w:tcPr>
            <w:tcW w:w="639" w:type="dxa"/>
            <w:vMerge w:val="continue"/>
          </w:tcPr>
          <w:p w14:paraId="3C40CAE2">
            <w:pPr>
              <w:spacing w:line="240" w:lineRule="auto"/>
              <w:ind w:firstLine="0" w:firstLineChars="0"/>
              <w:jc w:val="center"/>
              <w:rPr>
                <w:rFonts w:hint="eastAsia" w:ascii="宋体" w:hAnsi="宋体" w:eastAsia="宋体" w:cs="宋体"/>
                <w:color w:val="auto"/>
                <w:kern w:val="2"/>
                <w:sz w:val="24"/>
                <w:szCs w:val="24"/>
                <w:lang w:eastAsia="zh-CN"/>
              </w:rPr>
            </w:pPr>
          </w:p>
        </w:tc>
      </w:tr>
      <w:tr w14:paraId="148DD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641" w:type="dxa"/>
            <w:vMerge w:val="continue"/>
          </w:tcPr>
          <w:p w14:paraId="2FAD2C1D">
            <w:pPr>
              <w:spacing w:line="240" w:lineRule="auto"/>
              <w:ind w:firstLine="0" w:firstLineChars="0"/>
              <w:jc w:val="center"/>
              <w:rPr>
                <w:rFonts w:hint="eastAsia" w:ascii="宋体" w:hAnsi="宋体" w:eastAsia="宋体" w:cs="宋体"/>
                <w:color w:val="auto"/>
                <w:kern w:val="2"/>
                <w:sz w:val="24"/>
                <w:szCs w:val="24"/>
              </w:rPr>
            </w:pPr>
          </w:p>
        </w:tc>
        <w:tc>
          <w:tcPr>
            <w:tcW w:w="1418" w:type="dxa"/>
            <w:vMerge w:val="continue"/>
          </w:tcPr>
          <w:p w14:paraId="7BF3B749">
            <w:pPr>
              <w:spacing w:line="240" w:lineRule="auto"/>
              <w:ind w:firstLine="0" w:firstLineChars="0"/>
              <w:jc w:val="center"/>
              <w:rPr>
                <w:rFonts w:hint="eastAsia" w:ascii="宋体" w:hAnsi="宋体" w:eastAsia="宋体" w:cs="宋体"/>
                <w:color w:val="auto"/>
                <w:kern w:val="2"/>
                <w:sz w:val="24"/>
                <w:szCs w:val="24"/>
                <w:lang w:val="en-US" w:eastAsia="zh-CN"/>
              </w:rPr>
            </w:pPr>
          </w:p>
        </w:tc>
        <w:tc>
          <w:tcPr>
            <w:tcW w:w="6847" w:type="dxa"/>
            <w:shd w:val="clear" w:color="auto" w:fill="auto"/>
            <w:vAlign w:val="center"/>
          </w:tcPr>
          <w:p w14:paraId="281E65FF">
            <w:pPr>
              <w:keepNext w:val="0"/>
              <w:keepLines w:val="0"/>
              <w:widowControl/>
              <w:suppressLineNumbers w:val="0"/>
              <w:jc w:val="both"/>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后桥差速锁拖车；</w:t>
            </w:r>
          </w:p>
        </w:tc>
        <w:tc>
          <w:tcPr>
            <w:tcW w:w="660" w:type="dxa"/>
            <w:vMerge w:val="continue"/>
          </w:tcPr>
          <w:p w14:paraId="3924AD6C">
            <w:pPr>
              <w:spacing w:line="240" w:lineRule="auto"/>
              <w:ind w:firstLine="0" w:firstLineChars="0"/>
              <w:jc w:val="center"/>
              <w:rPr>
                <w:rFonts w:hint="eastAsia" w:ascii="宋体" w:hAnsi="宋体" w:eastAsia="宋体" w:cs="宋体"/>
                <w:color w:val="auto"/>
                <w:kern w:val="2"/>
                <w:sz w:val="24"/>
                <w:szCs w:val="24"/>
                <w:lang w:val="en-US" w:eastAsia="zh-CN"/>
              </w:rPr>
            </w:pPr>
          </w:p>
        </w:tc>
        <w:tc>
          <w:tcPr>
            <w:tcW w:w="639" w:type="dxa"/>
            <w:vMerge w:val="continue"/>
          </w:tcPr>
          <w:p w14:paraId="64775E8A">
            <w:pPr>
              <w:spacing w:line="240" w:lineRule="auto"/>
              <w:ind w:firstLine="0" w:firstLineChars="0"/>
              <w:jc w:val="center"/>
              <w:rPr>
                <w:rFonts w:hint="eastAsia" w:ascii="宋体" w:hAnsi="宋体" w:eastAsia="宋体" w:cs="宋体"/>
                <w:color w:val="auto"/>
                <w:kern w:val="2"/>
                <w:sz w:val="24"/>
                <w:szCs w:val="24"/>
                <w:lang w:eastAsia="zh-CN"/>
              </w:rPr>
            </w:pPr>
          </w:p>
        </w:tc>
      </w:tr>
      <w:tr w14:paraId="0433D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641" w:type="dxa"/>
            <w:vMerge w:val="continue"/>
          </w:tcPr>
          <w:p w14:paraId="46D60726">
            <w:pPr>
              <w:spacing w:line="240" w:lineRule="auto"/>
              <w:ind w:firstLine="0" w:firstLineChars="0"/>
              <w:jc w:val="center"/>
              <w:rPr>
                <w:rFonts w:hint="eastAsia" w:ascii="宋体" w:hAnsi="宋体" w:eastAsia="宋体" w:cs="宋体"/>
                <w:color w:val="auto"/>
                <w:kern w:val="2"/>
                <w:sz w:val="24"/>
                <w:szCs w:val="24"/>
              </w:rPr>
            </w:pPr>
          </w:p>
        </w:tc>
        <w:tc>
          <w:tcPr>
            <w:tcW w:w="1418" w:type="dxa"/>
            <w:vMerge w:val="continue"/>
          </w:tcPr>
          <w:p w14:paraId="0975F0A8">
            <w:pPr>
              <w:spacing w:line="240" w:lineRule="auto"/>
              <w:ind w:firstLine="0" w:firstLineChars="0"/>
              <w:jc w:val="center"/>
              <w:rPr>
                <w:rFonts w:hint="eastAsia" w:ascii="宋体" w:hAnsi="宋体" w:eastAsia="宋体" w:cs="宋体"/>
                <w:color w:val="auto"/>
                <w:kern w:val="2"/>
                <w:sz w:val="24"/>
                <w:szCs w:val="24"/>
                <w:lang w:val="en-US" w:eastAsia="zh-CN"/>
              </w:rPr>
            </w:pPr>
          </w:p>
        </w:tc>
        <w:tc>
          <w:tcPr>
            <w:tcW w:w="6847" w:type="dxa"/>
            <w:shd w:val="clear" w:color="auto" w:fill="auto"/>
            <w:vAlign w:val="center"/>
          </w:tcPr>
          <w:p w14:paraId="75F1F9CA">
            <w:pPr>
              <w:keepNext w:val="0"/>
              <w:keepLines w:val="0"/>
              <w:widowControl/>
              <w:suppressLineNumbers w:val="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360度全景影像；</w:t>
            </w:r>
          </w:p>
        </w:tc>
        <w:tc>
          <w:tcPr>
            <w:tcW w:w="660" w:type="dxa"/>
            <w:vMerge w:val="continue"/>
          </w:tcPr>
          <w:p w14:paraId="58FDC358">
            <w:pPr>
              <w:spacing w:line="240" w:lineRule="auto"/>
              <w:ind w:firstLine="0" w:firstLineChars="0"/>
              <w:jc w:val="center"/>
              <w:rPr>
                <w:rFonts w:hint="eastAsia" w:ascii="宋体" w:hAnsi="宋体" w:eastAsia="宋体" w:cs="宋体"/>
                <w:color w:val="auto"/>
                <w:kern w:val="2"/>
                <w:sz w:val="24"/>
                <w:szCs w:val="24"/>
                <w:lang w:val="en-US" w:eastAsia="zh-CN"/>
              </w:rPr>
            </w:pPr>
          </w:p>
        </w:tc>
        <w:tc>
          <w:tcPr>
            <w:tcW w:w="639" w:type="dxa"/>
            <w:vMerge w:val="continue"/>
          </w:tcPr>
          <w:p w14:paraId="7DDF39CE">
            <w:pPr>
              <w:spacing w:line="240" w:lineRule="auto"/>
              <w:ind w:firstLine="0" w:firstLineChars="0"/>
              <w:jc w:val="center"/>
              <w:rPr>
                <w:rFonts w:hint="eastAsia" w:ascii="宋体" w:hAnsi="宋体" w:eastAsia="宋体" w:cs="宋体"/>
                <w:color w:val="auto"/>
                <w:kern w:val="2"/>
                <w:sz w:val="24"/>
                <w:szCs w:val="24"/>
                <w:lang w:eastAsia="zh-CN"/>
              </w:rPr>
            </w:pPr>
          </w:p>
        </w:tc>
      </w:tr>
      <w:tr w14:paraId="16B3A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641" w:type="dxa"/>
            <w:vMerge w:val="continue"/>
          </w:tcPr>
          <w:p w14:paraId="47C9C7AE">
            <w:pPr>
              <w:spacing w:line="240" w:lineRule="auto"/>
              <w:ind w:firstLine="0" w:firstLineChars="0"/>
              <w:jc w:val="center"/>
              <w:rPr>
                <w:rFonts w:hint="eastAsia" w:ascii="宋体" w:hAnsi="宋体" w:eastAsia="宋体" w:cs="宋体"/>
                <w:color w:val="auto"/>
                <w:kern w:val="2"/>
                <w:sz w:val="24"/>
                <w:szCs w:val="24"/>
              </w:rPr>
            </w:pPr>
          </w:p>
        </w:tc>
        <w:tc>
          <w:tcPr>
            <w:tcW w:w="1418" w:type="dxa"/>
            <w:vMerge w:val="continue"/>
          </w:tcPr>
          <w:p w14:paraId="0743F2D4">
            <w:pPr>
              <w:spacing w:line="240" w:lineRule="auto"/>
              <w:ind w:firstLine="0" w:firstLineChars="0"/>
              <w:jc w:val="center"/>
              <w:rPr>
                <w:rFonts w:hint="eastAsia" w:ascii="宋体" w:hAnsi="宋体" w:eastAsia="宋体" w:cs="宋体"/>
                <w:color w:val="auto"/>
                <w:kern w:val="2"/>
                <w:sz w:val="24"/>
                <w:szCs w:val="24"/>
                <w:lang w:val="en-US" w:eastAsia="zh-CN"/>
              </w:rPr>
            </w:pPr>
          </w:p>
        </w:tc>
        <w:tc>
          <w:tcPr>
            <w:tcW w:w="6847" w:type="dxa"/>
            <w:shd w:val="clear" w:color="auto" w:fill="auto"/>
            <w:vAlign w:val="center"/>
          </w:tcPr>
          <w:p w14:paraId="4E956ED5">
            <w:pPr>
              <w:keepNext w:val="0"/>
              <w:keepLines w:val="0"/>
              <w:widowControl/>
              <w:suppressLineNumbers w:val="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透明底盘；</w:t>
            </w:r>
          </w:p>
        </w:tc>
        <w:tc>
          <w:tcPr>
            <w:tcW w:w="660" w:type="dxa"/>
            <w:vMerge w:val="continue"/>
          </w:tcPr>
          <w:p w14:paraId="0BCC81C9">
            <w:pPr>
              <w:spacing w:line="240" w:lineRule="auto"/>
              <w:ind w:firstLine="0" w:firstLineChars="0"/>
              <w:jc w:val="center"/>
              <w:rPr>
                <w:rFonts w:hint="eastAsia" w:ascii="宋体" w:hAnsi="宋体" w:eastAsia="宋体" w:cs="宋体"/>
                <w:color w:val="auto"/>
                <w:kern w:val="2"/>
                <w:sz w:val="24"/>
                <w:szCs w:val="24"/>
                <w:lang w:val="en-US" w:eastAsia="zh-CN"/>
              </w:rPr>
            </w:pPr>
          </w:p>
        </w:tc>
        <w:tc>
          <w:tcPr>
            <w:tcW w:w="639" w:type="dxa"/>
            <w:vMerge w:val="continue"/>
          </w:tcPr>
          <w:p w14:paraId="23CA3D0F">
            <w:pPr>
              <w:spacing w:line="240" w:lineRule="auto"/>
              <w:ind w:firstLine="0" w:firstLineChars="0"/>
              <w:jc w:val="center"/>
              <w:rPr>
                <w:rFonts w:hint="eastAsia" w:ascii="宋体" w:hAnsi="宋体" w:eastAsia="宋体" w:cs="宋体"/>
                <w:color w:val="auto"/>
                <w:kern w:val="2"/>
                <w:sz w:val="24"/>
                <w:szCs w:val="24"/>
                <w:lang w:eastAsia="zh-CN"/>
              </w:rPr>
            </w:pPr>
          </w:p>
        </w:tc>
      </w:tr>
      <w:tr w14:paraId="08072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641" w:type="dxa"/>
            <w:vMerge w:val="continue"/>
          </w:tcPr>
          <w:p w14:paraId="3293D240">
            <w:pPr>
              <w:spacing w:line="240" w:lineRule="auto"/>
              <w:ind w:firstLine="0" w:firstLineChars="0"/>
              <w:jc w:val="center"/>
              <w:rPr>
                <w:rFonts w:hint="eastAsia" w:ascii="宋体" w:hAnsi="宋体" w:eastAsia="宋体" w:cs="宋体"/>
                <w:color w:val="auto"/>
                <w:kern w:val="2"/>
                <w:sz w:val="24"/>
                <w:szCs w:val="24"/>
              </w:rPr>
            </w:pPr>
          </w:p>
        </w:tc>
        <w:tc>
          <w:tcPr>
            <w:tcW w:w="1418" w:type="dxa"/>
            <w:vMerge w:val="continue"/>
          </w:tcPr>
          <w:p w14:paraId="5CC84F58">
            <w:pPr>
              <w:spacing w:line="240" w:lineRule="auto"/>
              <w:ind w:firstLine="0" w:firstLineChars="0"/>
              <w:jc w:val="center"/>
              <w:rPr>
                <w:rFonts w:hint="eastAsia" w:ascii="宋体" w:hAnsi="宋体" w:eastAsia="宋体" w:cs="宋体"/>
                <w:color w:val="auto"/>
                <w:kern w:val="2"/>
                <w:sz w:val="24"/>
                <w:szCs w:val="24"/>
                <w:lang w:val="en-US" w:eastAsia="zh-CN"/>
              </w:rPr>
            </w:pPr>
          </w:p>
        </w:tc>
        <w:tc>
          <w:tcPr>
            <w:tcW w:w="6847" w:type="dxa"/>
            <w:shd w:val="clear" w:color="auto" w:fill="auto"/>
            <w:vAlign w:val="center"/>
          </w:tcPr>
          <w:p w14:paraId="63934109">
            <w:pPr>
              <w:keepNext w:val="0"/>
              <w:keepLines w:val="0"/>
              <w:widowControl/>
              <w:suppressLineNumbers w:val="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全地形控制系统；</w:t>
            </w:r>
          </w:p>
        </w:tc>
        <w:tc>
          <w:tcPr>
            <w:tcW w:w="660" w:type="dxa"/>
            <w:vMerge w:val="continue"/>
          </w:tcPr>
          <w:p w14:paraId="3A11E273">
            <w:pPr>
              <w:spacing w:line="240" w:lineRule="auto"/>
              <w:ind w:firstLine="0" w:firstLineChars="0"/>
              <w:jc w:val="center"/>
              <w:rPr>
                <w:rFonts w:hint="eastAsia" w:ascii="宋体" w:hAnsi="宋体" w:eastAsia="宋体" w:cs="宋体"/>
                <w:color w:val="auto"/>
                <w:kern w:val="2"/>
                <w:sz w:val="24"/>
                <w:szCs w:val="24"/>
                <w:lang w:val="en-US" w:eastAsia="zh-CN"/>
              </w:rPr>
            </w:pPr>
          </w:p>
        </w:tc>
        <w:tc>
          <w:tcPr>
            <w:tcW w:w="639" w:type="dxa"/>
            <w:vMerge w:val="continue"/>
          </w:tcPr>
          <w:p w14:paraId="3952BBC7">
            <w:pPr>
              <w:spacing w:line="240" w:lineRule="auto"/>
              <w:ind w:firstLine="0" w:firstLineChars="0"/>
              <w:jc w:val="center"/>
              <w:rPr>
                <w:rFonts w:hint="eastAsia" w:ascii="宋体" w:hAnsi="宋体" w:eastAsia="宋体" w:cs="宋体"/>
                <w:color w:val="auto"/>
                <w:kern w:val="2"/>
                <w:sz w:val="24"/>
                <w:szCs w:val="24"/>
                <w:lang w:eastAsia="zh-CN"/>
              </w:rPr>
            </w:pPr>
          </w:p>
        </w:tc>
      </w:tr>
      <w:tr w14:paraId="3E071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641" w:type="dxa"/>
            <w:vAlign w:val="center"/>
          </w:tcPr>
          <w:p w14:paraId="19B0FEB9">
            <w:pPr>
              <w:spacing w:line="240" w:lineRule="auto"/>
              <w:ind w:firstLine="0" w:firstLineChars="0"/>
              <w:jc w:val="center"/>
              <w:rPr>
                <w:rFonts w:hint="eastAsia" w:ascii="宋体" w:hAnsi="宋体" w:eastAsia="宋体" w:cs="宋体"/>
                <w:b w:val="0"/>
                <w:bCs w:val="0"/>
                <w:color w:val="auto"/>
                <w:kern w:val="2"/>
                <w:sz w:val="24"/>
                <w:szCs w:val="24"/>
                <w:lang w:val="en-US" w:eastAsia="zh-CN"/>
              </w:rPr>
            </w:pPr>
            <w:r>
              <w:rPr>
                <w:rFonts w:hint="eastAsia" w:ascii="宋体" w:hAnsi="宋体" w:eastAsia="宋体" w:cs="宋体"/>
                <w:b w:val="0"/>
                <w:bCs w:val="0"/>
                <w:color w:val="auto"/>
                <w:kern w:val="2"/>
                <w:sz w:val="24"/>
                <w:szCs w:val="24"/>
                <w:lang w:val="en-US" w:eastAsia="zh-CN"/>
              </w:rPr>
              <w:t>3</w:t>
            </w:r>
          </w:p>
        </w:tc>
        <w:tc>
          <w:tcPr>
            <w:tcW w:w="1418" w:type="dxa"/>
            <w:vAlign w:val="center"/>
          </w:tcPr>
          <w:p w14:paraId="52ED1FB2">
            <w:pPr>
              <w:spacing w:line="240" w:lineRule="auto"/>
              <w:ind w:firstLine="0" w:firstLineChars="0"/>
              <w:jc w:val="center"/>
              <w:rPr>
                <w:rFonts w:hint="eastAsia" w:ascii="宋体" w:hAnsi="宋体" w:eastAsia="宋体" w:cs="宋体"/>
                <w:b w:val="0"/>
                <w:bCs w:val="0"/>
                <w:color w:val="auto"/>
                <w:kern w:val="2"/>
                <w:sz w:val="24"/>
                <w:szCs w:val="24"/>
                <w:lang w:val="en-US" w:eastAsia="zh-CN"/>
              </w:rPr>
            </w:pPr>
            <w:r>
              <w:rPr>
                <w:rStyle w:val="45"/>
                <w:rFonts w:hint="eastAsia" w:ascii="宋体" w:hAnsi="宋体" w:eastAsia="宋体" w:cs="宋体"/>
                <w:b w:val="0"/>
                <w:bCs w:val="0"/>
                <w:color w:val="auto"/>
                <w:sz w:val="24"/>
                <w:szCs w:val="24"/>
                <w:lang w:eastAsia="zh-CN"/>
              </w:rPr>
              <w:t>装备车</w:t>
            </w:r>
          </w:p>
        </w:tc>
        <w:tc>
          <w:tcPr>
            <w:tcW w:w="6847" w:type="dxa"/>
            <w:shd w:val="clear" w:color="auto" w:fill="auto"/>
            <w:vAlign w:val="center"/>
          </w:tcPr>
          <w:p w14:paraId="30AA14A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外型尺寸（长</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宽</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高）</w:t>
            </w:r>
            <w:r>
              <w:rPr>
                <w:rFonts w:hint="eastAsia" w:ascii="宋体" w:hAnsi="宋体" w:eastAsia="宋体" w:cs="宋体"/>
                <w:color w:val="auto"/>
                <w:sz w:val="24"/>
                <w:szCs w:val="24"/>
                <w:lang w:eastAsia="zh-CN"/>
              </w:rPr>
              <w:t>：</w:t>
            </w:r>
            <w:r>
              <w:rPr>
                <w:rStyle w:val="47"/>
                <w:rFonts w:hint="eastAsia" w:ascii="宋体" w:hAnsi="宋体" w:eastAsia="宋体" w:cs="宋体"/>
                <w:color w:val="auto"/>
                <w:sz w:val="24"/>
                <w:szCs w:val="24"/>
              </w:rPr>
              <w:t>≤</w:t>
            </w:r>
            <w:r>
              <w:rPr>
                <w:rFonts w:hint="eastAsia" w:ascii="宋体" w:hAnsi="宋体" w:eastAsia="宋体" w:cs="宋体"/>
                <w:color w:val="auto"/>
                <w:sz w:val="24"/>
                <w:szCs w:val="24"/>
              </w:rPr>
              <w:t>6990</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2420</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3140mm</w:t>
            </w:r>
            <w:r>
              <w:rPr>
                <w:rFonts w:hint="eastAsia" w:ascii="宋体" w:hAnsi="宋体" w:eastAsia="宋体" w:cs="宋体"/>
                <w:color w:val="auto"/>
                <w:sz w:val="24"/>
                <w:szCs w:val="24"/>
                <w:lang w:eastAsia="zh-CN"/>
              </w:rPr>
              <w:t>；</w:t>
            </w:r>
          </w:p>
          <w:p w14:paraId="65BEBE8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总质量</w:t>
            </w:r>
            <w:r>
              <w:rPr>
                <w:rFonts w:hint="eastAsia" w:ascii="宋体" w:hAnsi="宋体" w:eastAsia="宋体" w:cs="宋体"/>
                <w:color w:val="auto"/>
                <w:sz w:val="24"/>
                <w:szCs w:val="24"/>
                <w:lang w:eastAsia="zh-CN"/>
              </w:rPr>
              <w:t>：</w:t>
            </w:r>
            <w:r>
              <w:rPr>
                <w:rStyle w:val="47"/>
                <w:rFonts w:hint="eastAsia" w:ascii="宋体" w:hAnsi="宋体" w:eastAsia="宋体" w:cs="宋体"/>
                <w:color w:val="auto"/>
                <w:sz w:val="24"/>
                <w:szCs w:val="24"/>
              </w:rPr>
              <w:t>≥</w:t>
            </w:r>
            <w:r>
              <w:rPr>
                <w:rFonts w:hint="eastAsia" w:ascii="宋体" w:hAnsi="宋体" w:eastAsia="宋体" w:cs="宋体"/>
                <w:color w:val="auto"/>
                <w:sz w:val="24"/>
                <w:szCs w:val="24"/>
              </w:rPr>
              <w:t>10550Kg</w:t>
            </w:r>
            <w:r>
              <w:rPr>
                <w:rFonts w:hint="eastAsia" w:ascii="宋体" w:hAnsi="宋体" w:eastAsia="宋体" w:cs="宋体"/>
                <w:color w:val="auto"/>
                <w:sz w:val="24"/>
                <w:szCs w:val="24"/>
                <w:lang w:eastAsia="zh-CN"/>
              </w:rPr>
              <w:t>；</w:t>
            </w:r>
          </w:p>
          <w:p w14:paraId="7AC5591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整备质量</w:t>
            </w:r>
            <w:r>
              <w:rPr>
                <w:rFonts w:hint="eastAsia" w:ascii="宋体" w:hAnsi="宋体" w:eastAsia="宋体" w:cs="宋体"/>
                <w:color w:val="auto"/>
                <w:sz w:val="24"/>
                <w:szCs w:val="24"/>
                <w:lang w:eastAsia="zh-CN"/>
              </w:rPr>
              <w:t>：</w:t>
            </w:r>
            <w:r>
              <w:rPr>
                <w:rStyle w:val="47"/>
                <w:rFonts w:hint="eastAsia" w:ascii="宋体" w:hAnsi="宋体" w:eastAsia="宋体" w:cs="宋体"/>
                <w:color w:val="auto"/>
                <w:sz w:val="24"/>
                <w:szCs w:val="24"/>
              </w:rPr>
              <w:t>≥</w:t>
            </w:r>
            <w:r>
              <w:rPr>
                <w:rFonts w:hint="eastAsia" w:ascii="宋体" w:hAnsi="宋体" w:eastAsia="宋体" w:cs="宋体"/>
                <w:color w:val="auto"/>
                <w:sz w:val="24"/>
                <w:szCs w:val="24"/>
              </w:rPr>
              <w:t>5800Kg</w:t>
            </w:r>
            <w:r>
              <w:rPr>
                <w:rFonts w:hint="eastAsia" w:ascii="宋体" w:hAnsi="宋体" w:eastAsia="宋体" w:cs="宋体"/>
                <w:color w:val="auto"/>
                <w:sz w:val="24"/>
                <w:szCs w:val="24"/>
                <w:lang w:eastAsia="zh-CN"/>
              </w:rPr>
              <w:t>；</w:t>
            </w:r>
          </w:p>
          <w:p w14:paraId="79CEB58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轴距</w:t>
            </w:r>
            <w:r>
              <w:rPr>
                <w:rFonts w:hint="eastAsia" w:ascii="宋体" w:hAnsi="宋体" w:eastAsia="宋体" w:cs="宋体"/>
                <w:color w:val="auto"/>
                <w:sz w:val="24"/>
                <w:szCs w:val="24"/>
                <w:lang w:eastAsia="zh-CN"/>
              </w:rPr>
              <w:t>：</w:t>
            </w:r>
            <w:r>
              <w:rPr>
                <w:rStyle w:val="47"/>
                <w:rFonts w:hint="eastAsia" w:ascii="宋体" w:hAnsi="宋体" w:eastAsia="宋体" w:cs="宋体"/>
                <w:color w:val="auto"/>
                <w:sz w:val="24"/>
                <w:szCs w:val="24"/>
              </w:rPr>
              <w:t>≤</w:t>
            </w:r>
            <w:r>
              <w:rPr>
                <w:rFonts w:hint="eastAsia" w:ascii="宋体" w:hAnsi="宋体" w:eastAsia="宋体" w:cs="宋体"/>
                <w:color w:val="auto"/>
                <w:sz w:val="24"/>
                <w:szCs w:val="24"/>
              </w:rPr>
              <w:t>3815mm</w:t>
            </w:r>
            <w:r>
              <w:rPr>
                <w:rFonts w:hint="eastAsia" w:ascii="宋体" w:hAnsi="宋体" w:eastAsia="宋体" w:cs="宋体"/>
                <w:color w:val="auto"/>
                <w:sz w:val="24"/>
                <w:szCs w:val="24"/>
                <w:lang w:eastAsia="zh-CN"/>
              </w:rPr>
              <w:t>；</w:t>
            </w:r>
          </w:p>
          <w:p w14:paraId="622B2AC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驱动形式：4×2</w:t>
            </w:r>
            <w:r>
              <w:rPr>
                <w:rFonts w:hint="eastAsia" w:ascii="宋体" w:hAnsi="宋体" w:eastAsia="宋体" w:cs="宋体"/>
                <w:color w:val="auto"/>
                <w:sz w:val="24"/>
                <w:szCs w:val="24"/>
                <w:lang w:eastAsia="zh-CN"/>
              </w:rPr>
              <w:t>；</w:t>
            </w:r>
          </w:p>
          <w:p w14:paraId="12439D7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发动机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直列四缸、液冷、增压中冷、高压共轨柴油机</w:t>
            </w:r>
            <w:r>
              <w:rPr>
                <w:rFonts w:hint="eastAsia" w:ascii="宋体" w:hAnsi="宋体" w:eastAsia="宋体" w:cs="宋体"/>
                <w:color w:val="auto"/>
                <w:sz w:val="24"/>
                <w:szCs w:val="24"/>
                <w:lang w:eastAsia="zh-CN"/>
              </w:rPr>
              <w:t>；</w:t>
            </w:r>
          </w:p>
          <w:p w14:paraId="66976C6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排量(ml)</w:t>
            </w:r>
            <w:r>
              <w:rPr>
                <w:rFonts w:hint="eastAsia" w:ascii="宋体" w:hAnsi="宋体" w:eastAsia="宋体" w:cs="宋体"/>
                <w:color w:val="auto"/>
                <w:sz w:val="24"/>
                <w:szCs w:val="24"/>
                <w:lang w:eastAsia="zh-CN"/>
              </w:rPr>
              <w:t>：</w:t>
            </w:r>
            <w:r>
              <w:rPr>
                <w:rStyle w:val="47"/>
                <w:rFonts w:hint="eastAsia" w:ascii="宋体" w:hAnsi="宋体" w:eastAsia="宋体" w:cs="宋体"/>
                <w:color w:val="auto"/>
                <w:sz w:val="24"/>
                <w:szCs w:val="24"/>
              </w:rPr>
              <w:t>≤</w:t>
            </w:r>
            <w:r>
              <w:rPr>
                <w:rFonts w:hint="eastAsia" w:ascii="宋体" w:hAnsi="宋体" w:eastAsia="宋体" w:cs="宋体"/>
                <w:color w:val="auto"/>
                <w:sz w:val="24"/>
                <w:szCs w:val="24"/>
              </w:rPr>
              <w:t>5193</w:t>
            </w:r>
            <w:r>
              <w:rPr>
                <w:rFonts w:hint="eastAsia" w:ascii="宋体" w:hAnsi="宋体" w:eastAsia="宋体" w:cs="宋体"/>
                <w:color w:val="auto"/>
                <w:sz w:val="24"/>
                <w:szCs w:val="24"/>
                <w:lang w:eastAsia="zh-CN"/>
              </w:rPr>
              <w:t>；</w:t>
            </w:r>
          </w:p>
          <w:p w14:paraId="15EFE45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最大功率(Kw)</w:t>
            </w:r>
            <w:r>
              <w:rPr>
                <w:rFonts w:hint="eastAsia" w:ascii="宋体" w:hAnsi="宋体" w:eastAsia="宋体" w:cs="宋体"/>
                <w:color w:val="auto"/>
                <w:sz w:val="24"/>
                <w:szCs w:val="24"/>
                <w:lang w:eastAsia="zh-CN"/>
              </w:rPr>
              <w:t>：</w:t>
            </w:r>
            <w:r>
              <w:rPr>
                <w:rStyle w:val="47"/>
                <w:rFonts w:hint="eastAsia" w:ascii="宋体" w:hAnsi="宋体" w:eastAsia="宋体" w:cs="宋体"/>
                <w:color w:val="auto"/>
                <w:sz w:val="24"/>
                <w:szCs w:val="24"/>
              </w:rPr>
              <w:t>≥</w:t>
            </w:r>
            <w:r>
              <w:rPr>
                <w:rFonts w:hint="eastAsia" w:ascii="宋体" w:hAnsi="宋体" w:eastAsia="宋体" w:cs="宋体"/>
                <w:color w:val="auto"/>
                <w:sz w:val="24"/>
                <w:szCs w:val="24"/>
              </w:rPr>
              <w:t>139</w:t>
            </w:r>
            <w:r>
              <w:rPr>
                <w:rFonts w:hint="eastAsia" w:ascii="宋体" w:hAnsi="宋体" w:eastAsia="宋体" w:cs="宋体"/>
                <w:color w:val="auto"/>
                <w:sz w:val="24"/>
                <w:szCs w:val="24"/>
                <w:lang w:eastAsia="zh-CN"/>
              </w:rPr>
              <w:t>；</w:t>
            </w:r>
          </w:p>
          <w:p w14:paraId="3201940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最高车速：</w:t>
            </w:r>
            <w:r>
              <w:rPr>
                <w:rStyle w:val="47"/>
                <w:rFonts w:hint="eastAsia" w:ascii="宋体" w:hAnsi="宋体" w:eastAsia="宋体" w:cs="宋体"/>
                <w:color w:val="auto"/>
                <w:sz w:val="24"/>
                <w:szCs w:val="24"/>
              </w:rPr>
              <w:t>≥</w:t>
            </w:r>
            <w:r>
              <w:rPr>
                <w:rFonts w:hint="eastAsia" w:ascii="宋体" w:hAnsi="宋体" w:eastAsia="宋体" w:cs="宋体"/>
                <w:color w:val="auto"/>
                <w:sz w:val="24"/>
                <w:szCs w:val="24"/>
              </w:rPr>
              <w:t>110Km/h</w:t>
            </w:r>
            <w:r>
              <w:rPr>
                <w:rFonts w:hint="eastAsia" w:ascii="宋体" w:hAnsi="宋体" w:eastAsia="宋体" w:cs="宋体"/>
                <w:color w:val="auto"/>
                <w:sz w:val="24"/>
                <w:szCs w:val="24"/>
                <w:lang w:eastAsia="zh-CN"/>
              </w:rPr>
              <w:t>；</w:t>
            </w:r>
          </w:p>
          <w:p w14:paraId="16A785F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乘坐人数：</w:t>
            </w:r>
            <w:r>
              <w:rPr>
                <w:rStyle w:val="47"/>
                <w:rFonts w:hint="eastAsia" w:ascii="宋体" w:hAnsi="宋体" w:eastAsia="宋体" w:cs="宋体"/>
                <w:color w:val="auto"/>
                <w:sz w:val="24"/>
                <w:szCs w:val="24"/>
              </w:rPr>
              <w:t>≥</w:t>
            </w:r>
            <w:r>
              <w:rPr>
                <w:rFonts w:hint="eastAsia" w:ascii="宋体" w:hAnsi="宋体" w:eastAsia="宋体" w:cs="宋体"/>
                <w:color w:val="auto"/>
                <w:sz w:val="24"/>
                <w:szCs w:val="24"/>
              </w:rPr>
              <w:t>3人</w:t>
            </w:r>
            <w:r>
              <w:rPr>
                <w:rFonts w:hint="eastAsia" w:ascii="宋体" w:hAnsi="宋体" w:eastAsia="宋体" w:cs="宋体"/>
                <w:color w:val="auto"/>
                <w:sz w:val="24"/>
                <w:szCs w:val="24"/>
                <w:lang w:eastAsia="zh-CN"/>
              </w:rPr>
              <w:t>；</w:t>
            </w:r>
          </w:p>
          <w:p w14:paraId="34142A9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装备车箱体尺寸</w:t>
            </w:r>
            <w:r>
              <w:rPr>
                <w:rFonts w:hint="eastAsia" w:ascii="宋体" w:hAnsi="宋体" w:eastAsia="宋体" w:cs="宋体"/>
                <w:color w:val="auto"/>
                <w:sz w:val="24"/>
                <w:szCs w:val="24"/>
                <w:lang w:eastAsia="zh-CN"/>
              </w:rPr>
              <w:t>：</w:t>
            </w:r>
            <w:r>
              <w:rPr>
                <w:rStyle w:val="47"/>
                <w:rFonts w:hint="eastAsia" w:ascii="宋体" w:hAnsi="宋体" w:eastAsia="宋体" w:cs="宋体"/>
                <w:color w:val="auto"/>
                <w:sz w:val="24"/>
                <w:szCs w:val="24"/>
              </w:rPr>
              <w:t>≤</w:t>
            </w:r>
            <w:r>
              <w:rPr>
                <w:rFonts w:hint="eastAsia" w:ascii="宋体" w:hAnsi="宋体" w:eastAsia="宋体" w:cs="宋体"/>
                <w:color w:val="auto"/>
                <w:kern w:val="0"/>
                <w:sz w:val="24"/>
                <w:szCs w:val="24"/>
              </w:rPr>
              <w:t>5140</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2360</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1980</w:t>
            </w:r>
            <w:r>
              <w:rPr>
                <w:rFonts w:hint="eastAsia" w:ascii="宋体" w:hAnsi="宋体" w:eastAsia="宋体" w:cs="宋体"/>
                <w:color w:val="auto"/>
                <w:sz w:val="24"/>
                <w:szCs w:val="24"/>
              </w:rPr>
              <w:t>mm</w:t>
            </w:r>
            <w:r>
              <w:rPr>
                <w:rFonts w:hint="eastAsia" w:ascii="宋体" w:hAnsi="宋体" w:eastAsia="宋体" w:cs="宋体"/>
                <w:color w:val="auto"/>
                <w:sz w:val="24"/>
                <w:szCs w:val="24"/>
                <w:lang w:eastAsia="zh-CN"/>
              </w:rPr>
              <w:t>；</w:t>
            </w:r>
          </w:p>
          <w:p w14:paraId="678DDE2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箱体容积</w:t>
            </w:r>
            <w:r>
              <w:rPr>
                <w:rFonts w:hint="eastAsia" w:ascii="宋体" w:hAnsi="宋体" w:eastAsia="宋体" w:cs="宋体"/>
                <w:color w:val="auto"/>
                <w:sz w:val="24"/>
                <w:szCs w:val="24"/>
                <w:lang w:eastAsia="zh-CN"/>
              </w:rPr>
              <w:t>：</w:t>
            </w:r>
            <w:r>
              <w:rPr>
                <w:rStyle w:val="47"/>
                <w:rFonts w:hint="eastAsia" w:ascii="宋体" w:hAnsi="宋体" w:eastAsia="宋体" w:cs="宋体"/>
                <w:color w:val="auto"/>
                <w:sz w:val="24"/>
                <w:szCs w:val="24"/>
              </w:rPr>
              <w:t>≥</w:t>
            </w:r>
            <w:r>
              <w:rPr>
                <w:rFonts w:hint="eastAsia" w:ascii="宋体" w:hAnsi="宋体" w:eastAsia="宋体" w:cs="宋体"/>
                <w:color w:val="auto"/>
                <w:sz w:val="24"/>
                <w:szCs w:val="24"/>
              </w:rPr>
              <w:t>20m</w:t>
            </w:r>
            <w:r>
              <w:rPr>
                <w:rFonts w:hint="eastAsia" w:ascii="宋体" w:hAnsi="宋体" w:eastAsia="宋体" w:cs="宋体"/>
                <w:color w:val="auto"/>
                <w:sz w:val="24"/>
                <w:szCs w:val="24"/>
                <w:vertAlign w:val="superscript"/>
              </w:rPr>
              <w:t>3</w:t>
            </w:r>
          </w:p>
          <w:p w14:paraId="3D7DB610">
            <w:pPr>
              <w:keepNext w:val="0"/>
              <w:keepLines w:val="0"/>
              <w:widowControl/>
              <w:suppressLineNumbers w:val="0"/>
              <w:spacing w:line="240" w:lineRule="auto"/>
              <w:jc w:val="left"/>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箱体容纳标准单警防暴装备数量：60套</w:t>
            </w:r>
          </w:p>
          <w:tbl>
            <w:tblPr>
              <w:tblStyle w:val="18"/>
              <w:tblW w:w="6596" w:type="dxa"/>
              <w:jc w:val="center"/>
              <w:shd w:val="clear" w:color="auto" w:fill="auto"/>
              <w:tblLayout w:type="fixed"/>
              <w:tblCellMar>
                <w:top w:w="0" w:type="dxa"/>
                <w:left w:w="57" w:type="dxa"/>
                <w:bottom w:w="0" w:type="dxa"/>
                <w:right w:w="57" w:type="dxa"/>
              </w:tblCellMar>
            </w:tblPr>
            <w:tblGrid>
              <w:gridCol w:w="547"/>
              <w:gridCol w:w="975"/>
              <w:gridCol w:w="1346"/>
              <w:gridCol w:w="480"/>
              <w:gridCol w:w="439"/>
              <w:gridCol w:w="2809"/>
            </w:tblGrid>
            <w:tr w14:paraId="6C3C3283">
              <w:tblPrEx>
                <w:shd w:val="clear" w:color="auto" w:fill="auto"/>
                <w:tblCellMar>
                  <w:top w:w="0" w:type="dxa"/>
                  <w:left w:w="57" w:type="dxa"/>
                  <w:bottom w:w="0" w:type="dxa"/>
                  <w:right w:w="57" w:type="dxa"/>
                </w:tblCellMar>
              </w:tblPrEx>
              <w:trPr>
                <w:trHeight w:val="23" w:hRule="atLeast"/>
                <w:jc w:val="center"/>
              </w:trPr>
              <w:tc>
                <w:tcPr>
                  <w:tcW w:w="5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2B731C">
                  <w:pPr>
                    <w:spacing w:line="360" w:lineRule="auto"/>
                    <w:jc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color w:val="auto"/>
                      <w:sz w:val="21"/>
                      <w:szCs w:val="21"/>
                      <w:lang w:val="en-US" w:eastAsia="zh-CN"/>
                    </w:rPr>
                    <w:br w:type="page"/>
                  </w:r>
                  <w:r>
                    <w:rPr>
                      <w:rFonts w:hint="eastAsia" w:ascii="宋体" w:hAnsi="宋体" w:eastAsia="宋体" w:cs="宋体"/>
                      <w:b/>
                      <w:bCs/>
                      <w:i w:val="0"/>
                      <w:iCs w:val="0"/>
                      <w:color w:val="auto"/>
                      <w:kern w:val="0"/>
                      <w:sz w:val="21"/>
                      <w:szCs w:val="21"/>
                      <w:highlight w:val="none"/>
                      <w:u w:val="none"/>
                      <w:lang w:val="en-US" w:eastAsia="zh-CN" w:bidi="ar"/>
                    </w:rPr>
                    <w:t>序号</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9E74A7">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功能分类</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244669">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设备名称</w:t>
                  </w:r>
                </w:p>
              </w:tc>
              <w:tc>
                <w:tcPr>
                  <w:tcW w:w="480" w:type="dxa"/>
                  <w:tcBorders>
                    <w:top w:val="single" w:color="000000" w:sz="4" w:space="0"/>
                    <w:left w:val="single" w:color="000000" w:sz="4" w:space="0"/>
                    <w:bottom w:val="single" w:color="auto" w:sz="4" w:space="0"/>
                    <w:right w:val="single" w:color="auto" w:sz="4" w:space="0"/>
                  </w:tcBorders>
                  <w:shd w:val="clear" w:color="auto" w:fill="auto"/>
                  <w:noWrap w:val="0"/>
                  <w:vAlign w:val="center"/>
                </w:tcPr>
                <w:p w14:paraId="1CBD1857">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439" w:type="dxa"/>
                  <w:tcBorders>
                    <w:top w:val="single" w:color="000000" w:sz="4" w:space="0"/>
                    <w:left w:val="single" w:color="auto" w:sz="4" w:space="0"/>
                    <w:bottom w:val="single" w:color="auto" w:sz="4" w:space="0"/>
                    <w:right w:val="single" w:color="000000" w:sz="4" w:space="0"/>
                  </w:tcBorders>
                  <w:shd w:val="clear" w:color="auto" w:fill="auto"/>
                  <w:noWrap w:val="0"/>
                  <w:vAlign w:val="center"/>
                </w:tcPr>
                <w:p w14:paraId="6769B346">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BBA34A">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u w:val="none"/>
                      <w:lang w:val="en-US" w:eastAsia="zh-CN" w:bidi="ar"/>
                    </w:rPr>
                    <w:t>备注</w:t>
                  </w:r>
                </w:p>
              </w:tc>
            </w:tr>
            <w:tr w14:paraId="208B9A7C">
              <w:tblPrEx>
                <w:shd w:val="clear" w:color="auto" w:fill="auto"/>
                <w:tblCellMar>
                  <w:top w:w="0" w:type="dxa"/>
                  <w:left w:w="57" w:type="dxa"/>
                  <w:bottom w:w="0" w:type="dxa"/>
                  <w:right w:w="57" w:type="dxa"/>
                </w:tblCellMar>
              </w:tblPrEx>
              <w:trPr>
                <w:trHeight w:val="23" w:hRule="atLeast"/>
                <w:jc w:val="center"/>
              </w:trPr>
              <w:tc>
                <w:tcPr>
                  <w:tcW w:w="5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ABFB8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D4C4A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底盘车型</w:t>
                  </w:r>
                </w:p>
              </w:tc>
              <w:tc>
                <w:tcPr>
                  <w:tcW w:w="134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5D06EF1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4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18C05E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3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5AAF31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2809"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4E3D182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原车</w:t>
                  </w:r>
                  <w:r>
                    <w:rPr>
                      <w:rStyle w:val="47"/>
                      <w:rFonts w:hint="eastAsia" w:ascii="宋体" w:hAnsi="宋体" w:eastAsia="宋体" w:cs="宋体"/>
                      <w:color w:val="auto"/>
                      <w:sz w:val="21"/>
                      <w:szCs w:val="21"/>
                      <w:highlight w:val="none"/>
                    </w:rPr>
                    <w:t>≥</w:t>
                  </w:r>
                  <w:r>
                    <w:rPr>
                      <w:rFonts w:hint="eastAsia" w:ascii="宋体" w:hAnsi="宋体" w:eastAsia="宋体" w:cs="宋体"/>
                      <w:i w:val="0"/>
                      <w:iCs w:val="0"/>
                      <w:color w:val="auto"/>
                      <w:kern w:val="0"/>
                      <w:sz w:val="21"/>
                      <w:szCs w:val="21"/>
                      <w:highlight w:val="none"/>
                      <w:u w:val="none"/>
                      <w:lang w:val="en-US" w:eastAsia="zh-CN" w:bidi="ar"/>
                    </w:rPr>
                    <w:t>3座、国Ⅵ、柴油发动机</w:t>
                  </w:r>
                  <w:r>
                    <w:rPr>
                      <w:rStyle w:val="47"/>
                      <w:rFonts w:hint="eastAsia" w:ascii="宋体" w:hAnsi="宋体" w:eastAsia="宋体" w:cs="宋体"/>
                      <w:color w:val="auto"/>
                      <w:sz w:val="21"/>
                      <w:szCs w:val="21"/>
                      <w:highlight w:val="none"/>
                    </w:rPr>
                    <w:t>≥</w:t>
                  </w:r>
                  <w:r>
                    <w:rPr>
                      <w:rFonts w:hint="eastAsia" w:ascii="宋体" w:hAnsi="宋体" w:eastAsia="宋体" w:cs="宋体"/>
                      <w:i w:val="0"/>
                      <w:iCs w:val="0"/>
                      <w:color w:val="auto"/>
                      <w:kern w:val="0"/>
                      <w:sz w:val="21"/>
                      <w:szCs w:val="21"/>
                      <w:highlight w:val="none"/>
                      <w:u w:val="none"/>
                      <w:lang w:val="en-US" w:eastAsia="zh-CN" w:bidi="ar"/>
                    </w:rPr>
                    <w:t>139KW、手动挡、改装后</w:t>
                  </w:r>
                  <w:r>
                    <w:rPr>
                      <w:rStyle w:val="47"/>
                      <w:rFonts w:hint="eastAsia" w:ascii="宋体" w:hAnsi="宋体" w:eastAsia="宋体" w:cs="宋体"/>
                      <w:color w:val="auto"/>
                      <w:sz w:val="21"/>
                      <w:szCs w:val="21"/>
                      <w:highlight w:val="none"/>
                    </w:rPr>
                    <w:t>≥</w:t>
                  </w:r>
                  <w:r>
                    <w:rPr>
                      <w:rFonts w:hint="eastAsia" w:ascii="宋体" w:hAnsi="宋体" w:eastAsia="宋体" w:cs="宋体"/>
                      <w:i w:val="0"/>
                      <w:iCs w:val="0"/>
                      <w:color w:val="auto"/>
                      <w:kern w:val="0"/>
                      <w:sz w:val="21"/>
                      <w:szCs w:val="21"/>
                      <w:highlight w:val="none"/>
                      <w:u w:val="none"/>
                      <w:lang w:val="en-US" w:eastAsia="zh-CN" w:bidi="ar"/>
                    </w:rPr>
                    <w:t>3座含司机</w:t>
                  </w:r>
                </w:p>
              </w:tc>
            </w:tr>
            <w:tr w14:paraId="04A655C0">
              <w:tblPrEx>
                <w:shd w:val="clear" w:color="auto" w:fill="auto"/>
                <w:tblCellMar>
                  <w:top w:w="0" w:type="dxa"/>
                  <w:left w:w="57" w:type="dxa"/>
                  <w:bottom w:w="0" w:type="dxa"/>
                  <w:right w:w="57" w:type="dxa"/>
                </w:tblCellMar>
              </w:tblPrEx>
              <w:trPr>
                <w:trHeight w:val="23" w:hRule="atLeast"/>
                <w:jc w:val="center"/>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99D1F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818F0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装备厢体</w:t>
                  </w:r>
                </w:p>
              </w:tc>
              <w:tc>
                <w:tcPr>
                  <w:tcW w:w="134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2C28B24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装备厢(60套)</w:t>
                  </w:r>
                </w:p>
              </w:tc>
              <w:tc>
                <w:tcPr>
                  <w:tcW w:w="4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40745C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3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E07A64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2809"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5313FFB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型钢、框架结构、电解板外蒙皮</w:t>
                  </w:r>
                </w:p>
              </w:tc>
            </w:tr>
            <w:tr w14:paraId="06BBA5AB">
              <w:tblPrEx>
                <w:shd w:val="clear" w:color="auto" w:fill="auto"/>
                <w:tblCellMar>
                  <w:top w:w="0" w:type="dxa"/>
                  <w:left w:w="57" w:type="dxa"/>
                  <w:bottom w:w="0" w:type="dxa"/>
                  <w:right w:w="57" w:type="dxa"/>
                </w:tblCellMar>
              </w:tblPrEx>
              <w:trPr>
                <w:trHeight w:val="23" w:hRule="atLeast"/>
                <w:jc w:val="center"/>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02F1D6">
                  <w:pPr>
                    <w:jc w:val="center"/>
                    <w:rPr>
                      <w:rFonts w:hint="eastAsia" w:ascii="宋体" w:hAnsi="宋体" w:eastAsia="宋体" w:cs="宋体"/>
                      <w:i w:val="0"/>
                      <w:iCs w:val="0"/>
                      <w:color w:val="auto"/>
                      <w:sz w:val="21"/>
                      <w:szCs w:val="21"/>
                      <w:highlight w:val="none"/>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7B5AC4">
                  <w:pPr>
                    <w:jc w:val="center"/>
                    <w:rPr>
                      <w:rFonts w:hint="eastAsia" w:ascii="宋体" w:hAnsi="宋体" w:eastAsia="宋体" w:cs="宋体"/>
                      <w:i w:val="0"/>
                      <w:iCs w:val="0"/>
                      <w:color w:val="auto"/>
                      <w:sz w:val="21"/>
                      <w:szCs w:val="21"/>
                      <w:highlight w:val="none"/>
                      <w:u w:val="none"/>
                    </w:rPr>
                  </w:pPr>
                </w:p>
              </w:tc>
              <w:tc>
                <w:tcPr>
                  <w:tcW w:w="134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7D7B2E8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行李舱</w:t>
                  </w:r>
                </w:p>
              </w:tc>
              <w:tc>
                <w:tcPr>
                  <w:tcW w:w="4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0475EB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43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860E27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2809"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17AB9D1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型钢制作、花纹铝板装饰</w:t>
                  </w:r>
                </w:p>
              </w:tc>
            </w:tr>
            <w:tr w14:paraId="000E409D">
              <w:tblPrEx>
                <w:shd w:val="clear" w:color="auto" w:fill="auto"/>
                <w:tblCellMar>
                  <w:top w:w="0" w:type="dxa"/>
                  <w:left w:w="57" w:type="dxa"/>
                  <w:bottom w:w="0" w:type="dxa"/>
                  <w:right w:w="57" w:type="dxa"/>
                </w:tblCellMar>
              </w:tblPrEx>
              <w:trPr>
                <w:trHeight w:val="23" w:hRule="atLeast"/>
                <w:jc w:val="center"/>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A007FC">
                  <w:pPr>
                    <w:jc w:val="center"/>
                    <w:rPr>
                      <w:rFonts w:hint="eastAsia" w:ascii="宋体" w:hAnsi="宋体" w:eastAsia="宋体" w:cs="宋体"/>
                      <w:i w:val="0"/>
                      <w:iCs w:val="0"/>
                      <w:color w:val="auto"/>
                      <w:sz w:val="21"/>
                      <w:szCs w:val="21"/>
                      <w:highlight w:val="none"/>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B487B0">
                  <w:pPr>
                    <w:jc w:val="center"/>
                    <w:rPr>
                      <w:rFonts w:hint="eastAsia" w:ascii="宋体" w:hAnsi="宋体" w:eastAsia="宋体" w:cs="宋体"/>
                      <w:i w:val="0"/>
                      <w:iCs w:val="0"/>
                      <w:color w:val="auto"/>
                      <w:sz w:val="21"/>
                      <w:szCs w:val="21"/>
                      <w:highlight w:val="none"/>
                      <w:u w:val="none"/>
                    </w:rPr>
                  </w:pPr>
                </w:p>
              </w:tc>
              <w:tc>
                <w:tcPr>
                  <w:tcW w:w="134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6A0EA93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侧踏板</w:t>
                  </w:r>
                </w:p>
              </w:tc>
              <w:tc>
                <w:tcPr>
                  <w:tcW w:w="4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AFEA9F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43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543C15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2809"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1933CCA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翻转式、铝型材、花纹铝板</w:t>
                  </w:r>
                </w:p>
              </w:tc>
            </w:tr>
            <w:tr w14:paraId="13AB25C4">
              <w:tblPrEx>
                <w:shd w:val="clear" w:color="auto" w:fill="auto"/>
                <w:tblCellMar>
                  <w:top w:w="0" w:type="dxa"/>
                  <w:left w:w="57" w:type="dxa"/>
                  <w:bottom w:w="0" w:type="dxa"/>
                  <w:right w:w="57" w:type="dxa"/>
                </w:tblCellMar>
              </w:tblPrEx>
              <w:trPr>
                <w:trHeight w:val="23" w:hRule="atLeast"/>
                <w:jc w:val="center"/>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13204E">
                  <w:pPr>
                    <w:jc w:val="center"/>
                    <w:rPr>
                      <w:rFonts w:hint="eastAsia" w:ascii="宋体" w:hAnsi="宋体" w:eastAsia="宋体" w:cs="宋体"/>
                      <w:i w:val="0"/>
                      <w:iCs w:val="0"/>
                      <w:color w:val="auto"/>
                      <w:sz w:val="21"/>
                      <w:szCs w:val="21"/>
                      <w:highlight w:val="none"/>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5FDEAB">
                  <w:pPr>
                    <w:jc w:val="center"/>
                    <w:rPr>
                      <w:rFonts w:hint="eastAsia" w:ascii="宋体" w:hAnsi="宋体" w:eastAsia="宋体" w:cs="宋体"/>
                      <w:i w:val="0"/>
                      <w:iCs w:val="0"/>
                      <w:color w:val="auto"/>
                      <w:sz w:val="21"/>
                      <w:szCs w:val="21"/>
                      <w:highlight w:val="none"/>
                      <w:u w:val="none"/>
                    </w:rPr>
                  </w:pPr>
                </w:p>
              </w:tc>
              <w:tc>
                <w:tcPr>
                  <w:tcW w:w="134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5D9F577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尾部踏板</w:t>
                  </w:r>
                </w:p>
              </w:tc>
              <w:tc>
                <w:tcPr>
                  <w:tcW w:w="4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468BBE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3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5435C0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2809"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6FC5ACC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翻转式、型钢制作、花纹铝板</w:t>
                  </w:r>
                </w:p>
              </w:tc>
            </w:tr>
            <w:tr w14:paraId="37676097">
              <w:tblPrEx>
                <w:tblCellMar>
                  <w:top w:w="0" w:type="dxa"/>
                  <w:left w:w="57" w:type="dxa"/>
                  <w:bottom w:w="0" w:type="dxa"/>
                  <w:right w:w="57" w:type="dxa"/>
                </w:tblCellMar>
              </w:tblPrEx>
              <w:trPr>
                <w:trHeight w:val="23" w:hRule="atLeast"/>
                <w:jc w:val="center"/>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36D5EA">
                  <w:pPr>
                    <w:jc w:val="center"/>
                    <w:rPr>
                      <w:rFonts w:hint="eastAsia" w:ascii="宋体" w:hAnsi="宋体" w:eastAsia="宋体" w:cs="宋体"/>
                      <w:i w:val="0"/>
                      <w:iCs w:val="0"/>
                      <w:color w:val="auto"/>
                      <w:sz w:val="21"/>
                      <w:szCs w:val="21"/>
                      <w:highlight w:val="none"/>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FB9190">
                  <w:pPr>
                    <w:jc w:val="center"/>
                    <w:rPr>
                      <w:rFonts w:hint="eastAsia" w:ascii="宋体" w:hAnsi="宋体" w:eastAsia="宋体" w:cs="宋体"/>
                      <w:i w:val="0"/>
                      <w:iCs w:val="0"/>
                      <w:color w:val="auto"/>
                      <w:sz w:val="21"/>
                      <w:szCs w:val="21"/>
                      <w:highlight w:val="none"/>
                      <w:u w:val="none"/>
                    </w:rPr>
                  </w:pPr>
                </w:p>
              </w:tc>
              <w:tc>
                <w:tcPr>
                  <w:tcW w:w="134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6C31D09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下翻门锁</w:t>
                  </w:r>
                </w:p>
              </w:tc>
              <w:tc>
                <w:tcPr>
                  <w:tcW w:w="4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B9C3A3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43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F7961B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2809"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1FCA606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不锈钢材质</w:t>
                  </w:r>
                </w:p>
              </w:tc>
            </w:tr>
            <w:tr w14:paraId="038A17A9">
              <w:tblPrEx>
                <w:shd w:val="clear" w:color="auto" w:fill="auto"/>
                <w:tblCellMar>
                  <w:top w:w="0" w:type="dxa"/>
                  <w:left w:w="57" w:type="dxa"/>
                  <w:bottom w:w="0" w:type="dxa"/>
                  <w:right w:w="57" w:type="dxa"/>
                </w:tblCellMar>
              </w:tblPrEx>
              <w:trPr>
                <w:trHeight w:val="23" w:hRule="atLeast"/>
                <w:jc w:val="center"/>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1E7FF4">
                  <w:pPr>
                    <w:jc w:val="center"/>
                    <w:rPr>
                      <w:rFonts w:hint="eastAsia" w:ascii="宋体" w:hAnsi="宋体" w:eastAsia="宋体" w:cs="宋体"/>
                      <w:i w:val="0"/>
                      <w:iCs w:val="0"/>
                      <w:color w:val="auto"/>
                      <w:sz w:val="21"/>
                      <w:szCs w:val="21"/>
                      <w:highlight w:val="none"/>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9EAC5A">
                  <w:pPr>
                    <w:jc w:val="center"/>
                    <w:rPr>
                      <w:rFonts w:hint="eastAsia" w:ascii="宋体" w:hAnsi="宋体" w:eastAsia="宋体" w:cs="宋体"/>
                      <w:i w:val="0"/>
                      <w:iCs w:val="0"/>
                      <w:color w:val="auto"/>
                      <w:sz w:val="21"/>
                      <w:szCs w:val="21"/>
                      <w:highlight w:val="none"/>
                      <w:u w:val="none"/>
                    </w:rPr>
                  </w:pPr>
                </w:p>
              </w:tc>
              <w:tc>
                <w:tcPr>
                  <w:tcW w:w="134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7DBEBC7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下翻门胶条</w:t>
                  </w:r>
                </w:p>
              </w:tc>
              <w:tc>
                <w:tcPr>
                  <w:tcW w:w="4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2732B0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43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65D716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2809"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620D9D3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耐老化高档胶条</w:t>
                  </w:r>
                </w:p>
              </w:tc>
            </w:tr>
            <w:tr w14:paraId="0CB299FC">
              <w:tblPrEx>
                <w:shd w:val="clear" w:color="auto" w:fill="auto"/>
                <w:tblCellMar>
                  <w:top w:w="0" w:type="dxa"/>
                  <w:left w:w="57" w:type="dxa"/>
                  <w:bottom w:w="0" w:type="dxa"/>
                  <w:right w:w="57" w:type="dxa"/>
                </w:tblCellMar>
              </w:tblPrEx>
              <w:trPr>
                <w:trHeight w:val="23" w:hRule="atLeast"/>
                <w:jc w:val="center"/>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A013D5">
                  <w:pPr>
                    <w:jc w:val="center"/>
                    <w:rPr>
                      <w:rFonts w:hint="eastAsia" w:ascii="宋体" w:hAnsi="宋体" w:eastAsia="宋体" w:cs="宋体"/>
                      <w:i w:val="0"/>
                      <w:iCs w:val="0"/>
                      <w:color w:val="auto"/>
                      <w:sz w:val="21"/>
                      <w:szCs w:val="21"/>
                      <w:highlight w:val="none"/>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B2A32F">
                  <w:pPr>
                    <w:jc w:val="center"/>
                    <w:rPr>
                      <w:rFonts w:hint="eastAsia" w:ascii="宋体" w:hAnsi="宋体" w:eastAsia="宋体" w:cs="宋体"/>
                      <w:i w:val="0"/>
                      <w:iCs w:val="0"/>
                      <w:color w:val="auto"/>
                      <w:sz w:val="21"/>
                      <w:szCs w:val="21"/>
                      <w:highlight w:val="none"/>
                      <w:u w:val="none"/>
                    </w:rPr>
                  </w:pPr>
                </w:p>
              </w:tc>
              <w:tc>
                <w:tcPr>
                  <w:tcW w:w="134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59ED277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二级踏步</w:t>
                  </w:r>
                </w:p>
              </w:tc>
              <w:tc>
                <w:tcPr>
                  <w:tcW w:w="4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415BD0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43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363BC3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2809"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01DDEF3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铝合金骨架，花纹铝板蒙皮</w:t>
                  </w:r>
                </w:p>
              </w:tc>
            </w:tr>
            <w:tr w14:paraId="5A3A8D27">
              <w:tblPrEx>
                <w:tblCellMar>
                  <w:top w:w="0" w:type="dxa"/>
                  <w:left w:w="57" w:type="dxa"/>
                  <w:bottom w:w="0" w:type="dxa"/>
                  <w:right w:w="57" w:type="dxa"/>
                </w:tblCellMar>
              </w:tblPrEx>
              <w:trPr>
                <w:trHeight w:val="23" w:hRule="atLeast"/>
                <w:jc w:val="center"/>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90A1D9">
                  <w:pPr>
                    <w:jc w:val="center"/>
                    <w:rPr>
                      <w:rFonts w:hint="eastAsia" w:ascii="宋体" w:hAnsi="宋体" w:eastAsia="宋体" w:cs="宋体"/>
                      <w:i w:val="0"/>
                      <w:iCs w:val="0"/>
                      <w:color w:val="auto"/>
                      <w:sz w:val="21"/>
                      <w:szCs w:val="21"/>
                      <w:highlight w:val="none"/>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D01E32">
                  <w:pPr>
                    <w:jc w:val="center"/>
                    <w:rPr>
                      <w:rFonts w:hint="eastAsia" w:ascii="宋体" w:hAnsi="宋体" w:eastAsia="宋体" w:cs="宋体"/>
                      <w:i w:val="0"/>
                      <w:iCs w:val="0"/>
                      <w:color w:val="auto"/>
                      <w:sz w:val="21"/>
                      <w:szCs w:val="21"/>
                      <w:highlight w:val="none"/>
                      <w:u w:val="none"/>
                    </w:rPr>
                  </w:pPr>
                </w:p>
              </w:tc>
              <w:tc>
                <w:tcPr>
                  <w:tcW w:w="134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2C0DA9C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二级踏步支架</w:t>
                  </w:r>
                </w:p>
              </w:tc>
              <w:tc>
                <w:tcPr>
                  <w:tcW w:w="4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EC3F47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43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336E15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对</w:t>
                  </w:r>
                </w:p>
              </w:tc>
              <w:tc>
                <w:tcPr>
                  <w:tcW w:w="2809"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5577D66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不锈钢材质</w:t>
                  </w:r>
                </w:p>
              </w:tc>
            </w:tr>
            <w:tr w14:paraId="58964C4D">
              <w:tblPrEx>
                <w:shd w:val="clear" w:color="auto" w:fill="auto"/>
                <w:tblCellMar>
                  <w:top w:w="0" w:type="dxa"/>
                  <w:left w:w="57" w:type="dxa"/>
                  <w:bottom w:w="0" w:type="dxa"/>
                  <w:right w:w="57" w:type="dxa"/>
                </w:tblCellMar>
              </w:tblPrEx>
              <w:trPr>
                <w:trHeight w:val="23" w:hRule="atLeast"/>
                <w:jc w:val="center"/>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230D1F">
                  <w:pPr>
                    <w:jc w:val="center"/>
                    <w:rPr>
                      <w:rFonts w:hint="eastAsia" w:ascii="宋体" w:hAnsi="宋体" w:eastAsia="宋体" w:cs="宋体"/>
                      <w:i w:val="0"/>
                      <w:iCs w:val="0"/>
                      <w:color w:val="auto"/>
                      <w:sz w:val="21"/>
                      <w:szCs w:val="21"/>
                      <w:highlight w:val="none"/>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8B869A">
                  <w:pPr>
                    <w:jc w:val="center"/>
                    <w:rPr>
                      <w:rFonts w:hint="eastAsia" w:ascii="宋体" w:hAnsi="宋体" w:eastAsia="宋体" w:cs="宋体"/>
                      <w:i w:val="0"/>
                      <w:iCs w:val="0"/>
                      <w:color w:val="auto"/>
                      <w:sz w:val="21"/>
                      <w:szCs w:val="21"/>
                      <w:highlight w:val="none"/>
                      <w:u w:val="none"/>
                    </w:rPr>
                  </w:pPr>
                </w:p>
              </w:tc>
              <w:tc>
                <w:tcPr>
                  <w:tcW w:w="134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5C2C4C5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铝合金卷帘门</w:t>
                  </w:r>
                </w:p>
              </w:tc>
              <w:tc>
                <w:tcPr>
                  <w:tcW w:w="4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9186E0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43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102204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2809"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5510871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铝合金门板厚1.0</w:t>
                  </w:r>
                </w:p>
              </w:tc>
            </w:tr>
            <w:tr w14:paraId="502DE276">
              <w:tblPrEx>
                <w:tblCellMar>
                  <w:top w:w="0" w:type="dxa"/>
                  <w:left w:w="57" w:type="dxa"/>
                  <w:bottom w:w="0" w:type="dxa"/>
                  <w:right w:w="57" w:type="dxa"/>
                </w:tblCellMar>
              </w:tblPrEx>
              <w:trPr>
                <w:trHeight w:val="23" w:hRule="atLeast"/>
                <w:jc w:val="center"/>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160685">
                  <w:pPr>
                    <w:jc w:val="center"/>
                    <w:rPr>
                      <w:rFonts w:hint="eastAsia" w:ascii="宋体" w:hAnsi="宋体" w:eastAsia="宋体" w:cs="宋体"/>
                      <w:i w:val="0"/>
                      <w:iCs w:val="0"/>
                      <w:color w:val="auto"/>
                      <w:sz w:val="21"/>
                      <w:szCs w:val="21"/>
                      <w:highlight w:val="none"/>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217B6E">
                  <w:pPr>
                    <w:jc w:val="center"/>
                    <w:rPr>
                      <w:rFonts w:hint="eastAsia" w:ascii="宋体" w:hAnsi="宋体" w:eastAsia="宋体" w:cs="宋体"/>
                      <w:i w:val="0"/>
                      <w:iCs w:val="0"/>
                      <w:color w:val="auto"/>
                      <w:sz w:val="21"/>
                      <w:szCs w:val="21"/>
                      <w:highlight w:val="none"/>
                      <w:u w:val="none"/>
                    </w:rPr>
                  </w:pPr>
                </w:p>
              </w:tc>
              <w:tc>
                <w:tcPr>
                  <w:tcW w:w="134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2FD0AB0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铝型材架</w:t>
                  </w:r>
                </w:p>
              </w:tc>
              <w:tc>
                <w:tcPr>
                  <w:tcW w:w="4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2BD7F4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3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7A2C05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车套</w:t>
                  </w:r>
                </w:p>
              </w:tc>
              <w:tc>
                <w:tcPr>
                  <w:tcW w:w="2809"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40981BC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可快拆式铝型材结构</w:t>
                  </w:r>
                </w:p>
              </w:tc>
            </w:tr>
            <w:tr w14:paraId="1DCEC4F3">
              <w:tblPrEx>
                <w:shd w:val="clear" w:color="auto" w:fill="auto"/>
                <w:tblCellMar>
                  <w:top w:w="0" w:type="dxa"/>
                  <w:left w:w="57" w:type="dxa"/>
                  <w:bottom w:w="0" w:type="dxa"/>
                  <w:right w:w="57" w:type="dxa"/>
                </w:tblCellMar>
              </w:tblPrEx>
              <w:trPr>
                <w:trHeight w:val="23" w:hRule="atLeast"/>
                <w:jc w:val="center"/>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6D3531">
                  <w:pPr>
                    <w:jc w:val="center"/>
                    <w:rPr>
                      <w:rFonts w:hint="eastAsia" w:ascii="宋体" w:hAnsi="宋体" w:eastAsia="宋体" w:cs="宋体"/>
                      <w:i w:val="0"/>
                      <w:iCs w:val="0"/>
                      <w:color w:val="auto"/>
                      <w:sz w:val="21"/>
                      <w:szCs w:val="21"/>
                      <w:highlight w:val="none"/>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BECD5C">
                  <w:pPr>
                    <w:jc w:val="center"/>
                    <w:rPr>
                      <w:rFonts w:hint="eastAsia" w:ascii="宋体" w:hAnsi="宋体" w:eastAsia="宋体" w:cs="宋体"/>
                      <w:i w:val="0"/>
                      <w:iCs w:val="0"/>
                      <w:color w:val="auto"/>
                      <w:sz w:val="21"/>
                      <w:szCs w:val="21"/>
                      <w:highlight w:val="none"/>
                      <w:u w:val="none"/>
                    </w:rPr>
                  </w:pPr>
                </w:p>
              </w:tc>
              <w:tc>
                <w:tcPr>
                  <w:tcW w:w="134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2B95C76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铝型材连接件</w:t>
                  </w:r>
                </w:p>
              </w:tc>
              <w:tc>
                <w:tcPr>
                  <w:tcW w:w="4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687D36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3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B0A4F6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车套</w:t>
                  </w:r>
                </w:p>
              </w:tc>
              <w:tc>
                <w:tcPr>
                  <w:tcW w:w="2809"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788F1B5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可快拆式铝型材结构</w:t>
                  </w:r>
                </w:p>
              </w:tc>
            </w:tr>
            <w:tr w14:paraId="5837D30B">
              <w:tblPrEx>
                <w:shd w:val="clear" w:color="auto" w:fill="auto"/>
                <w:tblCellMar>
                  <w:top w:w="0" w:type="dxa"/>
                  <w:left w:w="57" w:type="dxa"/>
                  <w:bottom w:w="0" w:type="dxa"/>
                  <w:right w:w="57" w:type="dxa"/>
                </w:tblCellMar>
              </w:tblPrEx>
              <w:trPr>
                <w:trHeight w:val="23" w:hRule="atLeast"/>
                <w:jc w:val="center"/>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AA9FBD">
                  <w:pPr>
                    <w:jc w:val="center"/>
                    <w:rPr>
                      <w:rFonts w:hint="eastAsia" w:ascii="宋体" w:hAnsi="宋体" w:eastAsia="宋体" w:cs="宋体"/>
                      <w:i w:val="0"/>
                      <w:iCs w:val="0"/>
                      <w:color w:val="auto"/>
                      <w:sz w:val="21"/>
                      <w:szCs w:val="21"/>
                      <w:highlight w:val="none"/>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79122A">
                  <w:pPr>
                    <w:jc w:val="center"/>
                    <w:rPr>
                      <w:rFonts w:hint="eastAsia" w:ascii="宋体" w:hAnsi="宋体" w:eastAsia="宋体" w:cs="宋体"/>
                      <w:i w:val="0"/>
                      <w:iCs w:val="0"/>
                      <w:color w:val="auto"/>
                      <w:sz w:val="21"/>
                      <w:szCs w:val="21"/>
                      <w:highlight w:val="none"/>
                      <w:u w:val="none"/>
                    </w:rPr>
                  </w:pPr>
                </w:p>
              </w:tc>
              <w:tc>
                <w:tcPr>
                  <w:tcW w:w="134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39A9170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分隔竖板</w:t>
                  </w:r>
                </w:p>
              </w:tc>
              <w:tc>
                <w:tcPr>
                  <w:tcW w:w="4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D6F139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43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A9A112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2809"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6CC11E3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冲孔铝板</w:t>
                  </w:r>
                </w:p>
              </w:tc>
            </w:tr>
            <w:tr w14:paraId="0E18DAAF">
              <w:tblPrEx>
                <w:tblCellMar>
                  <w:top w:w="0" w:type="dxa"/>
                  <w:left w:w="57" w:type="dxa"/>
                  <w:bottom w:w="0" w:type="dxa"/>
                  <w:right w:w="57" w:type="dxa"/>
                </w:tblCellMar>
              </w:tblPrEx>
              <w:trPr>
                <w:trHeight w:val="23" w:hRule="atLeast"/>
                <w:jc w:val="center"/>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4143D8">
                  <w:pPr>
                    <w:jc w:val="center"/>
                    <w:rPr>
                      <w:rFonts w:hint="eastAsia" w:ascii="宋体" w:hAnsi="宋体" w:eastAsia="宋体" w:cs="宋体"/>
                      <w:i w:val="0"/>
                      <w:iCs w:val="0"/>
                      <w:color w:val="auto"/>
                      <w:sz w:val="21"/>
                      <w:szCs w:val="21"/>
                      <w:highlight w:val="none"/>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3ECB9B">
                  <w:pPr>
                    <w:jc w:val="center"/>
                    <w:rPr>
                      <w:rFonts w:hint="eastAsia" w:ascii="宋体" w:hAnsi="宋体" w:eastAsia="宋体" w:cs="宋体"/>
                      <w:i w:val="0"/>
                      <w:iCs w:val="0"/>
                      <w:color w:val="auto"/>
                      <w:sz w:val="21"/>
                      <w:szCs w:val="21"/>
                      <w:highlight w:val="none"/>
                      <w:u w:val="none"/>
                    </w:rPr>
                  </w:pPr>
                </w:p>
              </w:tc>
              <w:tc>
                <w:tcPr>
                  <w:tcW w:w="134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297D717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分隔横板</w:t>
                  </w:r>
                </w:p>
              </w:tc>
              <w:tc>
                <w:tcPr>
                  <w:tcW w:w="4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F8A7D6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43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7DB3C8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2809"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1B29E89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花纹铝板</w:t>
                  </w:r>
                </w:p>
              </w:tc>
            </w:tr>
            <w:tr w14:paraId="6299DADD">
              <w:tblPrEx>
                <w:shd w:val="clear" w:color="auto" w:fill="auto"/>
                <w:tblCellMar>
                  <w:top w:w="0" w:type="dxa"/>
                  <w:left w:w="57" w:type="dxa"/>
                  <w:bottom w:w="0" w:type="dxa"/>
                  <w:right w:w="57" w:type="dxa"/>
                </w:tblCellMar>
              </w:tblPrEx>
              <w:trPr>
                <w:trHeight w:val="23" w:hRule="atLeast"/>
                <w:jc w:val="center"/>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89A3D3">
                  <w:pPr>
                    <w:jc w:val="center"/>
                    <w:rPr>
                      <w:rFonts w:hint="eastAsia" w:ascii="宋体" w:hAnsi="宋体" w:eastAsia="宋体" w:cs="宋体"/>
                      <w:i w:val="0"/>
                      <w:iCs w:val="0"/>
                      <w:color w:val="auto"/>
                      <w:sz w:val="21"/>
                      <w:szCs w:val="21"/>
                      <w:highlight w:val="none"/>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A50CC9">
                  <w:pPr>
                    <w:jc w:val="center"/>
                    <w:rPr>
                      <w:rFonts w:hint="eastAsia" w:ascii="宋体" w:hAnsi="宋体" w:eastAsia="宋体" w:cs="宋体"/>
                      <w:i w:val="0"/>
                      <w:iCs w:val="0"/>
                      <w:color w:val="auto"/>
                      <w:sz w:val="21"/>
                      <w:szCs w:val="21"/>
                      <w:highlight w:val="none"/>
                      <w:u w:val="none"/>
                    </w:rPr>
                  </w:pPr>
                </w:p>
              </w:tc>
              <w:tc>
                <w:tcPr>
                  <w:tcW w:w="134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233A40D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防滑层</w:t>
                  </w:r>
                </w:p>
              </w:tc>
              <w:tc>
                <w:tcPr>
                  <w:tcW w:w="4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813977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3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6ACFD5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车套</w:t>
                  </w:r>
                </w:p>
              </w:tc>
              <w:tc>
                <w:tcPr>
                  <w:tcW w:w="2809"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6C3FB07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合成材料，定做，轻质耐磨</w:t>
                  </w:r>
                </w:p>
              </w:tc>
            </w:tr>
            <w:tr w14:paraId="76F73CC8">
              <w:tblPrEx>
                <w:shd w:val="clear" w:color="auto" w:fill="auto"/>
                <w:tblCellMar>
                  <w:top w:w="0" w:type="dxa"/>
                  <w:left w:w="57" w:type="dxa"/>
                  <w:bottom w:w="0" w:type="dxa"/>
                  <w:right w:w="57" w:type="dxa"/>
                </w:tblCellMar>
              </w:tblPrEx>
              <w:trPr>
                <w:trHeight w:val="23" w:hRule="atLeast"/>
                <w:jc w:val="center"/>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9D06AB">
                  <w:pPr>
                    <w:jc w:val="center"/>
                    <w:rPr>
                      <w:rFonts w:hint="eastAsia" w:ascii="宋体" w:hAnsi="宋体" w:eastAsia="宋体" w:cs="宋体"/>
                      <w:i w:val="0"/>
                      <w:iCs w:val="0"/>
                      <w:color w:val="auto"/>
                      <w:sz w:val="21"/>
                      <w:szCs w:val="21"/>
                      <w:highlight w:val="none"/>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49364E">
                  <w:pPr>
                    <w:jc w:val="center"/>
                    <w:rPr>
                      <w:rFonts w:hint="eastAsia" w:ascii="宋体" w:hAnsi="宋体" w:eastAsia="宋体" w:cs="宋体"/>
                      <w:i w:val="0"/>
                      <w:iCs w:val="0"/>
                      <w:color w:val="auto"/>
                      <w:sz w:val="21"/>
                      <w:szCs w:val="21"/>
                      <w:highlight w:val="none"/>
                      <w:u w:val="none"/>
                    </w:rPr>
                  </w:pPr>
                </w:p>
              </w:tc>
              <w:tc>
                <w:tcPr>
                  <w:tcW w:w="134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5E0ACA8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铝包边</w:t>
                  </w:r>
                </w:p>
              </w:tc>
              <w:tc>
                <w:tcPr>
                  <w:tcW w:w="4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2491D1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43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9DDA4E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2809"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73E8BAD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铝合金5112包边</w:t>
                  </w:r>
                </w:p>
              </w:tc>
            </w:tr>
            <w:tr w14:paraId="686DDA1B">
              <w:tblPrEx>
                <w:shd w:val="clear" w:color="auto" w:fill="auto"/>
                <w:tblCellMar>
                  <w:top w:w="0" w:type="dxa"/>
                  <w:left w:w="57" w:type="dxa"/>
                  <w:bottom w:w="0" w:type="dxa"/>
                  <w:right w:w="57" w:type="dxa"/>
                </w:tblCellMar>
              </w:tblPrEx>
              <w:trPr>
                <w:trHeight w:val="23" w:hRule="atLeast"/>
                <w:jc w:val="center"/>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A53CEA">
                  <w:pPr>
                    <w:jc w:val="center"/>
                    <w:rPr>
                      <w:rFonts w:hint="eastAsia" w:ascii="宋体" w:hAnsi="宋体" w:eastAsia="宋体" w:cs="宋体"/>
                      <w:i w:val="0"/>
                      <w:iCs w:val="0"/>
                      <w:color w:val="auto"/>
                      <w:sz w:val="21"/>
                      <w:szCs w:val="21"/>
                      <w:highlight w:val="none"/>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62AC12">
                  <w:pPr>
                    <w:jc w:val="center"/>
                    <w:rPr>
                      <w:rFonts w:hint="eastAsia" w:ascii="宋体" w:hAnsi="宋体" w:eastAsia="宋体" w:cs="宋体"/>
                      <w:i w:val="0"/>
                      <w:iCs w:val="0"/>
                      <w:color w:val="auto"/>
                      <w:sz w:val="21"/>
                      <w:szCs w:val="21"/>
                      <w:highlight w:val="none"/>
                      <w:u w:val="none"/>
                    </w:rPr>
                  </w:pPr>
                </w:p>
              </w:tc>
              <w:tc>
                <w:tcPr>
                  <w:tcW w:w="134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0DD0E20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铝包角</w:t>
                  </w:r>
                </w:p>
              </w:tc>
              <w:tc>
                <w:tcPr>
                  <w:tcW w:w="4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4C608E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43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C5EB8C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2809"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7ACFD7E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铝合金5112包角</w:t>
                  </w:r>
                </w:p>
              </w:tc>
            </w:tr>
            <w:tr w14:paraId="1DD2734B">
              <w:tblPrEx>
                <w:tblCellMar>
                  <w:top w:w="0" w:type="dxa"/>
                  <w:left w:w="57" w:type="dxa"/>
                  <w:bottom w:w="0" w:type="dxa"/>
                  <w:right w:w="57" w:type="dxa"/>
                </w:tblCellMar>
              </w:tblPrEx>
              <w:trPr>
                <w:trHeight w:val="23" w:hRule="atLeast"/>
                <w:jc w:val="center"/>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2C7754">
                  <w:pPr>
                    <w:jc w:val="center"/>
                    <w:rPr>
                      <w:rFonts w:hint="eastAsia" w:ascii="宋体" w:hAnsi="宋体" w:eastAsia="宋体" w:cs="宋体"/>
                      <w:i w:val="0"/>
                      <w:iCs w:val="0"/>
                      <w:color w:val="auto"/>
                      <w:sz w:val="21"/>
                      <w:szCs w:val="21"/>
                      <w:highlight w:val="none"/>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5EAD95">
                  <w:pPr>
                    <w:jc w:val="center"/>
                    <w:rPr>
                      <w:rFonts w:hint="eastAsia" w:ascii="宋体" w:hAnsi="宋体" w:eastAsia="宋体" w:cs="宋体"/>
                      <w:i w:val="0"/>
                      <w:iCs w:val="0"/>
                      <w:color w:val="auto"/>
                      <w:sz w:val="21"/>
                      <w:szCs w:val="21"/>
                      <w:highlight w:val="none"/>
                      <w:u w:val="none"/>
                    </w:rPr>
                  </w:pPr>
                </w:p>
              </w:tc>
              <w:tc>
                <w:tcPr>
                  <w:tcW w:w="134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3862368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密封胶</w:t>
                  </w:r>
                </w:p>
              </w:tc>
              <w:tc>
                <w:tcPr>
                  <w:tcW w:w="4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7B63F9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43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58BB9A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2809"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36D2976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聚氨酯密封胶</w:t>
                  </w:r>
                </w:p>
              </w:tc>
            </w:tr>
            <w:tr w14:paraId="082E3FA4">
              <w:tblPrEx>
                <w:tblCellMar>
                  <w:top w:w="0" w:type="dxa"/>
                  <w:left w:w="57" w:type="dxa"/>
                  <w:bottom w:w="0" w:type="dxa"/>
                  <w:right w:w="57" w:type="dxa"/>
                </w:tblCellMar>
              </w:tblPrEx>
              <w:trPr>
                <w:trHeight w:val="23" w:hRule="atLeast"/>
                <w:jc w:val="center"/>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33FCE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D7840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固定支架</w:t>
                  </w:r>
                </w:p>
              </w:tc>
              <w:tc>
                <w:tcPr>
                  <w:tcW w:w="134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58AF4B4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魔术帮带</w:t>
                  </w:r>
                </w:p>
              </w:tc>
              <w:tc>
                <w:tcPr>
                  <w:tcW w:w="4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6C60D2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3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1B29E1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2809"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0B3792D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专用定做</w:t>
                  </w:r>
                </w:p>
              </w:tc>
            </w:tr>
            <w:tr w14:paraId="0C24E245">
              <w:tblPrEx>
                <w:tblCellMar>
                  <w:top w:w="0" w:type="dxa"/>
                  <w:left w:w="57" w:type="dxa"/>
                  <w:bottom w:w="0" w:type="dxa"/>
                  <w:right w:w="57" w:type="dxa"/>
                </w:tblCellMar>
              </w:tblPrEx>
              <w:trPr>
                <w:trHeight w:val="23" w:hRule="atLeast"/>
                <w:jc w:val="center"/>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81A134">
                  <w:pPr>
                    <w:jc w:val="center"/>
                    <w:rPr>
                      <w:rFonts w:hint="eastAsia" w:ascii="宋体" w:hAnsi="宋体" w:eastAsia="宋体" w:cs="宋体"/>
                      <w:i w:val="0"/>
                      <w:iCs w:val="0"/>
                      <w:color w:val="auto"/>
                      <w:sz w:val="21"/>
                      <w:szCs w:val="21"/>
                      <w:highlight w:val="none"/>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338D3C">
                  <w:pPr>
                    <w:jc w:val="center"/>
                    <w:rPr>
                      <w:rFonts w:hint="eastAsia" w:ascii="宋体" w:hAnsi="宋体" w:eastAsia="宋体" w:cs="宋体"/>
                      <w:i w:val="0"/>
                      <w:iCs w:val="0"/>
                      <w:color w:val="auto"/>
                      <w:sz w:val="21"/>
                      <w:szCs w:val="21"/>
                      <w:highlight w:val="none"/>
                      <w:u w:val="none"/>
                    </w:rPr>
                  </w:pPr>
                </w:p>
              </w:tc>
              <w:tc>
                <w:tcPr>
                  <w:tcW w:w="134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19F39DF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捆绑器</w:t>
                  </w:r>
                </w:p>
              </w:tc>
              <w:tc>
                <w:tcPr>
                  <w:tcW w:w="4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BA4C5C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3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B12354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2809"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0E8CB52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快速捆绑器</w:t>
                  </w:r>
                </w:p>
              </w:tc>
            </w:tr>
            <w:tr w14:paraId="1969A267">
              <w:tblPrEx>
                <w:shd w:val="clear" w:color="auto" w:fill="auto"/>
                <w:tblCellMar>
                  <w:top w:w="0" w:type="dxa"/>
                  <w:left w:w="57" w:type="dxa"/>
                  <w:bottom w:w="0" w:type="dxa"/>
                  <w:right w:w="57" w:type="dxa"/>
                </w:tblCellMar>
              </w:tblPrEx>
              <w:trPr>
                <w:trHeight w:val="23" w:hRule="atLeast"/>
                <w:jc w:val="center"/>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C9EC82">
                  <w:pPr>
                    <w:jc w:val="center"/>
                    <w:rPr>
                      <w:rFonts w:hint="eastAsia" w:ascii="宋体" w:hAnsi="宋体" w:eastAsia="宋体" w:cs="宋体"/>
                      <w:i w:val="0"/>
                      <w:iCs w:val="0"/>
                      <w:color w:val="auto"/>
                      <w:sz w:val="21"/>
                      <w:szCs w:val="21"/>
                      <w:highlight w:val="none"/>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C47768">
                  <w:pPr>
                    <w:jc w:val="center"/>
                    <w:rPr>
                      <w:rFonts w:hint="eastAsia" w:ascii="宋体" w:hAnsi="宋体" w:eastAsia="宋体" w:cs="宋体"/>
                      <w:i w:val="0"/>
                      <w:iCs w:val="0"/>
                      <w:color w:val="auto"/>
                      <w:sz w:val="21"/>
                      <w:szCs w:val="21"/>
                      <w:highlight w:val="none"/>
                      <w:u w:val="none"/>
                    </w:rPr>
                  </w:pPr>
                </w:p>
              </w:tc>
              <w:tc>
                <w:tcPr>
                  <w:tcW w:w="134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469D037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支架</w:t>
                  </w:r>
                </w:p>
              </w:tc>
              <w:tc>
                <w:tcPr>
                  <w:tcW w:w="4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1606B1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3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6C0898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2809"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0072DB3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配合魔术绑带使用，电镀锌</w:t>
                  </w:r>
                </w:p>
              </w:tc>
            </w:tr>
            <w:tr w14:paraId="1E1C8E31">
              <w:tblPrEx>
                <w:shd w:val="clear" w:color="auto" w:fill="auto"/>
                <w:tblCellMar>
                  <w:top w:w="0" w:type="dxa"/>
                  <w:left w:w="57" w:type="dxa"/>
                  <w:bottom w:w="0" w:type="dxa"/>
                  <w:right w:w="57" w:type="dxa"/>
                </w:tblCellMar>
              </w:tblPrEx>
              <w:trPr>
                <w:trHeight w:val="23" w:hRule="atLeast"/>
                <w:jc w:val="center"/>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C6B8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E36A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其他</w:t>
                  </w:r>
                </w:p>
              </w:tc>
              <w:tc>
                <w:tcPr>
                  <w:tcW w:w="134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79A518D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标准件</w:t>
                  </w:r>
                </w:p>
              </w:tc>
              <w:tc>
                <w:tcPr>
                  <w:tcW w:w="4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4D0B0B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3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241385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2809"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13C87E6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包括铆钉、标准件、骑马螺栓等</w:t>
                  </w:r>
                </w:p>
              </w:tc>
            </w:tr>
            <w:tr w14:paraId="79F821BA">
              <w:tblPrEx>
                <w:shd w:val="clear" w:color="auto" w:fill="auto"/>
                <w:tblCellMar>
                  <w:top w:w="0" w:type="dxa"/>
                  <w:left w:w="57" w:type="dxa"/>
                  <w:bottom w:w="0" w:type="dxa"/>
                  <w:right w:w="57" w:type="dxa"/>
                </w:tblCellMar>
              </w:tblPrEx>
              <w:trPr>
                <w:trHeight w:val="23" w:hRule="atLeast"/>
                <w:jc w:val="center"/>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44FBE">
                  <w:pPr>
                    <w:jc w:val="center"/>
                    <w:rPr>
                      <w:rFonts w:hint="eastAsia" w:ascii="宋体" w:hAnsi="宋体" w:eastAsia="宋体" w:cs="宋体"/>
                      <w:i w:val="0"/>
                      <w:iCs w:val="0"/>
                      <w:color w:val="auto"/>
                      <w:sz w:val="21"/>
                      <w:szCs w:val="21"/>
                      <w:highlight w:val="none"/>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3C498">
                  <w:pPr>
                    <w:jc w:val="center"/>
                    <w:rPr>
                      <w:rFonts w:hint="eastAsia" w:ascii="宋体" w:hAnsi="宋体" w:eastAsia="宋体" w:cs="宋体"/>
                      <w:i w:val="0"/>
                      <w:iCs w:val="0"/>
                      <w:color w:val="auto"/>
                      <w:sz w:val="21"/>
                      <w:szCs w:val="21"/>
                      <w:highlight w:val="none"/>
                      <w:u w:val="none"/>
                    </w:rPr>
                  </w:pPr>
                </w:p>
              </w:tc>
              <w:tc>
                <w:tcPr>
                  <w:tcW w:w="134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1C4B523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装备区指示标牌</w:t>
                  </w:r>
                </w:p>
              </w:tc>
              <w:tc>
                <w:tcPr>
                  <w:tcW w:w="4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D53BB2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3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78776B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2809"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2F53B52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防锈铝板、丝网印刷</w:t>
                  </w:r>
                </w:p>
              </w:tc>
            </w:tr>
            <w:tr w14:paraId="3FEDF0F1">
              <w:tblPrEx>
                <w:shd w:val="clear" w:color="auto" w:fill="auto"/>
                <w:tblCellMar>
                  <w:top w:w="0" w:type="dxa"/>
                  <w:left w:w="57" w:type="dxa"/>
                  <w:bottom w:w="0" w:type="dxa"/>
                  <w:right w:w="57" w:type="dxa"/>
                </w:tblCellMar>
              </w:tblPrEx>
              <w:trPr>
                <w:trHeight w:val="23" w:hRule="atLeast"/>
                <w:jc w:val="center"/>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C3F2C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3F079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电器系统</w:t>
                  </w:r>
                </w:p>
              </w:tc>
              <w:tc>
                <w:tcPr>
                  <w:tcW w:w="134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2A972FF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箱体内照明灯</w:t>
                  </w:r>
                </w:p>
              </w:tc>
              <w:tc>
                <w:tcPr>
                  <w:tcW w:w="4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C9020B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43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D04E4E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2809"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47CB4E0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LED白光</w:t>
                  </w:r>
                </w:p>
              </w:tc>
            </w:tr>
            <w:tr w14:paraId="71FAF354">
              <w:tblPrEx>
                <w:shd w:val="clear" w:color="auto" w:fill="auto"/>
                <w:tblCellMar>
                  <w:top w:w="0" w:type="dxa"/>
                  <w:left w:w="57" w:type="dxa"/>
                  <w:bottom w:w="0" w:type="dxa"/>
                  <w:right w:w="57" w:type="dxa"/>
                </w:tblCellMar>
              </w:tblPrEx>
              <w:trPr>
                <w:trHeight w:val="23" w:hRule="atLeast"/>
                <w:jc w:val="center"/>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06BBC4">
                  <w:pPr>
                    <w:jc w:val="center"/>
                    <w:rPr>
                      <w:rFonts w:hint="eastAsia" w:ascii="宋体" w:hAnsi="宋体" w:eastAsia="宋体" w:cs="宋体"/>
                      <w:i w:val="0"/>
                      <w:iCs w:val="0"/>
                      <w:color w:val="auto"/>
                      <w:sz w:val="21"/>
                      <w:szCs w:val="21"/>
                      <w:highlight w:val="none"/>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7FA985">
                  <w:pPr>
                    <w:jc w:val="center"/>
                    <w:rPr>
                      <w:rFonts w:hint="eastAsia" w:ascii="宋体" w:hAnsi="宋体" w:eastAsia="宋体" w:cs="宋体"/>
                      <w:i w:val="0"/>
                      <w:iCs w:val="0"/>
                      <w:color w:val="auto"/>
                      <w:sz w:val="21"/>
                      <w:szCs w:val="21"/>
                      <w:highlight w:val="none"/>
                      <w:u w:val="none"/>
                    </w:rPr>
                  </w:pPr>
                </w:p>
              </w:tc>
              <w:tc>
                <w:tcPr>
                  <w:tcW w:w="134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199733B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卷帘门照明灯</w:t>
                  </w:r>
                </w:p>
              </w:tc>
              <w:tc>
                <w:tcPr>
                  <w:tcW w:w="4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5EFDE6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43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118C95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2809"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3E0FC73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LED白光</w:t>
                  </w:r>
                </w:p>
              </w:tc>
            </w:tr>
            <w:tr w14:paraId="45B8077E">
              <w:tblPrEx>
                <w:shd w:val="clear" w:color="auto" w:fill="auto"/>
                <w:tblCellMar>
                  <w:top w:w="0" w:type="dxa"/>
                  <w:left w:w="57" w:type="dxa"/>
                  <w:bottom w:w="0" w:type="dxa"/>
                  <w:right w:w="57" w:type="dxa"/>
                </w:tblCellMar>
              </w:tblPrEx>
              <w:trPr>
                <w:trHeight w:val="23" w:hRule="atLeast"/>
                <w:jc w:val="center"/>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5948A9">
                  <w:pPr>
                    <w:jc w:val="center"/>
                    <w:rPr>
                      <w:rFonts w:hint="eastAsia" w:ascii="宋体" w:hAnsi="宋体" w:eastAsia="宋体" w:cs="宋体"/>
                      <w:i w:val="0"/>
                      <w:iCs w:val="0"/>
                      <w:color w:val="auto"/>
                      <w:sz w:val="21"/>
                      <w:szCs w:val="21"/>
                      <w:highlight w:val="none"/>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ED8E0E">
                  <w:pPr>
                    <w:jc w:val="center"/>
                    <w:rPr>
                      <w:rFonts w:hint="eastAsia" w:ascii="宋体" w:hAnsi="宋体" w:eastAsia="宋体" w:cs="宋体"/>
                      <w:i w:val="0"/>
                      <w:iCs w:val="0"/>
                      <w:color w:val="auto"/>
                      <w:sz w:val="21"/>
                      <w:szCs w:val="21"/>
                      <w:highlight w:val="none"/>
                      <w:u w:val="none"/>
                    </w:rPr>
                  </w:pPr>
                </w:p>
              </w:tc>
              <w:tc>
                <w:tcPr>
                  <w:tcW w:w="134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5E7EA1A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控制线束</w:t>
                  </w:r>
                </w:p>
              </w:tc>
              <w:tc>
                <w:tcPr>
                  <w:tcW w:w="4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82C582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3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652AB1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2809"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0210224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防水插接件</w:t>
                  </w:r>
                </w:p>
              </w:tc>
            </w:tr>
            <w:tr w14:paraId="2AC296C1">
              <w:tblPrEx>
                <w:shd w:val="clear" w:color="auto" w:fill="auto"/>
                <w:tblCellMar>
                  <w:top w:w="0" w:type="dxa"/>
                  <w:left w:w="57" w:type="dxa"/>
                  <w:bottom w:w="0" w:type="dxa"/>
                  <w:right w:w="57" w:type="dxa"/>
                </w:tblCellMar>
              </w:tblPrEx>
              <w:trPr>
                <w:trHeight w:val="23" w:hRule="atLeast"/>
                <w:jc w:val="center"/>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E56CF7">
                  <w:pPr>
                    <w:jc w:val="center"/>
                    <w:rPr>
                      <w:rFonts w:hint="eastAsia" w:ascii="宋体" w:hAnsi="宋体" w:eastAsia="宋体" w:cs="宋体"/>
                      <w:i w:val="0"/>
                      <w:iCs w:val="0"/>
                      <w:color w:val="auto"/>
                      <w:sz w:val="21"/>
                      <w:szCs w:val="21"/>
                      <w:highlight w:val="none"/>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F467E7">
                  <w:pPr>
                    <w:jc w:val="center"/>
                    <w:rPr>
                      <w:rFonts w:hint="eastAsia" w:ascii="宋体" w:hAnsi="宋体" w:eastAsia="宋体" w:cs="宋体"/>
                      <w:i w:val="0"/>
                      <w:iCs w:val="0"/>
                      <w:color w:val="auto"/>
                      <w:sz w:val="21"/>
                      <w:szCs w:val="21"/>
                      <w:highlight w:val="none"/>
                      <w:u w:val="none"/>
                    </w:rPr>
                  </w:pPr>
                </w:p>
              </w:tc>
              <w:tc>
                <w:tcPr>
                  <w:tcW w:w="134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397EEC9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长条形警灯</w:t>
                  </w:r>
                </w:p>
              </w:tc>
              <w:tc>
                <w:tcPr>
                  <w:tcW w:w="4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116F42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3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D31201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2809"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22FAAA0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带警报器，24V</w:t>
                  </w:r>
                </w:p>
              </w:tc>
            </w:tr>
            <w:tr w14:paraId="2D5E29BA">
              <w:tblPrEx>
                <w:shd w:val="clear" w:color="auto" w:fill="auto"/>
                <w:tblCellMar>
                  <w:top w:w="0" w:type="dxa"/>
                  <w:left w:w="57" w:type="dxa"/>
                  <w:bottom w:w="0" w:type="dxa"/>
                  <w:right w:w="57" w:type="dxa"/>
                </w:tblCellMar>
              </w:tblPrEx>
              <w:trPr>
                <w:trHeight w:val="23" w:hRule="atLeast"/>
                <w:jc w:val="center"/>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8A4607">
                  <w:pPr>
                    <w:jc w:val="center"/>
                    <w:rPr>
                      <w:rFonts w:hint="eastAsia" w:ascii="宋体" w:hAnsi="宋体" w:eastAsia="宋体" w:cs="宋体"/>
                      <w:i w:val="0"/>
                      <w:iCs w:val="0"/>
                      <w:color w:val="auto"/>
                      <w:sz w:val="21"/>
                      <w:szCs w:val="21"/>
                      <w:highlight w:val="none"/>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CF3E21">
                  <w:pPr>
                    <w:jc w:val="center"/>
                    <w:rPr>
                      <w:rFonts w:hint="eastAsia" w:ascii="宋体" w:hAnsi="宋体" w:eastAsia="宋体" w:cs="宋体"/>
                      <w:i w:val="0"/>
                      <w:iCs w:val="0"/>
                      <w:color w:val="auto"/>
                      <w:sz w:val="21"/>
                      <w:szCs w:val="21"/>
                      <w:highlight w:val="none"/>
                      <w:u w:val="none"/>
                    </w:rPr>
                  </w:pPr>
                </w:p>
              </w:tc>
              <w:tc>
                <w:tcPr>
                  <w:tcW w:w="134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19B9489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大方形警灯</w:t>
                  </w:r>
                </w:p>
              </w:tc>
              <w:tc>
                <w:tcPr>
                  <w:tcW w:w="4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6CDBC5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43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D4AD58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2809"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1FA2745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5红5蓝4白（带主机）</w:t>
                  </w:r>
                </w:p>
              </w:tc>
            </w:tr>
            <w:tr w14:paraId="617B275A">
              <w:tblPrEx>
                <w:shd w:val="clear" w:color="auto" w:fill="auto"/>
                <w:tblCellMar>
                  <w:top w:w="0" w:type="dxa"/>
                  <w:left w:w="57" w:type="dxa"/>
                  <w:bottom w:w="0" w:type="dxa"/>
                  <w:right w:w="57" w:type="dxa"/>
                </w:tblCellMar>
              </w:tblPrEx>
              <w:trPr>
                <w:trHeight w:val="23" w:hRule="atLeast"/>
                <w:jc w:val="center"/>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8604F1">
                  <w:pPr>
                    <w:jc w:val="center"/>
                    <w:rPr>
                      <w:rFonts w:hint="eastAsia" w:ascii="宋体" w:hAnsi="宋体" w:eastAsia="宋体" w:cs="宋体"/>
                      <w:i w:val="0"/>
                      <w:iCs w:val="0"/>
                      <w:color w:val="auto"/>
                      <w:sz w:val="21"/>
                      <w:szCs w:val="21"/>
                      <w:highlight w:val="none"/>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16AB67">
                  <w:pPr>
                    <w:jc w:val="center"/>
                    <w:rPr>
                      <w:rFonts w:hint="eastAsia" w:ascii="宋体" w:hAnsi="宋体" w:eastAsia="宋体" w:cs="宋体"/>
                      <w:i w:val="0"/>
                      <w:iCs w:val="0"/>
                      <w:color w:val="auto"/>
                      <w:sz w:val="21"/>
                      <w:szCs w:val="21"/>
                      <w:highlight w:val="none"/>
                      <w:u w:val="none"/>
                    </w:rPr>
                  </w:pPr>
                </w:p>
              </w:tc>
              <w:tc>
                <w:tcPr>
                  <w:tcW w:w="134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6CA0254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倒车监控系统</w:t>
                  </w:r>
                </w:p>
              </w:tc>
              <w:tc>
                <w:tcPr>
                  <w:tcW w:w="4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ADEBF9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3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E6F652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2809"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723D799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带红外线夜视功能</w:t>
                  </w:r>
                </w:p>
              </w:tc>
            </w:tr>
            <w:tr w14:paraId="52C7485F">
              <w:tblPrEx>
                <w:shd w:val="clear" w:color="auto" w:fill="auto"/>
                <w:tblCellMar>
                  <w:top w:w="0" w:type="dxa"/>
                  <w:left w:w="57" w:type="dxa"/>
                  <w:bottom w:w="0" w:type="dxa"/>
                  <w:right w:w="57" w:type="dxa"/>
                </w:tblCellMar>
              </w:tblPrEx>
              <w:trPr>
                <w:trHeight w:val="23" w:hRule="atLeast"/>
                <w:jc w:val="center"/>
              </w:trPr>
              <w:tc>
                <w:tcPr>
                  <w:tcW w:w="5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260D0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7C62C5">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液压尾板</w:t>
                  </w:r>
                </w:p>
              </w:tc>
              <w:tc>
                <w:tcPr>
                  <w:tcW w:w="134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06E4B0B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液压升降</w:t>
                  </w:r>
                </w:p>
              </w:tc>
              <w:tc>
                <w:tcPr>
                  <w:tcW w:w="4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0B0D11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43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C249EC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2809"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6074F9E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液压尾板</w:t>
                  </w:r>
                </w:p>
              </w:tc>
            </w:tr>
            <w:tr w14:paraId="18208EBE">
              <w:tblPrEx>
                <w:shd w:val="clear" w:color="auto" w:fill="auto"/>
                <w:tblCellMar>
                  <w:top w:w="0" w:type="dxa"/>
                  <w:left w:w="57" w:type="dxa"/>
                  <w:bottom w:w="0" w:type="dxa"/>
                  <w:right w:w="57" w:type="dxa"/>
                </w:tblCellMar>
              </w:tblPrEx>
              <w:trPr>
                <w:trHeight w:val="23" w:hRule="atLeast"/>
                <w:jc w:val="center"/>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098FC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C1146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外观与油漆</w:t>
                  </w:r>
                </w:p>
              </w:tc>
              <w:tc>
                <w:tcPr>
                  <w:tcW w:w="134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36C61BA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警徽警字</w:t>
                  </w:r>
                </w:p>
              </w:tc>
              <w:tc>
                <w:tcPr>
                  <w:tcW w:w="4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9B197B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3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448A8D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2809"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4A39B51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公安制式</w:t>
                  </w:r>
                </w:p>
              </w:tc>
            </w:tr>
            <w:tr w14:paraId="3AE3B26D">
              <w:tblPrEx>
                <w:tblCellMar>
                  <w:top w:w="0" w:type="dxa"/>
                  <w:left w:w="57" w:type="dxa"/>
                  <w:bottom w:w="0" w:type="dxa"/>
                  <w:right w:w="57" w:type="dxa"/>
                </w:tblCellMar>
              </w:tblPrEx>
              <w:trPr>
                <w:trHeight w:val="23" w:hRule="atLeast"/>
                <w:jc w:val="center"/>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1FC2CC">
                  <w:pPr>
                    <w:jc w:val="center"/>
                    <w:rPr>
                      <w:rFonts w:hint="eastAsia" w:ascii="宋体" w:hAnsi="宋体" w:eastAsia="宋体" w:cs="宋体"/>
                      <w:i w:val="0"/>
                      <w:iCs w:val="0"/>
                      <w:color w:val="auto"/>
                      <w:sz w:val="21"/>
                      <w:szCs w:val="21"/>
                      <w:highlight w:val="none"/>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A5DCDB">
                  <w:pPr>
                    <w:jc w:val="center"/>
                    <w:rPr>
                      <w:rFonts w:hint="eastAsia" w:ascii="宋体" w:hAnsi="宋体" w:eastAsia="宋体" w:cs="宋体"/>
                      <w:i w:val="0"/>
                      <w:iCs w:val="0"/>
                      <w:color w:val="auto"/>
                      <w:sz w:val="21"/>
                      <w:szCs w:val="21"/>
                      <w:highlight w:val="none"/>
                      <w:u w:val="none"/>
                    </w:rPr>
                  </w:pPr>
                </w:p>
              </w:tc>
              <w:tc>
                <w:tcPr>
                  <w:tcW w:w="134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53B5562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车身油漆</w:t>
                  </w:r>
                </w:p>
              </w:tc>
              <w:tc>
                <w:tcPr>
                  <w:tcW w:w="4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D1AA4D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3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3C854B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2809"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0560C58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特警蓝</w:t>
                  </w:r>
                </w:p>
              </w:tc>
            </w:tr>
          </w:tbl>
          <w:p w14:paraId="3AE28587">
            <w:pPr>
              <w:keepNext w:val="0"/>
              <w:keepLines w:val="0"/>
              <w:widowControl/>
              <w:suppressLineNumbers w:val="0"/>
              <w:spacing w:line="240" w:lineRule="auto"/>
              <w:jc w:val="left"/>
              <w:textAlignment w:val="center"/>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eastAsia="zh-CN"/>
              </w:rPr>
              <w:t>注：装备架为可拆卸式，平时放装备，需要时把装备架拆掉后成为一个货柜车，可放置大型物体或不规则物体，一车两用</w:t>
            </w:r>
            <w:r>
              <w:rPr>
                <w:rFonts w:hint="eastAsia" w:ascii="宋体" w:hAnsi="宋体" w:eastAsia="宋体" w:cs="宋体"/>
                <w:b/>
                <w:bCs/>
                <w:color w:val="auto"/>
                <w:sz w:val="24"/>
                <w:szCs w:val="24"/>
                <w:lang w:val="en-US" w:eastAsia="zh-CN"/>
              </w:rPr>
              <w:t>。</w:t>
            </w:r>
          </w:p>
        </w:tc>
        <w:tc>
          <w:tcPr>
            <w:tcW w:w="660" w:type="dxa"/>
            <w:shd w:val="clear" w:color="auto" w:fill="auto"/>
            <w:vAlign w:val="center"/>
          </w:tcPr>
          <w:p w14:paraId="59C673FB">
            <w:pPr>
              <w:spacing w:line="240" w:lineRule="auto"/>
              <w:ind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rPr>
              <w:t>1</w:t>
            </w:r>
          </w:p>
        </w:tc>
        <w:tc>
          <w:tcPr>
            <w:tcW w:w="639" w:type="dxa"/>
            <w:shd w:val="clear" w:color="auto" w:fill="auto"/>
            <w:vAlign w:val="center"/>
          </w:tcPr>
          <w:p w14:paraId="5A58DC4C">
            <w:pPr>
              <w:spacing w:line="240" w:lineRule="auto"/>
              <w:ind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rPr>
              <w:t>辆</w:t>
            </w:r>
          </w:p>
        </w:tc>
      </w:tr>
      <w:bookmarkEnd w:id="273"/>
    </w:tbl>
    <w:p w14:paraId="770E1790">
      <w:pPr>
        <w:bidi w:val="0"/>
        <w:rPr>
          <w:rFonts w:hint="eastAsia" w:ascii="宋体" w:hAnsi="宋体" w:eastAsia="宋体" w:cs="宋体"/>
          <w:color w:val="auto"/>
          <w:lang w:eastAsia="zh-CN"/>
        </w:rPr>
      </w:pPr>
      <w:bookmarkStart w:id="277" w:name="_Toc955_WPSOffice_Level1"/>
      <w:bookmarkStart w:id="278" w:name="_Toc18643_WPSOffice_Level1"/>
      <w:bookmarkStart w:id="279" w:name="_Toc22544"/>
      <w:bookmarkStart w:id="280" w:name="_Toc5732_WPSOffice_Level1"/>
      <w:bookmarkStart w:id="281" w:name="_Toc6923_WPSOffice_Level1"/>
      <w:bookmarkStart w:id="282" w:name="_Toc31138"/>
      <w:bookmarkStart w:id="283" w:name="_Toc18208_WPSOffice_Level1"/>
      <w:bookmarkStart w:id="284" w:name="_Toc15487_WPSOffice_Level1"/>
      <w:bookmarkStart w:id="285" w:name="_Toc19363"/>
    </w:p>
    <w:p w14:paraId="5F0023BF">
      <w:pPr>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lang w:eastAsia="zh-CN"/>
        </w:rPr>
        <w:br w:type="page"/>
      </w:r>
    </w:p>
    <w:p w14:paraId="1B11E993">
      <w:pPr>
        <w:pStyle w:val="3"/>
        <w:keepNext/>
        <w:widowControl w:val="0"/>
        <w:numPr>
          <w:ilvl w:val="0"/>
          <w:numId w:val="0"/>
        </w:numPr>
        <w:wordWrap/>
        <w:adjustRightInd w:val="0"/>
        <w:snapToGrid w:val="0"/>
        <w:spacing w:before="157" w:beforeLines="50" w:line="560" w:lineRule="exact"/>
        <w:jc w:val="center"/>
        <w:textAlignment w:val="auto"/>
        <w:outlineLvl w:val="0"/>
        <w:rPr>
          <w:rFonts w:hint="eastAsia" w:ascii="宋体" w:hAnsi="宋体" w:eastAsia="宋体" w:cs="宋体"/>
          <w:color w:val="auto"/>
        </w:rPr>
      </w:pPr>
      <w:r>
        <w:rPr>
          <w:rFonts w:hint="eastAsia" w:ascii="宋体" w:hAnsi="宋体" w:eastAsia="宋体" w:cs="宋体"/>
          <w:b/>
          <w:bCs/>
          <w:color w:val="auto"/>
          <w:sz w:val="32"/>
          <w:szCs w:val="32"/>
          <w:lang w:eastAsia="zh-CN"/>
        </w:rPr>
        <w:t>第四部分</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lang w:eastAsia="zh-CN"/>
        </w:rPr>
        <w:t>响应文件格式</w:t>
      </w:r>
      <w:bookmarkEnd w:id="277"/>
      <w:bookmarkEnd w:id="278"/>
      <w:bookmarkEnd w:id="279"/>
      <w:bookmarkEnd w:id="280"/>
      <w:bookmarkEnd w:id="281"/>
      <w:bookmarkEnd w:id="282"/>
      <w:bookmarkEnd w:id="283"/>
      <w:bookmarkEnd w:id="284"/>
      <w:bookmarkEnd w:id="285"/>
    </w:p>
    <w:p w14:paraId="53E2B4FF">
      <w:pPr>
        <w:pStyle w:val="3"/>
        <w:bidi w:val="0"/>
        <w:rPr>
          <w:rFonts w:hint="eastAsia" w:ascii="宋体" w:hAnsi="宋体" w:eastAsia="宋体" w:cs="宋体"/>
          <w:color w:val="auto"/>
          <w:kern w:val="2"/>
          <w:szCs w:val="32"/>
          <w:lang w:val="en-US" w:eastAsia="zh-CN" w:bidi="ar-SA"/>
        </w:rPr>
      </w:pPr>
      <w:bookmarkStart w:id="286" w:name="_Toc12691_WPSOffice_Level2"/>
      <w:bookmarkStart w:id="287" w:name="_Toc4945_WPSOffice_Level2"/>
      <w:bookmarkStart w:id="288" w:name="_Toc11968"/>
      <w:bookmarkStart w:id="289" w:name="_Toc20166_WPSOffice_Level2"/>
      <w:bookmarkStart w:id="290" w:name="_Toc20524"/>
      <w:r>
        <w:rPr>
          <w:rFonts w:hint="eastAsia" w:ascii="宋体" w:hAnsi="宋体" w:eastAsia="宋体" w:cs="宋体"/>
          <w:color w:val="auto"/>
          <w:sz w:val="28"/>
          <w:szCs w:val="28"/>
          <w:lang w:val="en-US" w:eastAsia="zh-CN"/>
        </w:rPr>
        <w:t>十二、响应</w:t>
      </w:r>
      <w:r>
        <w:rPr>
          <w:rFonts w:hint="eastAsia" w:ascii="宋体" w:hAnsi="宋体" w:eastAsia="宋体" w:cs="宋体"/>
          <w:b/>
          <w:bCs/>
          <w:color w:val="auto"/>
          <w:kern w:val="2"/>
          <w:sz w:val="28"/>
          <w:szCs w:val="28"/>
          <w:lang w:val="en-US" w:eastAsia="zh-CN" w:bidi="ar-SA"/>
        </w:rPr>
        <w:t>文件的组成</w:t>
      </w:r>
      <w:bookmarkEnd w:id="286"/>
      <w:bookmarkEnd w:id="287"/>
      <w:bookmarkEnd w:id="288"/>
      <w:bookmarkEnd w:id="289"/>
      <w:bookmarkEnd w:id="290"/>
    </w:p>
    <w:p w14:paraId="7C9021FE">
      <w:pPr>
        <w:widowControl w:val="0"/>
        <w:wordWrap/>
        <w:adjustRightInd w:val="0"/>
        <w:snapToGrid w:val="0"/>
        <w:spacing w:line="560" w:lineRule="exact"/>
        <w:jc w:val="left"/>
        <w:textAlignment w:val="auto"/>
        <w:outlineLvl w:val="2"/>
        <w:rPr>
          <w:rFonts w:hint="eastAsia" w:ascii="宋体" w:hAnsi="宋体" w:eastAsia="宋体" w:cs="宋体"/>
          <w:b/>
          <w:bCs/>
          <w:color w:val="auto"/>
          <w:kern w:val="2"/>
          <w:sz w:val="24"/>
          <w:szCs w:val="24"/>
          <w:lang w:val="zh-CN" w:eastAsia="zh-CN" w:bidi="ar-SA"/>
        </w:rPr>
      </w:pPr>
      <w:bookmarkStart w:id="291" w:name="_Toc31451_WPSOffice_Level3"/>
      <w:bookmarkStart w:id="292" w:name="_Toc30546"/>
      <w:bookmarkStart w:id="293" w:name="_Toc22172"/>
      <w:bookmarkStart w:id="294" w:name="_Toc185_WPSOffice_Level2"/>
      <w:r>
        <w:rPr>
          <w:rFonts w:hint="eastAsia" w:ascii="宋体" w:hAnsi="宋体" w:eastAsia="宋体" w:cs="宋体"/>
          <w:b/>
          <w:bCs/>
          <w:color w:val="auto"/>
          <w:kern w:val="2"/>
          <w:sz w:val="24"/>
          <w:szCs w:val="24"/>
          <w:lang w:val="zh-CN" w:eastAsia="zh-CN" w:bidi="ar-SA"/>
        </w:rPr>
        <w:t>（一）资格审查部分</w:t>
      </w:r>
      <w:bookmarkEnd w:id="291"/>
      <w:bookmarkEnd w:id="292"/>
      <w:bookmarkEnd w:id="293"/>
      <w:bookmarkEnd w:id="294"/>
    </w:p>
    <w:p w14:paraId="70F81AE2">
      <w:pPr>
        <w:widowControl w:val="0"/>
        <w:wordWrap/>
        <w:adjustRightInd w:val="0"/>
        <w:snapToGrid w:val="0"/>
        <w:spacing w:line="560" w:lineRule="exact"/>
        <w:jc w:val="left"/>
        <w:textAlignment w:val="auto"/>
        <w:rPr>
          <w:rFonts w:hint="eastAsia" w:ascii="宋体" w:hAnsi="宋体" w:eastAsia="宋体" w:cs="宋体"/>
          <w:color w:val="auto"/>
          <w:kern w:val="2"/>
          <w:sz w:val="24"/>
          <w:szCs w:val="24"/>
          <w:lang w:val="zh-CN" w:eastAsia="zh-CN" w:bidi="ar-SA"/>
        </w:rPr>
      </w:pPr>
      <w:bookmarkStart w:id="295" w:name="_Toc19260_WPSOffice_Level3"/>
      <w:r>
        <w:rPr>
          <w:rFonts w:hint="eastAsia" w:ascii="宋体" w:hAnsi="宋体" w:eastAsia="宋体" w:cs="宋体"/>
          <w:color w:val="auto"/>
          <w:kern w:val="2"/>
          <w:sz w:val="24"/>
          <w:szCs w:val="24"/>
          <w:lang w:val="zh-CN" w:eastAsia="zh-CN" w:bidi="ar-SA"/>
        </w:rPr>
        <w:t>1、响应函（见附件1）</w:t>
      </w:r>
      <w:bookmarkEnd w:id="295"/>
    </w:p>
    <w:p w14:paraId="0DE9C5B0">
      <w:pPr>
        <w:widowControl w:val="0"/>
        <w:wordWrap/>
        <w:adjustRightInd w:val="0"/>
        <w:snapToGrid w:val="0"/>
        <w:spacing w:line="560" w:lineRule="exact"/>
        <w:jc w:val="left"/>
        <w:textAlignment w:val="auto"/>
        <w:rPr>
          <w:rFonts w:hint="eastAsia" w:ascii="宋体" w:hAnsi="宋体" w:eastAsia="宋体" w:cs="宋体"/>
          <w:color w:val="auto"/>
          <w:kern w:val="2"/>
          <w:sz w:val="24"/>
          <w:szCs w:val="24"/>
          <w:lang w:val="zh-CN" w:eastAsia="zh-CN" w:bidi="ar-SA"/>
        </w:rPr>
      </w:pPr>
      <w:bookmarkStart w:id="296" w:name="_Toc13122_WPSOffice_Level3"/>
      <w:r>
        <w:rPr>
          <w:rFonts w:hint="eastAsia" w:ascii="宋体" w:hAnsi="宋体" w:eastAsia="宋体" w:cs="宋体"/>
          <w:color w:val="auto"/>
          <w:kern w:val="2"/>
          <w:sz w:val="24"/>
          <w:szCs w:val="24"/>
          <w:lang w:val="zh-CN" w:eastAsia="zh-CN" w:bidi="ar-SA"/>
        </w:rPr>
        <w:t>2、法定代表人证明书（见附件2）</w:t>
      </w:r>
      <w:bookmarkEnd w:id="296"/>
    </w:p>
    <w:p w14:paraId="6AA3A6B1">
      <w:pPr>
        <w:widowControl w:val="0"/>
        <w:wordWrap/>
        <w:adjustRightInd w:val="0"/>
        <w:snapToGrid w:val="0"/>
        <w:spacing w:line="560" w:lineRule="exact"/>
        <w:jc w:val="left"/>
        <w:textAlignment w:val="auto"/>
        <w:rPr>
          <w:rFonts w:hint="eastAsia" w:ascii="宋体" w:hAnsi="宋体" w:eastAsia="宋体" w:cs="宋体"/>
          <w:color w:val="auto"/>
          <w:kern w:val="2"/>
          <w:sz w:val="24"/>
          <w:szCs w:val="24"/>
          <w:lang w:val="zh-CN" w:eastAsia="zh-CN" w:bidi="ar-SA"/>
        </w:rPr>
      </w:pPr>
      <w:bookmarkStart w:id="297" w:name="_Toc5677_WPSOffice_Level3"/>
      <w:r>
        <w:rPr>
          <w:rFonts w:hint="eastAsia" w:ascii="宋体" w:hAnsi="宋体" w:eastAsia="宋体" w:cs="宋体"/>
          <w:color w:val="auto"/>
          <w:kern w:val="2"/>
          <w:sz w:val="24"/>
          <w:szCs w:val="24"/>
          <w:lang w:val="zh-CN" w:eastAsia="zh-CN" w:bidi="ar-SA"/>
        </w:rPr>
        <w:t>3、法定代表人授权书（见附件3）</w:t>
      </w:r>
      <w:bookmarkEnd w:id="297"/>
    </w:p>
    <w:p w14:paraId="41EA8016">
      <w:pPr>
        <w:widowControl w:val="0"/>
        <w:wordWrap/>
        <w:adjustRightInd w:val="0"/>
        <w:snapToGrid w:val="0"/>
        <w:spacing w:line="560" w:lineRule="exact"/>
        <w:jc w:val="left"/>
        <w:textAlignment w:val="auto"/>
        <w:rPr>
          <w:rFonts w:hint="eastAsia" w:ascii="宋体" w:hAnsi="宋体" w:eastAsia="宋体" w:cs="宋体"/>
          <w:color w:val="auto"/>
          <w:kern w:val="2"/>
          <w:sz w:val="24"/>
          <w:szCs w:val="24"/>
          <w:lang w:val="zh-CN" w:eastAsia="zh-CN" w:bidi="ar-SA"/>
        </w:rPr>
      </w:pPr>
      <w:bookmarkStart w:id="298" w:name="_Toc1890_WPSOffice_Level3"/>
      <w:r>
        <w:rPr>
          <w:rFonts w:hint="eastAsia" w:ascii="宋体" w:hAnsi="宋体" w:eastAsia="宋体" w:cs="宋体"/>
          <w:color w:val="auto"/>
          <w:kern w:val="2"/>
          <w:sz w:val="24"/>
          <w:szCs w:val="24"/>
          <w:lang w:val="zh-CN" w:eastAsia="zh-CN" w:bidi="ar-SA"/>
        </w:rPr>
        <w:t>4、供应商承诺函（见附件4）</w:t>
      </w:r>
      <w:bookmarkEnd w:id="298"/>
    </w:p>
    <w:p w14:paraId="275B1B7D">
      <w:pPr>
        <w:widowControl w:val="0"/>
        <w:wordWrap/>
        <w:adjustRightInd w:val="0"/>
        <w:snapToGrid w:val="0"/>
        <w:spacing w:line="560" w:lineRule="exact"/>
        <w:jc w:val="left"/>
        <w:textAlignment w:val="auto"/>
        <w:rPr>
          <w:rFonts w:hint="eastAsia" w:ascii="宋体" w:hAnsi="宋体" w:eastAsia="宋体" w:cs="宋体"/>
          <w:color w:val="auto"/>
          <w:kern w:val="2"/>
          <w:sz w:val="24"/>
          <w:szCs w:val="24"/>
          <w:lang w:val="zh-CN" w:eastAsia="zh-CN" w:bidi="ar-SA"/>
        </w:rPr>
      </w:pPr>
      <w:bookmarkStart w:id="299" w:name="_Toc25873_WPSOffice_Level3"/>
      <w:r>
        <w:rPr>
          <w:rFonts w:hint="eastAsia" w:ascii="宋体" w:hAnsi="宋体" w:eastAsia="宋体" w:cs="宋体"/>
          <w:color w:val="auto"/>
          <w:kern w:val="2"/>
          <w:sz w:val="24"/>
          <w:szCs w:val="24"/>
          <w:lang w:val="zh-CN" w:eastAsia="zh-CN" w:bidi="ar-SA"/>
        </w:rPr>
        <w:t>5、供应商诚信承诺书（见附件5）</w:t>
      </w:r>
      <w:bookmarkEnd w:id="299"/>
    </w:p>
    <w:p w14:paraId="45B60706">
      <w:pPr>
        <w:widowControl w:val="0"/>
        <w:wordWrap/>
        <w:adjustRightInd w:val="0"/>
        <w:snapToGrid w:val="0"/>
        <w:spacing w:line="560" w:lineRule="exact"/>
        <w:jc w:val="left"/>
        <w:textAlignment w:val="auto"/>
        <w:rPr>
          <w:rFonts w:hint="eastAsia" w:ascii="宋体" w:hAnsi="宋体" w:eastAsia="宋体" w:cs="宋体"/>
          <w:color w:val="auto"/>
          <w:kern w:val="2"/>
          <w:sz w:val="24"/>
          <w:szCs w:val="24"/>
          <w:lang w:val="zh-CN" w:eastAsia="zh-CN" w:bidi="ar-SA"/>
        </w:rPr>
      </w:pPr>
      <w:bookmarkStart w:id="300" w:name="_Toc31370_WPSOffice_Level3"/>
      <w:r>
        <w:rPr>
          <w:rFonts w:hint="eastAsia" w:ascii="宋体" w:hAnsi="宋体" w:eastAsia="宋体" w:cs="宋体"/>
          <w:color w:val="auto"/>
          <w:kern w:val="2"/>
          <w:sz w:val="24"/>
          <w:szCs w:val="24"/>
          <w:lang w:val="zh-CN" w:eastAsia="zh-CN" w:bidi="ar-SA"/>
        </w:rPr>
        <w:t>6、供应商资格证明文件（见附件6）</w:t>
      </w:r>
      <w:bookmarkEnd w:id="300"/>
    </w:p>
    <w:p w14:paraId="656929D6">
      <w:pPr>
        <w:widowControl w:val="0"/>
        <w:wordWrap/>
        <w:adjustRightInd w:val="0"/>
        <w:snapToGrid w:val="0"/>
        <w:spacing w:line="560" w:lineRule="exact"/>
        <w:jc w:val="left"/>
        <w:textAlignment w:val="auto"/>
        <w:rPr>
          <w:rFonts w:hint="eastAsia" w:ascii="宋体" w:hAnsi="宋体" w:eastAsia="宋体" w:cs="宋体"/>
          <w:color w:val="auto"/>
          <w:kern w:val="2"/>
          <w:sz w:val="24"/>
          <w:szCs w:val="24"/>
          <w:lang w:val="zh-CN" w:eastAsia="zh-CN" w:bidi="ar-SA"/>
        </w:rPr>
      </w:pPr>
      <w:bookmarkStart w:id="301" w:name="_Toc10045_WPSOffice_Level3"/>
      <w:r>
        <w:rPr>
          <w:rFonts w:hint="eastAsia" w:ascii="宋体" w:hAnsi="宋体" w:eastAsia="宋体" w:cs="宋体"/>
          <w:color w:val="auto"/>
          <w:kern w:val="2"/>
          <w:sz w:val="24"/>
          <w:szCs w:val="24"/>
          <w:lang w:val="zh-CN" w:eastAsia="zh-CN" w:bidi="ar-SA"/>
        </w:rPr>
        <w:t>7、财务状况、缴纳税收和社会保障资金证明（见附件7）</w:t>
      </w:r>
      <w:bookmarkEnd w:id="301"/>
    </w:p>
    <w:p w14:paraId="633005A5">
      <w:pPr>
        <w:widowControl w:val="0"/>
        <w:wordWrap/>
        <w:adjustRightInd w:val="0"/>
        <w:snapToGrid w:val="0"/>
        <w:spacing w:line="560" w:lineRule="exact"/>
        <w:jc w:val="left"/>
        <w:textAlignment w:val="auto"/>
        <w:rPr>
          <w:rFonts w:hint="eastAsia" w:ascii="宋体" w:hAnsi="宋体" w:eastAsia="宋体" w:cs="宋体"/>
          <w:color w:val="auto"/>
          <w:kern w:val="2"/>
          <w:sz w:val="24"/>
          <w:szCs w:val="24"/>
          <w:lang w:val="zh-CN" w:eastAsia="zh-CN" w:bidi="ar-SA"/>
        </w:rPr>
      </w:pPr>
      <w:bookmarkStart w:id="302" w:name="_Toc12223_WPSOffice_Level3"/>
      <w:r>
        <w:rPr>
          <w:rFonts w:hint="eastAsia" w:ascii="宋体" w:hAnsi="宋体" w:eastAsia="宋体" w:cs="宋体"/>
          <w:color w:val="auto"/>
          <w:kern w:val="2"/>
          <w:sz w:val="24"/>
          <w:szCs w:val="24"/>
          <w:lang w:val="zh-CN" w:eastAsia="zh-CN" w:bidi="ar-SA"/>
        </w:rPr>
        <w:t>8、无重大违法记录声明（见附件</w:t>
      </w:r>
      <w:r>
        <w:rPr>
          <w:rFonts w:hint="eastAsia" w:ascii="宋体" w:hAnsi="宋体" w:eastAsia="宋体" w:cs="宋体"/>
          <w:color w:val="auto"/>
          <w:kern w:val="2"/>
          <w:sz w:val="24"/>
          <w:szCs w:val="24"/>
          <w:lang w:val="en-US" w:eastAsia="zh-CN" w:bidi="ar-SA"/>
        </w:rPr>
        <w:t>8</w:t>
      </w:r>
      <w:r>
        <w:rPr>
          <w:rFonts w:hint="eastAsia" w:ascii="宋体" w:hAnsi="宋体" w:eastAsia="宋体" w:cs="宋体"/>
          <w:color w:val="auto"/>
          <w:kern w:val="2"/>
          <w:sz w:val="24"/>
          <w:szCs w:val="24"/>
          <w:lang w:val="zh-CN" w:eastAsia="zh-CN" w:bidi="ar-SA"/>
        </w:rPr>
        <w:t>）</w:t>
      </w:r>
      <w:bookmarkEnd w:id="302"/>
    </w:p>
    <w:p w14:paraId="2660FAB5">
      <w:pPr>
        <w:widowControl w:val="0"/>
        <w:wordWrap/>
        <w:adjustRightInd w:val="0"/>
        <w:snapToGrid w:val="0"/>
        <w:spacing w:line="560" w:lineRule="exact"/>
        <w:jc w:val="left"/>
        <w:textAlignment w:val="auto"/>
        <w:rPr>
          <w:rFonts w:hint="eastAsia" w:ascii="宋体" w:hAnsi="宋体" w:eastAsia="宋体" w:cs="宋体"/>
          <w:color w:val="auto"/>
          <w:kern w:val="2"/>
          <w:sz w:val="24"/>
          <w:szCs w:val="24"/>
          <w:lang w:val="en-US" w:eastAsia="zh-CN" w:bidi="ar-SA"/>
        </w:rPr>
      </w:pPr>
      <w:bookmarkStart w:id="303" w:name="_Toc10394_WPSOffice_Level3"/>
      <w:r>
        <w:rPr>
          <w:rFonts w:hint="eastAsia" w:ascii="宋体" w:hAnsi="宋体" w:eastAsia="宋体" w:cs="宋体"/>
          <w:color w:val="auto"/>
          <w:kern w:val="2"/>
          <w:sz w:val="24"/>
          <w:szCs w:val="24"/>
          <w:lang w:val="en-US" w:eastAsia="zh-CN" w:bidi="ar-SA"/>
        </w:rPr>
        <w:t>9、谈判保证金证明（见附件9）</w:t>
      </w:r>
      <w:bookmarkEnd w:id="303"/>
    </w:p>
    <w:p w14:paraId="4F880C12">
      <w:pPr>
        <w:widowControl w:val="0"/>
        <w:wordWrap/>
        <w:adjustRightInd w:val="0"/>
        <w:snapToGrid w:val="0"/>
        <w:spacing w:line="560" w:lineRule="exact"/>
        <w:jc w:val="left"/>
        <w:textAlignment w:val="auto"/>
        <w:outlineLvl w:val="2"/>
        <w:rPr>
          <w:rFonts w:hint="eastAsia" w:ascii="宋体" w:hAnsi="宋体" w:eastAsia="宋体" w:cs="宋体"/>
          <w:b/>
          <w:bCs/>
          <w:color w:val="auto"/>
          <w:kern w:val="2"/>
          <w:sz w:val="24"/>
          <w:szCs w:val="24"/>
          <w:lang w:val="zh-CN" w:eastAsia="zh-CN" w:bidi="ar-SA"/>
        </w:rPr>
      </w:pPr>
      <w:bookmarkStart w:id="304" w:name="_Toc1423"/>
      <w:bookmarkStart w:id="305" w:name="_Toc21135"/>
      <w:bookmarkStart w:id="306" w:name="_Toc3154_WPSOffice_Level2"/>
      <w:bookmarkStart w:id="307" w:name="_Toc18301_WPSOffice_Level3"/>
      <w:r>
        <w:rPr>
          <w:rFonts w:hint="eastAsia" w:ascii="宋体" w:hAnsi="宋体" w:eastAsia="宋体" w:cs="宋体"/>
          <w:b/>
          <w:bCs/>
          <w:color w:val="auto"/>
          <w:kern w:val="2"/>
          <w:sz w:val="24"/>
          <w:szCs w:val="24"/>
          <w:lang w:val="zh-CN" w:eastAsia="zh-CN" w:bidi="ar-SA"/>
        </w:rPr>
        <w:t>（二）有效性、完整性、响应程度审查部分</w:t>
      </w:r>
      <w:bookmarkEnd w:id="304"/>
      <w:bookmarkEnd w:id="305"/>
      <w:bookmarkEnd w:id="306"/>
      <w:bookmarkEnd w:id="307"/>
    </w:p>
    <w:p w14:paraId="6359BCD4">
      <w:pPr>
        <w:widowControl w:val="0"/>
        <w:wordWrap/>
        <w:adjustRightInd w:val="0"/>
        <w:snapToGrid w:val="0"/>
        <w:spacing w:line="560" w:lineRule="exact"/>
        <w:jc w:val="left"/>
        <w:textAlignment w:val="auto"/>
        <w:rPr>
          <w:rFonts w:hint="eastAsia" w:ascii="宋体" w:hAnsi="宋体" w:eastAsia="宋体" w:cs="宋体"/>
          <w:color w:val="auto"/>
          <w:kern w:val="2"/>
          <w:sz w:val="24"/>
          <w:szCs w:val="24"/>
          <w:lang w:val="zh-CN" w:eastAsia="zh-CN" w:bidi="ar-SA"/>
        </w:rPr>
      </w:pPr>
      <w:bookmarkStart w:id="308" w:name="_Toc9730_WPSOffice_Level3"/>
      <w:r>
        <w:rPr>
          <w:rFonts w:hint="eastAsia" w:ascii="宋体" w:hAnsi="宋体" w:eastAsia="宋体" w:cs="宋体"/>
          <w:color w:val="auto"/>
          <w:kern w:val="2"/>
          <w:sz w:val="24"/>
          <w:szCs w:val="24"/>
          <w:lang w:val="en-US" w:eastAsia="zh-CN" w:bidi="ar-SA"/>
        </w:rPr>
        <w:t>1</w:t>
      </w:r>
      <w:r>
        <w:rPr>
          <w:rFonts w:hint="eastAsia" w:ascii="宋体" w:hAnsi="宋体" w:eastAsia="宋体" w:cs="宋体"/>
          <w:color w:val="auto"/>
          <w:kern w:val="2"/>
          <w:sz w:val="24"/>
          <w:szCs w:val="24"/>
          <w:lang w:val="zh-CN" w:eastAsia="zh-CN" w:bidi="ar-SA"/>
        </w:rPr>
        <w:t>、谈判首次报价表（见附件</w:t>
      </w:r>
      <w:r>
        <w:rPr>
          <w:rFonts w:hint="eastAsia" w:ascii="宋体" w:hAnsi="宋体" w:eastAsia="宋体" w:cs="宋体"/>
          <w:color w:val="auto"/>
          <w:kern w:val="2"/>
          <w:sz w:val="24"/>
          <w:szCs w:val="24"/>
          <w:lang w:val="en-US" w:eastAsia="zh-CN" w:bidi="ar-SA"/>
        </w:rPr>
        <w:t>10</w:t>
      </w:r>
      <w:r>
        <w:rPr>
          <w:rFonts w:hint="eastAsia" w:ascii="宋体" w:hAnsi="宋体" w:eastAsia="宋体" w:cs="宋体"/>
          <w:color w:val="auto"/>
          <w:kern w:val="2"/>
          <w:sz w:val="24"/>
          <w:szCs w:val="24"/>
          <w:lang w:val="zh-CN" w:eastAsia="zh-CN" w:bidi="ar-SA"/>
        </w:rPr>
        <w:t>）</w:t>
      </w:r>
      <w:bookmarkEnd w:id="308"/>
    </w:p>
    <w:p w14:paraId="69D9885E">
      <w:pPr>
        <w:widowControl w:val="0"/>
        <w:wordWrap/>
        <w:adjustRightInd w:val="0"/>
        <w:snapToGrid w:val="0"/>
        <w:spacing w:line="560" w:lineRule="exact"/>
        <w:jc w:val="left"/>
        <w:textAlignment w:val="auto"/>
        <w:rPr>
          <w:rFonts w:hint="eastAsia" w:ascii="宋体" w:hAnsi="宋体" w:eastAsia="宋体" w:cs="宋体"/>
          <w:color w:val="auto"/>
          <w:kern w:val="2"/>
          <w:sz w:val="24"/>
          <w:szCs w:val="24"/>
          <w:lang w:val="zh-CN" w:eastAsia="zh-CN" w:bidi="ar-SA"/>
        </w:rPr>
      </w:pPr>
      <w:bookmarkStart w:id="309" w:name="_Toc15196_WPSOffice_Level3"/>
      <w:r>
        <w:rPr>
          <w:rFonts w:hint="eastAsia" w:ascii="宋体" w:hAnsi="宋体" w:eastAsia="宋体" w:cs="宋体"/>
          <w:color w:val="auto"/>
          <w:kern w:val="2"/>
          <w:sz w:val="24"/>
          <w:szCs w:val="24"/>
          <w:lang w:val="en-US" w:eastAsia="zh-CN" w:bidi="ar-SA"/>
        </w:rPr>
        <w:t>2</w:t>
      </w:r>
      <w:r>
        <w:rPr>
          <w:rFonts w:hint="eastAsia" w:ascii="宋体" w:hAnsi="宋体" w:eastAsia="宋体" w:cs="宋体"/>
          <w:color w:val="auto"/>
          <w:kern w:val="2"/>
          <w:sz w:val="24"/>
          <w:szCs w:val="24"/>
          <w:lang w:val="zh-CN" w:eastAsia="zh-CN" w:bidi="ar-SA"/>
        </w:rPr>
        <w:t>、分项报价表（见附件1</w:t>
      </w:r>
      <w:r>
        <w:rPr>
          <w:rFonts w:hint="eastAsia" w:ascii="宋体" w:hAnsi="宋体" w:eastAsia="宋体" w:cs="宋体"/>
          <w:color w:val="auto"/>
          <w:kern w:val="2"/>
          <w:sz w:val="24"/>
          <w:szCs w:val="24"/>
          <w:lang w:val="en-US" w:eastAsia="zh-CN" w:bidi="ar-SA"/>
        </w:rPr>
        <w:t>1</w:t>
      </w:r>
      <w:r>
        <w:rPr>
          <w:rFonts w:hint="eastAsia" w:ascii="宋体" w:hAnsi="宋体" w:eastAsia="宋体" w:cs="宋体"/>
          <w:color w:val="auto"/>
          <w:kern w:val="2"/>
          <w:sz w:val="24"/>
          <w:szCs w:val="24"/>
          <w:lang w:val="zh-CN" w:eastAsia="zh-CN" w:bidi="ar-SA"/>
        </w:rPr>
        <w:t>）</w:t>
      </w:r>
      <w:bookmarkEnd w:id="309"/>
    </w:p>
    <w:p w14:paraId="0FD54A54">
      <w:pPr>
        <w:widowControl w:val="0"/>
        <w:wordWrap/>
        <w:adjustRightInd w:val="0"/>
        <w:snapToGrid w:val="0"/>
        <w:spacing w:line="560" w:lineRule="exact"/>
        <w:jc w:val="left"/>
        <w:textAlignment w:val="auto"/>
        <w:rPr>
          <w:rFonts w:hint="eastAsia" w:ascii="宋体" w:hAnsi="宋体" w:eastAsia="宋体" w:cs="宋体"/>
          <w:color w:val="auto"/>
          <w:kern w:val="2"/>
          <w:sz w:val="24"/>
          <w:szCs w:val="24"/>
          <w:lang w:val="zh-CN" w:eastAsia="zh-CN" w:bidi="ar-SA"/>
        </w:rPr>
      </w:pPr>
      <w:bookmarkStart w:id="310" w:name="_Toc319_WPSOffice_Level3"/>
      <w:r>
        <w:rPr>
          <w:rFonts w:hint="eastAsia" w:ascii="宋体" w:hAnsi="宋体" w:eastAsia="宋体" w:cs="宋体"/>
          <w:color w:val="auto"/>
          <w:kern w:val="2"/>
          <w:sz w:val="24"/>
          <w:szCs w:val="24"/>
          <w:lang w:val="en-US" w:eastAsia="zh-CN" w:bidi="ar-SA"/>
        </w:rPr>
        <w:t>3</w:t>
      </w:r>
      <w:r>
        <w:rPr>
          <w:rFonts w:hint="eastAsia" w:ascii="宋体" w:hAnsi="宋体" w:eastAsia="宋体" w:cs="宋体"/>
          <w:color w:val="auto"/>
          <w:kern w:val="2"/>
          <w:sz w:val="24"/>
          <w:szCs w:val="24"/>
          <w:lang w:val="zh-CN" w:eastAsia="zh-CN" w:bidi="ar-SA"/>
        </w:rPr>
        <w:t>、</w:t>
      </w:r>
      <w:r>
        <w:rPr>
          <w:rFonts w:hint="eastAsia" w:ascii="宋体" w:hAnsi="宋体" w:eastAsia="宋体" w:cs="宋体"/>
          <w:color w:val="auto"/>
          <w:kern w:val="2"/>
          <w:sz w:val="24"/>
          <w:szCs w:val="24"/>
          <w:lang w:val="en-US" w:eastAsia="zh-CN" w:bidi="ar-SA"/>
        </w:rPr>
        <w:t>技术规格</w:t>
      </w:r>
      <w:r>
        <w:rPr>
          <w:rFonts w:hint="eastAsia" w:ascii="宋体" w:hAnsi="宋体" w:eastAsia="宋体" w:cs="宋体"/>
          <w:color w:val="auto"/>
          <w:kern w:val="2"/>
          <w:sz w:val="24"/>
          <w:szCs w:val="24"/>
          <w:lang w:val="zh-CN" w:eastAsia="zh-CN" w:bidi="ar-SA"/>
        </w:rPr>
        <w:t>响应表（见附件1</w:t>
      </w:r>
      <w:r>
        <w:rPr>
          <w:rFonts w:hint="eastAsia" w:ascii="宋体" w:hAnsi="宋体" w:eastAsia="宋体" w:cs="宋体"/>
          <w:color w:val="auto"/>
          <w:kern w:val="2"/>
          <w:sz w:val="24"/>
          <w:szCs w:val="24"/>
          <w:lang w:val="en-US" w:eastAsia="zh-CN" w:bidi="ar-SA"/>
        </w:rPr>
        <w:t>2</w:t>
      </w:r>
      <w:r>
        <w:rPr>
          <w:rFonts w:hint="eastAsia" w:ascii="宋体" w:hAnsi="宋体" w:eastAsia="宋体" w:cs="宋体"/>
          <w:color w:val="auto"/>
          <w:kern w:val="2"/>
          <w:sz w:val="24"/>
          <w:szCs w:val="24"/>
          <w:lang w:val="zh-CN" w:eastAsia="zh-CN" w:bidi="ar-SA"/>
        </w:rPr>
        <w:t>）</w:t>
      </w:r>
      <w:bookmarkEnd w:id="310"/>
    </w:p>
    <w:p w14:paraId="747F6FE6">
      <w:pPr>
        <w:widowControl w:val="0"/>
        <w:wordWrap/>
        <w:adjustRightInd w:val="0"/>
        <w:snapToGrid w:val="0"/>
        <w:spacing w:line="560" w:lineRule="exact"/>
        <w:jc w:val="left"/>
        <w:textAlignment w:val="auto"/>
        <w:rPr>
          <w:rFonts w:hint="eastAsia" w:ascii="宋体" w:hAnsi="宋体" w:eastAsia="宋体" w:cs="宋体"/>
          <w:color w:val="auto"/>
          <w:kern w:val="2"/>
          <w:sz w:val="24"/>
          <w:szCs w:val="24"/>
          <w:lang w:val="zh-CN" w:eastAsia="zh-CN" w:bidi="ar-SA"/>
        </w:rPr>
      </w:pPr>
      <w:bookmarkStart w:id="311" w:name="_Toc22060_WPSOffice_Level3"/>
      <w:r>
        <w:rPr>
          <w:rFonts w:hint="eastAsia" w:ascii="宋体" w:hAnsi="宋体" w:eastAsia="宋体" w:cs="宋体"/>
          <w:color w:val="auto"/>
          <w:kern w:val="2"/>
          <w:sz w:val="24"/>
          <w:szCs w:val="24"/>
          <w:lang w:val="en-US" w:eastAsia="zh-CN" w:bidi="ar-SA"/>
        </w:rPr>
        <w:t>4</w:t>
      </w:r>
      <w:r>
        <w:rPr>
          <w:rFonts w:hint="eastAsia" w:ascii="宋体" w:hAnsi="宋体" w:eastAsia="宋体" w:cs="宋体"/>
          <w:color w:val="auto"/>
          <w:kern w:val="2"/>
          <w:sz w:val="24"/>
          <w:szCs w:val="24"/>
          <w:lang w:val="zh-CN" w:eastAsia="zh-CN" w:bidi="ar-SA"/>
        </w:rPr>
        <w:t>、产品相关资料（具备履行合同所必须的设备和专业技术能力证明）（附件1</w:t>
      </w:r>
      <w:r>
        <w:rPr>
          <w:rFonts w:hint="eastAsia" w:ascii="宋体" w:hAnsi="宋体" w:eastAsia="宋体" w:cs="宋体"/>
          <w:color w:val="auto"/>
          <w:kern w:val="2"/>
          <w:sz w:val="24"/>
          <w:szCs w:val="24"/>
          <w:lang w:val="en-US" w:eastAsia="zh-CN" w:bidi="ar-SA"/>
        </w:rPr>
        <w:t>3</w:t>
      </w:r>
      <w:r>
        <w:rPr>
          <w:rFonts w:hint="eastAsia" w:ascii="宋体" w:hAnsi="宋体" w:eastAsia="宋体" w:cs="宋体"/>
          <w:color w:val="auto"/>
          <w:kern w:val="2"/>
          <w:sz w:val="24"/>
          <w:szCs w:val="24"/>
          <w:lang w:val="zh-CN" w:eastAsia="zh-CN" w:bidi="ar-SA"/>
        </w:rPr>
        <w:t>）</w:t>
      </w:r>
    </w:p>
    <w:bookmarkEnd w:id="311"/>
    <w:p w14:paraId="3AF9C5AB">
      <w:pPr>
        <w:widowControl w:val="0"/>
        <w:wordWrap/>
        <w:adjustRightInd w:val="0"/>
        <w:snapToGrid w:val="0"/>
        <w:spacing w:line="560" w:lineRule="exact"/>
        <w:jc w:val="left"/>
        <w:textAlignment w:val="auto"/>
        <w:rPr>
          <w:rFonts w:hint="eastAsia" w:ascii="宋体" w:hAnsi="宋体" w:eastAsia="宋体" w:cs="宋体"/>
          <w:color w:val="auto"/>
          <w:kern w:val="2"/>
          <w:sz w:val="24"/>
          <w:szCs w:val="24"/>
          <w:lang w:val="zh-CN" w:eastAsia="zh-CN" w:bidi="ar-SA"/>
        </w:rPr>
      </w:pPr>
      <w:bookmarkStart w:id="312" w:name="_Toc16307_WPSOffice_Level3"/>
      <w:r>
        <w:rPr>
          <w:rFonts w:hint="eastAsia" w:ascii="宋体" w:hAnsi="宋体" w:eastAsia="宋体" w:cs="宋体"/>
          <w:color w:val="auto"/>
          <w:kern w:val="2"/>
          <w:sz w:val="24"/>
          <w:szCs w:val="24"/>
          <w:lang w:val="en-US" w:eastAsia="zh-CN" w:bidi="ar-SA"/>
        </w:rPr>
        <w:t>5</w:t>
      </w:r>
      <w:r>
        <w:rPr>
          <w:rFonts w:hint="eastAsia" w:ascii="宋体" w:hAnsi="宋体" w:eastAsia="宋体" w:cs="宋体"/>
          <w:color w:val="auto"/>
          <w:kern w:val="2"/>
          <w:sz w:val="24"/>
          <w:szCs w:val="24"/>
          <w:lang w:val="zh-CN" w:eastAsia="zh-CN" w:bidi="ar-SA"/>
        </w:rPr>
        <w:t>、供应商认为在其他方面有必要说明的事项（格式自定）</w:t>
      </w:r>
      <w:bookmarkEnd w:id="312"/>
    </w:p>
    <w:p w14:paraId="6B8114D6">
      <w:pPr>
        <w:widowControl w:val="0"/>
        <w:wordWrap/>
        <w:adjustRightInd w:val="0"/>
        <w:snapToGrid w:val="0"/>
        <w:spacing w:line="560" w:lineRule="exact"/>
        <w:jc w:val="left"/>
        <w:textAlignment w:val="auto"/>
        <w:rPr>
          <w:rFonts w:hint="eastAsia" w:ascii="宋体" w:hAnsi="宋体" w:eastAsia="宋体" w:cs="宋体"/>
          <w:color w:val="auto"/>
          <w:kern w:val="2"/>
          <w:sz w:val="24"/>
          <w:szCs w:val="24"/>
          <w:lang w:val="zh-CN" w:eastAsia="zh-CN" w:bidi="ar-SA"/>
        </w:rPr>
      </w:pPr>
      <w:bookmarkStart w:id="313" w:name="_Toc1748_WPSOffice_Level3"/>
      <w:r>
        <w:rPr>
          <w:rFonts w:hint="eastAsia" w:ascii="宋体" w:hAnsi="宋体" w:eastAsia="宋体" w:cs="宋体"/>
          <w:color w:val="auto"/>
          <w:kern w:val="2"/>
          <w:sz w:val="24"/>
          <w:szCs w:val="24"/>
          <w:lang w:val="en-US" w:eastAsia="zh-CN" w:bidi="ar-SA"/>
        </w:rPr>
        <w:t>6、</w:t>
      </w:r>
      <w:r>
        <w:rPr>
          <w:rFonts w:hint="eastAsia" w:ascii="宋体" w:hAnsi="宋体" w:eastAsia="宋体" w:cs="宋体"/>
          <w:color w:val="auto"/>
          <w:kern w:val="2"/>
          <w:sz w:val="24"/>
          <w:szCs w:val="24"/>
          <w:lang w:val="zh-CN" w:eastAsia="zh-CN" w:bidi="ar-SA"/>
        </w:rPr>
        <w:t>享受政府采购政策优惠的证明资料（见附件</w:t>
      </w:r>
      <w:r>
        <w:rPr>
          <w:rFonts w:hint="eastAsia" w:ascii="宋体" w:hAnsi="宋体" w:eastAsia="宋体" w:cs="宋体"/>
          <w:color w:val="auto"/>
          <w:kern w:val="2"/>
          <w:sz w:val="24"/>
          <w:szCs w:val="24"/>
          <w:lang w:val="en-US" w:eastAsia="zh-CN" w:bidi="ar-SA"/>
        </w:rPr>
        <w:t>14</w:t>
      </w:r>
      <w:r>
        <w:rPr>
          <w:rFonts w:hint="eastAsia" w:ascii="宋体" w:hAnsi="宋体" w:eastAsia="宋体" w:cs="宋体"/>
          <w:color w:val="auto"/>
          <w:kern w:val="2"/>
          <w:sz w:val="24"/>
          <w:szCs w:val="24"/>
          <w:lang w:val="zh-CN" w:eastAsia="zh-CN" w:bidi="ar-SA"/>
        </w:rPr>
        <w:t>）</w:t>
      </w:r>
      <w:bookmarkEnd w:id="313"/>
    </w:p>
    <w:p w14:paraId="603E2108">
      <w:pPr>
        <w:widowControl w:val="0"/>
        <w:wordWrap/>
        <w:adjustRightInd w:val="0"/>
        <w:snapToGrid w:val="0"/>
        <w:spacing w:line="560" w:lineRule="exact"/>
        <w:jc w:val="left"/>
        <w:textAlignment w:val="auto"/>
        <w:rPr>
          <w:rFonts w:hint="eastAsia" w:ascii="宋体" w:hAnsi="宋体" w:eastAsia="宋体" w:cs="宋体"/>
          <w:color w:val="auto"/>
          <w:kern w:val="2"/>
          <w:sz w:val="24"/>
          <w:szCs w:val="24"/>
          <w:lang w:val="en-US" w:eastAsia="zh-CN" w:bidi="ar-SA"/>
        </w:rPr>
      </w:pPr>
      <w:bookmarkStart w:id="314" w:name="_Toc5088_WPSOffice_Level3"/>
      <w:r>
        <w:rPr>
          <w:rFonts w:hint="eastAsia" w:ascii="宋体" w:hAnsi="宋体" w:eastAsia="宋体" w:cs="宋体"/>
          <w:color w:val="auto"/>
          <w:kern w:val="2"/>
          <w:sz w:val="24"/>
          <w:szCs w:val="24"/>
          <w:lang w:val="en-US" w:eastAsia="zh-CN" w:bidi="ar-SA"/>
        </w:rPr>
        <w:t>7、其他证明材料（格式自定）</w:t>
      </w:r>
      <w:bookmarkEnd w:id="314"/>
    </w:p>
    <w:p w14:paraId="11F48131">
      <w:pPr>
        <w:widowControl w:val="0"/>
        <w:wordWrap/>
        <w:adjustRightInd w:val="0"/>
        <w:snapToGrid w:val="0"/>
        <w:spacing w:line="560" w:lineRule="exact"/>
        <w:jc w:val="left"/>
        <w:textAlignment w:val="auto"/>
        <w:rPr>
          <w:rFonts w:hint="eastAsia" w:ascii="宋体" w:hAnsi="宋体" w:eastAsia="宋体" w:cs="宋体"/>
          <w:color w:val="auto"/>
          <w:lang w:val="en-US" w:eastAsia="zh-CN"/>
        </w:rPr>
      </w:pPr>
      <w:bookmarkStart w:id="315" w:name="_Toc30100_WPSOffice_Level3"/>
      <w:r>
        <w:rPr>
          <w:rFonts w:hint="eastAsia" w:ascii="宋体" w:hAnsi="宋体" w:eastAsia="宋体" w:cs="宋体"/>
          <w:color w:val="auto"/>
          <w:kern w:val="2"/>
          <w:sz w:val="24"/>
          <w:szCs w:val="24"/>
          <w:lang w:val="en-US" w:eastAsia="zh-CN" w:bidi="ar-SA"/>
        </w:rPr>
        <w:t>8、谈判最后报价表（见附件15）</w:t>
      </w:r>
      <w:bookmarkEnd w:id="315"/>
    </w:p>
    <w:p w14:paraId="6358D6EA">
      <w:pPr>
        <w:widowControl w:val="0"/>
        <w:wordWrap/>
        <w:adjustRightInd w:val="0"/>
        <w:snapToGrid w:val="0"/>
        <w:spacing w:line="560" w:lineRule="exact"/>
        <w:jc w:val="left"/>
        <w:textAlignment w:val="auto"/>
        <w:rPr>
          <w:rFonts w:hint="eastAsia" w:ascii="宋体" w:hAnsi="宋体" w:eastAsia="宋体" w:cs="宋体"/>
          <w:color w:val="auto"/>
          <w:kern w:val="2"/>
          <w:sz w:val="32"/>
          <w:szCs w:val="32"/>
          <w:lang w:val="en-US" w:eastAsia="zh-CN" w:bidi="ar-SA"/>
        </w:rPr>
      </w:pPr>
    </w:p>
    <w:p w14:paraId="2A77E98D">
      <w:pPr>
        <w:rPr>
          <w:rFonts w:hint="eastAsia" w:ascii="宋体" w:hAnsi="宋体" w:eastAsia="宋体" w:cs="宋体"/>
          <w:b/>
          <w:bCs/>
          <w:color w:val="auto"/>
          <w:kern w:val="2"/>
          <w:sz w:val="28"/>
          <w:szCs w:val="28"/>
          <w:lang w:val="en-US" w:eastAsia="zh-CN" w:bidi="ar-SA"/>
        </w:rPr>
      </w:pPr>
      <w:bookmarkStart w:id="316" w:name="_Toc14930_WPSOffice_Level2"/>
      <w:bookmarkStart w:id="317" w:name="_Toc1684_WPSOffice_Level2"/>
      <w:bookmarkStart w:id="318" w:name="_Toc11918"/>
      <w:bookmarkStart w:id="319" w:name="_Toc5252_WPSOffice_Level2"/>
      <w:r>
        <w:rPr>
          <w:rFonts w:hint="eastAsia" w:ascii="宋体" w:hAnsi="宋体" w:eastAsia="宋体" w:cs="宋体"/>
          <w:b/>
          <w:bCs/>
          <w:color w:val="auto"/>
          <w:kern w:val="2"/>
          <w:sz w:val="28"/>
          <w:szCs w:val="28"/>
          <w:lang w:val="en-US" w:eastAsia="zh-CN" w:bidi="ar-SA"/>
        </w:rPr>
        <w:br w:type="page"/>
      </w:r>
    </w:p>
    <w:p w14:paraId="06483B69">
      <w:pPr>
        <w:widowControl w:val="0"/>
        <w:wordWrap/>
        <w:adjustRightInd w:val="0"/>
        <w:snapToGrid w:val="0"/>
        <w:spacing w:line="560" w:lineRule="exact"/>
        <w:jc w:val="center"/>
        <w:textAlignment w:val="auto"/>
        <w:outlineLvl w:val="1"/>
        <w:rPr>
          <w:rFonts w:hint="eastAsia" w:ascii="宋体" w:hAnsi="宋体" w:eastAsia="宋体" w:cs="宋体"/>
          <w:b/>
          <w:bCs/>
          <w:color w:val="auto"/>
          <w:kern w:val="2"/>
          <w:sz w:val="28"/>
          <w:szCs w:val="28"/>
          <w:lang w:val="en-US" w:eastAsia="zh-CN" w:bidi="ar-SA"/>
        </w:rPr>
      </w:pPr>
      <w:bookmarkStart w:id="320" w:name="_Toc10743"/>
      <w:r>
        <w:rPr>
          <w:rFonts w:hint="eastAsia" w:ascii="宋体" w:hAnsi="宋体" w:eastAsia="宋体" w:cs="宋体"/>
          <w:b/>
          <w:bCs/>
          <w:color w:val="auto"/>
          <w:kern w:val="2"/>
          <w:sz w:val="28"/>
          <w:szCs w:val="28"/>
          <w:lang w:val="en-US" w:eastAsia="zh-CN" w:bidi="ar-SA"/>
        </w:rPr>
        <w:t>十三、</w:t>
      </w:r>
      <w:bookmarkEnd w:id="316"/>
      <w:bookmarkEnd w:id="317"/>
      <w:bookmarkEnd w:id="318"/>
      <w:bookmarkEnd w:id="319"/>
      <w:bookmarkEnd w:id="320"/>
      <w:r>
        <w:rPr>
          <w:rFonts w:hint="eastAsia" w:ascii="宋体" w:hAnsi="宋体" w:eastAsia="宋体" w:cs="宋体"/>
          <w:b/>
          <w:bCs/>
          <w:color w:val="auto"/>
          <w:kern w:val="2"/>
          <w:sz w:val="28"/>
          <w:szCs w:val="28"/>
          <w:lang w:val="en-US" w:eastAsia="zh-CN" w:bidi="ar-SA"/>
        </w:rPr>
        <w:t>响应文件</w:t>
      </w:r>
    </w:p>
    <w:p w14:paraId="6EAAD4BF">
      <w:pPr>
        <w:wordWrap/>
        <w:spacing w:before="157" w:beforeLines="50" w:line="560" w:lineRule="exact"/>
        <w:jc w:val="center"/>
        <w:outlineLvl w:val="9"/>
        <w:rPr>
          <w:rFonts w:hint="eastAsia" w:ascii="宋体" w:hAnsi="宋体" w:eastAsia="宋体" w:cs="宋体"/>
          <w:b/>
          <w:color w:val="auto"/>
          <w:sz w:val="44"/>
          <w:szCs w:val="44"/>
        </w:rPr>
      </w:pPr>
      <w:bookmarkStart w:id="321" w:name="_Toc10997_WPSOffice_Level2"/>
      <w:bookmarkStart w:id="322" w:name="_Toc28269_WPSOffice_Level3"/>
      <w:bookmarkStart w:id="323" w:name="_Toc31682_WPSOffice_Level2"/>
    </w:p>
    <w:p w14:paraId="66363E29">
      <w:pPr>
        <w:wordWrap/>
        <w:spacing w:before="157" w:beforeLines="50" w:line="560" w:lineRule="exact"/>
        <w:jc w:val="center"/>
        <w:outlineLvl w:val="9"/>
        <w:rPr>
          <w:rFonts w:hint="eastAsia" w:ascii="宋体" w:hAnsi="宋体" w:eastAsia="宋体" w:cs="宋体"/>
          <w:b/>
          <w:color w:val="auto"/>
          <w:sz w:val="44"/>
          <w:szCs w:val="44"/>
        </w:rPr>
      </w:pPr>
      <w:r>
        <w:rPr>
          <w:rFonts w:hint="eastAsia" w:ascii="宋体" w:hAnsi="宋体" w:eastAsia="宋体" w:cs="宋体"/>
          <w:b/>
          <w:color w:val="auto"/>
          <w:sz w:val="44"/>
          <w:szCs w:val="44"/>
        </w:rPr>
        <w:t>青海省政府采购项目</w:t>
      </w:r>
      <w:bookmarkEnd w:id="321"/>
      <w:bookmarkEnd w:id="322"/>
      <w:bookmarkEnd w:id="323"/>
      <w:bookmarkStart w:id="324" w:name="_Toc23622_WPSOffice_Level2"/>
      <w:bookmarkStart w:id="325" w:name="_Toc25378_WPSOffice_Level2"/>
    </w:p>
    <w:bookmarkEnd w:id="324"/>
    <w:bookmarkEnd w:id="325"/>
    <w:p w14:paraId="229E3EDF">
      <w:pPr>
        <w:wordWrap/>
        <w:spacing w:before="157" w:beforeLines="50" w:line="560" w:lineRule="exact"/>
        <w:jc w:val="center"/>
        <w:outlineLvl w:val="9"/>
        <w:rPr>
          <w:rFonts w:hint="eastAsia" w:ascii="宋体" w:hAnsi="宋体" w:eastAsia="宋体" w:cs="宋体"/>
          <w:b/>
          <w:color w:val="auto"/>
          <w:sz w:val="44"/>
          <w:szCs w:val="44"/>
          <w:lang w:eastAsia="zh-CN"/>
        </w:rPr>
      </w:pPr>
      <w:r>
        <w:rPr>
          <w:rFonts w:hint="eastAsia" w:ascii="宋体" w:hAnsi="宋体" w:eastAsia="宋体" w:cs="宋体"/>
          <w:b/>
          <w:color w:val="auto"/>
          <w:sz w:val="44"/>
          <w:szCs w:val="44"/>
          <w:lang w:eastAsia="zh-CN"/>
        </w:rPr>
        <w:t>响应文件</w:t>
      </w:r>
    </w:p>
    <w:p w14:paraId="7D904CC2">
      <w:pPr>
        <w:wordWrap/>
        <w:adjustRightInd w:val="0"/>
        <w:spacing w:before="157" w:beforeLines="50" w:line="560" w:lineRule="exact"/>
        <w:ind w:firstLine="3052" w:firstLineChars="950"/>
        <w:textAlignment w:val="baseline"/>
        <w:outlineLvl w:val="9"/>
        <w:rPr>
          <w:rFonts w:hint="eastAsia" w:ascii="宋体" w:hAnsi="宋体" w:eastAsia="宋体" w:cs="宋体"/>
          <w:b/>
          <w:bCs/>
          <w:color w:val="auto"/>
          <w:sz w:val="32"/>
          <w:szCs w:val="32"/>
        </w:rPr>
      </w:pPr>
      <w:bookmarkStart w:id="326" w:name="_Toc28825_WPSOffice_Level2"/>
      <w:bookmarkStart w:id="327" w:name="_Toc13231_WPSOffice_Level2"/>
      <w:r>
        <w:rPr>
          <w:rFonts w:hint="eastAsia" w:ascii="宋体" w:hAnsi="宋体" w:eastAsia="宋体" w:cs="宋体"/>
          <w:b/>
          <w:bCs/>
          <w:color w:val="auto"/>
          <w:sz w:val="32"/>
          <w:szCs w:val="32"/>
        </w:rPr>
        <w:t>（</w:t>
      </w:r>
      <w:r>
        <w:rPr>
          <w:rFonts w:hint="eastAsia" w:ascii="宋体" w:hAnsi="宋体" w:eastAsia="宋体" w:cs="宋体"/>
          <w:b w:val="0"/>
          <w:bCs w:val="0"/>
          <w:color w:val="auto"/>
          <w:kern w:val="2"/>
          <w:sz w:val="32"/>
          <w:szCs w:val="32"/>
          <w:lang w:val="en-US" w:eastAsia="zh-CN" w:bidi="ar-SA"/>
        </w:rPr>
        <w:t>资格审查部分</w:t>
      </w:r>
      <w:r>
        <w:rPr>
          <w:rFonts w:hint="eastAsia" w:ascii="宋体" w:hAnsi="宋体" w:eastAsia="宋体" w:cs="宋体"/>
          <w:b/>
          <w:bCs/>
          <w:color w:val="auto"/>
          <w:sz w:val="32"/>
          <w:szCs w:val="32"/>
        </w:rPr>
        <w:t>）</w:t>
      </w:r>
    </w:p>
    <w:p w14:paraId="7B515A5F">
      <w:pPr>
        <w:wordWrap/>
        <w:adjustRightInd w:val="0"/>
        <w:spacing w:before="157" w:beforeLines="50" w:line="560" w:lineRule="exact"/>
        <w:ind w:firstLine="3052" w:firstLineChars="950"/>
        <w:textAlignment w:val="baseline"/>
        <w:outlineLvl w:val="9"/>
        <w:rPr>
          <w:rFonts w:hint="eastAsia" w:ascii="宋体" w:hAnsi="宋体" w:eastAsia="宋体" w:cs="宋体"/>
          <w:b/>
          <w:bCs/>
          <w:color w:val="auto"/>
          <w:sz w:val="32"/>
          <w:szCs w:val="32"/>
        </w:rPr>
      </w:pPr>
    </w:p>
    <w:bookmarkEnd w:id="326"/>
    <w:bookmarkEnd w:id="327"/>
    <w:p w14:paraId="2C1E50CA">
      <w:pPr>
        <w:wordWrap/>
        <w:adjustRightInd w:val="0"/>
        <w:spacing w:before="157" w:beforeLines="50" w:line="560" w:lineRule="exact"/>
        <w:textAlignment w:val="baseline"/>
        <w:outlineLvl w:val="9"/>
        <w:rPr>
          <w:rFonts w:hint="eastAsia" w:ascii="宋体" w:hAnsi="宋体" w:eastAsia="宋体" w:cs="宋体"/>
          <w:b/>
          <w:bCs/>
          <w:color w:val="auto"/>
          <w:sz w:val="32"/>
          <w:szCs w:val="32"/>
        </w:rPr>
      </w:pPr>
    </w:p>
    <w:p w14:paraId="55812F19">
      <w:pPr>
        <w:wordWrap/>
        <w:adjustRightInd w:val="0"/>
        <w:spacing w:before="157" w:beforeLines="50" w:line="560" w:lineRule="exact"/>
        <w:textAlignment w:val="baseline"/>
        <w:outlineLvl w:val="9"/>
        <w:rPr>
          <w:rFonts w:hint="eastAsia" w:ascii="宋体" w:hAnsi="宋体" w:eastAsia="宋体" w:cs="宋体"/>
          <w:b/>
          <w:bCs/>
          <w:color w:val="auto"/>
          <w:sz w:val="32"/>
          <w:szCs w:val="32"/>
        </w:rPr>
      </w:pPr>
    </w:p>
    <w:p w14:paraId="68E6CF37">
      <w:pPr>
        <w:wordWrap/>
        <w:adjustRightInd w:val="0"/>
        <w:spacing w:before="157" w:beforeLines="50" w:line="560" w:lineRule="exact"/>
        <w:textAlignment w:val="baseline"/>
        <w:outlineLvl w:val="9"/>
        <w:rPr>
          <w:rFonts w:hint="eastAsia" w:ascii="宋体" w:hAnsi="宋体" w:eastAsia="宋体" w:cs="宋体"/>
          <w:b/>
          <w:bCs/>
          <w:color w:val="auto"/>
          <w:sz w:val="32"/>
          <w:szCs w:val="32"/>
        </w:rPr>
      </w:pPr>
    </w:p>
    <w:p w14:paraId="4AD0A261">
      <w:pPr>
        <w:wordWrap/>
        <w:adjustRightInd w:val="0"/>
        <w:spacing w:before="157" w:beforeLines="50" w:line="560" w:lineRule="exact"/>
        <w:textAlignment w:val="baseline"/>
        <w:outlineLvl w:val="9"/>
        <w:rPr>
          <w:rFonts w:hint="eastAsia" w:ascii="宋体" w:hAnsi="宋体" w:eastAsia="宋体" w:cs="宋体"/>
          <w:b/>
          <w:bCs/>
          <w:color w:val="auto"/>
          <w:sz w:val="32"/>
          <w:szCs w:val="32"/>
          <w:lang w:eastAsia="zh-CN"/>
        </w:rPr>
      </w:pPr>
      <w:bookmarkStart w:id="328" w:name="_Toc19521_WPSOffice_Level2"/>
      <w:bookmarkStart w:id="329" w:name="_Toc29803_WPSOffice_Level2"/>
      <w:r>
        <w:rPr>
          <w:rFonts w:hint="eastAsia" w:ascii="宋体" w:hAnsi="宋体" w:eastAsia="宋体" w:cs="宋体"/>
          <w:b/>
          <w:bCs/>
          <w:color w:val="auto"/>
          <w:sz w:val="32"/>
          <w:szCs w:val="32"/>
        </w:rPr>
        <w:t>采购项目编号:</w:t>
      </w:r>
      <w:bookmarkEnd w:id="328"/>
      <w:bookmarkEnd w:id="329"/>
    </w:p>
    <w:p w14:paraId="2E625447">
      <w:pPr>
        <w:wordWrap/>
        <w:spacing w:before="157" w:beforeLines="50" w:line="560" w:lineRule="exact"/>
        <w:ind w:left="2530" w:hanging="2249" w:hangingChars="700"/>
        <w:jc w:val="left"/>
        <w:outlineLvl w:val="9"/>
        <w:rPr>
          <w:rFonts w:hint="eastAsia" w:ascii="宋体" w:hAnsi="宋体" w:eastAsia="宋体" w:cs="宋体"/>
          <w:b/>
          <w:bCs/>
          <w:color w:val="auto"/>
          <w:sz w:val="32"/>
          <w:szCs w:val="32"/>
        </w:rPr>
      </w:pPr>
      <w:bookmarkStart w:id="330" w:name="_Toc18713_WPSOffice_Level2"/>
      <w:bookmarkStart w:id="331" w:name="_Toc14786_WPSOffice_Level2"/>
      <w:r>
        <w:rPr>
          <w:rFonts w:hint="eastAsia" w:ascii="宋体" w:hAnsi="宋体" w:eastAsia="宋体" w:cs="宋体"/>
          <w:b/>
          <w:bCs/>
          <w:color w:val="auto"/>
          <w:sz w:val="32"/>
          <w:szCs w:val="32"/>
        </w:rPr>
        <w:t>采购项目名称:</w:t>
      </w:r>
      <w:bookmarkEnd w:id="330"/>
      <w:bookmarkEnd w:id="331"/>
    </w:p>
    <w:p w14:paraId="199EF1F5">
      <w:pPr>
        <w:wordWrap/>
        <w:adjustRightInd w:val="0"/>
        <w:spacing w:before="157" w:beforeLines="50" w:line="560" w:lineRule="exact"/>
        <w:textAlignment w:val="baseline"/>
        <w:outlineLvl w:val="9"/>
        <w:rPr>
          <w:rFonts w:hint="eastAsia" w:ascii="宋体" w:hAnsi="宋体" w:eastAsia="宋体" w:cs="宋体"/>
          <w:b/>
          <w:bCs/>
          <w:color w:val="auto"/>
          <w:sz w:val="32"/>
          <w:szCs w:val="32"/>
          <w:lang w:eastAsia="zh-CN"/>
        </w:rPr>
      </w:pPr>
      <w:bookmarkStart w:id="332" w:name="_Toc22044_WPSOffice_Level2"/>
      <w:bookmarkStart w:id="333" w:name="_Toc14087_WPSOffice_Level2"/>
      <w:r>
        <w:rPr>
          <w:rFonts w:hint="eastAsia" w:ascii="宋体" w:hAnsi="宋体" w:eastAsia="宋体" w:cs="宋体"/>
          <w:b/>
          <w:bCs/>
          <w:color w:val="auto"/>
          <w:sz w:val="32"/>
          <w:szCs w:val="32"/>
          <w:lang w:eastAsia="zh-CN"/>
        </w:rPr>
        <w:t>供应商名称：</w:t>
      </w:r>
      <w:bookmarkEnd w:id="332"/>
      <w:bookmarkEnd w:id="333"/>
    </w:p>
    <w:p w14:paraId="36DC1341">
      <w:pPr>
        <w:wordWrap/>
        <w:spacing w:before="157" w:beforeLines="50" w:line="560" w:lineRule="exact"/>
        <w:jc w:val="center"/>
        <w:outlineLvl w:val="9"/>
        <w:rPr>
          <w:rFonts w:hint="eastAsia" w:ascii="宋体" w:hAnsi="宋体" w:eastAsia="宋体" w:cs="宋体"/>
          <w:b/>
          <w:bCs/>
          <w:color w:val="auto"/>
          <w:sz w:val="32"/>
          <w:szCs w:val="32"/>
        </w:rPr>
      </w:pPr>
    </w:p>
    <w:p w14:paraId="2C983D16">
      <w:pPr>
        <w:wordWrap/>
        <w:spacing w:before="157" w:beforeLines="50" w:line="560" w:lineRule="exact"/>
        <w:jc w:val="center"/>
        <w:outlineLvl w:val="9"/>
        <w:rPr>
          <w:rFonts w:hint="eastAsia" w:ascii="宋体" w:hAnsi="宋体" w:eastAsia="宋体" w:cs="宋体"/>
          <w:b/>
          <w:color w:val="auto"/>
          <w:sz w:val="32"/>
          <w:szCs w:val="32"/>
        </w:rPr>
      </w:pPr>
      <w:bookmarkStart w:id="334" w:name="_Toc1142_WPSOffice_Level3"/>
      <w:r>
        <w:rPr>
          <w:rFonts w:hint="eastAsia" w:ascii="宋体" w:hAnsi="宋体" w:eastAsia="宋体" w:cs="宋体"/>
          <w:b/>
          <w:color w:val="auto"/>
          <w:sz w:val="32"/>
          <w:szCs w:val="32"/>
        </w:rPr>
        <w:t xml:space="preserve">年  </w:t>
      </w:r>
      <w:r>
        <w:rPr>
          <w:rFonts w:hint="eastAsia" w:ascii="宋体" w:hAnsi="宋体" w:eastAsia="宋体" w:cs="宋体"/>
          <w:b/>
          <w:color w:val="auto"/>
          <w:sz w:val="32"/>
          <w:szCs w:val="32"/>
          <w:lang w:val="en-US" w:eastAsia="zh-CN"/>
        </w:rPr>
        <w:t xml:space="preserve"> </w:t>
      </w:r>
      <w:r>
        <w:rPr>
          <w:rFonts w:hint="eastAsia" w:ascii="宋体" w:hAnsi="宋体" w:eastAsia="宋体" w:cs="宋体"/>
          <w:b/>
          <w:color w:val="auto"/>
          <w:sz w:val="32"/>
          <w:szCs w:val="32"/>
        </w:rPr>
        <w:t xml:space="preserve">月  </w:t>
      </w:r>
      <w:r>
        <w:rPr>
          <w:rFonts w:hint="eastAsia" w:ascii="宋体" w:hAnsi="宋体" w:eastAsia="宋体" w:cs="宋体"/>
          <w:b/>
          <w:color w:val="auto"/>
          <w:sz w:val="32"/>
          <w:szCs w:val="32"/>
          <w:lang w:val="en-US" w:eastAsia="zh-CN"/>
        </w:rPr>
        <w:t xml:space="preserve"> </w:t>
      </w:r>
      <w:r>
        <w:rPr>
          <w:rFonts w:hint="eastAsia" w:ascii="宋体" w:hAnsi="宋体" w:eastAsia="宋体" w:cs="宋体"/>
          <w:b/>
          <w:color w:val="auto"/>
          <w:sz w:val="32"/>
          <w:szCs w:val="32"/>
        </w:rPr>
        <w:t>日</w:t>
      </w:r>
      <w:bookmarkEnd w:id="334"/>
    </w:p>
    <w:p w14:paraId="3BA06634">
      <w:pPr>
        <w:widowControl/>
        <w:wordWrap/>
        <w:snapToGrid w:val="0"/>
        <w:spacing w:before="157" w:beforeLines="50" w:line="560" w:lineRule="exact"/>
        <w:jc w:val="left"/>
        <w:outlineLvl w:val="9"/>
        <w:rPr>
          <w:rFonts w:hint="eastAsia" w:ascii="宋体" w:hAnsi="宋体" w:eastAsia="宋体" w:cs="宋体"/>
          <w:b/>
          <w:color w:val="auto"/>
          <w:sz w:val="28"/>
          <w:szCs w:val="28"/>
        </w:rPr>
      </w:pPr>
    </w:p>
    <w:p w14:paraId="673DDA18">
      <w:pPr>
        <w:rPr>
          <w:rFonts w:hint="eastAsia" w:ascii="宋体" w:hAnsi="宋体" w:eastAsia="宋体" w:cs="宋体"/>
          <w:b/>
          <w:color w:val="auto"/>
          <w:sz w:val="28"/>
          <w:szCs w:val="28"/>
        </w:rPr>
      </w:pPr>
      <w:r>
        <w:rPr>
          <w:rFonts w:hint="eastAsia" w:ascii="宋体" w:hAnsi="宋体" w:eastAsia="宋体" w:cs="宋体"/>
          <w:b/>
          <w:color w:val="auto"/>
          <w:sz w:val="28"/>
          <w:szCs w:val="28"/>
        </w:rPr>
        <w:br w:type="page"/>
      </w:r>
      <w:bookmarkStart w:id="335" w:name="_Toc19203"/>
      <w:bookmarkStart w:id="336" w:name="_Toc32479_WPSOffice_Level3"/>
      <w:bookmarkStart w:id="337" w:name="_Toc27597"/>
      <w:bookmarkStart w:id="338" w:name="_Toc27578"/>
    </w:p>
    <w:p w14:paraId="312DA7AD">
      <w:pPr>
        <w:keepNext w:val="0"/>
        <w:keepLines w:val="0"/>
        <w:pageBreakBefore w:val="0"/>
        <w:widowControl/>
        <w:kinsoku/>
        <w:wordWrap/>
        <w:overflowPunct/>
        <w:topLinePunct w:val="0"/>
        <w:autoSpaceDE/>
        <w:autoSpaceDN/>
        <w:bidi w:val="0"/>
        <w:adjustRightInd/>
        <w:snapToGrid/>
        <w:spacing w:line="360" w:lineRule="auto"/>
        <w:ind w:right="0"/>
        <w:textAlignment w:val="auto"/>
        <w:outlineLvl w:val="1"/>
        <w:rPr>
          <w:rFonts w:hint="eastAsia" w:ascii="宋体" w:hAnsi="宋体" w:eastAsia="宋体" w:cs="宋体"/>
          <w:b/>
          <w:color w:val="auto"/>
          <w:sz w:val="24"/>
          <w:szCs w:val="24"/>
        </w:rPr>
      </w:pPr>
      <w:bookmarkStart w:id="339" w:name="_Toc214"/>
      <w:r>
        <w:rPr>
          <w:rFonts w:hint="eastAsia" w:ascii="宋体" w:hAnsi="宋体" w:eastAsia="宋体" w:cs="宋体"/>
          <w:b/>
          <w:color w:val="auto"/>
          <w:sz w:val="28"/>
          <w:szCs w:val="28"/>
          <w:lang w:eastAsia="zh-CN"/>
        </w:rPr>
        <w:t>附件1：响应函</w:t>
      </w:r>
      <w:bookmarkEnd w:id="335"/>
      <w:bookmarkEnd w:id="336"/>
      <w:bookmarkEnd w:id="337"/>
      <w:bookmarkEnd w:id="338"/>
      <w:bookmarkEnd w:id="339"/>
    </w:p>
    <w:p w14:paraId="45BB1DF0">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outlineLvl w:val="9"/>
        <w:rPr>
          <w:rFonts w:hint="eastAsia" w:ascii="宋体" w:hAnsi="宋体" w:eastAsia="宋体" w:cs="宋体"/>
          <w:b/>
          <w:color w:val="auto"/>
          <w:sz w:val="24"/>
          <w:szCs w:val="24"/>
        </w:rPr>
      </w:pPr>
      <w:bookmarkStart w:id="340" w:name="_Toc24288_WPSOffice_Level2"/>
      <w:bookmarkStart w:id="341" w:name="_Toc22598_WPSOffice_Level2"/>
      <w:r>
        <w:rPr>
          <w:rFonts w:hint="eastAsia" w:ascii="宋体" w:hAnsi="宋体" w:eastAsia="宋体" w:cs="宋体"/>
          <w:b/>
          <w:color w:val="auto"/>
          <w:sz w:val="24"/>
          <w:szCs w:val="24"/>
          <w:lang w:eastAsia="zh-CN"/>
        </w:rPr>
        <w:t>响</w:t>
      </w:r>
      <w:r>
        <w:rPr>
          <w:rFonts w:hint="eastAsia" w:ascii="宋体" w:hAnsi="宋体" w:eastAsia="宋体" w:cs="宋体"/>
          <w:b/>
          <w:color w:val="auto"/>
          <w:sz w:val="24"/>
          <w:szCs w:val="24"/>
          <w:lang w:val="en-US" w:eastAsia="zh-CN"/>
        </w:rPr>
        <w:t xml:space="preserve"> </w:t>
      </w:r>
      <w:r>
        <w:rPr>
          <w:rFonts w:hint="eastAsia" w:ascii="宋体" w:hAnsi="宋体" w:eastAsia="宋体" w:cs="宋体"/>
          <w:b/>
          <w:color w:val="auto"/>
          <w:sz w:val="24"/>
          <w:szCs w:val="24"/>
          <w:lang w:eastAsia="zh-CN"/>
        </w:rPr>
        <w:t>应</w:t>
      </w:r>
      <w:r>
        <w:rPr>
          <w:rFonts w:hint="eastAsia" w:ascii="宋体" w:hAnsi="宋体" w:eastAsia="宋体" w:cs="宋体"/>
          <w:b/>
          <w:color w:val="auto"/>
          <w:sz w:val="24"/>
          <w:szCs w:val="24"/>
          <w:lang w:val="en-US" w:eastAsia="zh-CN"/>
        </w:rPr>
        <w:t xml:space="preserve"> </w:t>
      </w:r>
      <w:r>
        <w:rPr>
          <w:rFonts w:hint="eastAsia" w:ascii="宋体" w:hAnsi="宋体" w:eastAsia="宋体" w:cs="宋体"/>
          <w:b/>
          <w:color w:val="auto"/>
          <w:sz w:val="24"/>
          <w:szCs w:val="24"/>
        </w:rPr>
        <w:t>函</w:t>
      </w:r>
      <w:bookmarkEnd w:id="340"/>
      <w:bookmarkEnd w:id="341"/>
    </w:p>
    <w:p w14:paraId="6A241BDB">
      <w:pPr>
        <w:keepNext w:val="0"/>
        <w:keepLines w:val="0"/>
        <w:pageBreakBefore w:val="0"/>
        <w:widowControl w:val="0"/>
        <w:kinsoku/>
        <w:wordWrap/>
        <w:overflowPunct/>
        <w:topLinePunct w:val="0"/>
        <w:autoSpaceDE/>
        <w:autoSpaceDN/>
        <w:bidi w:val="0"/>
        <w:adjustRightInd/>
        <w:snapToGrid/>
        <w:spacing w:line="360" w:lineRule="auto"/>
        <w:ind w:right="0"/>
        <w:textAlignment w:val="auto"/>
        <w:outlineLvl w:val="9"/>
        <w:rPr>
          <w:rFonts w:hint="eastAsia" w:ascii="宋体" w:hAnsi="宋体" w:eastAsia="宋体" w:cs="宋体"/>
          <w:b w:val="0"/>
          <w:bCs w:val="0"/>
          <w:color w:val="auto"/>
          <w:sz w:val="24"/>
          <w:szCs w:val="24"/>
        </w:rPr>
      </w:pPr>
      <w:bookmarkStart w:id="342" w:name="_Toc16867_WPSOffice_Level2"/>
      <w:r>
        <w:rPr>
          <w:rFonts w:hint="eastAsia" w:ascii="宋体" w:hAnsi="宋体" w:eastAsia="宋体" w:cs="宋体"/>
          <w:b/>
          <w:bCs/>
          <w:color w:val="auto"/>
          <w:sz w:val="24"/>
          <w:szCs w:val="24"/>
        </w:rPr>
        <w:t>致：</w:t>
      </w:r>
      <w:r>
        <w:rPr>
          <w:rFonts w:hint="eastAsia" w:ascii="宋体" w:hAnsi="宋体" w:eastAsia="宋体" w:cs="宋体"/>
          <w:b/>
          <w:bCs/>
          <w:color w:val="auto"/>
          <w:sz w:val="24"/>
          <w:szCs w:val="24"/>
          <w:u w:val="none"/>
          <w:lang w:eastAsia="zh-CN"/>
        </w:rPr>
        <w:t>青海鼎钊招标代理有限公司</w:t>
      </w:r>
      <w:bookmarkEnd w:id="342"/>
    </w:p>
    <w:p w14:paraId="6764B199">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我们收到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lang w:val="en-US" w:eastAsia="zh-CN"/>
        </w:rPr>
        <w:t>（项目名称及编号）</w:t>
      </w:r>
      <w:r>
        <w:rPr>
          <w:rFonts w:hint="eastAsia" w:ascii="宋体" w:hAnsi="宋体" w:eastAsia="宋体" w:cs="宋体"/>
          <w:color w:val="auto"/>
          <w:sz w:val="24"/>
          <w:szCs w:val="24"/>
        </w:rPr>
        <w:t>谈判文件，经研究，法定代表人（姓名、职务）正式授权（委托代理人姓名、职务）代表供应商（供应商名称、地址）提交</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w:t>
      </w:r>
    </w:p>
    <w:p w14:paraId="3B37F91F">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据此函，签字代表宣布同意如下：</w:t>
      </w:r>
    </w:p>
    <w:p w14:paraId="3BC377AD">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1、我方已详阅谈判文件的全部内容，包括澄清、修改条款等有关附件，承诺对其完全理解并接受。</w:t>
      </w:r>
    </w:p>
    <w:p w14:paraId="1BCAB087">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若在响应文件发出后，</w:t>
      </w:r>
      <w:r>
        <w:rPr>
          <w:rFonts w:hint="eastAsia" w:ascii="宋体" w:hAnsi="宋体" w:eastAsia="宋体" w:cs="宋体"/>
          <w:color w:val="auto"/>
          <w:sz w:val="24"/>
          <w:szCs w:val="24"/>
        </w:rPr>
        <w:t>我方在</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有效期内撤回或成交后不签约的，</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保证金将被贵方没收。</w:t>
      </w:r>
    </w:p>
    <w:p w14:paraId="542AB35B">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3、我方同意按照贵方要求提供与</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有关的一切数据或资料，理解并接受贵方制定的评标办法。</w:t>
      </w:r>
    </w:p>
    <w:p w14:paraId="64D6AF0D">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4、与本</w:t>
      </w:r>
      <w:r>
        <w:rPr>
          <w:rFonts w:hint="eastAsia" w:ascii="宋体" w:hAnsi="宋体" w:eastAsia="宋体" w:cs="宋体"/>
          <w:color w:val="auto"/>
          <w:sz w:val="24"/>
          <w:szCs w:val="24"/>
          <w:lang w:eastAsia="zh-CN"/>
        </w:rPr>
        <w:t>次竞争性谈判</w:t>
      </w:r>
      <w:r>
        <w:rPr>
          <w:rFonts w:hint="eastAsia" w:ascii="宋体" w:hAnsi="宋体" w:eastAsia="宋体" w:cs="宋体"/>
          <w:color w:val="auto"/>
          <w:sz w:val="24"/>
          <w:szCs w:val="24"/>
        </w:rPr>
        <w:t>有关的一切正式往来通讯请寄：</w:t>
      </w:r>
    </w:p>
    <w:p w14:paraId="35A198AD">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地址：_______________</w:t>
      </w:r>
    </w:p>
    <w:p w14:paraId="7E85C2BE">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邮编：______________</w:t>
      </w:r>
    </w:p>
    <w:p w14:paraId="6B0F42E8">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电话：_______________</w:t>
      </w:r>
    </w:p>
    <w:p w14:paraId="24931C62">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传真：______________</w:t>
      </w:r>
    </w:p>
    <w:p w14:paraId="1F4A2480">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法定代表人姓名：___________</w:t>
      </w:r>
    </w:p>
    <w:p w14:paraId="1900DAC3">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职务：_________</w:t>
      </w:r>
    </w:p>
    <w:p w14:paraId="112DF7B2">
      <w:pPr>
        <w:keepNext w:val="0"/>
        <w:keepLines w:val="0"/>
        <w:pageBreakBefore w:val="0"/>
        <w:widowControl w:val="0"/>
        <w:kinsoku/>
        <w:wordWrap/>
        <w:overflowPunct/>
        <w:topLinePunct w:val="0"/>
        <w:autoSpaceDE/>
        <w:autoSpaceDN/>
        <w:bidi w:val="0"/>
        <w:adjustRightInd/>
        <w:snapToGrid/>
        <w:spacing w:line="360" w:lineRule="auto"/>
        <w:ind w:right="0"/>
        <w:textAlignment w:val="auto"/>
        <w:outlineLvl w:val="9"/>
        <w:rPr>
          <w:rFonts w:hint="eastAsia" w:ascii="宋体" w:hAnsi="宋体" w:eastAsia="宋体" w:cs="宋体"/>
          <w:color w:val="auto"/>
          <w:sz w:val="24"/>
          <w:szCs w:val="24"/>
        </w:rPr>
      </w:pPr>
    </w:p>
    <w:p w14:paraId="44185F31">
      <w:pPr>
        <w:keepNext w:val="0"/>
        <w:keepLines w:val="0"/>
        <w:pageBreakBefore w:val="0"/>
        <w:kinsoku/>
        <w:wordWrap/>
        <w:overflowPunct/>
        <w:topLinePunct w:val="0"/>
        <w:autoSpaceDE/>
        <w:autoSpaceDN/>
        <w:bidi w:val="0"/>
        <w:adjustRightInd/>
        <w:snapToGrid/>
        <w:spacing w:line="360" w:lineRule="auto"/>
        <w:ind w:right="0" w:firstLine="480" w:firstLineChars="200"/>
        <w:jc w:val="center"/>
        <w:textAlignment w:val="auto"/>
        <w:outlineLvl w:val="9"/>
        <w:rPr>
          <w:rFonts w:hint="eastAsia" w:ascii="宋体" w:hAnsi="宋体" w:eastAsia="宋体" w:cs="宋体"/>
          <w:b w:val="0"/>
          <w:bCs/>
          <w:color w:val="auto"/>
          <w:sz w:val="24"/>
          <w:szCs w:val="24"/>
        </w:rPr>
      </w:pPr>
      <w:bookmarkStart w:id="343" w:name="_Toc1506_WPSOffice_Level3"/>
      <w:bookmarkStart w:id="344" w:name="_Toc28112_WPSOffice_Level3"/>
      <w:r>
        <w:rPr>
          <w:rFonts w:hint="eastAsia" w:ascii="宋体" w:hAnsi="宋体" w:eastAsia="宋体" w:cs="宋体"/>
          <w:b w:val="0"/>
          <w:bCs/>
          <w:color w:val="auto"/>
          <w:sz w:val="24"/>
          <w:szCs w:val="24"/>
          <w:lang w:eastAsia="zh-CN"/>
        </w:rPr>
        <w:t>单</w:t>
      </w:r>
      <w:r>
        <w:rPr>
          <w:rFonts w:hint="eastAsia" w:ascii="宋体" w:hAnsi="宋体" w:eastAsia="宋体" w:cs="宋体"/>
          <w:b w:val="0"/>
          <w:bCs/>
          <w:color w:val="auto"/>
          <w:sz w:val="24"/>
          <w:szCs w:val="24"/>
        </w:rPr>
        <w:t>位</w:t>
      </w:r>
      <w:r>
        <w:rPr>
          <w:rFonts w:hint="eastAsia" w:ascii="宋体" w:hAnsi="宋体" w:eastAsia="宋体" w:cs="宋体"/>
          <w:b w:val="0"/>
          <w:bCs/>
          <w:color w:val="auto"/>
          <w:sz w:val="24"/>
          <w:szCs w:val="24"/>
          <w:lang w:eastAsia="zh-CN"/>
        </w:rPr>
        <w:t>名称</w:t>
      </w:r>
      <w:r>
        <w:rPr>
          <w:rFonts w:hint="eastAsia" w:ascii="宋体" w:hAnsi="宋体" w:eastAsia="宋体" w:cs="宋体"/>
          <w:b w:val="0"/>
          <w:bCs/>
          <w:color w:val="auto"/>
          <w:sz w:val="24"/>
          <w:szCs w:val="24"/>
        </w:rPr>
        <w:t>：</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rPr>
        <w:t>（公章）</w:t>
      </w:r>
      <w:bookmarkEnd w:id="343"/>
      <w:bookmarkEnd w:id="344"/>
    </w:p>
    <w:p w14:paraId="5F07A128">
      <w:pPr>
        <w:keepNext w:val="0"/>
        <w:keepLines w:val="0"/>
        <w:pageBreakBefore w:val="0"/>
        <w:kinsoku/>
        <w:wordWrap/>
        <w:overflowPunct/>
        <w:topLinePunct w:val="0"/>
        <w:autoSpaceDE/>
        <w:autoSpaceDN/>
        <w:bidi w:val="0"/>
        <w:adjustRightInd/>
        <w:snapToGrid/>
        <w:spacing w:line="360" w:lineRule="auto"/>
        <w:ind w:right="0" w:firstLine="480" w:firstLineChars="200"/>
        <w:jc w:val="center"/>
        <w:textAlignment w:val="auto"/>
        <w:outlineLvl w:val="9"/>
        <w:rPr>
          <w:rFonts w:hint="eastAsia" w:ascii="宋体" w:hAnsi="宋体" w:eastAsia="宋体" w:cs="宋体"/>
          <w:b w:val="0"/>
          <w:bCs/>
          <w:color w:val="auto"/>
          <w:sz w:val="24"/>
          <w:szCs w:val="24"/>
        </w:rPr>
      </w:pPr>
      <w:bookmarkStart w:id="345" w:name="_Toc6385_WPSOffice_Level3"/>
      <w:bookmarkStart w:id="346" w:name="_Toc28651_WPSOffice_Level3"/>
      <w:r>
        <w:rPr>
          <w:rFonts w:hint="eastAsia" w:ascii="宋体" w:hAnsi="宋体" w:eastAsia="宋体" w:cs="宋体"/>
          <w:b w:val="0"/>
          <w:bCs/>
          <w:color w:val="auto"/>
          <w:sz w:val="24"/>
          <w:szCs w:val="24"/>
        </w:rPr>
        <w:t>法定代表人或委托代理人：</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rPr>
        <w:t>（签字或盖章）</w:t>
      </w:r>
      <w:bookmarkEnd w:id="345"/>
      <w:bookmarkEnd w:id="346"/>
    </w:p>
    <w:p w14:paraId="43BE287E">
      <w:pPr>
        <w:keepNext w:val="0"/>
        <w:keepLines w:val="0"/>
        <w:pageBreakBefore w:val="0"/>
        <w:kinsoku/>
        <w:wordWrap/>
        <w:overflowPunct/>
        <w:topLinePunct w:val="0"/>
        <w:autoSpaceDE/>
        <w:autoSpaceDN/>
        <w:bidi w:val="0"/>
        <w:adjustRightInd/>
        <w:snapToGrid/>
        <w:spacing w:line="360" w:lineRule="auto"/>
        <w:ind w:right="0" w:firstLine="480" w:firstLineChars="200"/>
        <w:jc w:val="center"/>
        <w:textAlignment w:val="auto"/>
        <w:outlineLvl w:val="9"/>
        <w:rPr>
          <w:rFonts w:hint="eastAsia" w:ascii="宋体" w:hAnsi="宋体" w:eastAsia="宋体" w:cs="宋体"/>
          <w:b w:val="0"/>
          <w:bCs/>
          <w:color w:val="auto"/>
          <w:sz w:val="24"/>
          <w:szCs w:val="24"/>
        </w:rPr>
      </w:pPr>
      <w:bookmarkStart w:id="347" w:name="_Toc13325_WPSOffice_Level3"/>
      <w:bookmarkStart w:id="348" w:name="_Toc130_WPSOffice_Level3"/>
      <w:r>
        <w:rPr>
          <w:rFonts w:hint="eastAsia" w:ascii="宋体" w:hAnsi="宋体" w:eastAsia="宋体" w:cs="宋体"/>
          <w:b w:val="0"/>
          <w:bCs/>
          <w:color w:val="auto"/>
          <w:sz w:val="24"/>
          <w:szCs w:val="24"/>
        </w:rPr>
        <w:t xml:space="preserve">年   月 </w:t>
      </w: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 w:val="0"/>
          <w:bCs/>
          <w:color w:val="auto"/>
          <w:sz w:val="24"/>
          <w:szCs w:val="24"/>
        </w:rPr>
        <w:t xml:space="preserve"> 日</w:t>
      </w:r>
      <w:bookmarkEnd w:id="347"/>
      <w:bookmarkEnd w:id="348"/>
    </w:p>
    <w:p w14:paraId="3B9FA004">
      <w:pPr>
        <w:keepNext w:val="0"/>
        <w:keepLines w:val="0"/>
        <w:pageBreakBefore w:val="0"/>
        <w:widowControl/>
        <w:kinsoku/>
        <w:wordWrap/>
        <w:overflowPunct/>
        <w:topLinePunct w:val="0"/>
        <w:bidi w:val="0"/>
        <w:adjustRightInd/>
        <w:snapToGrid/>
        <w:spacing w:line="360" w:lineRule="auto"/>
        <w:ind w:right="0"/>
        <w:outlineLvl w:val="9"/>
        <w:rPr>
          <w:rFonts w:hint="eastAsia" w:ascii="宋体" w:hAnsi="宋体" w:eastAsia="宋体" w:cs="宋体"/>
          <w:b/>
          <w:color w:val="auto"/>
          <w:sz w:val="24"/>
          <w:szCs w:val="24"/>
        </w:rPr>
      </w:pPr>
    </w:p>
    <w:p w14:paraId="0D940712">
      <w:pPr>
        <w:keepNext w:val="0"/>
        <w:keepLines w:val="0"/>
        <w:pageBreakBefore w:val="0"/>
        <w:kinsoku/>
        <w:wordWrap/>
        <w:overflowPunct/>
        <w:topLinePunct w:val="0"/>
        <w:bidi w:val="0"/>
        <w:adjustRightInd/>
        <w:snapToGrid/>
        <w:spacing w:line="360" w:lineRule="auto"/>
        <w:ind w:right="0"/>
        <w:rPr>
          <w:rFonts w:hint="eastAsia" w:ascii="宋体" w:hAnsi="宋体" w:eastAsia="宋体" w:cs="宋体"/>
          <w:b/>
          <w:color w:val="auto"/>
          <w:sz w:val="28"/>
          <w:szCs w:val="28"/>
          <w:lang w:eastAsia="zh-CN"/>
        </w:rPr>
      </w:pPr>
      <w:bookmarkStart w:id="349" w:name="_Toc16050"/>
      <w:bookmarkStart w:id="350" w:name="_Toc12487"/>
      <w:bookmarkStart w:id="351" w:name="_Toc3082"/>
      <w:bookmarkStart w:id="352" w:name="_Toc17887_WPSOffice_Level2"/>
      <w:bookmarkStart w:id="353" w:name="_Toc20882_WPSOffice_Level3"/>
      <w:bookmarkStart w:id="354" w:name="_Toc26257_WPSOffice_Level2"/>
      <w:r>
        <w:rPr>
          <w:rFonts w:hint="eastAsia" w:ascii="宋体" w:hAnsi="宋体" w:eastAsia="宋体" w:cs="宋体"/>
          <w:b/>
          <w:color w:val="auto"/>
          <w:sz w:val="28"/>
          <w:szCs w:val="28"/>
          <w:lang w:eastAsia="zh-CN"/>
        </w:rPr>
        <w:br w:type="page"/>
      </w:r>
    </w:p>
    <w:p w14:paraId="7070D239">
      <w:pPr>
        <w:keepNext w:val="0"/>
        <w:keepLines w:val="0"/>
        <w:pageBreakBefore w:val="0"/>
        <w:widowControl/>
        <w:kinsoku/>
        <w:wordWrap/>
        <w:overflowPunct/>
        <w:topLinePunct w:val="0"/>
        <w:bidi w:val="0"/>
        <w:adjustRightInd/>
        <w:snapToGrid/>
        <w:spacing w:line="360" w:lineRule="auto"/>
        <w:ind w:right="0"/>
        <w:outlineLvl w:val="1"/>
        <w:rPr>
          <w:rFonts w:hint="eastAsia" w:ascii="宋体" w:hAnsi="宋体" w:eastAsia="宋体" w:cs="宋体"/>
          <w:b/>
          <w:bCs/>
          <w:color w:val="auto"/>
          <w:sz w:val="28"/>
          <w:szCs w:val="28"/>
        </w:rPr>
      </w:pPr>
      <w:bookmarkStart w:id="355" w:name="_Toc23458"/>
      <w:r>
        <w:rPr>
          <w:rFonts w:hint="eastAsia" w:ascii="宋体" w:hAnsi="宋体" w:eastAsia="宋体" w:cs="宋体"/>
          <w:b/>
          <w:color w:val="auto"/>
          <w:sz w:val="28"/>
          <w:szCs w:val="28"/>
          <w:lang w:eastAsia="zh-CN"/>
        </w:rPr>
        <w:t>附件2：法定代表人证明书</w:t>
      </w:r>
      <w:bookmarkEnd w:id="349"/>
      <w:bookmarkEnd w:id="350"/>
      <w:bookmarkEnd w:id="351"/>
      <w:bookmarkEnd w:id="352"/>
      <w:bookmarkEnd w:id="353"/>
      <w:bookmarkEnd w:id="354"/>
      <w:bookmarkEnd w:id="355"/>
    </w:p>
    <w:p w14:paraId="393F2750">
      <w:pPr>
        <w:keepNext w:val="0"/>
        <w:keepLines w:val="0"/>
        <w:pageBreakBefore w:val="0"/>
        <w:widowControl w:val="0"/>
        <w:kinsoku/>
        <w:wordWrap/>
        <w:overflowPunct/>
        <w:topLinePunct w:val="0"/>
        <w:bidi w:val="0"/>
        <w:adjustRightInd/>
        <w:snapToGrid/>
        <w:spacing w:line="360" w:lineRule="auto"/>
        <w:ind w:right="0"/>
        <w:jc w:val="center"/>
        <w:textAlignment w:val="auto"/>
        <w:outlineLvl w:val="9"/>
        <w:rPr>
          <w:rFonts w:hint="eastAsia" w:ascii="宋体" w:hAnsi="宋体" w:eastAsia="宋体" w:cs="宋体"/>
          <w:b/>
          <w:color w:val="auto"/>
          <w:sz w:val="24"/>
          <w:szCs w:val="24"/>
          <w:lang w:eastAsia="zh-CN"/>
        </w:rPr>
      </w:pPr>
      <w:bookmarkStart w:id="356" w:name="_Toc14917_WPSOffice_Level1"/>
      <w:bookmarkStart w:id="357" w:name="_Toc28170_WPSOffice_Level2"/>
      <w:bookmarkStart w:id="358" w:name="_Toc6898_WPSOffice_Level2"/>
      <w:bookmarkStart w:id="359" w:name="_Toc32036_WPSOffice_Level1"/>
      <w:r>
        <w:rPr>
          <w:rFonts w:hint="eastAsia" w:ascii="宋体" w:hAnsi="宋体" w:eastAsia="宋体" w:cs="宋体"/>
          <w:b/>
          <w:color w:val="auto"/>
          <w:sz w:val="24"/>
          <w:szCs w:val="24"/>
          <w:lang w:eastAsia="zh-CN"/>
        </w:rPr>
        <w:t>法定代表人证明书</w:t>
      </w:r>
      <w:bookmarkEnd w:id="356"/>
      <w:bookmarkEnd w:id="357"/>
      <w:bookmarkEnd w:id="358"/>
      <w:bookmarkEnd w:id="359"/>
    </w:p>
    <w:p w14:paraId="79381567">
      <w:pPr>
        <w:keepNext w:val="0"/>
        <w:keepLines w:val="0"/>
        <w:pageBreakBefore w:val="0"/>
        <w:kinsoku/>
        <w:wordWrap/>
        <w:overflowPunct/>
        <w:topLinePunct w:val="0"/>
        <w:bidi w:val="0"/>
        <w:adjustRightInd/>
        <w:snapToGrid/>
        <w:spacing w:line="360" w:lineRule="auto"/>
        <w:ind w:right="0"/>
        <w:outlineLvl w:val="9"/>
        <w:rPr>
          <w:rFonts w:hint="eastAsia" w:ascii="宋体" w:hAnsi="宋体" w:eastAsia="宋体" w:cs="宋体"/>
          <w:b w:val="0"/>
          <w:bCs w:val="0"/>
          <w:color w:val="auto"/>
          <w:kern w:val="0"/>
          <w:sz w:val="24"/>
          <w:szCs w:val="24"/>
        </w:rPr>
      </w:pPr>
      <w:r>
        <w:rPr>
          <w:rFonts w:hint="eastAsia" w:ascii="宋体" w:hAnsi="宋体" w:eastAsia="宋体" w:cs="宋体"/>
          <w:b/>
          <w:bCs/>
          <w:color w:val="auto"/>
          <w:sz w:val="24"/>
          <w:szCs w:val="24"/>
        </w:rPr>
        <w:t>致：</w:t>
      </w:r>
      <w:r>
        <w:rPr>
          <w:rFonts w:hint="eastAsia" w:ascii="宋体" w:hAnsi="宋体" w:eastAsia="宋体" w:cs="宋体"/>
          <w:b/>
          <w:bCs/>
          <w:color w:val="auto"/>
          <w:sz w:val="24"/>
          <w:szCs w:val="24"/>
          <w:u w:val="none"/>
          <w:lang w:eastAsia="zh-CN"/>
        </w:rPr>
        <w:t>青海鼎钊招标代理有限公司</w:t>
      </w:r>
    </w:p>
    <w:p w14:paraId="3D392B8B">
      <w:pPr>
        <w:keepNext w:val="0"/>
        <w:keepLines w:val="0"/>
        <w:pageBreakBefore w:val="0"/>
        <w:kinsoku/>
        <w:wordWrap/>
        <w:overflowPunct/>
        <w:topLinePunct w:val="0"/>
        <w:autoSpaceDE w:val="0"/>
        <w:autoSpaceDN w:val="0"/>
        <w:bidi w:val="0"/>
        <w:adjustRightInd/>
        <w:snapToGrid/>
        <w:spacing w:line="360" w:lineRule="auto"/>
        <w:ind w:right="0" w:firstLine="480" w:firstLineChars="200"/>
        <w:jc w:val="left"/>
        <w:outlineLvl w:val="9"/>
        <w:rPr>
          <w:rFonts w:hint="eastAsia" w:ascii="宋体" w:hAnsi="宋体" w:eastAsia="宋体" w:cs="宋体"/>
          <w:b w:val="0"/>
          <w:bCs w:val="0"/>
          <w:color w:val="auto"/>
          <w:sz w:val="24"/>
          <w:szCs w:val="24"/>
          <w:u w:val="single"/>
        </w:rPr>
      </w:pPr>
      <w:r>
        <w:rPr>
          <w:rFonts w:hint="eastAsia" w:ascii="宋体" w:hAnsi="宋体" w:eastAsia="宋体" w:cs="宋体"/>
          <w:b w:val="0"/>
          <w:bCs w:val="0"/>
          <w:color w:val="auto"/>
          <w:sz w:val="24"/>
          <w:szCs w:val="24"/>
          <w:u w:val="single"/>
        </w:rPr>
        <w:t xml:space="preserve">  （法定代表人姓名）  </w:t>
      </w:r>
      <w:r>
        <w:rPr>
          <w:rFonts w:hint="eastAsia" w:ascii="宋体" w:hAnsi="宋体" w:eastAsia="宋体" w:cs="宋体"/>
          <w:b w:val="0"/>
          <w:bCs w:val="0"/>
          <w:color w:val="auto"/>
          <w:sz w:val="24"/>
          <w:szCs w:val="24"/>
        </w:rPr>
        <w:t>现任我单位</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rPr>
        <w:t>职务，为法定代表人，特此证明。</w:t>
      </w:r>
    </w:p>
    <w:p w14:paraId="40B49C1B">
      <w:pPr>
        <w:keepNext w:val="0"/>
        <w:keepLines w:val="0"/>
        <w:pageBreakBefore w:val="0"/>
        <w:kinsoku/>
        <w:wordWrap/>
        <w:overflowPunct/>
        <w:topLinePunct w:val="0"/>
        <w:autoSpaceDE w:val="0"/>
        <w:autoSpaceDN w:val="0"/>
        <w:bidi w:val="0"/>
        <w:adjustRightInd/>
        <w:snapToGrid/>
        <w:spacing w:line="360" w:lineRule="auto"/>
        <w:ind w:right="0" w:firstLine="480" w:firstLineChars="200"/>
        <w:jc w:val="left"/>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法定代表人基本情况：</w:t>
      </w:r>
    </w:p>
    <w:p w14:paraId="1600F536">
      <w:pPr>
        <w:keepNext w:val="0"/>
        <w:keepLines w:val="0"/>
        <w:pageBreakBefore w:val="0"/>
        <w:kinsoku/>
        <w:wordWrap/>
        <w:overflowPunct/>
        <w:topLinePunct w:val="0"/>
        <w:autoSpaceDE w:val="0"/>
        <w:autoSpaceDN w:val="0"/>
        <w:bidi w:val="0"/>
        <w:adjustRightInd/>
        <w:snapToGrid/>
        <w:spacing w:line="360" w:lineRule="auto"/>
        <w:ind w:right="0" w:firstLine="480" w:firstLineChars="200"/>
        <w:jc w:val="left"/>
        <w:outlineLvl w:val="9"/>
        <w:rPr>
          <w:rFonts w:hint="eastAsia" w:ascii="宋体" w:hAnsi="宋体" w:eastAsia="宋体" w:cs="宋体"/>
          <w:b w:val="0"/>
          <w:bCs w:val="0"/>
          <w:color w:val="auto"/>
          <w:sz w:val="24"/>
          <w:szCs w:val="24"/>
          <w:u w:val="single"/>
        </w:rPr>
      </w:pPr>
      <w:r>
        <w:rPr>
          <w:rFonts w:hint="eastAsia" w:ascii="宋体" w:hAnsi="宋体" w:eastAsia="宋体" w:cs="宋体"/>
          <w:b w:val="0"/>
          <w:bCs w:val="0"/>
          <w:color w:val="auto"/>
          <w:sz w:val="24"/>
          <w:szCs w:val="24"/>
        </w:rPr>
        <w:t>性别：</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rPr>
        <w:t>年龄：</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rPr>
        <w:t>民族：</w:t>
      </w:r>
      <w:r>
        <w:rPr>
          <w:rFonts w:hint="eastAsia" w:ascii="宋体" w:hAnsi="宋体" w:eastAsia="宋体" w:cs="宋体"/>
          <w:b w:val="0"/>
          <w:bCs w:val="0"/>
          <w:color w:val="auto"/>
          <w:sz w:val="24"/>
          <w:szCs w:val="24"/>
          <w:u w:val="single"/>
        </w:rPr>
        <w:t xml:space="preserve">     </w:t>
      </w:r>
    </w:p>
    <w:p w14:paraId="1B48E276">
      <w:pPr>
        <w:keepNext w:val="0"/>
        <w:keepLines w:val="0"/>
        <w:pageBreakBefore w:val="0"/>
        <w:kinsoku/>
        <w:wordWrap/>
        <w:overflowPunct/>
        <w:topLinePunct w:val="0"/>
        <w:autoSpaceDE w:val="0"/>
        <w:autoSpaceDN w:val="0"/>
        <w:bidi w:val="0"/>
        <w:adjustRightInd/>
        <w:snapToGrid/>
        <w:spacing w:line="360" w:lineRule="auto"/>
        <w:ind w:right="0" w:firstLine="480" w:firstLineChars="200"/>
        <w:jc w:val="left"/>
        <w:outlineLvl w:val="9"/>
        <w:rPr>
          <w:rFonts w:hint="eastAsia" w:ascii="宋体" w:hAnsi="宋体" w:eastAsia="宋体" w:cs="宋体"/>
          <w:b w:val="0"/>
          <w:bCs w:val="0"/>
          <w:color w:val="auto"/>
          <w:sz w:val="24"/>
          <w:szCs w:val="24"/>
          <w:u w:val="single"/>
        </w:rPr>
      </w:pPr>
      <w:r>
        <w:rPr>
          <w:rFonts w:hint="eastAsia" w:ascii="宋体" w:hAnsi="宋体" w:eastAsia="宋体" w:cs="宋体"/>
          <w:b w:val="0"/>
          <w:bCs w:val="0"/>
          <w:color w:val="auto"/>
          <w:sz w:val="24"/>
          <w:szCs w:val="24"/>
        </w:rPr>
        <w:t>地址：</w:t>
      </w:r>
      <w:r>
        <w:rPr>
          <w:rFonts w:hint="eastAsia" w:ascii="宋体" w:hAnsi="宋体" w:eastAsia="宋体" w:cs="宋体"/>
          <w:b w:val="0"/>
          <w:bCs w:val="0"/>
          <w:color w:val="auto"/>
          <w:sz w:val="24"/>
          <w:szCs w:val="24"/>
          <w:u w:val="single"/>
        </w:rPr>
        <w:t xml:space="preserve">                             </w:t>
      </w:r>
    </w:p>
    <w:p w14:paraId="1A826F4B">
      <w:pPr>
        <w:keepNext w:val="0"/>
        <w:keepLines w:val="0"/>
        <w:pageBreakBefore w:val="0"/>
        <w:kinsoku/>
        <w:wordWrap/>
        <w:overflowPunct/>
        <w:topLinePunct w:val="0"/>
        <w:autoSpaceDE w:val="0"/>
        <w:autoSpaceDN w:val="0"/>
        <w:bidi w:val="0"/>
        <w:adjustRightInd/>
        <w:snapToGrid/>
        <w:spacing w:line="360" w:lineRule="auto"/>
        <w:ind w:right="0" w:firstLine="480" w:firstLineChars="200"/>
        <w:jc w:val="left"/>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身份证号码：</w:t>
      </w:r>
      <w:r>
        <w:rPr>
          <w:rFonts w:hint="eastAsia" w:ascii="宋体" w:hAnsi="宋体" w:eastAsia="宋体" w:cs="宋体"/>
          <w:b w:val="0"/>
          <w:bCs w:val="0"/>
          <w:color w:val="auto"/>
          <w:sz w:val="24"/>
          <w:szCs w:val="24"/>
          <w:u w:val="single"/>
        </w:rPr>
        <w:t xml:space="preserve">                       </w:t>
      </w:r>
    </w:p>
    <w:p w14:paraId="415B6577">
      <w:pPr>
        <w:keepNext w:val="0"/>
        <w:keepLines w:val="0"/>
        <w:pageBreakBefore w:val="0"/>
        <w:kinsoku/>
        <w:wordWrap/>
        <w:overflowPunct/>
        <w:topLinePunct w:val="0"/>
        <w:autoSpaceDE w:val="0"/>
        <w:autoSpaceDN w:val="0"/>
        <w:bidi w:val="0"/>
        <w:adjustRightInd/>
        <w:snapToGrid/>
        <w:spacing w:line="360" w:lineRule="auto"/>
        <w:ind w:right="0" w:firstLine="480" w:firstLineChars="200"/>
        <w:jc w:val="left"/>
        <w:outlineLvl w:val="9"/>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附法定代表人第二代身份证双面扫描</w:t>
      </w:r>
      <w:r>
        <w:rPr>
          <w:rFonts w:hint="eastAsia" w:ascii="宋体" w:hAnsi="宋体" w:eastAsia="宋体" w:cs="宋体"/>
          <w:b w:val="0"/>
          <w:bCs w:val="0"/>
          <w:color w:val="auto"/>
          <w:sz w:val="24"/>
          <w:szCs w:val="24"/>
          <w:lang w:eastAsia="zh-CN"/>
        </w:rPr>
        <w:t>或其他身份证明材料</w:t>
      </w:r>
      <w:r>
        <w:rPr>
          <w:rFonts w:hint="eastAsia" w:ascii="宋体" w:hAnsi="宋体" w:eastAsia="宋体" w:cs="宋体"/>
          <w:b w:val="0"/>
          <w:bCs w:val="0"/>
          <w:color w:val="auto"/>
          <w:sz w:val="24"/>
          <w:szCs w:val="24"/>
        </w:rPr>
        <w:t>（复印件</w:t>
      </w:r>
      <w:r>
        <w:rPr>
          <w:rFonts w:hint="eastAsia" w:ascii="宋体" w:hAnsi="宋体" w:eastAsia="宋体" w:cs="宋体"/>
          <w:color w:val="auto"/>
          <w:sz w:val="24"/>
          <w:szCs w:val="24"/>
          <w:lang w:eastAsia="zh-CN"/>
        </w:rPr>
        <w:t>）</w:t>
      </w:r>
    </w:p>
    <w:p w14:paraId="5DDC8A32">
      <w:pPr>
        <w:keepNext w:val="0"/>
        <w:keepLines w:val="0"/>
        <w:pageBreakBefore w:val="0"/>
        <w:kinsoku/>
        <w:wordWrap/>
        <w:overflowPunct/>
        <w:topLinePunct w:val="0"/>
        <w:autoSpaceDE w:val="0"/>
        <w:autoSpaceDN w:val="0"/>
        <w:bidi w:val="0"/>
        <w:adjustRightInd/>
        <w:snapToGrid/>
        <w:spacing w:line="360" w:lineRule="auto"/>
        <w:ind w:right="0"/>
        <w:jc w:val="left"/>
        <w:outlineLvl w:val="9"/>
        <w:rPr>
          <w:rFonts w:hint="eastAsia" w:ascii="宋体" w:hAnsi="宋体" w:eastAsia="宋体" w:cs="宋体"/>
          <w:color w:val="auto"/>
          <w:kern w:val="0"/>
          <w:sz w:val="24"/>
          <w:szCs w:val="24"/>
        </w:rPr>
      </w:pPr>
    </w:p>
    <w:p w14:paraId="483A238F">
      <w:pPr>
        <w:keepNext w:val="0"/>
        <w:keepLines w:val="0"/>
        <w:pageBreakBefore w:val="0"/>
        <w:kinsoku/>
        <w:wordWrap/>
        <w:overflowPunct/>
        <w:topLinePunct w:val="0"/>
        <w:autoSpaceDE/>
        <w:autoSpaceDN/>
        <w:bidi w:val="0"/>
        <w:adjustRightInd/>
        <w:snapToGrid/>
        <w:spacing w:line="360" w:lineRule="auto"/>
        <w:ind w:right="0" w:firstLine="480" w:firstLineChars="200"/>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eastAsia="zh-CN"/>
        </w:rPr>
        <w:t>单</w:t>
      </w:r>
      <w:r>
        <w:rPr>
          <w:rFonts w:hint="eastAsia" w:ascii="宋体" w:hAnsi="宋体" w:eastAsia="宋体" w:cs="宋体"/>
          <w:b w:val="0"/>
          <w:bCs/>
          <w:color w:val="auto"/>
          <w:sz w:val="24"/>
          <w:szCs w:val="24"/>
        </w:rPr>
        <w:t>位</w:t>
      </w:r>
      <w:r>
        <w:rPr>
          <w:rFonts w:hint="eastAsia" w:ascii="宋体" w:hAnsi="宋体" w:eastAsia="宋体" w:cs="宋体"/>
          <w:b w:val="0"/>
          <w:bCs/>
          <w:color w:val="auto"/>
          <w:sz w:val="24"/>
          <w:szCs w:val="24"/>
          <w:lang w:eastAsia="zh-CN"/>
        </w:rPr>
        <w:t>名称</w:t>
      </w:r>
      <w:r>
        <w:rPr>
          <w:rFonts w:hint="eastAsia" w:ascii="宋体" w:hAnsi="宋体" w:eastAsia="宋体" w:cs="宋体"/>
          <w:b w:val="0"/>
          <w:bCs/>
          <w:color w:val="auto"/>
          <w:sz w:val="24"/>
          <w:szCs w:val="24"/>
        </w:rPr>
        <w:t>：</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rPr>
        <w:t>（公章）</w:t>
      </w:r>
    </w:p>
    <w:p w14:paraId="7AFA2EE1">
      <w:pPr>
        <w:keepNext w:val="0"/>
        <w:keepLines w:val="0"/>
        <w:pageBreakBefore w:val="0"/>
        <w:kinsoku/>
        <w:wordWrap/>
        <w:overflowPunct/>
        <w:topLinePunct w:val="0"/>
        <w:autoSpaceDE/>
        <w:autoSpaceDN/>
        <w:bidi w:val="0"/>
        <w:adjustRightInd/>
        <w:snapToGrid/>
        <w:spacing w:line="360" w:lineRule="auto"/>
        <w:ind w:right="0" w:firstLine="480" w:firstLineChars="200"/>
        <w:jc w:val="center"/>
        <w:textAlignment w:val="auto"/>
        <w:outlineLvl w:val="9"/>
        <w:rPr>
          <w:rFonts w:hint="eastAsia" w:ascii="宋体" w:hAnsi="宋体" w:eastAsia="宋体" w:cs="宋体"/>
          <w:b w:val="0"/>
          <w:bCs/>
          <w:color w:val="auto"/>
          <w:sz w:val="24"/>
          <w:szCs w:val="24"/>
        </w:rPr>
      </w:pPr>
    </w:p>
    <w:p w14:paraId="08418236">
      <w:pPr>
        <w:keepNext w:val="0"/>
        <w:keepLines w:val="0"/>
        <w:pageBreakBefore w:val="0"/>
        <w:kinsoku/>
        <w:wordWrap/>
        <w:overflowPunct/>
        <w:topLinePunct w:val="0"/>
        <w:autoSpaceDE w:val="0"/>
        <w:autoSpaceDN w:val="0"/>
        <w:bidi w:val="0"/>
        <w:adjustRightInd/>
        <w:snapToGrid/>
        <w:spacing w:line="360" w:lineRule="auto"/>
        <w:ind w:right="0"/>
        <w:jc w:val="center"/>
        <w:outlineLvl w:val="9"/>
        <w:rPr>
          <w:rFonts w:hint="eastAsia" w:ascii="宋体" w:hAnsi="宋体" w:eastAsia="宋体" w:cs="宋体"/>
          <w:b/>
          <w:color w:val="auto"/>
          <w:sz w:val="24"/>
          <w:szCs w:val="24"/>
        </w:rPr>
      </w:pPr>
      <w:r>
        <w:rPr>
          <w:rFonts w:hint="eastAsia" w:ascii="宋体" w:hAnsi="宋体" w:eastAsia="宋体" w:cs="宋体"/>
          <w:b w:val="0"/>
          <w:bCs/>
          <w:color w:val="auto"/>
          <w:sz w:val="24"/>
          <w:szCs w:val="24"/>
        </w:rPr>
        <w:t xml:space="preserve">年   月 </w:t>
      </w: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 w:val="0"/>
          <w:bCs/>
          <w:color w:val="auto"/>
          <w:sz w:val="24"/>
          <w:szCs w:val="24"/>
        </w:rPr>
        <w:t xml:space="preserve"> 日</w:t>
      </w:r>
    </w:p>
    <w:p w14:paraId="701BAD38">
      <w:pPr>
        <w:keepNext w:val="0"/>
        <w:keepLines w:val="0"/>
        <w:pageBreakBefore w:val="0"/>
        <w:kinsoku/>
        <w:wordWrap/>
        <w:overflowPunct/>
        <w:topLinePunct w:val="0"/>
        <w:bidi w:val="0"/>
        <w:adjustRightInd/>
        <w:snapToGrid/>
        <w:spacing w:line="360" w:lineRule="auto"/>
        <w:ind w:right="0"/>
        <w:rPr>
          <w:rFonts w:hint="eastAsia" w:ascii="宋体" w:hAnsi="宋体" w:eastAsia="宋体" w:cs="宋体"/>
          <w:b/>
          <w:color w:val="auto"/>
          <w:sz w:val="24"/>
          <w:szCs w:val="24"/>
        </w:rPr>
      </w:pPr>
    </w:p>
    <w:p w14:paraId="6CC04DF0">
      <w:pPr>
        <w:keepNext w:val="0"/>
        <w:keepLines w:val="0"/>
        <w:pageBreakBefore w:val="0"/>
        <w:kinsoku/>
        <w:wordWrap/>
        <w:overflowPunct/>
        <w:topLinePunct w:val="0"/>
        <w:bidi w:val="0"/>
        <w:adjustRightInd/>
        <w:snapToGrid/>
        <w:spacing w:line="360" w:lineRule="auto"/>
        <w:ind w:right="0"/>
        <w:rPr>
          <w:rFonts w:hint="eastAsia" w:ascii="宋体" w:hAnsi="宋体" w:eastAsia="宋体" w:cs="宋体"/>
          <w:b/>
          <w:color w:val="auto"/>
          <w:sz w:val="28"/>
          <w:szCs w:val="28"/>
          <w:lang w:eastAsia="zh-CN"/>
        </w:rPr>
      </w:pPr>
      <w:bookmarkStart w:id="360" w:name="_Toc18183"/>
      <w:bookmarkStart w:id="361" w:name="_Toc31901"/>
      <w:bookmarkStart w:id="362" w:name="_Toc21545_WPSOffice_Level3"/>
      <w:bookmarkStart w:id="363" w:name="_Toc27782"/>
      <w:bookmarkStart w:id="364" w:name="_Toc23035_WPSOffice_Level2"/>
      <w:r>
        <w:rPr>
          <w:rFonts w:hint="eastAsia" w:ascii="宋体" w:hAnsi="宋体" w:eastAsia="宋体" w:cs="宋体"/>
          <w:b/>
          <w:color w:val="auto"/>
          <w:sz w:val="28"/>
          <w:szCs w:val="28"/>
          <w:lang w:eastAsia="zh-CN"/>
        </w:rPr>
        <w:br w:type="page"/>
      </w:r>
    </w:p>
    <w:p w14:paraId="1F8B10E9">
      <w:pPr>
        <w:keepNext w:val="0"/>
        <w:keepLines w:val="0"/>
        <w:pageBreakBefore w:val="0"/>
        <w:widowControl/>
        <w:kinsoku/>
        <w:wordWrap/>
        <w:overflowPunct/>
        <w:topLinePunct w:val="0"/>
        <w:bidi w:val="0"/>
        <w:adjustRightInd/>
        <w:snapToGrid/>
        <w:spacing w:line="360" w:lineRule="auto"/>
        <w:ind w:right="0"/>
        <w:outlineLvl w:val="1"/>
        <w:rPr>
          <w:rFonts w:hint="eastAsia" w:ascii="宋体" w:hAnsi="宋体" w:eastAsia="宋体" w:cs="宋体"/>
          <w:b/>
          <w:color w:val="auto"/>
          <w:sz w:val="28"/>
          <w:szCs w:val="28"/>
        </w:rPr>
      </w:pPr>
      <w:bookmarkStart w:id="365" w:name="_Toc27119"/>
      <w:r>
        <w:rPr>
          <w:rFonts w:hint="eastAsia" w:ascii="宋体" w:hAnsi="宋体" w:eastAsia="宋体" w:cs="宋体"/>
          <w:b/>
          <w:color w:val="auto"/>
          <w:sz w:val="28"/>
          <w:szCs w:val="28"/>
          <w:lang w:eastAsia="zh-CN"/>
        </w:rPr>
        <w:t>附件3：法定代表人授权书</w:t>
      </w:r>
      <w:bookmarkEnd w:id="360"/>
      <w:bookmarkEnd w:id="361"/>
      <w:bookmarkEnd w:id="362"/>
      <w:bookmarkEnd w:id="363"/>
      <w:bookmarkEnd w:id="364"/>
      <w:bookmarkEnd w:id="365"/>
    </w:p>
    <w:p w14:paraId="5C41F1BF">
      <w:pPr>
        <w:keepNext w:val="0"/>
        <w:keepLines w:val="0"/>
        <w:pageBreakBefore w:val="0"/>
        <w:widowControl w:val="0"/>
        <w:kinsoku/>
        <w:wordWrap/>
        <w:overflowPunct/>
        <w:topLinePunct w:val="0"/>
        <w:bidi w:val="0"/>
        <w:adjustRightInd/>
        <w:snapToGrid/>
        <w:spacing w:line="360" w:lineRule="auto"/>
        <w:ind w:right="0"/>
        <w:jc w:val="center"/>
        <w:textAlignment w:val="auto"/>
        <w:outlineLvl w:val="9"/>
        <w:rPr>
          <w:rFonts w:hint="eastAsia" w:ascii="宋体" w:hAnsi="宋体" w:eastAsia="宋体" w:cs="宋体"/>
          <w:b/>
          <w:color w:val="auto"/>
          <w:sz w:val="24"/>
          <w:szCs w:val="24"/>
          <w:lang w:eastAsia="zh-CN"/>
        </w:rPr>
      </w:pPr>
      <w:bookmarkStart w:id="366" w:name="_Toc26434_WPSOffice_Level2"/>
      <w:bookmarkStart w:id="367" w:name="_Toc1148_WPSOffice_Level3"/>
      <w:bookmarkStart w:id="368" w:name="_Toc5048_WPSOffice_Level2"/>
      <w:r>
        <w:rPr>
          <w:rFonts w:hint="eastAsia" w:ascii="宋体" w:hAnsi="宋体" w:eastAsia="宋体" w:cs="宋体"/>
          <w:b/>
          <w:color w:val="auto"/>
          <w:sz w:val="24"/>
          <w:szCs w:val="24"/>
          <w:lang w:eastAsia="zh-CN"/>
        </w:rPr>
        <w:t>法定代表人授权书</w:t>
      </w:r>
      <w:bookmarkEnd w:id="366"/>
      <w:bookmarkEnd w:id="367"/>
      <w:bookmarkEnd w:id="368"/>
    </w:p>
    <w:p w14:paraId="2094C71A">
      <w:pPr>
        <w:keepNext w:val="0"/>
        <w:keepLines w:val="0"/>
        <w:pageBreakBefore w:val="0"/>
        <w:widowControl w:val="0"/>
        <w:kinsoku/>
        <w:wordWrap/>
        <w:overflowPunct/>
        <w:topLinePunct w:val="0"/>
        <w:bidi w:val="0"/>
        <w:adjustRightInd/>
        <w:snapToGrid/>
        <w:spacing w:line="360" w:lineRule="auto"/>
        <w:ind w:right="0"/>
        <w:textAlignment w:val="auto"/>
        <w:outlineLvl w:val="9"/>
        <w:rPr>
          <w:rFonts w:hint="eastAsia" w:ascii="宋体" w:hAnsi="宋体" w:eastAsia="宋体" w:cs="宋体"/>
          <w:color w:val="auto"/>
          <w:sz w:val="24"/>
          <w:szCs w:val="24"/>
          <w:u w:val="single"/>
        </w:rPr>
      </w:pPr>
      <w:bookmarkStart w:id="369" w:name="_Toc25306_WPSOffice_Level2"/>
      <w:bookmarkStart w:id="370" w:name="_Toc6307_WPSOffice_Level2"/>
      <w:bookmarkStart w:id="371" w:name="_Toc16084_WPSOffice_Level2"/>
      <w:r>
        <w:rPr>
          <w:rFonts w:hint="eastAsia" w:ascii="宋体" w:hAnsi="宋体" w:eastAsia="宋体" w:cs="宋体"/>
          <w:b/>
          <w:bCs/>
          <w:color w:val="auto"/>
          <w:sz w:val="24"/>
          <w:szCs w:val="24"/>
        </w:rPr>
        <w:t>致：</w:t>
      </w:r>
      <w:r>
        <w:rPr>
          <w:rFonts w:hint="eastAsia" w:ascii="宋体" w:hAnsi="宋体" w:eastAsia="宋体" w:cs="宋体"/>
          <w:b/>
          <w:bCs/>
          <w:color w:val="auto"/>
          <w:sz w:val="24"/>
          <w:szCs w:val="24"/>
          <w:u w:val="none"/>
          <w:lang w:eastAsia="zh-CN"/>
        </w:rPr>
        <w:t>青海鼎钊招标代理有限公司</w:t>
      </w:r>
      <w:bookmarkEnd w:id="369"/>
      <w:bookmarkEnd w:id="370"/>
      <w:bookmarkEnd w:id="371"/>
    </w:p>
    <w:p w14:paraId="10472FBF">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（供应商名称）  </w:t>
      </w:r>
      <w:r>
        <w:rPr>
          <w:rFonts w:hint="eastAsia" w:ascii="宋体" w:hAnsi="宋体" w:eastAsia="宋体" w:cs="宋体"/>
          <w:color w:val="auto"/>
          <w:sz w:val="24"/>
          <w:szCs w:val="24"/>
        </w:rPr>
        <w:t>系中华人民共和国合法企业，法定地址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5C8EF7A5">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（法定代表人姓名）   </w:t>
      </w:r>
      <w:r>
        <w:rPr>
          <w:rFonts w:hint="eastAsia" w:ascii="宋体" w:hAnsi="宋体" w:eastAsia="宋体" w:cs="宋体"/>
          <w:color w:val="auto"/>
          <w:sz w:val="24"/>
          <w:szCs w:val="24"/>
        </w:rPr>
        <w:t>特授权</w:t>
      </w:r>
      <w:r>
        <w:rPr>
          <w:rFonts w:hint="eastAsia" w:ascii="宋体" w:hAnsi="宋体" w:eastAsia="宋体" w:cs="宋体"/>
          <w:color w:val="auto"/>
          <w:sz w:val="24"/>
          <w:szCs w:val="24"/>
          <w:u w:val="single"/>
        </w:rPr>
        <w:t xml:space="preserve"> （委托代理人姓名）    </w:t>
      </w:r>
      <w:r>
        <w:rPr>
          <w:rFonts w:hint="eastAsia" w:ascii="宋体" w:hAnsi="宋体" w:eastAsia="宋体" w:cs="宋体"/>
          <w:color w:val="auto"/>
          <w:sz w:val="24"/>
          <w:szCs w:val="24"/>
        </w:rPr>
        <w:t>代表我单位全权办理针对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项目的</w:t>
      </w:r>
      <w:r>
        <w:rPr>
          <w:rFonts w:hint="eastAsia" w:ascii="宋体" w:hAnsi="宋体" w:eastAsia="宋体" w:cs="宋体"/>
          <w:color w:val="auto"/>
          <w:sz w:val="24"/>
          <w:szCs w:val="24"/>
          <w:lang w:eastAsia="zh-CN"/>
        </w:rPr>
        <w:t>谈判、答疑</w:t>
      </w:r>
      <w:r>
        <w:rPr>
          <w:rFonts w:hint="eastAsia" w:ascii="宋体" w:hAnsi="宋体" w:eastAsia="宋体" w:cs="宋体"/>
          <w:color w:val="auto"/>
          <w:sz w:val="24"/>
          <w:szCs w:val="24"/>
        </w:rPr>
        <w:t>等具体工作，并签署全部有关的文件、资料。</w:t>
      </w:r>
    </w:p>
    <w:p w14:paraId="32D443DF">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我单位对被授权人的签名负全部责任。</w:t>
      </w:r>
    </w:p>
    <w:p w14:paraId="517C800F">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在撤销授权的书面通知以前，本授权书一直有效，被授权人签署的所有文件（在授权书有效期内签署的）不因授权的撤销而失效。</w:t>
      </w:r>
    </w:p>
    <w:p w14:paraId="314773F5">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被授权人联系电话：</w:t>
      </w:r>
      <w:r>
        <w:rPr>
          <w:rFonts w:hint="eastAsia" w:ascii="宋体" w:hAnsi="宋体" w:eastAsia="宋体" w:cs="宋体"/>
          <w:color w:val="auto"/>
          <w:sz w:val="24"/>
          <w:szCs w:val="24"/>
          <w:u w:val="single"/>
        </w:rPr>
        <w:t xml:space="preserve">          </w:t>
      </w:r>
    </w:p>
    <w:p w14:paraId="35CF0E8A">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被授权人（委托代理人）签字或盖章：</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职务：</w:t>
      </w:r>
      <w:r>
        <w:rPr>
          <w:rFonts w:hint="eastAsia" w:ascii="宋体" w:hAnsi="宋体" w:eastAsia="宋体" w:cs="宋体"/>
          <w:color w:val="auto"/>
          <w:sz w:val="24"/>
          <w:szCs w:val="24"/>
          <w:u w:val="single"/>
        </w:rPr>
        <w:t xml:space="preserve">            </w:t>
      </w:r>
    </w:p>
    <w:p w14:paraId="2502F595">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color w:val="auto"/>
          <w:sz w:val="24"/>
          <w:szCs w:val="24"/>
          <w:u w:val="single"/>
        </w:rPr>
      </w:pPr>
      <w:r>
        <w:rPr>
          <w:rFonts w:hint="eastAsia" w:ascii="宋体" w:hAnsi="宋体" w:eastAsia="宋体" w:cs="宋体"/>
          <w:color w:val="auto"/>
          <w:sz w:val="24"/>
          <w:szCs w:val="24"/>
        </w:rPr>
        <w:t>授权人（法定代表人）签字或盖章：</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职务：</w:t>
      </w:r>
      <w:r>
        <w:rPr>
          <w:rFonts w:hint="eastAsia" w:ascii="宋体" w:hAnsi="宋体" w:eastAsia="宋体" w:cs="宋体"/>
          <w:color w:val="auto"/>
          <w:sz w:val="24"/>
          <w:szCs w:val="24"/>
          <w:u w:val="single"/>
        </w:rPr>
        <w:t xml:space="preserve">            </w:t>
      </w:r>
    </w:p>
    <w:p w14:paraId="44CD8D60">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附被授权人第二代身份证双面扫描（或复印）件</w:t>
      </w:r>
    </w:p>
    <w:p w14:paraId="780FF19D">
      <w:pPr>
        <w:keepNext w:val="0"/>
        <w:keepLines w:val="0"/>
        <w:pageBreakBefore w:val="0"/>
        <w:widowControl w:val="0"/>
        <w:kinsoku/>
        <w:wordWrap/>
        <w:overflowPunct/>
        <w:topLinePunct w:val="0"/>
        <w:bidi w:val="0"/>
        <w:adjustRightInd/>
        <w:snapToGrid/>
        <w:spacing w:line="360" w:lineRule="auto"/>
        <w:ind w:right="0"/>
        <w:textAlignment w:val="auto"/>
        <w:outlineLvl w:val="9"/>
        <w:rPr>
          <w:rFonts w:hint="eastAsia" w:ascii="宋体" w:hAnsi="宋体" w:eastAsia="宋体" w:cs="宋体"/>
          <w:color w:val="auto"/>
          <w:kern w:val="0"/>
          <w:sz w:val="24"/>
          <w:szCs w:val="24"/>
        </w:rPr>
      </w:pPr>
    </w:p>
    <w:p w14:paraId="65F86C1F">
      <w:pPr>
        <w:keepNext w:val="0"/>
        <w:keepLines w:val="0"/>
        <w:pageBreakBefore w:val="0"/>
        <w:kinsoku/>
        <w:wordWrap/>
        <w:overflowPunct/>
        <w:topLinePunct w:val="0"/>
        <w:autoSpaceDE/>
        <w:autoSpaceDN/>
        <w:bidi w:val="0"/>
        <w:adjustRightInd/>
        <w:snapToGrid/>
        <w:spacing w:line="360" w:lineRule="auto"/>
        <w:ind w:right="0" w:firstLine="480" w:firstLineChars="200"/>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eastAsia="zh-CN"/>
        </w:rPr>
        <w:t>单</w:t>
      </w:r>
      <w:r>
        <w:rPr>
          <w:rFonts w:hint="eastAsia" w:ascii="宋体" w:hAnsi="宋体" w:eastAsia="宋体" w:cs="宋体"/>
          <w:b w:val="0"/>
          <w:bCs/>
          <w:color w:val="auto"/>
          <w:sz w:val="24"/>
          <w:szCs w:val="24"/>
        </w:rPr>
        <w:t>位</w:t>
      </w:r>
      <w:r>
        <w:rPr>
          <w:rFonts w:hint="eastAsia" w:ascii="宋体" w:hAnsi="宋体" w:eastAsia="宋体" w:cs="宋体"/>
          <w:b w:val="0"/>
          <w:bCs/>
          <w:color w:val="auto"/>
          <w:sz w:val="24"/>
          <w:szCs w:val="24"/>
          <w:lang w:eastAsia="zh-CN"/>
        </w:rPr>
        <w:t>名称</w:t>
      </w:r>
      <w:r>
        <w:rPr>
          <w:rFonts w:hint="eastAsia" w:ascii="宋体" w:hAnsi="宋体" w:eastAsia="宋体" w:cs="宋体"/>
          <w:b w:val="0"/>
          <w:bCs/>
          <w:color w:val="auto"/>
          <w:sz w:val="24"/>
          <w:szCs w:val="24"/>
        </w:rPr>
        <w:t>：</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rPr>
        <w:t>（公章）</w:t>
      </w:r>
    </w:p>
    <w:p w14:paraId="6917C15F">
      <w:pPr>
        <w:keepNext w:val="0"/>
        <w:keepLines w:val="0"/>
        <w:pageBreakBefore w:val="0"/>
        <w:kinsoku/>
        <w:wordWrap/>
        <w:overflowPunct/>
        <w:topLinePunct w:val="0"/>
        <w:autoSpaceDE/>
        <w:autoSpaceDN/>
        <w:bidi w:val="0"/>
        <w:adjustRightInd/>
        <w:snapToGrid/>
        <w:spacing w:line="360" w:lineRule="auto"/>
        <w:ind w:right="0" w:firstLine="480" w:firstLineChars="200"/>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法定代表人或委托代理人：</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rPr>
        <w:t>（签字或盖章）</w:t>
      </w:r>
    </w:p>
    <w:p w14:paraId="37553D74">
      <w:pPr>
        <w:keepNext w:val="0"/>
        <w:keepLines w:val="0"/>
        <w:pageBreakBefore w:val="0"/>
        <w:widowControl w:val="0"/>
        <w:kinsoku/>
        <w:wordWrap/>
        <w:overflowPunct/>
        <w:topLinePunct w:val="0"/>
        <w:bidi w:val="0"/>
        <w:adjustRightInd/>
        <w:snapToGrid/>
        <w:spacing w:line="360" w:lineRule="auto"/>
        <w:ind w:right="0" w:firstLine="480" w:firstLineChars="200"/>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年   月 </w:t>
      </w: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 w:val="0"/>
          <w:bCs/>
          <w:color w:val="auto"/>
          <w:sz w:val="24"/>
          <w:szCs w:val="24"/>
        </w:rPr>
        <w:t xml:space="preserve"> 日</w:t>
      </w:r>
    </w:p>
    <w:p w14:paraId="1934946E">
      <w:pPr>
        <w:keepNext w:val="0"/>
        <w:keepLines w:val="0"/>
        <w:pageBreakBefore w:val="0"/>
        <w:kinsoku/>
        <w:wordWrap/>
        <w:overflowPunct/>
        <w:topLinePunct w:val="0"/>
        <w:bidi w:val="0"/>
        <w:adjustRightInd/>
        <w:snapToGrid/>
        <w:spacing w:line="360" w:lineRule="auto"/>
        <w:ind w:right="0"/>
        <w:outlineLvl w:val="9"/>
        <w:rPr>
          <w:rFonts w:hint="eastAsia" w:ascii="宋体" w:hAnsi="宋体" w:eastAsia="宋体" w:cs="宋体"/>
          <w:b/>
          <w:bCs/>
          <w:color w:val="auto"/>
          <w:sz w:val="24"/>
          <w:szCs w:val="24"/>
        </w:rPr>
      </w:pPr>
    </w:p>
    <w:p w14:paraId="131714AD">
      <w:pPr>
        <w:keepNext w:val="0"/>
        <w:keepLines w:val="0"/>
        <w:pageBreakBefore w:val="0"/>
        <w:kinsoku/>
        <w:wordWrap/>
        <w:overflowPunct/>
        <w:topLinePunct w:val="0"/>
        <w:bidi w:val="0"/>
        <w:adjustRightInd/>
        <w:snapToGrid/>
        <w:spacing w:line="360" w:lineRule="auto"/>
        <w:ind w:right="0"/>
        <w:rPr>
          <w:rFonts w:hint="eastAsia" w:ascii="宋体" w:hAnsi="宋体" w:eastAsia="宋体" w:cs="宋体"/>
          <w:b/>
          <w:color w:val="auto"/>
          <w:sz w:val="28"/>
          <w:szCs w:val="28"/>
          <w:lang w:eastAsia="zh-CN"/>
        </w:rPr>
      </w:pPr>
      <w:bookmarkStart w:id="372" w:name="_Toc30919"/>
      <w:bookmarkStart w:id="373" w:name="_Toc16704"/>
      <w:bookmarkStart w:id="374" w:name="_Toc7737_WPSOffice_Level3"/>
      <w:bookmarkStart w:id="375" w:name="_Toc26653_WPSOffice_Level3"/>
      <w:bookmarkStart w:id="376" w:name="_Toc23618"/>
      <w:r>
        <w:rPr>
          <w:rFonts w:hint="eastAsia" w:ascii="宋体" w:hAnsi="宋体" w:eastAsia="宋体" w:cs="宋体"/>
          <w:b/>
          <w:color w:val="auto"/>
          <w:sz w:val="28"/>
          <w:szCs w:val="28"/>
          <w:lang w:eastAsia="zh-CN"/>
        </w:rPr>
        <w:br w:type="page"/>
      </w:r>
    </w:p>
    <w:p w14:paraId="49179035">
      <w:pPr>
        <w:keepNext w:val="0"/>
        <w:keepLines w:val="0"/>
        <w:pageBreakBefore w:val="0"/>
        <w:widowControl/>
        <w:kinsoku/>
        <w:wordWrap/>
        <w:overflowPunct/>
        <w:topLinePunct w:val="0"/>
        <w:bidi w:val="0"/>
        <w:adjustRightInd/>
        <w:snapToGrid/>
        <w:spacing w:line="360" w:lineRule="auto"/>
        <w:ind w:right="0"/>
        <w:outlineLvl w:val="1"/>
        <w:rPr>
          <w:rFonts w:hint="eastAsia" w:ascii="宋体" w:hAnsi="宋体" w:eastAsia="宋体" w:cs="宋体"/>
          <w:b/>
          <w:color w:val="auto"/>
          <w:sz w:val="28"/>
          <w:szCs w:val="28"/>
          <w:lang w:eastAsia="zh-CN"/>
        </w:rPr>
      </w:pPr>
      <w:bookmarkStart w:id="377" w:name="_Toc27688"/>
      <w:r>
        <w:rPr>
          <w:rFonts w:hint="eastAsia" w:ascii="宋体" w:hAnsi="宋体" w:eastAsia="宋体" w:cs="宋体"/>
          <w:b/>
          <w:color w:val="auto"/>
          <w:sz w:val="28"/>
          <w:szCs w:val="28"/>
          <w:lang w:eastAsia="zh-CN"/>
        </w:rPr>
        <w:t>附件4：供应商承诺函</w:t>
      </w:r>
      <w:bookmarkEnd w:id="372"/>
      <w:bookmarkEnd w:id="373"/>
      <w:bookmarkEnd w:id="374"/>
      <w:bookmarkEnd w:id="375"/>
      <w:bookmarkEnd w:id="376"/>
      <w:bookmarkEnd w:id="377"/>
    </w:p>
    <w:p w14:paraId="14D715D7">
      <w:pPr>
        <w:keepNext w:val="0"/>
        <w:keepLines w:val="0"/>
        <w:pageBreakBefore w:val="0"/>
        <w:widowControl w:val="0"/>
        <w:kinsoku/>
        <w:wordWrap/>
        <w:overflowPunct/>
        <w:topLinePunct w:val="0"/>
        <w:bidi w:val="0"/>
        <w:adjustRightInd/>
        <w:snapToGrid/>
        <w:spacing w:line="360" w:lineRule="auto"/>
        <w:ind w:right="0"/>
        <w:jc w:val="center"/>
        <w:textAlignment w:val="auto"/>
        <w:outlineLvl w:val="9"/>
        <w:rPr>
          <w:rFonts w:hint="eastAsia" w:ascii="宋体" w:hAnsi="宋体" w:eastAsia="宋体" w:cs="宋体"/>
          <w:b/>
          <w:color w:val="auto"/>
          <w:sz w:val="24"/>
          <w:szCs w:val="24"/>
          <w:lang w:eastAsia="zh-CN"/>
        </w:rPr>
      </w:pPr>
      <w:bookmarkStart w:id="378" w:name="_Toc27597_WPSOffice_Level3"/>
      <w:bookmarkStart w:id="379" w:name="_Toc17639_WPSOffice_Level2"/>
      <w:bookmarkStart w:id="380" w:name="_Toc2453_WPSOffice_Level2"/>
      <w:r>
        <w:rPr>
          <w:rFonts w:hint="eastAsia" w:ascii="宋体" w:hAnsi="宋体" w:eastAsia="宋体" w:cs="宋体"/>
          <w:b/>
          <w:color w:val="auto"/>
          <w:sz w:val="24"/>
          <w:szCs w:val="24"/>
          <w:lang w:eastAsia="zh-CN"/>
        </w:rPr>
        <w:t>供应商承诺函</w:t>
      </w:r>
      <w:bookmarkEnd w:id="378"/>
      <w:bookmarkEnd w:id="379"/>
      <w:bookmarkEnd w:id="380"/>
    </w:p>
    <w:p w14:paraId="31851B3C">
      <w:pPr>
        <w:keepNext w:val="0"/>
        <w:keepLines w:val="0"/>
        <w:pageBreakBefore w:val="0"/>
        <w:widowControl w:val="0"/>
        <w:kinsoku/>
        <w:wordWrap/>
        <w:overflowPunct/>
        <w:topLinePunct w:val="0"/>
        <w:bidi w:val="0"/>
        <w:adjustRightInd/>
        <w:snapToGrid/>
        <w:spacing w:line="360" w:lineRule="auto"/>
        <w:ind w:right="0"/>
        <w:textAlignment w:val="auto"/>
        <w:outlineLvl w:val="9"/>
        <w:rPr>
          <w:rFonts w:hint="eastAsia" w:ascii="宋体" w:hAnsi="宋体" w:eastAsia="宋体" w:cs="宋体"/>
          <w:b w:val="0"/>
          <w:bCs w:val="0"/>
          <w:color w:val="auto"/>
          <w:sz w:val="24"/>
          <w:szCs w:val="24"/>
        </w:rPr>
      </w:pPr>
      <w:r>
        <w:rPr>
          <w:rFonts w:hint="eastAsia" w:ascii="宋体" w:hAnsi="宋体" w:eastAsia="宋体" w:cs="宋体"/>
          <w:b/>
          <w:bCs/>
          <w:color w:val="auto"/>
          <w:sz w:val="24"/>
          <w:szCs w:val="24"/>
        </w:rPr>
        <w:t>致：</w:t>
      </w:r>
      <w:r>
        <w:rPr>
          <w:rFonts w:hint="eastAsia" w:ascii="宋体" w:hAnsi="宋体" w:eastAsia="宋体" w:cs="宋体"/>
          <w:b/>
          <w:bCs/>
          <w:color w:val="auto"/>
          <w:sz w:val="24"/>
          <w:szCs w:val="24"/>
          <w:u w:val="none"/>
          <w:lang w:eastAsia="zh-CN"/>
        </w:rPr>
        <w:t>青海鼎钊招标代理有限公司</w:t>
      </w:r>
    </w:p>
    <w:p w14:paraId="2A34F0E6">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关于贵方</w:t>
      </w:r>
      <w:r>
        <w:rPr>
          <w:rFonts w:hint="eastAsia" w:ascii="宋体" w:hAnsi="宋体" w:eastAsia="宋体" w:cs="宋体"/>
          <w:b w:val="0"/>
          <w:bCs w:val="0"/>
          <w:color w:val="auto"/>
          <w:sz w:val="24"/>
          <w:szCs w:val="24"/>
          <w:u w:val="single"/>
          <w:lang w:val="en-US" w:eastAsia="zh-CN"/>
        </w:rPr>
        <w:t xml:space="preserve">   </w:t>
      </w:r>
      <w:r>
        <w:rPr>
          <w:rFonts w:hint="eastAsia" w:ascii="宋体" w:hAnsi="宋体" w:eastAsia="宋体" w:cs="宋体"/>
          <w:b w:val="0"/>
          <w:bCs w:val="0"/>
          <w:color w:val="auto"/>
          <w:sz w:val="24"/>
          <w:szCs w:val="24"/>
        </w:rPr>
        <w:t>年</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u w:val="single"/>
          <w:lang w:val="en-US" w:eastAsia="zh-CN"/>
        </w:rPr>
        <w:t xml:space="preserve"> </w:t>
      </w:r>
      <w:r>
        <w:rPr>
          <w:rFonts w:hint="eastAsia" w:ascii="宋体" w:hAnsi="宋体" w:eastAsia="宋体" w:cs="宋体"/>
          <w:b w:val="0"/>
          <w:bCs w:val="0"/>
          <w:color w:val="auto"/>
          <w:sz w:val="24"/>
          <w:szCs w:val="24"/>
        </w:rPr>
        <w:t>月</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u w:val="single"/>
          <w:lang w:val="en-US" w:eastAsia="zh-CN"/>
        </w:rPr>
        <w:t xml:space="preserve"> </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rPr>
        <w:t>日</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rPr>
        <w:t xml:space="preserve"> </w:t>
      </w:r>
      <w:r>
        <w:rPr>
          <w:rFonts w:hint="eastAsia" w:ascii="宋体" w:hAnsi="宋体" w:eastAsia="宋体" w:cs="宋体"/>
          <w:b w:val="0"/>
          <w:bCs w:val="0"/>
          <w:color w:val="auto"/>
          <w:sz w:val="24"/>
          <w:szCs w:val="24"/>
          <w:lang w:eastAsia="zh-CN"/>
        </w:rPr>
        <w:t>（项目名称及编号）</w:t>
      </w:r>
      <w:r>
        <w:rPr>
          <w:rFonts w:hint="eastAsia" w:ascii="宋体" w:hAnsi="宋体" w:eastAsia="宋体" w:cs="宋体"/>
          <w:b w:val="0"/>
          <w:bCs w:val="0"/>
          <w:color w:val="auto"/>
          <w:sz w:val="24"/>
          <w:szCs w:val="24"/>
        </w:rPr>
        <w:t>采购项目，本签字人愿意参加</w:t>
      </w:r>
      <w:r>
        <w:rPr>
          <w:rFonts w:hint="eastAsia" w:ascii="宋体" w:hAnsi="宋体" w:eastAsia="宋体" w:cs="宋体"/>
          <w:b w:val="0"/>
          <w:bCs w:val="0"/>
          <w:color w:val="auto"/>
          <w:sz w:val="24"/>
          <w:szCs w:val="24"/>
          <w:lang w:eastAsia="zh-CN"/>
        </w:rPr>
        <w:t>谈判</w:t>
      </w:r>
      <w:r>
        <w:rPr>
          <w:rFonts w:hint="eastAsia" w:ascii="宋体" w:hAnsi="宋体" w:eastAsia="宋体" w:cs="宋体"/>
          <w:b w:val="0"/>
          <w:bCs w:val="0"/>
          <w:color w:val="auto"/>
          <w:sz w:val="24"/>
          <w:szCs w:val="24"/>
        </w:rPr>
        <w:t>，提供采购一览表中要求的所有产品，并证实提交的所有资料是准确的和真实的。同时，我代表</w:t>
      </w:r>
      <w:r>
        <w:rPr>
          <w:rFonts w:hint="eastAsia" w:ascii="宋体" w:hAnsi="宋体" w:eastAsia="宋体" w:cs="宋体"/>
          <w:b w:val="0"/>
          <w:bCs w:val="0"/>
          <w:color w:val="auto"/>
          <w:sz w:val="24"/>
          <w:szCs w:val="24"/>
          <w:u w:val="single"/>
        </w:rPr>
        <w:t>（供应商名称）</w:t>
      </w:r>
      <w:r>
        <w:rPr>
          <w:rFonts w:hint="eastAsia" w:ascii="宋体" w:hAnsi="宋体" w:eastAsia="宋体" w:cs="宋体"/>
          <w:b w:val="0"/>
          <w:bCs w:val="0"/>
          <w:color w:val="auto"/>
          <w:sz w:val="24"/>
          <w:szCs w:val="24"/>
        </w:rPr>
        <w:t>，在此作如下承诺：</w:t>
      </w:r>
    </w:p>
    <w:p w14:paraId="16075F40">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1、完全理解和接受谈判文件的一切规定和要求；</w:t>
      </w:r>
    </w:p>
    <w:p w14:paraId="1260E2F4">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2、若</w:t>
      </w:r>
      <w:r>
        <w:rPr>
          <w:rFonts w:hint="eastAsia" w:ascii="宋体" w:hAnsi="宋体" w:eastAsia="宋体" w:cs="宋体"/>
          <w:b w:val="0"/>
          <w:bCs w:val="0"/>
          <w:color w:val="auto"/>
          <w:sz w:val="24"/>
          <w:szCs w:val="24"/>
          <w:lang w:eastAsia="zh-CN"/>
        </w:rPr>
        <w:t>成交</w:t>
      </w:r>
      <w:r>
        <w:rPr>
          <w:rFonts w:hint="eastAsia" w:ascii="宋体" w:hAnsi="宋体" w:eastAsia="宋体" w:cs="宋体"/>
          <w:b w:val="0"/>
          <w:bCs w:val="0"/>
          <w:color w:val="auto"/>
          <w:sz w:val="24"/>
          <w:szCs w:val="24"/>
        </w:rPr>
        <w:t>，我方将按照谈判文件的具体规定与采购人签订采购合同，并且严格履行合同义务，按时交货，提供优质的产品和服务。如果在合同执行过程中，发现质量、数量出现问题，我方一定尽快更换或补退货，并承担相应的经济责任；</w:t>
      </w:r>
    </w:p>
    <w:p w14:paraId="76296E1F">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3、我方保证甲方在使用该产品或其任何一部分时，不受第三方提出的侵犯专利权、著作权、商标权和工业设计权等知识产权的起诉，若有</w:t>
      </w:r>
      <w:r>
        <w:rPr>
          <w:rFonts w:hint="eastAsia" w:ascii="宋体" w:hAnsi="宋体" w:eastAsia="宋体" w:cs="宋体"/>
          <w:b w:val="0"/>
          <w:bCs w:val="0"/>
          <w:color w:val="auto"/>
          <w:sz w:val="24"/>
          <w:szCs w:val="24"/>
          <w:lang w:eastAsia="zh-CN"/>
        </w:rPr>
        <w:t>违反</w:t>
      </w:r>
      <w:r>
        <w:rPr>
          <w:rFonts w:hint="eastAsia" w:ascii="宋体" w:hAnsi="宋体" w:eastAsia="宋体" w:cs="宋体"/>
          <w:b w:val="0"/>
          <w:bCs w:val="0"/>
          <w:color w:val="auto"/>
          <w:sz w:val="24"/>
          <w:szCs w:val="24"/>
        </w:rPr>
        <w:t>，愿承担相应的一切责任。</w:t>
      </w:r>
    </w:p>
    <w:p w14:paraId="5E6DFFFE">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4、我方承诺，除谈判文件中规定的优质产品外，所投的产品均为国产产品，且均符合国家强制性标准。若有不实，愿承担相应的责任。</w:t>
      </w:r>
    </w:p>
    <w:p w14:paraId="5DAFB6C7">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5、在整个谈判过程中我方若有违规行为，贵方可按谈判文件之规定给予处罚，我方完全接受。</w:t>
      </w:r>
    </w:p>
    <w:p w14:paraId="76D8E24B">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6、若成交，本承诺将成为合同不可分割的一部分，与合同具有同等的法律效力。</w:t>
      </w:r>
    </w:p>
    <w:p w14:paraId="24807928">
      <w:pPr>
        <w:keepNext w:val="0"/>
        <w:keepLines w:val="0"/>
        <w:pageBreakBefore w:val="0"/>
        <w:widowControl w:val="0"/>
        <w:kinsoku/>
        <w:wordWrap/>
        <w:overflowPunct/>
        <w:topLinePunct w:val="0"/>
        <w:bidi w:val="0"/>
        <w:adjustRightInd/>
        <w:snapToGrid/>
        <w:spacing w:line="360" w:lineRule="auto"/>
        <w:ind w:right="0"/>
        <w:textAlignment w:val="auto"/>
        <w:outlineLvl w:val="9"/>
        <w:rPr>
          <w:rFonts w:hint="eastAsia" w:ascii="宋体" w:hAnsi="宋体" w:eastAsia="宋体" w:cs="宋体"/>
          <w:b w:val="0"/>
          <w:bCs w:val="0"/>
          <w:color w:val="auto"/>
          <w:sz w:val="24"/>
          <w:szCs w:val="24"/>
        </w:rPr>
      </w:pPr>
    </w:p>
    <w:p w14:paraId="1287DEF9">
      <w:pPr>
        <w:keepNext w:val="0"/>
        <w:keepLines w:val="0"/>
        <w:pageBreakBefore w:val="0"/>
        <w:kinsoku/>
        <w:wordWrap/>
        <w:overflowPunct/>
        <w:topLinePunct w:val="0"/>
        <w:autoSpaceDE/>
        <w:autoSpaceDN/>
        <w:bidi w:val="0"/>
        <w:adjustRightInd/>
        <w:snapToGrid/>
        <w:spacing w:line="360" w:lineRule="auto"/>
        <w:ind w:right="0" w:firstLine="480" w:firstLineChars="200"/>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eastAsia="zh-CN"/>
        </w:rPr>
        <w:t>单</w:t>
      </w:r>
      <w:r>
        <w:rPr>
          <w:rFonts w:hint="eastAsia" w:ascii="宋体" w:hAnsi="宋体" w:eastAsia="宋体" w:cs="宋体"/>
          <w:b w:val="0"/>
          <w:bCs/>
          <w:color w:val="auto"/>
          <w:sz w:val="24"/>
          <w:szCs w:val="24"/>
        </w:rPr>
        <w:t>位</w:t>
      </w:r>
      <w:r>
        <w:rPr>
          <w:rFonts w:hint="eastAsia" w:ascii="宋体" w:hAnsi="宋体" w:eastAsia="宋体" w:cs="宋体"/>
          <w:b w:val="0"/>
          <w:bCs/>
          <w:color w:val="auto"/>
          <w:sz w:val="24"/>
          <w:szCs w:val="24"/>
          <w:lang w:eastAsia="zh-CN"/>
        </w:rPr>
        <w:t>名称</w:t>
      </w:r>
      <w:r>
        <w:rPr>
          <w:rFonts w:hint="eastAsia" w:ascii="宋体" w:hAnsi="宋体" w:eastAsia="宋体" w:cs="宋体"/>
          <w:b w:val="0"/>
          <w:bCs/>
          <w:color w:val="auto"/>
          <w:sz w:val="24"/>
          <w:szCs w:val="24"/>
        </w:rPr>
        <w:t>：</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rPr>
        <w:t>（公章）</w:t>
      </w:r>
    </w:p>
    <w:p w14:paraId="2A40122E">
      <w:pPr>
        <w:keepNext w:val="0"/>
        <w:keepLines w:val="0"/>
        <w:pageBreakBefore w:val="0"/>
        <w:kinsoku/>
        <w:wordWrap/>
        <w:overflowPunct/>
        <w:topLinePunct w:val="0"/>
        <w:autoSpaceDE/>
        <w:autoSpaceDN/>
        <w:bidi w:val="0"/>
        <w:adjustRightInd/>
        <w:snapToGrid/>
        <w:spacing w:line="360" w:lineRule="auto"/>
        <w:ind w:right="0" w:firstLine="480" w:firstLineChars="200"/>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法定代表人或委托代理人：</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rPr>
        <w:t>（签字或盖章）</w:t>
      </w:r>
    </w:p>
    <w:p w14:paraId="4C66591E">
      <w:pPr>
        <w:keepNext w:val="0"/>
        <w:keepLines w:val="0"/>
        <w:pageBreakBefore w:val="0"/>
        <w:widowControl w:val="0"/>
        <w:kinsoku/>
        <w:wordWrap/>
        <w:overflowPunct/>
        <w:topLinePunct w:val="0"/>
        <w:bidi w:val="0"/>
        <w:adjustRightInd/>
        <w:snapToGrid/>
        <w:spacing w:line="360" w:lineRule="auto"/>
        <w:ind w:right="0" w:firstLine="480" w:firstLineChars="200"/>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年   月 </w:t>
      </w: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 w:val="0"/>
          <w:bCs/>
          <w:color w:val="auto"/>
          <w:sz w:val="24"/>
          <w:szCs w:val="24"/>
        </w:rPr>
        <w:t xml:space="preserve"> 日</w:t>
      </w:r>
    </w:p>
    <w:p w14:paraId="494E863A">
      <w:pPr>
        <w:keepNext w:val="0"/>
        <w:keepLines w:val="0"/>
        <w:pageBreakBefore w:val="0"/>
        <w:widowControl w:val="0"/>
        <w:kinsoku/>
        <w:wordWrap/>
        <w:overflowPunct/>
        <w:topLinePunct w:val="0"/>
        <w:bidi w:val="0"/>
        <w:adjustRightInd/>
        <w:snapToGrid/>
        <w:spacing w:line="360" w:lineRule="auto"/>
        <w:ind w:right="0"/>
        <w:jc w:val="both"/>
        <w:textAlignment w:val="auto"/>
        <w:outlineLvl w:val="9"/>
        <w:rPr>
          <w:rFonts w:hint="eastAsia" w:ascii="宋体" w:hAnsi="宋体" w:eastAsia="宋体" w:cs="宋体"/>
          <w:b w:val="0"/>
          <w:bCs/>
          <w:color w:val="auto"/>
          <w:sz w:val="24"/>
          <w:szCs w:val="24"/>
        </w:rPr>
      </w:pPr>
    </w:p>
    <w:p w14:paraId="4E714DEB">
      <w:pPr>
        <w:keepNext w:val="0"/>
        <w:keepLines w:val="0"/>
        <w:pageBreakBefore w:val="0"/>
        <w:kinsoku/>
        <w:wordWrap/>
        <w:overflowPunct/>
        <w:topLinePunct w:val="0"/>
        <w:bidi w:val="0"/>
        <w:adjustRightInd/>
        <w:snapToGrid/>
        <w:spacing w:line="360" w:lineRule="auto"/>
        <w:ind w:right="0"/>
        <w:rPr>
          <w:rFonts w:hint="eastAsia" w:ascii="宋体" w:hAnsi="宋体" w:eastAsia="宋体" w:cs="宋体"/>
          <w:b/>
          <w:color w:val="auto"/>
          <w:sz w:val="24"/>
          <w:szCs w:val="24"/>
        </w:rPr>
      </w:pPr>
      <w:bookmarkStart w:id="381" w:name="_Toc6416"/>
      <w:bookmarkStart w:id="382" w:name="_Toc653_WPSOffice_Level3"/>
      <w:bookmarkStart w:id="383" w:name="_Toc20884"/>
      <w:bookmarkStart w:id="384" w:name="_Toc25740"/>
      <w:bookmarkStart w:id="385" w:name="_Toc26773_WPSOffice_Level3"/>
      <w:r>
        <w:rPr>
          <w:rFonts w:hint="eastAsia" w:ascii="宋体" w:hAnsi="宋体" w:eastAsia="宋体" w:cs="宋体"/>
          <w:b/>
          <w:color w:val="auto"/>
          <w:sz w:val="24"/>
          <w:szCs w:val="24"/>
        </w:rPr>
        <w:br w:type="page"/>
      </w:r>
    </w:p>
    <w:p w14:paraId="046AF596">
      <w:pPr>
        <w:keepNext w:val="0"/>
        <w:keepLines w:val="0"/>
        <w:pageBreakBefore w:val="0"/>
        <w:widowControl/>
        <w:kinsoku/>
        <w:wordWrap/>
        <w:overflowPunct/>
        <w:topLinePunct w:val="0"/>
        <w:bidi w:val="0"/>
        <w:adjustRightInd/>
        <w:snapToGrid/>
        <w:spacing w:line="360" w:lineRule="auto"/>
        <w:ind w:right="0"/>
        <w:outlineLvl w:val="1"/>
        <w:rPr>
          <w:rFonts w:hint="eastAsia" w:ascii="宋体" w:hAnsi="宋体" w:eastAsia="宋体" w:cs="宋体"/>
          <w:b/>
          <w:color w:val="auto"/>
          <w:sz w:val="24"/>
          <w:szCs w:val="24"/>
        </w:rPr>
      </w:pPr>
      <w:bookmarkStart w:id="386" w:name="_Toc659"/>
      <w:r>
        <w:rPr>
          <w:rFonts w:hint="eastAsia" w:ascii="宋体" w:hAnsi="宋体" w:eastAsia="宋体" w:cs="宋体"/>
          <w:b/>
          <w:color w:val="auto"/>
          <w:sz w:val="28"/>
          <w:szCs w:val="28"/>
          <w:lang w:eastAsia="zh-CN"/>
        </w:rPr>
        <w:t>附件5：供应商诚信承诺书</w:t>
      </w:r>
      <w:bookmarkEnd w:id="381"/>
      <w:bookmarkEnd w:id="382"/>
      <w:bookmarkEnd w:id="383"/>
      <w:bookmarkEnd w:id="384"/>
      <w:bookmarkEnd w:id="385"/>
      <w:bookmarkEnd w:id="386"/>
    </w:p>
    <w:p w14:paraId="0C0F3A27">
      <w:pPr>
        <w:keepNext w:val="0"/>
        <w:keepLines w:val="0"/>
        <w:pageBreakBefore w:val="0"/>
        <w:kinsoku/>
        <w:wordWrap/>
        <w:overflowPunct/>
        <w:topLinePunct w:val="0"/>
        <w:bidi w:val="0"/>
        <w:adjustRightInd/>
        <w:snapToGrid/>
        <w:spacing w:line="360" w:lineRule="auto"/>
        <w:ind w:right="0"/>
        <w:jc w:val="center"/>
        <w:outlineLvl w:val="9"/>
        <w:rPr>
          <w:rFonts w:hint="eastAsia" w:ascii="宋体" w:hAnsi="宋体" w:eastAsia="宋体" w:cs="宋体"/>
          <w:b/>
          <w:color w:val="auto"/>
          <w:sz w:val="24"/>
          <w:szCs w:val="24"/>
        </w:rPr>
      </w:pPr>
      <w:bookmarkStart w:id="387" w:name="_Toc22989_WPSOffice_Level3"/>
      <w:bookmarkStart w:id="388" w:name="_Toc22537_WPSOffice_Level3"/>
      <w:r>
        <w:rPr>
          <w:rFonts w:hint="eastAsia" w:ascii="宋体" w:hAnsi="宋体" w:eastAsia="宋体" w:cs="宋体"/>
          <w:b/>
          <w:color w:val="auto"/>
          <w:sz w:val="24"/>
          <w:szCs w:val="24"/>
          <w:lang w:eastAsia="zh-CN"/>
        </w:rPr>
        <w:t>供应商诚信承诺书</w:t>
      </w:r>
      <w:bookmarkEnd w:id="387"/>
      <w:bookmarkEnd w:id="388"/>
    </w:p>
    <w:p w14:paraId="76A122A3">
      <w:pPr>
        <w:keepNext w:val="0"/>
        <w:keepLines w:val="0"/>
        <w:pageBreakBefore w:val="0"/>
        <w:widowControl w:val="0"/>
        <w:kinsoku/>
        <w:wordWrap/>
        <w:overflowPunct/>
        <w:topLinePunct w:val="0"/>
        <w:bidi w:val="0"/>
        <w:adjustRightInd/>
        <w:snapToGrid/>
        <w:spacing w:line="360" w:lineRule="auto"/>
        <w:ind w:right="0"/>
        <w:textAlignment w:val="auto"/>
        <w:outlineLvl w:val="9"/>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致：</w:t>
      </w:r>
      <w:r>
        <w:rPr>
          <w:rFonts w:hint="eastAsia" w:ascii="宋体" w:hAnsi="宋体" w:eastAsia="宋体" w:cs="宋体"/>
          <w:b/>
          <w:bCs/>
          <w:color w:val="auto"/>
          <w:sz w:val="24"/>
          <w:szCs w:val="24"/>
          <w:u w:val="none"/>
          <w:lang w:eastAsia="zh-CN"/>
        </w:rPr>
        <w:t>青海鼎钊招标代理有限公司</w:t>
      </w:r>
    </w:p>
    <w:p w14:paraId="238DB1D6">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为了诚实、客观、有序地参与青海省政府采购活动，愿就以下内容作出承诺：</w:t>
      </w:r>
    </w:p>
    <w:p w14:paraId="28AFB797">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、自觉遵守各项法律、法规、规章、制度以及社会公德，维护廉洁环境，与同场竞争的供应商平等参加政府采购活动。</w:t>
      </w:r>
    </w:p>
    <w:p w14:paraId="55EF270A">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、参加</w:t>
      </w:r>
      <w:r>
        <w:rPr>
          <w:rFonts w:hint="eastAsia" w:ascii="宋体" w:hAnsi="宋体" w:eastAsia="宋体" w:cs="宋体"/>
          <w:b w:val="0"/>
          <w:bCs w:val="0"/>
          <w:color w:val="auto"/>
          <w:sz w:val="24"/>
          <w:szCs w:val="24"/>
          <w:lang w:eastAsia="zh-CN"/>
        </w:rPr>
        <w:t>青海鼎钊招标代理有限公司</w:t>
      </w:r>
      <w:r>
        <w:rPr>
          <w:rFonts w:hint="eastAsia" w:ascii="宋体" w:hAnsi="宋体" w:eastAsia="宋体" w:cs="宋体"/>
          <w:b w:val="0"/>
          <w:bCs w:val="0"/>
          <w:color w:val="auto"/>
          <w:sz w:val="24"/>
          <w:szCs w:val="24"/>
        </w:rPr>
        <w:t>组织的政府采购活动时，严格按照谈判文件的规定和要求提供所需的相关材料，并对所提供的各类资料的真实性负责，不虚假</w:t>
      </w:r>
      <w:r>
        <w:rPr>
          <w:rFonts w:hint="eastAsia" w:ascii="宋体" w:hAnsi="宋体" w:eastAsia="宋体" w:cs="宋体"/>
          <w:b w:val="0"/>
          <w:bCs w:val="0"/>
          <w:color w:val="auto"/>
          <w:sz w:val="24"/>
          <w:szCs w:val="24"/>
          <w:lang w:eastAsia="zh-CN"/>
        </w:rPr>
        <w:t>响应</w:t>
      </w:r>
      <w:r>
        <w:rPr>
          <w:rFonts w:hint="eastAsia" w:ascii="宋体" w:hAnsi="宋体" w:eastAsia="宋体" w:cs="宋体"/>
          <w:b w:val="0"/>
          <w:bCs w:val="0"/>
          <w:color w:val="auto"/>
          <w:sz w:val="24"/>
          <w:szCs w:val="24"/>
        </w:rPr>
        <w:t>，不虚列业绩。</w:t>
      </w:r>
    </w:p>
    <w:p w14:paraId="51E2D332">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、尊重参与政府采购活动各相关方的合法行为，接受政府采购活动依法形成的意见、结果。</w:t>
      </w:r>
    </w:p>
    <w:p w14:paraId="21365F1A">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rPr>
        <w:t>、依法参加政府采购活动，不围标、串标，维护市场秩序，不提供“三无”产品、以次充好。</w:t>
      </w:r>
    </w:p>
    <w:p w14:paraId="2DC173ED">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5</w:t>
      </w:r>
      <w:r>
        <w:rPr>
          <w:rFonts w:hint="eastAsia" w:ascii="宋体" w:hAnsi="宋体" w:eastAsia="宋体" w:cs="宋体"/>
          <w:b w:val="0"/>
          <w:bCs w:val="0"/>
          <w:color w:val="auto"/>
          <w:sz w:val="24"/>
          <w:szCs w:val="24"/>
        </w:rPr>
        <w:t>、积极推动政府采购活动健康开展，对采购活动有疑问、异议时，按法律规定的程序实名（加盖单位</w:t>
      </w:r>
      <w:r>
        <w:rPr>
          <w:rFonts w:hint="eastAsia" w:ascii="宋体" w:hAnsi="宋体" w:eastAsia="宋体" w:cs="宋体"/>
          <w:b w:val="0"/>
          <w:bCs w:val="0"/>
          <w:color w:val="auto"/>
          <w:sz w:val="24"/>
          <w:szCs w:val="24"/>
          <w:lang w:eastAsia="zh-CN"/>
        </w:rPr>
        <w:t>公</w:t>
      </w:r>
      <w:r>
        <w:rPr>
          <w:rFonts w:hint="eastAsia" w:ascii="宋体" w:hAnsi="宋体" w:eastAsia="宋体" w:cs="宋体"/>
          <w:b w:val="0"/>
          <w:bCs w:val="0"/>
          <w:color w:val="auto"/>
          <w:sz w:val="24"/>
          <w:szCs w:val="24"/>
        </w:rPr>
        <w:t>章和法定代表人签名）反映情况，不恶意中伤、无事生非，以和谐、平等的心态参加政府采购活动。</w:t>
      </w:r>
    </w:p>
    <w:p w14:paraId="01B74ACD">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6</w:t>
      </w:r>
      <w:r>
        <w:rPr>
          <w:rFonts w:hint="eastAsia" w:ascii="宋体" w:hAnsi="宋体" w:eastAsia="宋体" w:cs="宋体"/>
          <w:b w:val="0"/>
          <w:bCs w:val="0"/>
          <w:color w:val="auto"/>
          <w:sz w:val="24"/>
          <w:szCs w:val="24"/>
        </w:rPr>
        <w:t>、认真履行成交供应商应承担的责任和义务，全面执行采购合同规定的各项内容，保质保量地按时提供采购物品。</w:t>
      </w:r>
    </w:p>
    <w:p w14:paraId="71931877">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若本企业（单位）发生有悖于上述承诺的行为，愿意接受《中华人民共和国政府采购法》和《政府采购法实施条例》中对供应商的相关处理。</w:t>
      </w:r>
    </w:p>
    <w:p w14:paraId="26F66E41">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本承诺是采购项目</w:t>
      </w:r>
      <w:r>
        <w:rPr>
          <w:rFonts w:hint="eastAsia" w:ascii="宋体" w:hAnsi="宋体" w:eastAsia="宋体" w:cs="宋体"/>
          <w:b w:val="0"/>
          <w:bCs w:val="0"/>
          <w:color w:val="auto"/>
          <w:sz w:val="24"/>
          <w:szCs w:val="24"/>
          <w:lang w:eastAsia="zh-CN"/>
        </w:rPr>
        <w:t>响应文件</w:t>
      </w:r>
      <w:r>
        <w:rPr>
          <w:rFonts w:hint="eastAsia" w:ascii="宋体" w:hAnsi="宋体" w:eastAsia="宋体" w:cs="宋体"/>
          <w:b w:val="0"/>
          <w:bCs w:val="0"/>
          <w:color w:val="auto"/>
          <w:sz w:val="24"/>
          <w:szCs w:val="24"/>
        </w:rPr>
        <w:t>的组成部分。</w:t>
      </w:r>
    </w:p>
    <w:p w14:paraId="07D782E3">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b w:val="0"/>
          <w:bCs w:val="0"/>
          <w:color w:val="auto"/>
          <w:sz w:val="24"/>
          <w:szCs w:val="24"/>
        </w:rPr>
      </w:pPr>
    </w:p>
    <w:p w14:paraId="0BE255CA">
      <w:pPr>
        <w:keepNext w:val="0"/>
        <w:keepLines w:val="0"/>
        <w:pageBreakBefore w:val="0"/>
        <w:kinsoku/>
        <w:wordWrap/>
        <w:overflowPunct/>
        <w:topLinePunct w:val="0"/>
        <w:autoSpaceDE/>
        <w:autoSpaceDN/>
        <w:bidi w:val="0"/>
        <w:adjustRightInd/>
        <w:snapToGrid/>
        <w:spacing w:line="360" w:lineRule="auto"/>
        <w:ind w:right="0" w:firstLine="480" w:firstLineChars="200"/>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eastAsia="zh-CN"/>
        </w:rPr>
        <w:t>单</w:t>
      </w:r>
      <w:r>
        <w:rPr>
          <w:rFonts w:hint="eastAsia" w:ascii="宋体" w:hAnsi="宋体" w:eastAsia="宋体" w:cs="宋体"/>
          <w:b w:val="0"/>
          <w:bCs/>
          <w:color w:val="auto"/>
          <w:sz w:val="24"/>
          <w:szCs w:val="24"/>
        </w:rPr>
        <w:t>位</w:t>
      </w:r>
      <w:r>
        <w:rPr>
          <w:rFonts w:hint="eastAsia" w:ascii="宋体" w:hAnsi="宋体" w:eastAsia="宋体" w:cs="宋体"/>
          <w:b w:val="0"/>
          <w:bCs/>
          <w:color w:val="auto"/>
          <w:sz w:val="24"/>
          <w:szCs w:val="24"/>
          <w:lang w:eastAsia="zh-CN"/>
        </w:rPr>
        <w:t>名称</w:t>
      </w:r>
      <w:r>
        <w:rPr>
          <w:rFonts w:hint="eastAsia" w:ascii="宋体" w:hAnsi="宋体" w:eastAsia="宋体" w:cs="宋体"/>
          <w:b w:val="0"/>
          <w:bCs/>
          <w:color w:val="auto"/>
          <w:sz w:val="24"/>
          <w:szCs w:val="24"/>
        </w:rPr>
        <w:t>：</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rPr>
        <w:t>（公章）</w:t>
      </w:r>
    </w:p>
    <w:p w14:paraId="4E021334">
      <w:pPr>
        <w:keepNext w:val="0"/>
        <w:keepLines w:val="0"/>
        <w:pageBreakBefore w:val="0"/>
        <w:kinsoku/>
        <w:wordWrap/>
        <w:overflowPunct/>
        <w:topLinePunct w:val="0"/>
        <w:autoSpaceDE/>
        <w:autoSpaceDN/>
        <w:bidi w:val="0"/>
        <w:adjustRightInd/>
        <w:snapToGrid/>
        <w:spacing w:line="360" w:lineRule="auto"/>
        <w:ind w:right="0" w:firstLine="480" w:firstLineChars="200"/>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法定代表人或委托代理人：</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rPr>
        <w:t>（签字或盖章）</w:t>
      </w:r>
    </w:p>
    <w:p w14:paraId="56BBA4F7">
      <w:pPr>
        <w:keepNext w:val="0"/>
        <w:keepLines w:val="0"/>
        <w:pageBreakBefore w:val="0"/>
        <w:widowControl w:val="0"/>
        <w:kinsoku/>
        <w:wordWrap/>
        <w:overflowPunct/>
        <w:topLinePunct w:val="0"/>
        <w:bidi w:val="0"/>
        <w:adjustRightInd/>
        <w:snapToGrid/>
        <w:spacing w:line="360" w:lineRule="auto"/>
        <w:ind w:right="0" w:firstLine="480" w:firstLineChars="200"/>
        <w:jc w:val="center"/>
        <w:textAlignment w:val="auto"/>
        <w:outlineLvl w:val="9"/>
        <w:rPr>
          <w:rFonts w:hint="eastAsia" w:ascii="宋体" w:hAnsi="宋体" w:eastAsia="宋体" w:cs="宋体"/>
          <w:color w:val="auto"/>
          <w:sz w:val="24"/>
          <w:szCs w:val="24"/>
        </w:rPr>
      </w:pPr>
      <w:r>
        <w:rPr>
          <w:rFonts w:hint="eastAsia" w:ascii="宋体" w:hAnsi="宋体" w:eastAsia="宋体" w:cs="宋体"/>
          <w:b w:val="0"/>
          <w:bCs/>
          <w:color w:val="auto"/>
          <w:sz w:val="24"/>
          <w:szCs w:val="24"/>
        </w:rPr>
        <w:t xml:space="preserve">年   月 </w:t>
      </w: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 w:val="0"/>
          <w:bCs/>
          <w:color w:val="auto"/>
          <w:sz w:val="24"/>
          <w:szCs w:val="24"/>
        </w:rPr>
        <w:t xml:space="preserve"> 日</w:t>
      </w:r>
    </w:p>
    <w:p w14:paraId="72853DF2">
      <w:pPr>
        <w:keepNext w:val="0"/>
        <w:keepLines w:val="0"/>
        <w:pageBreakBefore w:val="0"/>
        <w:kinsoku/>
        <w:wordWrap/>
        <w:overflowPunct/>
        <w:topLinePunct w:val="0"/>
        <w:bidi w:val="0"/>
        <w:adjustRightInd/>
        <w:snapToGrid/>
        <w:spacing w:line="360" w:lineRule="auto"/>
        <w:ind w:right="0"/>
        <w:rPr>
          <w:rFonts w:hint="eastAsia" w:ascii="宋体" w:hAnsi="宋体" w:eastAsia="宋体" w:cs="宋体"/>
          <w:color w:val="auto"/>
          <w:sz w:val="24"/>
          <w:szCs w:val="24"/>
        </w:rPr>
      </w:pPr>
    </w:p>
    <w:p w14:paraId="42F43DCF">
      <w:pPr>
        <w:keepNext w:val="0"/>
        <w:keepLines w:val="0"/>
        <w:pageBreakBefore w:val="0"/>
        <w:kinsoku/>
        <w:wordWrap/>
        <w:overflowPunct/>
        <w:topLinePunct w:val="0"/>
        <w:bidi w:val="0"/>
        <w:adjustRightInd/>
        <w:snapToGrid/>
        <w:spacing w:line="360" w:lineRule="auto"/>
        <w:ind w:right="0"/>
        <w:rPr>
          <w:rFonts w:hint="eastAsia" w:ascii="宋体" w:hAnsi="宋体" w:eastAsia="宋体" w:cs="宋体"/>
          <w:b/>
          <w:color w:val="auto"/>
          <w:sz w:val="28"/>
          <w:szCs w:val="28"/>
          <w:lang w:eastAsia="zh-CN"/>
        </w:rPr>
      </w:pPr>
      <w:bookmarkStart w:id="389" w:name="_Toc19930_WPSOffice_Level3"/>
      <w:bookmarkStart w:id="390" w:name="_Toc25242"/>
      <w:bookmarkStart w:id="391" w:name="_Toc6033"/>
      <w:bookmarkStart w:id="392" w:name="_Toc16847"/>
      <w:bookmarkStart w:id="393" w:name="_Toc8368_WPSOffice_Level3"/>
      <w:r>
        <w:rPr>
          <w:rFonts w:hint="eastAsia" w:ascii="宋体" w:hAnsi="宋体" w:eastAsia="宋体" w:cs="宋体"/>
          <w:b/>
          <w:color w:val="auto"/>
          <w:sz w:val="28"/>
          <w:szCs w:val="28"/>
          <w:lang w:eastAsia="zh-CN"/>
        </w:rPr>
        <w:br w:type="page"/>
      </w:r>
    </w:p>
    <w:p w14:paraId="16F5F5D3">
      <w:pPr>
        <w:keepNext w:val="0"/>
        <w:keepLines w:val="0"/>
        <w:pageBreakBefore w:val="0"/>
        <w:widowControl/>
        <w:kinsoku/>
        <w:wordWrap/>
        <w:overflowPunct/>
        <w:topLinePunct w:val="0"/>
        <w:bidi w:val="0"/>
        <w:adjustRightInd/>
        <w:snapToGrid/>
        <w:spacing w:line="360" w:lineRule="auto"/>
        <w:ind w:right="0"/>
        <w:outlineLvl w:val="1"/>
        <w:rPr>
          <w:rFonts w:hint="eastAsia" w:ascii="宋体" w:hAnsi="宋体" w:eastAsia="宋体" w:cs="宋体"/>
          <w:b/>
          <w:color w:val="auto"/>
          <w:sz w:val="28"/>
          <w:szCs w:val="28"/>
        </w:rPr>
      </w:pPr>
      <w:bookmarkStart w:id="394" w:name="_Toc15042"/>
      <w:r>
        <w:rPr>
          <w:rFonts w:hint="eastAsia" w:ascii="宋体" w:hAnsi="宋体" w:eastAsia="宋体" w:cs="宋体"/>
          <w:b/>
          <w:color w:val="auto"/>
          <w:sz w:val="28"/>
          <w:szCs w:val="28"/>
          <w:lang w:eastAsia="zh-CN"/>
        </w:rPr>
        <w:t>附件6：供应商资格证明文件</w:t>
      </w:r>
      <w:bookmarkEnd w:id="389"/>
      <w:bookmarkEnd w:id="390"/>
      <w:bookmarkEnd w:id="391"/>
      <w:bookmarkEnd w:id="392"/>
      <w:bookmarkEnd w:id="393"/>
      <w:bookmarkEnd w:id="394"/>
    </w:p>
    <w:p w14:paraId="03FCD1D6">
      <w:pPr>
        <w:keepNext w:val="0"/>
        <w:keepLines w:val="0"/>
        <w:pageBreakBefore w:val="0"/>
        <w:kinsoku/>
        <w:wordWrap/>
        <w:overflowPunct/>
        <w:topLinePunct w:val="0"/>
        <w:bidi w:val="0"/>
        <w:adjustRightInd/>
        <w:snapToGrid/>
        <w:spacing w:line="360" w:lineRule="auto"/>
        <w:ind w:right="0"/>
        <w:jc w:val="center"/>
        <w:outlineLvl w:val="9"/>
        <w:rPr>
          <w:rFonts w:hint="eastAsia" w:ascii="宋体" w:hAnsi="宋体" w:eastAsia="宋体" w:cs="宋体"/>
          <w:color w:val="auto"/>
          <w:sz w:val="24"/>
          <w:szCs w:val="24"/>
        </w:rPr>
      </w:pPr>
      <w:bookmarkStart w:id="395" w:name="_Toc9360_WPSOffice_Level3"/>
      <w:bookmarkStart w:id="396" w:name="_Toc23997_WPSOffice_Level3"/>
      <w:r>
        <w:rPr>
          <w:rFonts w:hint="eastAsia" w:ascii="宋体" w:hAnsi="宋体" w:eastAsia="宋体" w:cs="宋体"/>
          <w:b/>
          <w:color w:val="auto"/>
          <w:sz w:val="24"/>
          <w:szCs w:val="24"/>
          <w:lang w:eastAsia="zh-CN"/>
        </w:rPr>
        <w:t>供应商资格证明文件</w:t>
      </w:r>
      <w:bookmarkEnd w:id="395"/>
      <w:bookmarkEnd w:id="396"/>
    </w:p>
    <w:p w14:paraId="3AACFD38">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资格证明材料包括：提供有效的营业执照、税务登记证、机构代码证或三证（五证）合一统一社会代码证及其他资格证明文件（扫描或复印件）。</w:t>
      </w:r>
    </w:p>
    <w:p w14:paraId="78B319A6">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2DDEDFC5">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2、根据采购项目内容，提供供应商的相关资质证书、许可证等。</w:t>
      </w:r>
    </w:p>
    <w:p w14:paraId="123316E9">
      <w:pPr>
        <w:keepNext w:val="0"/>
        <w:keepLines w:val="0"/>
        <w:pageBreakBefore w:val="0"/>
        <w:widowControl/>
        <w:kinsoku/>
        <w:wordWrap/>
        <w:overflowPunct/>
        <w:topLinePunct w:val="0"/>
        <w:bidi w:val="0"/>
        <w:adjustRightInd/>
        <w:snapToGrid/>
        <w:spacing w:line="360" w:lineRule="auto"/>
        <w:ind w:right="0"/>
        <w:outlineLvl w:val="9"/>
        <w:rPr>
          <w:rFonts w:hint="eastAsia" w:ascii="宋体" w:hAnsi="宋体" w:eastAsia="宋体" w:cs="宋体"/>
          <w:b/>
          <w:color w:val="auto"/>
          <w:sz w:val="24"/>
          <w:szCs w:val="24"/>
        </w:rPr>
      </w:pPr>
    </w:p>
    <w:p w14:paraId="6355142A">
      <w:pPr>
        <w:keepNext w:val="0"/>
        <w:keepLines w:val="0"/>
        <w:pageBreakBefore w:val="0"/>
        <w:kinsoku/>
        <w:wordWrap/>
        <w:overflowPunct/>
        <w:topLinePunct w:val="0"/>
        <w:bidi w:val="0"/>
        <w:adjustRightInd/>
        <w:snapToGrid/>
        <w:spacing w:line="360" w:lineRule="auto"/>
        <w:ind w:right="0"/>
        <w:rPr>
          <w:rFonts w:hint="eastAsia" w:ascii="宋体" w:hAnsi="宋体" w:eastAsia="宋体" w:cs="宋体"/>
          <w:b/>
          <w:color w:val="auto"/>
          <w:sz w:val="28"/>
          <w:szCs w:val="28"/>
          <w:lang w:eastAsia="zh-CN"/>
        </w:rPr>
      </w:pPr>
      <w:bookmarkStart w:id="397" w:name="_Toc5898"/>
      <w:bookmarkStart w:id="398" w:name="_Toc29082_WPSOffice_Level3"/>
      <w:bookmarkStart w:id="399" w:name="_Toc12925"/>
      <w:bookmarkStart w:id="400" w:name="_Toc7499_WPSOffice_Level3"/>
      <w:bookmarkStart w:id="401" w:name="_Toc6573"/>
      <w:r>
        <w:rPr>
          <w:rFonts w:hint="eastAsia" w:ascii="宋体" w:hAnsi="宋体" w:eastAsia="宋体" w:cs="宋体"/>
          <w:b/>
          <w:color w:val="auto"/>
          <w:sz w:val="28"/>
          <w:szCs w:val="28"/>
          <w:lang w:eastAsia="zh-CN"/>
        </w:rPr>
        <w:br w:type="page"/>
      </w:r>
    </w:p>
    <w:p w14:paraId="0C7FEEE6">
      <w:pPr>
        <w:keepNext w:val="0"/>
        <w:keepLines w:val="0"/>
        <w:pageBreakBefore w:val="0"/>
        <w:widowControl/>
        <w:kinsoku/>
        <w:wordWrap/>
        <w:overflowPunct/>
        <w:topLinePunct w:val="0"/>
        <w:bidi w:val="0"/>
        <w:adjustRightInd/>
        <w:snapToGrid/>
        <w:spacing w:line="360" w:lineRule="auto"/>
        <w:ind w:right="0"/>
        <w:outlineLvl w:val="1"/>
        <w:rPr>
          <w:rFonts w:hint="eastAsia" w:ascii="宋体" w:hAnsi="宋体" w:eastAsia="宋体" w:cs="宋体"/>
          <w:b/>
          <w:color w:val="auto"/>
          <w:sz w:val="28"/>
          <w:szCs w:val="28"/>
        </w:rPr>
      </w:pPr>
      <w:bookmarkStart w:id="402" w:name="_Toc26577"/>
      <w:r>
        <w:rPr>
          <w:rFonts w:hint="eastAsia" w:ascii="宋体" w:hAnsi="宋体" w:eastAsia="宋体" w:cs="宋体"/>
          <w:b/>
          <w:color w:val="auto"/>
          <w:sz w:val="28"/>
          <w:szCs w:val="28"/>
          <w:lang w:eastAsia="zh-CN"/>
        </w:rPr>
        <w:t>附件7：财务状况、缴纳税收和社会保障资金证明</w:t>
      </w:r>
      <w:bookmarkEnd w:id="397"/>
      <w:bookmarkEnd w:id="398"/>
      <w:bookmarkEnd w:id="399"/>
      <w:bookmarkEnd w:id="400"/>
      <w:bookmarkEnd w:id="401"/>
      <w:bookmarkEnd w:id="402"/>
    </w:p>
    <w:p w14:paraId="4860B16F">
      <w:pPr>
        <w:keepNext w:val="0"/>
        <w:keepLines w:val="0"/>
        <w:pageBreakBefore w:val="0"/>
        <w:kinsoku/>
        <w:wordWrap/>
        <w:overflowPunct/>
        <w:topLinePunct w:val="0"/>
        <w:bidi w:val="0"/>
        <w:adjustRightInd/>
        <w:snapToGrid/>
        <w:spacing w:line="360" w:lineRule="auto"/>
        <w:ind w:right="0"/>
        <w:jc w:val="center"/>
        <w:outlineLvl w:val="9"/>
        <w:rPr>
          <w:rFonts w:hint="eastAsia" w:ascii="宋体" w:hAnsi="宋体" w:eastAsia="宋体" w:cs="宋体"/>
          <w:b/>
          <w:color w:val="auto"/>
          <w:sz w:val="24"/>
          <w:szCs w:val="24"/>
        </w:rPr>
      </w:pPr>
      <w:bookmarkStart w:id="403" w:name="_Toc2355_WPSOffice_Level3"/>
      <w:bookmarkStart w:id="404" w:name="_Toc22184_WPSOffice_Level3"/>
      <w:r>
        <w:rPr>
          <w:rFonts w:hint="eastAsia" w:ascii="宋体" w:hAnsi="宋体" w:eastAsia="宋体" w:cs="宋体"/>
          <w:b/>
          <w:color w:val="auto"/>
          <w:sz w:val="24"/>
          <w:szCs w:val="24"/>
          <w:lang w:eastAsia="zh-CN"/>
        </w:rPr>
        <w:t>财务状况、缴纳税收和社会保障资金证明</w:t>
      </w:r>
      <w:bookmarkEnd w:id="403"/>
      <w:bookmarkEnd w:id="404"/>
    </w:p>
    <w:p w14:paraId="52150395">
      <w:pPr>
        <w:keepNext w:val="0"/>
        <w:keepLines w:val="0"/>
        <w:pageBreakBefore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按照《政府采购法》第22条规定提供以下相关材料</w:t>
      </w:r>
      <w:r>
        <w:rPr>
          <w:rFonts w:hint="eastAsia" w:ascii="宋体" w:hAnsi="宋体" w:eastAsia="宋体" w:cs="宋体"/>
          <w:color w:val="auto"/>
          <w:sz w:val="24"/>
          <w:szCs w:val="24"/>
          <w:lang w:eastAsia="zh-CN"/>
        </w:rPr>
        <w:t>：</w:t>
      </w:r>
    </w:p>
    <w:p w14:paraId="7E0A6579">
      <w:pPr>
        <w:wordWrap w:val="0"/>
        <w:spacing w:line="360" w:lineRule="auto"/>
        <w:ind w:firstLine="480"/>
        <w:rPr>
          <w:rFonts w:hint="eastAsia" w:ascii="宋体" w:hAnsi="宋体" w:eastAsia="宋体" w:cs="宋体"/>
          <w:color w:val="auto"/>
          <w:kern w:val="0"/>
          <w:sz w:val="24"/>
          <w:szCs w:val="24"/>
          <w:lang w:val="zh-CN"/>
        </w:rPr>
      </w:pPr>
      <w:r>
        <w:rPr>
          <w:rFonts w:hint="eastAsia" w:ascii="宋体" w:hAnsi="宋体" w:eastAsia="宋体" w:cs="宋体"/>
          <w:color w:val="auto"/>
          <w:sz w:val="24"/>
          <w:szCs w:val="24"/>
        </w:rPr>
        <w:t>1、供应商是法人的，提供20</w:t>
      </w:r>
      <w:r>
        <w:rPr>
          <w:rFonts w:hint="eastAsia" w:ascii="宋体" w:hAnsi="宋体" w:eastAsia="宋体" w:cs="宋体"/>
          <w:color w:val="auto"/>
          <w:sz w:val="24"/>
          <w:szCs w:val="24"/>
          <w:lang w:val="en-US" w:eastAsia="zh-CN"/>
        </w:rPr>
        <w:t>23</w:t>
      </w:r>
      <w:r>
        <w:rPr>
          <w:rFonts w:hint="eastAsia" w:ascii="宋体" w:hAnsi="宋体" w:eastAsia="宋体" w:cs="宋体"/>
          <w:color w:val="auto"/>
          <w:sz w:val="24"/>
          <w:szCs w:val="24"/>
        </w:rPr>
        <w:t>年度经审计的</w:t>
      </w:r>
      <w:r>
        <w:rPr>
          <w:rFonts w:hint="eastAsia" w:ascii="宋体" w:hAnsi="宋体" w:eastAsia="宋体" w:cs="宋体"/>
          <w:color w:val="auto"/>
          <w:sz w:val="24"/>
          <w:szCs w:val="24"/>
          <w:lang w:val="en-US" w:eastAsia="zh-CN"/>
        </w:rPr>
        <w:t>完整</w:t>
      </w:r>
      <w:r>
        <w:rPr>
          <w:rFonts w:hint="eastAsia" w:ascii="宋体" w:hAnsi="宋体" w:eastAsia="宋体" w:cs="宋体"/>
          <w:color w:val="auto"/>
          <w:sz w:val="24"/>
          <w:szCs w:val="24"/>
        </w:rPr>
        <w:t>财务状况报告，包括资产负债表、利润表、现金流量表及其附注，或其基本开户银行</w:t>
      </w:r>
      <w:r>
        <w:rPr>
          <w:rFonts w:hint="eastAsia" w:ascii="宋体" w:hAnsi="宋体" w:eastAsia="宋体" w:cs="宋体"/>
          <w:color w:val="auto"/>
          <w:sz w:val="24"/>
          <w:szCs w:val="24"/>
          <w:u w:val="none"/>
          <w:lang w:val="en-US" w:eastAsia="zh-CN"/>
        </w:rPr>
        <w:t>近三个月内</w:t>
      </w:r>
      <w:r>
        <w:rPr>
          <w:rFonts w:hint="eastAsia" w:ascii="宋体" w:hAnsi="宋体" w:eastAsia="宋体" w:cs="宋体"/>
          <w:color w:val="auto"/>
          <w:sz w:val="24"/>
          <w:szCs w:val="24"/>
        </w:rPr>
        <w:t>出具的资信证明；供应商是其他组织和自然人，没有经审计的财务报告，可以提供基本开户银行出具的资信证明</w:t>
      </w:r>
      <w:r>
        <w:rPr>
          <w:rFonts w:hint="eastAsia" w:ascii="宋体" w:hAnsi="宋体" w:eastAsia="宋体" w:cs="宋体"/>
          <w:color w:val="auto"/>
          <w:sz w:val="24"/>
          <w:lang w:val="zh-CN"/>
        </w:rPr>
        <w:t>（同时提供基本存款账户</w:t>
      </w:r>
      <w:r>
        <w:rPr>
          <w:rFonts w:hint="eastAsia" w:ascii="宋体" w:hAnsi="宋体" w:eastAsia="宋体" w:cs="宋体"/>
          <w:color w:val="auto"/>
          <w:sz w:val="24"/>
          <w:lang w:val="zh-CN" w:eastAsia="zh-CN"/>
        </w:rPr>
        <w:t>信息</w:t>
      </w:r>
      <w:r>
        <w:rPr>
          <w:rFonts w:hint="eastAsia" w:ascii="宋体" w:hAnsi="宋体" w:eastAsia="宋体" w:cs="宋体"/>
          <w:color w:val="auto"/>
          <w:sz w:val="24"/>
          <w:lang w:val="zh-CN"/>
        </w:rPr>
        <w:t>）。</w:t>
      </w:r>
    </w:p>
    <w:p w14:paraId="63A687A1">
      <w:pPr>
        <w:keepNext w:val="0"/>
        <w:keepLines w:val="0"/>
        <w:pageBreakBefore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zh-CN"/>
        </w:rPr>
        <w:t>2、近半年内</w:t>
      </w:r>
      <w:r>
        <w:rPr>
          <w:rFonts w:hint="eastAsia" w:ascii="宋体" w:hAnsi="宋体" w:eastAsia="宋体" w:cs="宋体"/>
          <w:color w:val="auto"/>
          <w:sz w:val="24"/>
          <w:szCs w:val="24"/>
          <w:lang w:val="en-US" w:eastAsia="zh-CN"/>
        </w:rPr>
        <w:t>至少1个月的</w:t>
      </w:r>
      <w:r>
        <w:rPr>
          <w:rFonts w:hint="eastAsia" w:ascii="宋体" w:hAnsi="宋体" w:eastAsia="宋体" w:cs="宋体"/>
          <w:color w:val="auto"/>
          <w:sz w:val="24"/>
          <w:szCs w:val="24"/>
          <w:lang w:val="zh-CN"/>
        </w:rPr>
        <w:t>依法缴纳税收和社会保障资金记录的证明材料；依法免税或不需要缴纳社会保障资金的投标人须提供相应文件证明其依法免税或不需要缴纳社会保障资金。</w:t>
      </w:r>
    </w:p>
    <w:p w14:paraId="33B0BA2B">
      <w:pPr>
        <w:keepNext w:val="0"/>
        <w:keepLines w:val="0"/>
        <w:pageBreakBefore w:val="0"/>
        <w:kinsoku/>
        <w:wordWrap/>
        <w:overflowPunct/>
        <w:topLinePunct w:val="0"/>
        <w:bidi w:val="0"/>
        <w:adjustRightInd/>
        <w:snapToGrid/>
        <w:spacing w:line="360" w:lineRule="auto"/>
        <w:ind w:right="0"/>
        <w:rPr>
          <w:rFonts w:hint="eastAsia" w:ascii="宋体" w:hAnsi="宋体" w:eastAsia="宋体" w:cs="宋体"/>
          <w:b/>
          <w:color w:val="auto"/>
          <w:sz w:val="28"/>
          <w:szCs w:val="28"/>
          <w:lang w:eastAsia="zh-CN"/>
        </w:rPr>
      </w:pPr>
      <w:bookmarkStart w:id="405" w:name="_Toc21984"/>
      <w:bookmarkStart w:id="406" w:name="_Toc16098"/>
      <w:bookmarkStart w:id="407" w:name="_Toc17387_WPSOffice_Level3"/>
      <w:bookmarkStart w:id="408" w:name="_Toc13266"/>
      <w:bookmarkStart w:id="409" w:name="_Toc22959_WPSOffice_Level3"/>
      <w:r>
        <w:rPr>
          <w:rFonts w:hint="eastAsia" w:ascii="宋体" w:hAnsi="宋体" w:eastAsia="宋体" w:cs="宋体"/>
          <w:b/>
          <w:color w:val="auto"/>
          <w:sz w:val="28"/>
          <w:szCs w:val="28"/>
          <w:lang w:eastAsia="zh-CN"/>
        </w:rPr>
        <w:br w:type="page"/>
      </w:r>
    </w:p>
    <w:p w14:paraId="712FF426">
      <w:pPr>
        <w:keepNext w:val="0"/>
        <w:keepLines w:val="0"/>
        <w:pageBreakBefore w:val="0"/>
        <w:widowControl/>
        <w:kinsoku/>
        <w:wordWrap/>
        <w:overflowPunct/>
        <w:topLinePunct w:val="0"/>
        <w:bidi w:val="0"/>
        <w:adjustRightInd/>
        <w:snapToGrid/>
        <w:spacing w:line="360" w:lineRule="auto"/>
        <w:ind w:right="0"/>
        <w:outlineLvl w:val="1"/>
        <w:rPr>
          <w:rFonts w:hint="eastAsia" w:ascii="宋体" w:hAnsi="宋体" w:eastAsia="宋体" w:cs="宋体"/>
          <w:b/>
          <w:color w:val="auto"/>
          <w:sz w:val="28"/>
          <w:szCs w:val="28"/>
          <w:lang w:eastAsia="zh-CN"/>
        </w:rPr>
      </w:pPr>
      <w:bookmarkStart w:id="410" w:name="_Toc18432"/>
      <w:r>
        <w:rPr>
          <w:rFonts w:hint="eastAsia" w:ascii="宋体" w:hAnsi="宋体" w:eastAsia="宋体" w:cs="宋体"/>
          <w:b/>
          <w:color w:val="auto"/>
          <w:sz w:val="28"/>
          <w:szCs w:val="28"/>
          <w:lang w:eastAsia="zh-CN"/>
        </w:rPr>
        <w:t>附件8：</w:t>
      </w:r>
      <w:bookmarkEnd w:id="405"/>
      <w:r>
        <w:rPr>
          <w:rFonts w:hint="eastAsia" w:ascii="宋体" w:hAnsi="宋体" w:eastAsia="宋体" w:cs="宋体"/>
          <w:b/>
          <w:color w:val="auto"/>
          <w:sz w:val="28"/>
          <w:szCs w:val="28"/>
          <w:lang w:eastAsia="zh-CN"/>
        </w:rPr>
        <w:t>无重大违法记录声明</w:t>
      </w:r>
      <w:bookmarkEnd w:id="406"/>
      <w:bookmarkEnd w:id="407"/>
      <w:bookmarkEnd w:id="410"/>
    </w:p>
    <w:p w14:paraId="1835D6A7">
      <w:pPr>
        <w:keepNext w:val="0"/>
        <w:keepLines w:val="0"/>
        <w:pageBreakBefore w:val="0"/>
        <w:kinsoku/>
        <w:wordWrap/>
        <w:overflowPunct/>
        <w:topLinePunct w:val="0"/>
        <w:bidi w:val="0"/>
        <w:adjustRightInd/>
        <w:snapToGrid/>
        <w:spacing w:line="360" w:lineRule="auto"/>
        <w:ind w:right="0"/>
        <w:jc w:val="center"/>
        <w:outlineLvl w:val="9"/>
        <w:rPr>
          <w:rFonts w:hint="eastAsia" w:ascii="宋体" w:hAnsi="宋体" w:eastAsia="宋体" w:cs="宋体"/>
          <w:b/>
          <w:bCs/>
          <w:color w:val="auto"/>
          <w:sz w:val="24"/>
          <w:szCs w:val="24"/>
        </w:rPr>
      </w:pPr>
      <w:bookmarkStart w:id="411" w:name="_Toc25610_WPSOffice_Level3"/>
      <w:r>
        <w:rPr>
          <w:rFonts w:hint="eastAsia" w:ascii="宋体" w:hAnsi="宋体" w:eastAsia="宋体" w:cs="宋体"/>
          <w:b/>
          <w:color w:val="auto"/>
          <w:sz w:val="24"/>
          <w:szCs w:val="24"/>
          <w:lang w:val="zh-CN" w:eastAsia="zh-CN"/>
        </w:rPr>
        <w:t>无重大违法记录声明</w:t>
      </w:r>
      <w:bookmarkEnd w:id="411"/>
    </w:p>
    <w:p w14:paraId="23AAB698">
      <w:pPr>
        <w:keepNext w:val="0"/>
        <w:keepLines w:val="0"/>
        <w:pageBreakBefore w:val="0"/>
        <w:widowControl w:val="0"/>
        <w:kinsoku/>
        <w:wordWrap/>
        <w:overflowPunct/>
        <w:topLinePunct w:val="0"/>
        <w:bidi w:val="0"/>
        <w:adjustRightInd/>
        <w:snapToGrid/>
        <w:spacing w:line="360" w:lineRule="auto"/>
        <w:ind w:right="0"/>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致：</w:t>
      </w:r>
      <w:r>
        <w:rPr>
          <w:rFonts w:hint="eastAsia" w:ascii="宋体" w:hAnsi="宋体" w:eastAsia="宋体" w:cs="宋体"/>
          <w:b/>
          <w:bCs/>
          <w:color w:val="auto"/>
          <w:sz w:val="24"/>
          <w:szCs w:val="24"/>
          <w:u w:val="none"/>
          <w:lang w:eastAsia="zh-CN"/>
        </w:rPr>
        <w:t>青海鼎钊招标代理有限公司</w:t>
      </w:r>
    </w:p>
    <w:p w14:paraId="702CE774">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rPr>
        <w:t>我单位参加本次政府采购项目活动前三年内，在经营活动中无重大违法活动记录，符合《政府采购法》规定的</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资格条</w:t>
      </w:r>
      <w:r>
        <w:rPr>
          <w:rFonts w:hint="eastAsia" w:ascii="宋体" w:hAnsi="宋体" w:eastAsia="宋体" w:cs="宋体"/>
          <w:color w:val="auto"/>
          <w:sz w:val="24"/>
          <w:szCs w:val="24"/>
          <w:shd w:val="clear" w:color="auto" w:fill="FFFFFF"/>
        </w:rPr>
        <w:t>件。我方对此声明负全部法律责任。</w:t>
      </w:r>
    </w:p>
    <w:p w14:paraId="6F3F1AFF">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特此声明。</w:t>
      </w:r>
    </w:p>
    <w:p w14:paraId="1A4E88F4">
      <w:pPr>
        <w:keepNext w:val="0"/>
        <w:keepLines w:val="0"/>
        <w:pageBreakBefore w:val="0"/>
        <w:widowControl w:val="0"/>
        <w:kinsoku/>
        <w:wordWrap/>
        <w:overflowPunct/>
        <w:topLinePunct w:val="0"/>
        <w:autoSpaceDE w:val="0"/>
        <w:autoSpaceDN w:val="0"/>
        <w:bidi w:val="0"/>
        <w:adjustRightInd/>
        <w:snapToGrid/>
        <w:spacing w:line="360" w:lineRule="auto"/>
        <w:ind w:right="0"/>
        <w:jc w:val="left"/>
        <w:textAlignment w:val="auto"/>
        <w:outlineLvl w:val="9"/>
        <w:rPr>
          <w:rFonts w:hint="eastAsia" w:ascii="宋体" w:hAnsi="宋体" w:eastAsia="宋体" w:cs="宋体"/>
          <w:color w:val="auto"/>
          <w:kern w:val="0"/>
          <w:sz w:val="24"/>
          <w:szCs w:val="24"/>
          <w:lang w:val="zh-CN"/>
        </w:rPr>
      </w:pPr>
    </w:p>
    <w:p w14:paraId="12EEBC9E">
      <w:pPr>
        <w:keepNext w:val="0"/>
        <w:keepLines w:val="0"/>
        <w:pageBreakBefore w:val="0"/>
        <w:widowControl w:val="0"/>
        <w:kinsoku/>
        <w:wordWrap/>
        <w:overflowPunct/>
        <w:topLinePunct w:val="0"/>
        <w:bidi w:val="0"/>
        <w:adjustRightInd/>
        <w:snapToGrid/>
        <w:spacing w:line="360" w:lineRule="auto"/>
        <w:ind w:right="0"/>
        <w:jc w:val="both"/>
        <w:textAlignment w:val="auto"/>
        <w:outlineLvl w:val="9"/>
        <w:rPr>
          <w:rFonts w:hint="eastAsia" w:ascii="宋体" w:hAnsi="宋体" w:eastAsia="宋体" w:cs="宋体"/>
          <w:b w:val="0"/>
          <w:bCs/>
          <w:color w:val="auto"/>
          <w:sz w:val="24"/>
          <w:szCs w:val="24"/>
          <w:lang w:val="en-US" w:eastAsia="zh-CN"/>
        </w:rPr>
      </w:pPr>
    </w:p>
    <w:p w14:paraId="7DFB2FD3">
      <w:pPr>
        <w:keepNext w:val="0"/>
        <w:keepLines w:val="0"/>
        <w:pageBreakBefore w:val="0"/>
        <w:widowControl w:val="0"/>
        <w:kinsoku/>
        <w:wordWrap/>
        <w:overflowPunct/>
        <w:topLinePunct w:val="0"/>
        <w:bidi w:val="0"/>
        <w:adjustRightInd/>
        <w:snapToGrid/>
        <w:spacing w:line="360" w:lineRule="auto"/>
        <w:ind w:right="0"/>
        <w:jc w:val="both"/>
        <w:textAlignment w:val="auto"/>
        <w:outlineLvl w:val="9"/>
        <w:rPr>
          <w:rFonts w:hint="eastAsia" w:ascii="宋体" w:hAnsi="宋体" w:eastAsia="宋体" w:cs="宋体"/>
          <w:b w:val="0"/>
          <w:bCs/>
          <w:color w:val="auto"/>
          <w:sz w:val="24"/>
          <w:szCs w:val="24"/>
          <w:lang w:val="en-US" w:eastAsia="zh-CN"/>
        </w:rPr>
      </w:pPr>
    </w:p>
    <w:p w14:paraId="148A2988">
      <w:pPr>
        <w:keepNext w:val="0"/>
        <w:keepLines w:val="0"/>
        <w:pageBreakBefore w:val="0"/>
        <w:kinsoku/>
        <w:wordWrap/>
        <w:overflowPunct/>
        <w:topLinePunct w:val="0"/>
        <w:autoSpaceDE/>
        <w:autoSpaceDN/>
        <w:bidi w:val="0"/>
        <w:adjustRightInd/>
        <w:snapToGrid/>
        <w:spacing w:line="360" w:lineRule="auto"/>
        <w:ind w:right="0" w:firstLine="480" w:firstLineChars="200"/>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eastAsia="zh-CN"/>
        </w:rPr>
        <w:t>单</w:t>
      </w:r>
      <w:r>
        <w:rPr>
          <w:rFonts w:hint="eastAsia" w:ascii="宋体" w:hAnsi="宋体" w:eastAsia="宋体" w:cs="宋体"/>
          <w:b w:val="0"/>
          <w:bCs/>
          <w:color w:val="auto"/>
          <w:sz w:val="24"/>
          <w:szCs w:val="24"/>
        </w:rPr>
        <w:t>位</w:t>
      </w:r>
      <w:r>
        <w:rPr>
          <w:rFonts w:hint="eastAsia" w:ascii="宋体" w:hAnsi="宋体" w:eastAsia="宋体" w:cs="宋体"/>
          <w:b w:val="0"/>
          <w:bCs/>
          <w:color w:val="auto"/>
          <w:sz w:val="24"/>
          <w:szCs w:val="24"/>
          <w:lang w:eastAsia="zh-CN"/>
        </w:rPr>
        <w:t>名称</w:t>
      </w:r>
      <w:r>
        <w:rPr>
          <w:rFonts w:hint="eastAsia" w:ascii="宋体" w:hAnsi="宋体" w:eastAsia="宋体" w:cs="宋体"/>
          <w:b w:val="0"/>
          <w:bCs/>
          <w:color w:val="auto"/>
          <w:sz w:val="24"/>
          <w:szCs w:val="24"/>
        </w:rPr>
        <w:t>：</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rPr>
        <w:t>（公章）</w:t>
      </w:r>
    </w:p>
    <w:p w14:paraId="28DD0D48">
      <w:pPr>
        <w:keepNext w:val="0"/>
        <w:keepLines w:val="0"/>
        <w:pageBreakBefore w:val="0"/>
        <w:kinsoku/>
        <w:wordWrap/>
        <w:overflowPunct/>
        <w:topLinePunct w:val="0"/>
        <w:autoSpaceDE/>
        <w:autoSpaceDN/>
        <w:bidi w:val="0"/>
        <w:adjustRightInd/>
        <w:snapToGrid/>
        <w:spacing w:line="360" w:lineRule="auto"/>
        <w:ind w:right="0" w:firstLine="480" w:firstLineChars="200"/>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法定代表人或委托代理人：</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rPr>
        <w:t>（签字或盖章）</w:t>
      </w:r>
    </w:p>
    <w:p w14:paraId="5BACB279">
      <w:pPr>
        <w:keepNext w:val="0"/>
        <w:keepLines w:val="0"/>
        <w:pageBreakBefore w:val="0"/>
        <w:widowControl w:val="0"/>
        <w:kinsoku/>
        <w:wordWrap/>
        <w:overflowPunct/>
        <w:topLinePunct w:val="0"/>
        <w:bidi w:val="0"/>
        <w:adjustRightInd/>
        <w:snapToGrid/>
        <w:spacing w:line="360" w:lineRule="auto"/>
        <w:ind w:right="0" w:firstLine="480" w:firstLineChars="200"/>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年   月 </w:t>
      </w: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 w:val="0"/>
          <w:bCs/>
          <w:color w:val="auto"/>
          <w:sz w:val="24"/>
          <w:szCs w:val="24"/>
        </w:rPr>
        <w:t xml:space="preserve"> 日</w:t>
      </w:r>
    </w:p>
    <w:p w14:paraId="7F403B6C">
      <w:pPr>
        <w:keepNext w:val="0"/>
        <w:keepLines w:val="0"/>
        <w:pageBreakBefore w:val="0"/>
        <w:widowControl w:val="0"/>
        <w:kinsoku/>
        <w:wordWrap/>
        <w:overflowPunct/>
        <w:topLinePunct w:val="0"/>
        <w:bidi w:val="0"/>
        <w:adjustRightInd/>
        <w:snapToGrid/>
        <w:spacing w:line="360" w:lineRule="auto"/>
        <w:ind w:right="0"/>
        <w:jc w:val="both"/>
        <w:textAlignment w:val="auto"/>
        <w:outlineLvl w:val="9"/>
        <w:rPr>
          <w:rFonts w:hint="eastAsia" w:ascii="宋体" w:hAnsi="宋体" w:eastAsia="宋体" w:cs="宋体"/>
          <w:b w:val="0"/>
          <w:bCs/>
          <w:color w:val="auto"/>
          <w:sz w:val="24"/>
          <w:szCs w:val="24"/>
        </w:rPr>
      </w:pPr>
    </w:p>
    <w:p w14:paraId="61404AD6">
      <w:pPr>
        <w:keepNext w:val="0"/>
        <w:keepLines w:val="0"/>
        <w:pageBreakBefore w:val="0"/>
        <w:kinsoku/>
        <w:wordWrap/>
        <w:overflowPunct/>
        <w:topLinePunct w:val="0"/>
        <w:bidi w:val="0"/>
        <w:adjustRightInd/>
        <w:snapToGrid/>
        <w:spacing w:line="360" w:lineRule="auto"/>
        <w:ind w:right="0"/>
        <w:rPr>
          <w:rFonts w:hint="eastAsia" w:ascii="宋体" w:hAnsi="宋体" w:eastAsia="宋体" w:cs="宋体"/>
          <w:b/>
          <w:color w:val="auto"/>
          <w:sz w:val="24"/>
          <w:szCs w:val="24"/>
          <w:lang w:eastAsia="zh-CN"/>
        </w:rPr>
      </w:pPr>
      <w:bookmarkStart w:id="412" w:name="_Toc132_WPSOffice_Level3"/>
      <w:bookmarkStart w:id="413" w:name="_Toc24810"/>
      <w:r>
        <w:rPr>
          <w:rFonts w:hint="eastAsia" w:ascii="宋体" w:hAnsi="宋体" w:eastAsia="宋体" w:cs="宋体"/>
          <w:b/>
          <w:color w:val="auto"/>
          <w:sz w:val="24"/>
          <w:szCs w:val="24"/>
          <w:lang w:eastAsia="zh-CN"/>
        </w:rPr>
        <w:br w:type="page"/>
      </w:r>
    </w:p>
    <w:p w14:paraId="7D4CE025">
      <w:pPr>
        <w:keepNext w:val="0"/>
        <w:keepLines w:val="0"/>
        <w:pageBreakBefore w:val="0"/>
        <w:widowControl/>
        <w:kinsoku/>
        <w:wordWrap/>
        <w:overflowPunct/>
        <w:topLinePunct w:val="0"/>
        <w:bidi w:val="0"/>
        <w:adjustRightInd/>
        <w:snapToGrid/>
        <w:spacing w:line="360" w:lineRule="auto"/>
        <w:ind w:right="0"/>
        <w:outlineLvl w:val="1"/>
        <w:rPr>
          <w:rFonts w:hint="eastAsia" w:ascii="宋体" w:hAnsi="宋体" w:eastAsia="宋体" w:cs="宋体"/>
          <w:color w:val="auto"/>
          <w:sz w:val="24"/>
          <w:szCs w:val="24"/>
          <w:lang w:val="zh-CN"/>
        </w:rPr>
      </w:pPr>
      <w:bookmarkStart w:id="414" w:name="_Toc30928"/>
      <w:r>
        <w:rPr>
          <w:rFonts w:hint="eastAsia" w:ascii="宋体" w:hAnsi="宋体" w:eastAsia="宋体" w:cs="宋体"/>
          <w:b/>
          <w:bCs w:val="0"/>
          <w:color w:val="auto"/>
          <w:kern w:val="2"/>
          <w:sz w:val="28"/>
          <w:szCs w:val="28"/>
          <w:lang w:val="en-US" w:eastAsia="zh-CN" w:bidi="ar-SA"/>
        </w:rPr>
        <w:t>附件9：谈判</w:t>
      </w:r>
      <w:r>
        <w:rPr>
          <w:rFonts w:hint="eastAsia" w:ascii="宋体" w:hAnsi="宋体" w:eastAsia="宋体" w:cs="宋体"/>
          <w:b/>
          <w:bCs w:val="0"/>
          <w:color w:val="auto"/>
          <w:kern w:val="2"/>
          <w:sz w:val="28"/>
          <w:szCs w:val="28"/>
          <w:lang w:val="zh-CN" w:eastAsia="zh-CN" w:bidi="ar-SA"/>
        </w:rPr>
        <w:t>保证金证明</w:t>
      </w:r>
      <w:bookmarkEnd w:id="408"/>
      <w:bookmarkEnd w:id="409"/>
      <w:bookmarkEnd w:id="412"/>
      <w:bookmarkEnd w:id="413"/>
      <w:bookmarkEnd w:id="414"/>
    </w:p>
    <w:p w14:paraId="71F1DCFA">
      <w:pPr>
        <w:keepNext w:val="0"/>
        <w:keepLines w:val="0"/>
        <w:pageBreakBefore w:val="0"/>
        <w:kinsoku/>
        <w:wordWrap/>
        <w:overflowPunct/>
        <w:topLinePunct w:val="0"/>
        <w:bidi w:val="0"/>
        <w:adjustRightInd/>
        <w:snapToGrid/>
        <w:spacing w:line="360" w:lineRule="auto"/>
        <w:ind w:right="0"/>
        <w:jc w:val="center"/>
        <w:outlineLvl w:val="9"/>
        <w:rPr>
          <w:rFonts w:hint="eastAsia" w:ascii="宋体" w:hAnsi="宋体" w:eastAsia="宋体" w:cs="宋体"/>
          <w:b/>
          <w:bCs/>
          <w:color w:val="auto"/>
          <w:kern w:val="0"/>
          <w:sz w:val="24"/>
          <w:szCs w:val="24"/>
          <w:lang w:val="zh-CN"/>
        </w:rPr>
      </w:pPr>
      <w:bookmarkStart w:id="415" w:name="_Toc27502_WPSOffice_Level3"/>
      <w:r>
        <w:rPr>
          <w:rFonts w:hint="eastAsia" w:ascii="宋体" w:hAnsi="宋体" w:eastAsia="宋体" w:cs="宋体"/>
          <w:b/>
          <w:color w:val="auto"/>
          <w:sz w:val="24"/>
          <w:szCs w:val="24"/>
          <w:lang w:val="zh-CN" w:eastAsia="zh-CN"/>
        </w:rPr>
        <w:t>谈判保证金证明</w:t>
      </w:r>
      <w:bookmarkEnd w:id="415"/>
    </w:p>
    <w:p w14:paraId="49CC0525">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outlineLvl w:val="9"/>
        <w:rPr>
          <w:rFonts w:hint="eastAsia" w:ascii="宋体" w:hAnsi="宋体" w:eastAsia="宋体" w:cs="宋体"/>
          <w:b/>
          <w:bCs/>
          <w:color w:val="auto"/>
          <w:kern w:val="0"/>
          <w:sz w:val="24"/>
          <w:szCs w:val="24"/>
          <w:lang w:val="zh-CN" w:eastAsia="zh-CN"/>
        </w:rPr>
      </w:pPr>
      <w:bookmarkStart w:id="416" w:name="_Toc12243_WPSOffice_Level2"/>
      <w:bookmarkStart w:id="417" w:name="_Toc21234_WPSOffice_Level2"/>
      <w:bookmarkStart w:id="418" w:name="_Toc1388_WPSOffice_Level2"/>
      <w:r>
        <w:rPr>
          <w:rFonts w:hint="eastAsia" w:ascii="宋体" w:hAnsi="宋体" w:eastAsia="宋体" w:cs="宋体"/>
          <w:b/>
          <w:bCs/>
          <w:color w:val="auto"/>
          <w:kern w:val="0"/>
          <w:sz w:val="24"/>
          <w:szCs w:val="24"/>
          <w:lang w:val="zh-CN"/>
        </w:rPr>
        <w:t>致：</w:t>
      </w:r>
      <w:bookmarkEnd w:id="416"/>
      <w:bookmarkEnd w:id="417"/>
      <w:bookmarkEnd w:id="418"/>
      <w:r>
        <w:rPr>
          <w:rFonts w:hint="eastAsia" w:ascii="宋体" w:hAnsi="宋体" w:eastAsia="宋体" w:cs="宋体"/>
          <w:b/>
          <w:bCs/>
          <w:color w:val="auto"/>
          <w:kern w:val="0"/>
          <w:sz w:val="24"/>
          <w:szCs w:val="24"/>
          <w:u w:val="none"/>
          <w:lang w:val="en-US" w:eastAsia="zh-CN"/>
        </w:rPr>
        <w:t>青海鼎钊招标代理有限公司</w:t>
      </w:r>
    </w:p>
    <w:p w14:paraId="4F89C00E">
      <w:pPr>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我方为</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lang w:val="zh-CN"/>
        </w:rPr>
        <w:t>（采购项目名称）项目（采购项目编号为：</w:t>
      </w:r>
      <w:r>
        <w:rPr>
          <w:rFonts w:hint="eastAsia" w:ascii="宋体" w:hAnsi="宋体" w:eastAsia="宋体" w:cs="宋体"/>
          <w:color w:val="auto"/>
          <w:kern w:val="0"/>
          <w:sz w:val="24"/>
          <w:szCs w:val="24"/>
          <w:u w:val="single"/>
          <w:lang w:val="zh-CN"/>
        </w:rPr>
        <w:t xml:space="preserve">        </w:t>
      </w:r>
      <w:r>
        <w:rPr>
          <w:rFonts w:hint="eastAsia" w:ascii="宋体" w:hAnsi="宋体" w:eastAsia="宋体" w:cs="宋体"/>
          <w:color w:val="auto"/>
          <w:kern w:val="0"/>
          <w:sz w:val="24"/>
          <w:szCs w:val="24"/>
          <w:lang w:val="zh-CN"/>
        </w:rPr>
        <w:t xml:space="preserve">）递交保证金人民币 </w:t>
      </w:r>
      <w:r>
        <w:rPr>
          <w:rFonts w:hint="eastAsia" w:ascii="宋体" w:hAnsi="宋体" w:eastAsia="宋体" w:cs="宋体"/>
          <w:color w:val="auto"/>
          <w:kern w:val="0"/>
          <w:sz w:val="24"/>
          <w:szCs w:val="24"/>
          <w:u w:val="single"/>
          <w:lang w:val="zh-CN"/>
        </w:rPr>
        <w:t xml:space="preserve">      </w:t>
      </w:r>
      <w:r>
        <w:rPr>
          <w:rFonts w:hint="eastAsia" w:ascii="宋体" w:hAnsi="宋体" w:eastAsia="宋体" w:cs="宋体"/>
          <w:color w:val="auto"/>
          <w:kern w:val="0"/>
          <w:sz w:val="24"/>
          <w:szCs w:val="24"/>
          <w:lang w:val="zh-CN"/>
        </w:rPr>
        <w:t>（大写：人民币</w:t>
      </w:r>
      <w:r>
        <w:rPr>
          <w:rFonts w:hint="eastAsia" w:ascii="宋体" w:hAnsi="宋体" w:eastAsia="宋体" w:cs="宋体"/>
          <w:color w:val="auto"/>
          <w:kern w:val="0"/>
          <w:sz w:val="24"/>
          <w:szCs w:val="24"/>
          <w:u w:val="single"/>
          <w:lang w:val="zh-CN"/>
        </w:rPr>
        <w:t xml:space="preserve">        </w:t>
      </w:r>
      <w:r>
        <w:rPr>
          <w:rFonts w:hint="eastAsia" w:ascii="宋体" w:hAnsi="宋体" w:eastAsia="宋体" w:cs="宋体"/>
          <w:color w:val="auto"/>
          <w:kern w:val="0"/>
          <w:sz w:val="24"/>
          <w:szCs w:val="24"/>
          <w:lang w:val="zh-CN"/>
        </w:rPr>
        <w:t>元）已于</w:t>
      </w:r>
      <w:r>
        <w:rPr>
          <w:rFonts w:hint="eastAsia" w:ascii="宋体" w:hAnsi="宋体" w:eastAsia="宋体" w:cs="宋体"/>
          <w:color w:val="auto"/>
          <w:kern w:val="0"/>
          <w:sz w:val="24"/>
          <w:szCs w:val="24"/>
          <w:u w:val="single"/>
          <w:lang w:val="zh-CN"/>
        </w:rPr>
        <w:t xml:space="preserve">     </w:t>
      </w:r>
      <w:r>
        <w:rPr>
          <w:rFonts w:hint="eastAsia" w:ascii="宋体" w:hAnsi="宋体" w:eastAsia="宋体" w:cs="宋体"/>
          <w:color w:val="auto"/>
          <w:kern w:val="0"/>
          <w:sz w:val="24"/>
          <w:szCs w:val="24"/>
          <w:lang w:val="zh-CN"/>
        </w:rPr>
        <w:t>年</w:t>
      </w:r>
      <w:r>
        <w:rPr>
          <w:rFonts w:hint="eastAsia" w:ascii="宋体" w:hAnsi="宋体" w:eastAsia="宋体" w:cs="宋体"/>
          <w:color w:val="auto"/>
          <w:kern w:val="0"/>
          <w:sz w:val="24"/>
          <w:szCs w:val="24"/>
          <w:u w:val="single"/>
          <w:lang w:val="zh-CN"/>
        </w:rPr>
        <w:t xml:space="preserve">    </w:t>
      </w:r>
      <w:r>
        <w:rPr>
          <w:rFonts w:hint="eastAsia" w:ascii="宋体" w:hAnsi="宋体" w:eastAsia="宋体" w:cs="宋体"/>
          <w:color w:val="auto"/>
          <w:kern w:val="0"/>
          <w:sz w:val="24"/>
          <w:szCs w:val="24"/>
          <w:lang w:val="zh-CN"/>
        </w:rPr>
        <w:t>月</w:t>
      </w:r>
      <w:r>
        <w:rPr>
          <w:rFonts w:hint="eastAsia" w:ascii="宋体" w:hAnsi="宋体" w:eastAsia="宋体" w:cs="宋体"/>
          <w:color w:val="auto"/>
          <w:kern w:val="0"/>
          <w:sz w:val="24"/>
          <w:szCs w:val="24"/>
          <w:u w:val="single"/>
          <w:lang w:val="zh-CN"/>
        </w:rPr>
        <w:t xml:space="preserve">    </w:t>
      </w:r>
      <w:r>
        <w:rPr>
          <w:rFonts w:hint="eastAsia" w:ascii="宋体" w:hAnsi="宋体" w:eastAsia="宋体" w:cs="宋体"/>
          <w:color w:val="auto"/>
          <w:kern w:val="0"/>
          <w:sz w:val="24"/>
          <w:szCs w:val="24"/>
          <w:lang w:val="zh-CN"/>
        </w:rPr>
        <w:t>日以转账方式汇入你方账户。</w:t>
      </w:r>
    </w:p>
    <w:p w14:paraId="2C65AD73">
      <w:pPr>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附</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保证金交款证明复印件（加盖公章）</w:t>
      </w:r>
    </w:p>
    <w:p w14:paraId="0F0E131E">
      <w:pPr>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退还保证金时请按以下内容汇入至我方账户（同递交保证金账户）。若因提供内容不全、错误等原因导致该项目保证金未能及时退还或退还过程中发生错误，我方将承担全部责任和损失。</w:t>
      </w:r>
    </w:p>
    <w:p w14:paraId="1C8499D9">
      <w:pPr>
        <w:keepNext w:val="0"/>
        <w:keepLines w:val="0"/>
        <w:pageBreakBefore w:val="0"/>
        <w:widowControl w:val="0"/>
        <w:kinsoku/>
        <w:wordWrap/>
        <w:overflowPunct/>
        <w:topLinePunct w:val="0"/>
        <w:autoSpaceDE w:val="0"/>
        <w:autoSpaceDN w:val="0"/>
        <w:bidi w:val="0"/>
        <w:adjustRightInd/>
        <w:snapToGrid/>
        <w:spacing w:line="360" w:lineRule="auto"/>
        <w:ind w:right="0" w:firstLine="360"/>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户    名：</w:t>
      </w:r>
    </w:p>
    <w:p w14:paraId="21F7D89C">
      <w:pPr>
        <w:keepNext w:val="0"/>
        <w:keepLines w:val="0"/>
        <w:pageBreakBefore w:val="0"/>
        <w:widowControl w:val="0"/>
        <w:kinsoku/>
        <w:wordWrap/>
        <w:overflowPunct/>
        <w:topLinePunct w:val="0"/>
        <w:autoSpaceDE w:val="0"/>
        <w:autoSpaceDN w:val="0"/>
        <w:bidi w:val="0"/>
        <w:adjustRightInd/>
        <w:snapToGrid/>
        <w:spacing w:line="360" w:lineRule="auto"/>
        <w:ind w:right="0" w:firstLine="360"/>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开户银行：</w:t>
      </w:r>
    </w:p>
    <w:p w14:paraId="5A9D9348">
      <w:pPr>
        <w:keepNext w:val="0"/>
        <w:keepLines w:val="0"/>
        <w:pageBreakBefore w:val="0"/>
        <w:widowControl w:val="0"/>
        <w:kinsoku/>
        <w:wordWrap/>
        <w:overflowPunct/>
        <w:topLinePunct w:val="0"/>
        <w:autoSpaceDE w:val="0"/>
        <w:autoSpaceDN w:val="0"/>
        <w:bidi w:val="0"/>
        <w:adjustRightInd/>
        <w:snapToGrid/>
        <w:spacing w:line="360" w:lineRule="auto"/>
        <w:ind w:right="0" w:firstLine="360"/>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开户帐号：</w:t>
      </w:r>
    </w:p>
    <w:p w14:paraId="5C780310">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outlineLvl w:val="9"/>
        <w:rPr>
          <w:rFonts w:hint="eastAsia" w:ascii="宋体" w:hAnsi="宋体" w:eastAsia="宋体" w:cs="宋体"/>
          <w:color w:val="auto"/>
          <w:kern w:val="0"/>
          <w:sz w:val="24"/>
          <w:szCs w:val="24"/>
          <w:lang w:val="zh-CN"/>
        </w:rPr>
      </w:pPr>
    </w:p>
    <w:p w14:paraId="3D8DF149">
      <w:pPr>
        <w:keepNext w:val="0"/>
        <w:keepLines w:val="0"/>
        <w:pageBreakBefore w:val="0"/>
        <w:kinsoku/>
        <w:wordWrap/>
        <w:overflowPunct/>
        <w:topLinePunct w:val="0"/>
        <w:autoSpaceDE/>
        <w:autoSpaceDN/>
        <w:bidi w:val="0"/>
        <w:adjustRightInd/>
        <w:snapToGrid/>
        <w:spacing w:line="360" w:lineRule="auto"/>
        <w:ind w:right="0" w:firstLine="480" w:firstLineChars="200"/>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eastAsia="zh-CN"/>
        </w:rPr>
        <w:t>单</w:t>
      </w:r>
      <w:r>
        <w:rPr>
          <w:rFonts w:hint="eastAsia" w:ascii="宋体" w:hAnsi="宋体" w:eastAsia="宋体" w:cs="宋体"/>
          <w:b w:val="0"/>
          <w:bCs/>
          <w:color w:val="auto"/>
          <w:sz w:val="24"/>
          <w:szCs w:val="24"/>
        </w:rPr>
        <w:t>位</w:t>
      </w:r>
      <w:r>
        <w:rPr>
          <w:rFonts w:hint="eastAsia" w:ascii="宋体" w:hAnsi="宋体" w:eastAsia="宋体" w:cs="宋体"/>
          <w:b w:val="0"/>
          <w:bCs/>
          <w:color w:val="auto"/>
          <w:sz w:val="24"/>
          <w:szCs w:val="24"/>
          <w:lang w:eastAsia="zh-CN"/>
        </w:rPr>
        <w:t>名称</w:t>
      </w:r>
      <w:r>
        <w:rPr>
          <w:rFonts w:hint="eastAsia" w:ascii="宋体" w:hAnsi="宋体" w:eastAsia="宋体" w:cs="宋体"/>
          <w:b w:val="0"/>
          <w:bCs/>
          <w:color w:val="auto"/>
          <w:sz w:val="24"/>
          <w:szCs w:val="24"/>
        </w:rPr>
        <w:t>：</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rPr>
        <w:t>（公章）</w:t>
      </w:r>
    </w:p>
    <w:p w14:paraId="7C3C24D5">
      <w:pPr>
        <w:keepNext w:val="0"/>
        <w:keepLines w:val="0"/>
        <w:pageBreakBefore w:val="0"/>
        <w:kinsoku/>
        <w:wordWrap/>
        <w:overflowPunct/>
        <w:topLinePunct w:val="0"/>
        <w:autoSpaceDE/>
        <w:autoSpaceDN/>
        <w:bidi w:val="0"/>
        <w:adjustRightInd/>
        <w:snapToGrid/>
        <w:spacing w:line="360" w:lineRule="auto"/>
        <w:ind w:right="0" w:firstLine="480" w:firstLineChars="200"/>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法定代表人或委托代理人：</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rPr>
        <w:t>（签字或盖章）</w:t>
      </w:r>
    </w:p>
    <w:p w14:paraId="70A68954">
      <w:pPr>
        <w:keepNext w:val="0"/>
        <w:keepLines w:val="0"/>
        <w:pageBreakBefore w:val="0"/>
        <w:widowControl w:val="0"/>
        <w:kinsoku/>
        <w:wordWrap/>
        <w:overflowPunct/>
        <w:topLinePunct w:val="0"/>
        <w:bidi w:val="0"/>
        <w:adjustRightInd/>
        <w:snapToGrid/>
        <w:spacing w:line="360" w:lineRule="auto"/>
        <w:ind w:right="0" w:firstLine="480" w:firstLineChars="200"/>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年   月 </w:t>
      </w: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 w:val="0"/>
          <w:bCs/>
          <w:color w:val="auto"/>
          <w:sz w:val="24"/>
          <w:szCs w:val="24"/>
        </w:rPr>
        <w:t xml:space="preserve"> 日</w:t>
      </w:r>
    </w:p>
    <w:p w14:paraId="1B8BD8E1">
      <w:pPr>
        <w:keepNext w:val="0"/>
        <w:keepLines w:val="0"/>
        <w:pageBreakBefore w:val="0"/>
        <w:kinsoku/>
        <w:wordWrap/>
        <w:overflowPunct/>
        <w:topLinePunct w:val="0"/>
        <w:autoSpaceDE w:val="0"/>
        <w:autoSpaceDN w:val="0"/>
        <w:bidi w:val="0"/>
        <w:adjustRightInd/>
        <w:snapToGrid/>
        <w:spacing w:line="360" w:lineRule="auto"/>
        <w:ind w:right="0"/>
        <w:outlineLvl w:val="9"/>
        <w:rPr>
          <w:rFonts w:hint="eastAsia" w:ascii="宋体" w:hAnsi="宋体" w:eastAsia="宋体" w:cs="宋体"/>
          <w:b/>
          <w:bCs/>
          <w:color w:val="auto"/>
          <w:kern w:val="0"/>
          <w:lang w:val="zh-CN"/>
        </w:rPr>
      </w:pPr>
    </w:p>
    <w:p w14:paraId="1FB003FE">
      <w:pPr>
        <w:keepNext w:val="0"/>
        <w:keepLines w:val="0"/>
        <w:pageBreakBefore w:val="0"/>
        <w:widowControl w:val="0"/>
        <w:kinsoku/>
        <w:wordWrap/>
        <w:overflowPunct/>
        <w:topLinePunct w:val="0"/>
        <w:autoSpaceDE/>
        <w:autoSpaceDN/>
        <w:bidi w:val="0"/>
        <w:adjustRightInd/>
        <w:snapToGrid/>
        <w:spacing w:before="157" w:beforeLines="50" w:line="560" w:lineRule="exact"/>
        <w:ind w:firstLine="0" w:firstLineChars="0"/>
        <w:jc w:val="center"/>
        <w:textAlignment w:val="auto"/>
        <w:outlineLvl w:val="9"/>
        <w:rPr>
          <w:rFonts w:hint="eastAsia" w:ascii="宋体" w:hAnsi="宋体" w:eastAsia="宋体" w:cs="宋体"/>
          <w:b/>
          <w:color w:val="auto"/>
          <w:sz w:val="44"/>
          <w:szCs w:val="44"/>
        </w:rPr>
      </w:pPr>
      <w:r>
        <w:rPr>
          <w:rFonts w:hint="eastAsia" w:ascii="宋体" w:hAnsi="宋体" w:eastAsia="宋体" w:cs="宋体"/>
          <w:color w:val="auto"/>
          <w:kern w:val="0"/>
          <w:lang w:val="zh-CN"/>
        </w:rPr>
        <w:br w:type="page"/>
      </w:r>
      <w:bookmarkStart w:id="419" w:name="_Toc24560_WPSOffice_Level2"/>
      <w:bookmarkStart w:id="420" w:name="_Toc20688_WPSOffice_Level2"/>
      <w:r>
        <w:rPr>
          <w:rFonts w:hint="eastAsia" w:ascii="宋体" w:hAnsi="宋体" w:eastAsia="宋体" w:cs="宋体"/>
          <w:b/>
          <w:color w:val="auto"/>
          <w:sz w:val="44"/>
          <w:szCs w:val="44"/>
        </w:rPr>
        <w:t>青海省政府采购项目</w:t>
      </w:r>
      <w:bookmarkEnd w:id="419"/>
      <w:bookmarkEnd w:id="420"/>
    </w:p>
    <w:p w14:paraId="43B9ED67">
      <w:pPr>
        <w:keepNext w:val="0"/>
        <w:keepLines w:val="0"/>
        <w:pageBreakBefore w:val="0"/>
        <w:widowControl w:val="0"/>
        <w:kinsoku/>
        <w:wordWrap/>
        <w:overflowPunct/>
        <w:topLinePunct w:val="0"/>
        <w:autoSpaceDE/>
        <w:autoSpaceDN/>
        <w:bidi w:val="0"/>
        <w:adjustRightInd/>
        <w:snapToGrid/>
        <w:spacing w:before="157" w:beforeLines="50" w:line="560" w:lineRule="exact"/>
        <w:ind w:firstLine="0" w:firstLineChars="0"/>
        <w:jc w:val="center"/>
        <w:textAlignment w:val="auto"/>
        <w:outlineLvl w:val="9"/>
        <w:rPr>
          <w:rFonts w:hint="eastAsia" w:ascii="宋体" w:hAnsi="宋体" w:eastAsia="宋体" w:cs="宋体"/>
          <w:b/>
          <w:color w:val="auto"/>
          <w:sz w:val="44"/>
          <w:szCs w:val="44"/>
          <w:lang w:eastAsia="zh-CN"/>
        </w:rPr>
      </w:pPr>
      <w:r>
        <w:rPr>
          <w:rFonts w:hint="eastAsia" w:ascii="宋体" w:hAnsi="宋体" w:eastAsia="宋体" w:cs="宋体"/>
          <w:b/>
          <w:color w:val="auto"/>
          <w:sz w:val="44"/>
          <w:szCs w:val="44"/>
          <w:lang w:eastAsia="zh-CN"/>
        </w:rPr>
        <w:t>响应文件</w:t>
      </w:r>
    </w:p>
    <w:p w14:paraId="01DCA908">
      <w:pPr>
        <w:wordWrap/>
        <w:adjustRightInd w:val="0"/>
        <w:spacing w:before="157" w:beforeLines="50" w:line="560" w:lineRule="exact"/>
        <w:jc w:val="center"/>
        <w:textAlignment w:val="baseline"/>
        <w:outlineLvl w:val="9"/>
        <w:rPr>
          <w:rFonts w:hint="eastAsia" w:ascii="宋体" w:hAnsi="宋体" w:eastAsia="宋体" w:cs="宋体"/>
          <w:b/>
          <w:bCs/>
          <w:color w:val="auto"/>
          <w:sz w:val="32"/>
          <w:szCs w:val="32"/>
        </w:rPr>
      </w:pPr>
      <w:bookmarkStart w:id="421" w:name="_Toc5068_WPSOffice_Level2"/>
      <w:bookmarkStart w:id="422" w:name="_Toc24224_WPSOffice_Level2"/>
      <w:r>
        <w:rPr>
          <w:rFonts w:hint="eastAsia" w:ascii="宋体" w:hAnsi="宋体" w:eastAsia="宋体" w:cs="宋体"/>
          <w:b/>
          <w:bCs/>
          <w:color w:val="auto"/>
          <w:sz w:val="32"/>
          <w:szCs w:val="32"/>
        </w:rPr>
        <w:t>（</w:t>
      </w:r>
      <w:r>
        <w:rPr>
          <w:rFonts w:hint="eastAsia" w:ascii="宋体" w:hAnsi="宋体" w:eastAsia="宋体" w:cs="宋体"/>
          <w:b w:val="0"/>
          <w:bCs w:val="0"/>
          <w:color w:val="auto"/>
          <w:kern w:val="2"/>
          <w:sz w:val="32"/>
          <w:szCs w:val="32"/>
          <w:lang w:val="en-US" w:eastAsia="zh-CN" w:bidi="ar-SA"/>
        </w:rPr>
        <w:t>有效性、完整性、响应程度审查部分</w:t>
      </w:r>
      <w:r>
        <w:rPr>
          <w:rFonts w:hint="eastAsia" w:ascii="宋体" w:hAnsi="宋体" w:eastAsia="宋体" w:cs="宋体"/>
          <w:b/>
          <w:bCs/>
          <w:color w:val="auto"/>
          <w:sz w:val="32"/>
          <w:szCs w:val="32"/>
        </w:rPr>
        <w:t>）</w:t>
      </w:r>
      <w:bookmarkEnd w:id="421"/>
      <w:bookmarkEnd w:id="422"/>
    </w:p>
    <w:p w14:paraId="5270435B">
      <w:pPr>
        <w:wordWrap/>
        <w:adjustRightInd w:val="0"/>
        <w:spacing w:before="157" w:beforeLines="50" w:line="560" w:lineRule="exact"/>
        <w:textAlignment w:val="baseline"/>
        <w:outlineLvl w:val="9"/>
        <w:rPr>
          <w:rFonts w:hint="eastAsia" w:ascii="宋体" w:hAnsi="宋体" w:eastAsia="宋体" w:cs="宋体"/>
          <w:b/>
          <w:bCs/>
          <w:color w:val="auto"/>
          <w:sz w:val="32"/>
          <w:szCs w:val="32"/>
        </w:rPr>
      </w:pPr>
    </w:p>
    <w:p w14:paraId="682F9219">
      <w:pPr>
        <w:wordWrap/>
        <w:adjustRightInd w:val="0"/>
        <w:spacing w:before="157" w:beforeLines="50" w:line="560" w:lineRule="exact"/>
        <w:textAlignment w:val="baseline"/>
        <w:outlineLvl w:val="9"/>
        <w:rPr>
          <w:rFonts w:hint="eastAsia" w:ascii="宋体" w:hAnsi="宋体" w:eastAsia="宋体" w:cs="宋体"/>
          <w:b/>
          <w:bCs/>
          <w:color w:val="auto"/>
          <w:sz w:val="32"/>
          <w:szCs w:val="32"/>
        </w:rPr>
      </w:pPr>
    </w:p>
    <w:p w14:paraId="0D08C4CA">
      <w:pPr>
        <w:wordWrap/>
        <w:adjustRightInd w:val="0"/>
        <w:spacing w:before="157" w:beforeLines="50" w:line="560" w:lineRule="exact"/>
        <w:textAlignment w:val="baseline"/>
        <w:outlineLvl w:val="9"/>
        <w:rPr>
          <w:rFonts w:hint="eastAsia" w:ascii="宋体" w:hAnsi="宋体" w:eastAsia="宋体" w:cs="宋体"/>
          <w:b/>
          <w:bCs/>
          <w:color w:val="auto"/>
          <w:sz w:val="32"/>
          <w:szCs w:val="32"/>
        </w:rPr>
      </w:pPr>
    </w:p>
    <w:p w14:paraId="3A0CB650">
      <w:pPr>
        <w:wordWrap/>
        <w:adjustRightInd w:val="0"/>
        <w:spacing w:before="157" w:beforeLines="50" w:line="560" w:lineRule="exact"/>
        <w:textAlignment w:val="baseline"/>
        <w:outlineLvl w:val="9"/>
        <w:rPr>
          <w:rFonts w:hint="eastAsia" w:ascii="宋体" w:hAnsi="宋体" w:eastAsia="宋体" w:cs="宋体"/>
          <w:b/>
          <w:bCs/>
          <w:color w:val="auto"/>
          <w:sz w:val="32"/>
          <w:szCs w:val="32"/>
          <w:lang w:eastAsia="zh-CN"/>
        </w:rPr>
      </w:pPr>
      <w:bookmarkStart w:id="423" w:name="_Toc16258_WPSOffice_Level2"/>
      <w:bookmarkStart w:id="424" w:name="_Toc14028_WPSOffice_Level2"/>
      <w:r>
        <w:rPr>
          <w:rFonts w:hint="eastAsia" w:ascii="宋体" w:hAnsi="宋体" w:eastAsia="宋体" w:cs="宋体"/>
          <w:b/>
          <w:bCs/>
          <w:color w:val="auto"/>
          <w:sz w:val="32"/>
          <w:szCs w:val="32"/>
        </w:rPr>
        <w:t>采购项目编号:</w:t>
      </w:r>
      <w:bookmarkEnd w:id="423"/>
      <w:bookmarkEnd w:id="424"/>
    </w:p>
    <w:p w14:paraId="081A68A1">
      <w:pPr>
        <w:wordWrap/>
        <w:spacing w:before="157" w:beforeLines="50" w:line="560" w:lineRule="exact"/>
        <w:ind w:left="2530" w:hanging="2249" w:hangingChars="700"/>
        <w:jc w:val="left"/>
        <w:outlineLvl w:val="9"/>
        <w:rPr>
          <w:rFonts w:hint="eastAsia" w:ascii="宋体" w:hAnsi="宋体" w:eastAsia="宋体" w:cs="宋体"/>
          <w:b/>
          <w:bCs/>
          <w:color w:val="auto"/>
          <w:sz w:val="32"/>
          <w:szCs w:val="32"/>
        </w:rPr>
      </w:pPr>
      <w:bookmarkStart w:id="425" w:name="_Toc25982_WPSOffice_Level2"/>
      <w:bookmarkStart w:id="426" w:name="_Toc173_WPSOffice_Level2"/>
      <w:r>
        <w:rPr>
          <w:rFonts w:hint="eastAsia" w:ascii="宋体" w:hAnsi="宋体" w:eastAsia="宋体" w:cs="宋体"/>
          <w:b/>
          <w:bCs/>
          <w:color w:val="auto"/>
          <w:sz w:val="32"/>
          <w:szCs w:val="32"/>
        </w:rPr>
        <w:t>采购项目名称:</w:t>
      </w:r>
      <w:bookmarkEnd w:id="425"/>
      <w:bookmarkEnd w:id="426"/>
    </w:p>
    <w:p w14:paraId="352F6E2B">
      <w:pPr>
        <w:wordWrap/>
        <w:spacing w:before="157" w:beforeLines="50" w:line="560" w:lineRule="exact"/>
        <w:ind w:left="2530" w:hanging="2249" w:hangingChars="700"/>
        <w:jc w:val="left"/>
        <w:outlineLvl w:val="9"/>
        <w:rPr>
          <w:rFonts w:hint="eastAsia" w:ascii="宋体" w:hAnsi="宋体" w:eastAsia="宋体" w:cs="宋体"/>
          <w:b/>
          <w:bCs/>
          <w:color w:val="auto"/>
          <w:sz w:val="32"/>
          <w:szCs w:val="32"/>
          <w:lang w:eastAsia="zh-CN"/>
        </w:rPr>
      </w:pPr>
      <w:bookmarkStart w:id="427" w:name="_Toc19360_WPSOffice_Level2"/>
      <w:bookmarkStart w:id="428" w:name="_Toc24014_WPSOffice_Level2"/>
      <w:r>
        <w:rPr>
          <w:rFonts w:hint="eastAsia" w:ascii="宋体" w:hAnsi="宋体" w:eastAsia="宋体" w:cs="宋体"/>
          <w:b/>
          <w:bCs/>
          <w:color w:val="auto"/>
          <w:sz w:val="32"/>
          <w:szCs w:val="32"/>
          <w:lang w:eastAsia="zh-CN"/>
        </w:rPr>
        <w:t>供应商名称：</w:t>
      </w:r>
      <w:bookmarkEnd w:id="427"/>
      <w:bookmarkEnd w:id="428"/>
    </w:p>
    <w:p w14:paraId="278E3018">
      <w:pPr>
        <w:wordWrap/>
        <w:spacing w:before="157" w:beforeLines="50" w:line="560" w:lineRule="exact"/>
        <w:jc w:val="center"/>
        <w:outlineLvl w:val="9"/>
        <w:rPr>
          <w:rFonts w:hint="eastAsia" w:ascii="宋体" w:hAnsi="宋体" w:eastAsia="宋体" w:cs="宋体"/>
          <w:b/>
          <w:bCs/>
          <w:color w:val="auto"/>
          <w:sz w:val="32"/>
          <w:szCs w:val="32"/>
        </w:rPr>
      </w:pPr>
    </w:p>
    <w:p w14:paraId="63E9B348">
      <w:pPr>
        <w:wordWrap/>
        <w:spacing w:before="157" w:beforeLines="50" w:line="560" w:lineRule="exact"/>
        <w:jc w:val="center"/>
        <w:outlineLvl w:val="9"/>
        <w:rPr>
          <w:rFonts w:hint="eastAsia" w:ascii="宋体" w:hAnsi="宋体" w:eastAsia="宋体" w:cs="宋体"/>
          <w:b/>
          <w:color w:val="auto"/>
          <w:sz w:val="32"/>
          <w:szCs w:val="32"/>
        </w:rPr>
      </w:pPr>
      <w:bookmarkStart w:id="429" w:name="_Toc17697_WPSOffice_Level3"/>
      <w:r>
        <w:rPr>
          <w:rFonts w:hint="eastAsia" w:ascii="宋体" w:hAnsi="宋体" w:eastAsia="宋体" w:cs="宋体"/>
          <w:b/>
          <w:color w:val="auto"/>
          <w:sz w:val="32"/>
          <w:szCs w:val="32"/>
        </w:rPr>
        <w:t>年  月  日</w:t>
      </w:r>
      <w:bookmarkEnd w:id="429"/>
    </w:p>
    <w:p w14:paraId="58E4BE47">
      <w:pPr>
        <w:widowControl/>
        <w:wordWrap/>
        <w:snapToGrid w:val="0"/>
        <w:spacing w:before="157" w:beforeLines="50" w:line="560" w:lineRule="exact"/>
        <w:outlineLvl w:val="9"/>
        <w:rPr>
          <w:rFonts w:hint="eastAsia" w:ascii="宋体" w:hAnsi="宋体" w:eastAsia="宋体" w:cs="宋体"/>
          <w:b/>
          <w:color w:val="auto"/>
          <w:sz w:val="28"/>
          <w:szCs w:val="28"/>
        </w:rPr>
      </w:pPr>
    </w:p>
    <w:p w14:paraId="22A81E70">
      <w:pPr>
        <w:rPr>
          <w:rFonts w:hint="eastAsia" w:ascii="宋体" w:hAnsi="宋体" w:eastAsia="宋体" w:cs="宋体"/>
          <w:color w:val="auto"/>
        </w:rPr>
      </w:pPr>
      <w:r>
        <w:rPr>
          <w:rFonts w:hint="eastAsia" w:ascii="宋体" w:hAnsi="宋体" w:eastAsia="宋体" w:cs="宋体"/>
          <w:color w:val="auto"/>
          <w:kern w:val="0"/>
          <w:lang w:val="zh-CN"/>
        </w:rPr>
        <w:br w:type="page"/>
      </w:r>
    </w:p>
    <w:p w14:paraId="356A96F8">
      <w:pPr>
        <w:keepNext w:val="0"/>
        <w:keepLines w:val="0"/>
        <w:pageBreakBefore w:val="0"/>
        <w:widowControl/>
        <w:kinsoku/>
        <w:wordWrap/>
        <w:overflowPunct/>
        <w:topLinePunct w:val="0"/>
        <w:bidi w:val="0"/>
        <w:adjustRightInd/>
        <w:snapToGrid/>
        <w:spacing w:line="360" w:lineRule="auto"/>
        <w:ind w:left="0" w:leftChars="0"/>
        <w:outlineLvl w:val="1"/>
        <w:rPr>
          <w:rFonts w:hint="eastAsia" w:ascii="宋体" w:hAnsi="宋体" w:eastAsia="宋体" w:cs="宋体"/>
          <w:b/>
          <w:color w:val="auto"/>
          <w:sz w:val="24"/>
          <w:szCs w:val="24"/>
        </w:rPr>
      </w:pPr>
      <w:bookmarkStart w:id="430" w:name="_Toc28116"/>
      <w:bookmarkStart w:id="431" w:name="_Toc3360"/>
      <w:bookmarkStart w:id="432" w:name="_Toc2646_WPSOffice_Level3"/>
      <w:bookmarkStart w:id="433" w:name="_Toc18715"/>
      <w:bookmarkStart w:id="434" w:name="_Toc7156"/>
      <w:bookmarkStart w:id="435" w:name="_Toc13416_WPSOffice_Level3"/>
      <w:r>
        <w:rPr>
          <w:rFonts w:hint="eastAsia" w:ascii="宋体" w:hAnsi="宋体" w:eastAsia="宋体" w:cs="宋体"/>
          <w:b/>
          <w:bCs w:val="0"/>
          <w:color w:val="auto"/>
          <w:kern w:val="2"/>
          <w:sz w:val="24"/>
          <w:szCs w:val="24"/>
          <w:lang w:val="en-US" w:eastAsia="zh-CN" w:bidi="ar-SA"/>
        </w:rPr>
        <w:t>附件10：谈判首次报价表</w:t>
      </w:r>
      <w:bookmarkEnd w:id="430"/>
      <w:bookmarkEnd w:id="431"/>
      <w:bookmarkEnd w:id="432"/>
      <w:bookmarkEnd w:id="433"/>
      <w:bookmarkEnd w:id="434"/>
      <w:bookmarkEnd w:id="435"/>
    </w:p>
    <w:p w14:paraId="1235F86F">
      <w:pPr>
        <w:keepNext w:val="0"/>
        <w:keepLines w:val="0"/>
        <w:pageBreakBefore w:val="0"/>
        <w:kinsoku/>
        <w:wordWrap/>
        <w:overflowPunct/>
        <w:topLinePunct w:val="0"/>
        <w:bidi w:val="0"/>
        <w:adjustRightInd/>
        <w:snapToGrid/>
        <w:spacing w:line="360" w:lineRule="auto"/>
        <w:ind w:left="0" w:leftChars="0"/>
        <w:jc w:val="center"/>
        <w:outlineLvl w:val="9"/>
        <w:rPr>
          <w:rFonts w:hint="eastAsia" w:ascii="宋体" w:hAnsi="宋体" w:eastAsia="宋体" w:cs="宋体"/>
          <w:b/>
          <w:color w:val="auto"/>
          <w:sz w:val="24"/>
          <w:szCs w:val="24"/>
        </w:rPr>
      </w:pPr>
      <w:bookmarkStart w:id="436" w:name="_Toc17115_WPSOffice_Level3"/>
      <w:bookmarkStart w:id="437" w:name="_Toc8724_WPSOffice_Level1"/>
      <w:bookmarkStart w:id="438" w:name="_Toc17322_WPSOffice_Level1"/>
      <w:r>
        <w:rPr>
          <w:rFonts w:hint="eastAsia" w:ascii="宋体" w:hAnsi="宋体" w:eastAsia="宋体" w:cs="宋体"/>
          <w:b/>
          <w:color w:val="auto"/>
          <w:sz w:val="24"/>
          <w:szCs w:val="24"/>
          <w:lang w:val="zh-CN" w:eastAsia="zh-CN"/>
        </w:rPr>
        <w:t>谈判首次报价表</w:t>
      </w:r>
      <w:bookmarkEnd w:id="436"/>
      <w:bookmarkEnd w:id="437"/>
      <w:bookmarkEnd w:id="438"/>
    </w:p>
    <w:p w14:paraId="4F65FD34">
      <w:pPr>
        <w:keepNext w:val="0"/>
        <w:keepLines w:val="0"/>
        <w:pageBreakBefore w:val="0"/>
        <w:widowControl w:val="0"/>
        <w:kinsoku/>
        <w:wordWrap/>
        <w:overflowPunct/>
        <w:topLinePunct w:val="0"/>
        <w:bidi w:val="0"/>
        <w:adjustRightInd/>
        <w:snapToGrid/>
        <w:spacing w:line="360" w:lineRule="auto"/>
        <w:ind w:left="0" w:leftChars="0"/>
        <w:jc w:val="center"/>
        <w:outlineLvl w:val="9"/>
        <w:rPr>
          <w:rFonts w:hint="eastAsia" w:ascii="宋体" w:hAnsi="宋体" w:eastAsia="宋体" w:cs="宋体"/>
          <w:b w:val="0"/>
          <w:bCs/>
          <w:color w:val="auto"/>
          <w:sz w:val="24"/>
          <w:szCs w:val="24"/>
        </w:rPr>
      </w:pPr>
    </w:p>
    <w:p w14:paraId="2FFCF408">
      <w:pPr>
        <w:keepNext w:val="0"/>
        <w:keepLines w:val="0"/>
        <w:pageBreakBefore w:val="0"/>
        <w:widowControl w:val="0"/>
        <w:kinsoku/>
        <w:wordWrap/>
        <w:overflowPunct/>
        <w:topLinePunct w:val="0"/>
        <w:bidi w:val="0"/>
        <w:adjustRightInd/>
        <w:snapToGrid/>
        <w:spacing w:line="360" w:lineRule="auto"/>
        <w:ind w:left="0" w:leftChars="0"/>
        <w:jc w:val="left"/>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供应商名称</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 w:val="0"/>
          <w:bCs/>
          <w:color w:val="auto"/>
          <w:sz w:val="24"/>
          <w:szCs w:val="24"/>
        </w:rPr>
        <w:t>单位：人民币(元)</w:t>
      </w:r>
    </w:p>
    <w:tbl>
      <w:tblPr>
        <w:tblStyle w:val="18"/>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3"/>
        <w:gridCol w:w="3632"/>
        <w:gridCol w:w="2132"/>
        <w:gridCol w:w="1504"/>
      </w:tblGrid>
      <w:tr w14:paraId="4834A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1803" w:type="dxa"/>
            <w:vAlign w:val="center"/>
          </w:tcPr>
          <w:p w14:paraId="33831709">
            <w:pPr>
              <w:keepNext w:val="0"/>
              <w:keepLines w:val="0"/>
              <w:pageBreakBefore w:val="0"/>
              <w:widowControl w:val="0"/>
              <w:kinsoku/>
              <w:wordWrap/>
              <w:overflowPunct/>
              <w:topLinePunct w:val="0"/>
              <w:bidi w:val="0"/>
              <w:adjustRightInd/>
              <w:snapToGrid/>
              <w:spacing w:line="360" w:lineRule="auto"/>
              <w:ind w:left="0" w:leftChars="0"/>
              <w:jc w:val="center"/>
              <w:textAlignment w:val="baseline"/>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项目名称</w:t>
            </w:r>
          </w:p>
        </w:tc>
        <w:tc>
          <w:tcPr>
            <w:tcW w:w="3632" w:type="dxa"/>
            <w:vAlign w:val="center"/>
          </w:tcPr>
          <w:p w14:paraId="7259DA7B">
            <w:pPr>
              <w:keepNext w:val="0"/>
              <w:keepLines w:val="0"/>
              <w:pageBreakBefore w:val="0"/>
              <w:widowControl w:val="0"/>
              <w:kinsoku/>
              <w:wordWrap/>
              <w:overflowPunct/>
              <w:topLinePunct w:val="0"/>
              <w:bidi w:val="0"/>
              <w:adjustRightInd/>
              <w:snapToGrid/>
              <w:spacing w:line="360" w:lineRule="auto"/>
              <w:ind w:left="0" w:leftChars="0"/>
              <w:jc w:val="center"/>
              <w:textAlignment w:val="baseline"/>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eastAsia="zh-CN"/>
              </w:rPr>
              <w:t>首次</w:t>
            </w:r>
            <w:r>
              <w:rPr>
                <w:rFonts w:hint="eastAsia" w:ascii="宋体" w:hAnsi="宋体" w:eastAsia="宋体" w:cs="宋体"/>
                <w:b w:val="0"/>
                <w:bCs/>
                <w:color w:val="auto"/>
                <w:sz w:val="24"/>
                <w:szCs w:val="24"/>
              </w:rPr>
              <w:t>报价</w:t>
            </w:r>
          </w:p>
        </w:tc>
        <w:tc>
          <w:tcPr>
            <w:tcW w:w="2132" w:type="dxa"/>
            <w:vAlign w:val="center"/>
          </w:tcPr>
          <w:p w14:paraId="3161EB75">
            <w:pPr>
              <w:keepNext w:val="0"/>
              <w:keepLines w:val="0"/>
              <w:pageBreakBefore w:val="0"/>
              <w:widowControl w:val="0"/>
              <w:kinsoku/>
              <w:wordWrap/>
              <w:overflowPunct/>
              <w:topLinePunct w:val="0"/>
              <w:bidi w:val="0"/>
              <w:adjustRightInd/>
              <w:snapToGrid/>
              <w:spacing w:line="360" w:lineRule="auto"/>
              <w:ind w:left="0" w:leftChars="0"/>
              <w:jc w:val="center"/>
              <w:textAlignment w:val="baseline"/>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交货时间</w:t>
            </w:r>
          </w:p>
        </w:tc>
        <w:tc>
          <w:tcPr>
            <w:tcW w:w="1504" w:type="dxa"/>
            <w:vAlign w:val="center"/>
          </w:tcPr>
          <w:p w14:paraId="2770ADC7">
            <w:pPr>
              <w:keepNext w:val="0"/>
              <w:keepLines w:val="0"/>
              <w:pageBreakBefore w:val="0"/>
              <w:widowControl w:val="0"/>
              <w:kinsoku/>
              <w:wordWrap/>
              <w:overflowPunct/>
              <w:topLinePunct w:val="0"/>
              <w:bidi w:val="0"/>
              <w:adjustRightInd/>
              <w:snapToGrid/>
              <w:spacing w:line="360" w:lineRule="auto"/>
              <w:ind w:left="240" w:leftChars="0" w:hanging="240" w:hangingChars="100"/>
              <w:jc w:val="center"/>
              <w:textAlignment w:val="baseline"/>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免费质保期</w:t>
            </w:r>
          </w:p>
        </w:tc>
      </w:tr>
      <w:tr w14:paraId="547D5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1803" w:type="dxa"/>
            <w:vMerge w:val="restart"/>
            <w:vAlign w:val="center"/>
          </w:tcPr>
          <w:p w14:paraId="3B7F3227">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baseline"/>
              <w:outlineLvl w:val="9"/>
              <w:rPr>
                <w:rFonts w:hint="eastAsia" w:ascii="宋体" w:hAnsi="宋体" w:eastAsia="宋体" w:cs="宋体"/>
                <w:b w:val="0"/>
                <w:bCs/>
                <w:color w:val="auto"/>
                <w:sz w:val="24"/>
                <w:szCs w:val="24"/>
              </w:rPr>
            </w:pPr>
          </w:p>
        </w:tc>
        <w:tc>
          <w:tcPr>
            <w:tcW w:w="3632" w:type="dxa"/>
            <w:vAlign w:val="top"/>
          </w:tcPr>
          <w:p w14:paraId="63E62263">
            <w:pPr>
              <w:keepNext w:val="0"/>
              <w:keepLines w:val="0"/>
              <w:pageBreakBefore w:val="0"/>
              <w:widowControl w:val="0"/>
              <w:kinsoku/>
              <w:wordWrap/>
              <w:overflowPunct/>
              <w:topLinePunct w:val="0"/>
              <w:bidi w:val="0"/>
              <w:adjustRightInd/>
              <w:snapToGrid/>
              <w:spacing w:line="360" w:lineRule="auto"/>
              <w:ind w:left="0" w:leftChars="0"/>
              <w:textAlignment w:val="baseline"/>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大写：</w:t>
            </w:r>
          </w:p>
        </w:tc>
        <w:tc>
          <w:tcPr>
            <w:tcW w:w="2132" w:type="dxa"/>
            <w:vMerge w:val="restart"/>
            <w:vAlign w:val="center"/>
          </w:tcPr>
          <w:p w14:paraId="3344EBC9">
            <w:pPr>
              <w:keepNext w:val="0"/>
              <w:keepLines w:val="0"/>
              <w:pageBreakBefore w:val="0"/>
              <w:widowControl w:val="0"/>
              <w:kinsoku/>
              <w:wordWrap/>
              <w:overflowPunct/>
              <w:topLinePunct w:val="0"/>
              <w:bidi w:val="0"/>
              <w:adjustRightInd/>
              <w:snapToGrid/>
              <w:spacing w:line="360" w:lineRule="auto"/>
              <w:ind w:left="0" w:leftChars="0" w:firstLine="196" w:firstLineChars="82"/>
              <w:jc w:val="both"/>
              <w:textAlignment w:val="baseline"/>
              <w:outlineLvl w:val="9"/>
              <w:rPr>
                <w:rFonts w:hint="eastAsia" w:ascii="宋体" w:hAnsi="宋体" w:eastAsia="宋体" w:cs="宋体"/>
                <w:b w:val="0"/>
                <w:bCs/>
                <w:color w:val="auto"/>
                <w:sz w:val="24"/>
                <w:szCs w:val="24"/>
              </w:rPr>
            </w:pPr>
          </w:p>
        </w:tc>
        <w:tc>
          <w:tcPr>
            <w:tcW w:w="1504" w:type="dxa"/>
            <w:vMerge w:val="restart"/>
            <w:vAlign w:val="center"/>
          </w:tcPr>
          <w:p w14:paraId="7EA76F48">
            <w:pPr>
              <w:keepNext w:val="0"/>
              <w:keepLines w:val="0"/>
              <w:pageBreakBefore w:val="0"/>
              <w:widowControl w:val="0"/>
              <w:kinsoku/>
              <w:wordWrap/>
              <w:overflowPunct/>
              <w:topLinePunct w:val="0"/>
              <w:bidi w:val="0"/>
              <w:adjustRightInd/>
              <w:snapToGrid/>
              <w:spacing w:line="360" w:lineRule="auto"/>
              <w:ind w:left="0" w:leftChars="0"/>
              <w:jc w:val="both"/>
              <w:textAlignment w:val="baseline"/>
              <w:outlineLvl w:val="9"/>
              <w:rPr>
                <w:rFonts w:hint="eastAsia" w:ascii="宋体" w:hAnsi="宋体" w:eastAsia="宋体" w:cs="宋体"/>
                <w:b w:val="0"/>
                <w:bCs/>
                <w:color w:val="auto"/>
                <w:sz w:val="24"/>
                <w:szCs w:val="24"/>
              </w:rPr>
            </w:pPr>
          </w:p>
        </w:tc>
      </w:tr>
      <w:tr w14:paraId="190C0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1803" w:type="dxa"/>
            <w:vMerge w:val="continue"/>
            <w:vAlign w:val="center"/>
          </w:tcPr>
          <w:p w14:paraId="799255D4">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baseline"/>
              <w:outlineLvl w:val="9"/>
              <w:rPr>
                <w:rFonts w:hint="eastAsia" w:ascii="宋体" w:hAnsi="宋体" w:eastAsia="宋体" w:cs="宋体"/>
                <w:b w:val="0"/>
                <w:bCs/>
                <w:color w:val="auto"/>
                <w:sz w:val="24"/>
                <w:szCs w:val="24"/>
              </w:rPr>
            </w:pPr>
          </w:p>
        </w:tc>
        <w:tc>
          <w:tcPr>
            <w:tcW w:w="3632" w:type="dxa"/>
            <w:vAlign w:val="top"/>
          </w:tcPr>
          <w:p w14:paraId="7F70DA31">
            <w:pPr>
              <w:keepNext w:val="0"/>
              <w:keepLines w:val="0"/>
              <w:pageBreakBefore w:val="0"/>
              <w:widowControl w:val="0"/>
              <w:kinsoku/>
              <w:wordWrap/>
              <w:overflowPunct/>
              <w:topLinePunct w:val="0"/>
              <w:bidi w:val="0"/>
              <w:adjustRightInd/>
              <w:snapToGrid/>
              <w:spacing w:line="360" w:lineRule="auto"/>
              <w:ind w:left="0" w:leftChars="0"/>
              <w:textAlignment w:val="baseline"/>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小写：</w:t>
            </w:r>
          </w:p>
        </w:tc>
        <w:tc>
          <w:tcPr>
            <w:tcW w:w="2132" w:type="dxa"/>
            <w:vMerge w:val="continue"/>
            <w:vAlign w:val="top"/>
          </w:tcPr>
          <w:p w14:paraId="3381BF2A">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baseline"/>
              <w:outlineLvl w:val="9"/>
              <w:rPr>
                <w:rFonts w:hint="eastAsia" w:ascii="宋体" w:hAnsi="宋体" w:eastAsia="宋体" w:cs="宋体"/>
                <w:b w:val="0"/>
                <w:bCs/>
                <w:color w:val="auto"/>
                <w:sz w:val="24"/>
                <w:szCs w:val="24"/>
              </w:rPr>
            </w:pPr>
          </w:p>
        </w:tc>
        <w:tc>
          <w:tcPr>
            <w:tcW w:w="1504" w:type="dxa"/>
            <w:vMerge w:val="continue"/>
            <w:vAlign w:val="top"/>
          </w:tcPr>
          <w:p w14:paraId="7DD94A35">
            <w:pPr>
              <w:keepNext w:val="0"/>
              <w:keepLines w:val="0"/>
              <w:pageBreakBefore w:val="0"/>
              <w:widowControl w:val="0"/>
              <w:kinsoku/>
              <w:wordWrap/>
              <w:overflowPunct/>
              <w:topLinePunct w:val="0"/>
              <w:bidi w:val="0"/>
              <w:adjustRightInd/>
              <w:snapToGrid/>
              <w:spacing w:line="360" w:lineRule="auto"/>
              <w:ind w:left="0" w:leftChars="0"/>
              <w:textAlignment w:val="baseline"/>
              <w:outlineLvl w:val="9"/>
              <w:rPr>
                <w:rFonts w:hint="eastAsia" w:ascii="宋体" w:hAnsi="宋体" w:eastAsia="宋体" w:cs="宋体"/>
                <w:b w:val="0"/>
                <w:bCs/>
                <w:color w:val="auto"/>
                <w:sz w:val="24"/>
                <w:szCs w:val="24"/>
              </w:rPr>
            </w:pPr>
          </w:p>
        </w:tc>
      </w:tr>
      <w:tr w14:paraId="0EE36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3" w:hRule="atLeast"/>
          <w:jc w:val="center"/>
        </w:trPr>
        <w:tc>
          <w:tcPr>
            <w:tcW w:w="9071" w:type="dxa"/>
            <w:gridSpan w:val="4"/>
            <w:vAlign w:val="center"/>
          </w:tcPr>
          <w:p w14:paraId="613EF931">
            <w:pPr>
              <w:keepNext w:val="0"/>
              <w:keepLines w:val="0"/>
              <w:pageBreakBefore w:val="0"/>
              <w:widowControl w:val="0"/>
              <w:kinsoku/>
              <w:wordWrap/>
              <w:overflowPunct/>
              <w:topLinePunct w:val="0"/>
              <w:bidi w:val="0"/>
              <w:adjustRightInd/>
              <w:snapToGrid/>
              <w:spacing w:line="360" w:lineRule="auto"/>
              <w:ind w:left="0" w:leftChars="0"/>
              <w:textAlignment w:val="baseline"/>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其他承诺及需要说明的事项：</w:t>
            </w:r>
          </w:p>
        </w:tc>
      </w:tr>
    </w:tbl>
    <w:p w14:paraId="73A22397">
      <w:pPr>
        <w:keepNext w:val="0"/>
        <w:keepLines w:val="0"/>
        <w:pageBreakBefore w:val="0"/>
        <w:widowControl w:val="0"/>
        <w:kinsoku/>
        <w:wordWrap/>
        <w:overflowPunct/>
        <w:topLinePunct w:val="0"/>
        <w:bidi w:val="0"/>
        <w:adjustRightInd/>
        <w:snapToGrid/>
        <w:spacing w:line="360" w:lineRule="auto"/>
        <w:ind w:left="0" w:leftChars="0"/>
        <w:outlineLvl w:val="9"/>
        <w:rPr>
          <w:rFonts w:hint="eastAsia" w:ascii="宋体" w:hAnsi="宋体" w:eastAsia="宋体" w:cs="宋体"/>
          <w:color w:val="auto"/>
          <w:sz w:val="24"/>
          <w:szCs w:val="24"/>
        </w:rPr>
      </w:pPr>
      <w:r>
        <w:rPr>
          <w:rFonts w:hint="eastAsia" w:ascii="宋体" w:hAnsi="宋体" w:eastAsia="宋体" w:cs="宋体"/>
          <w:color w:val="auto"/>
          <w:sz w:val="24"/>
          <w:szCs w:val="24"/>
        </w:rPr>
        <w:t>注：1、填写此表时不得改变表格形式。</w:t>
      </w:r>
    </w:p>
    <w:p w14:paraId="31A2A327">
      <w:pPr>
        <w:keepNext w:val="0"/>
        <w:keepLines w:val="0"/>
        <w:pageBreakBefore w:val="0"/>
        <w:widowControl w:val="0"/>
        <w:kinsoku/>
        <w:wordWrap/>
        <w:overflowPunct/>
        <w:topLinePunct w:val="0"/>
        <w:bidi w:val="0"/>
        <w:adjustRightInd/>
        <w:snapToGrid/>
        <w:spacing w:line="360" w:lineRule="auto"/>
        <w:ind w:left="0" w:leftChars="0"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报价为总价。包括</w:t>
      </w:r>
      <w:r>
        <w:rPr>
          <w:rFonts w:hint="eastAsia" w:ascii="宋体" w:hAnsi="宋体" w:eastAsia="宋体" w:cs="宋体"/>
          <w:color w:val="auto"/>
          <w:sz w:val="24"/>
          <w:szCs w:val="24"/>
          <w:lang w:val="zh-CN"/>
        </w:rPr>
        <w:t>车辆费、运输费、保险费、检验费、手续费、售后服务费、招标代理费、税金及其他不可预见费等全部费用。</w:t>
      </w:r>
    </w:p>
    <w:p w14:paraId="212A629D">
      <w:pPr>
        <w:keepNext w:val="0"/>
        <w:keepLines w:val="0"/>
        <w:pageBreakBefore w:val="0"/>
        <w:widowControl w:val="0"/>
        <w:kinsoku/>
        <w:wordWrap/>
        <w:overflowPunct/>
        <w:topLinePunct w:val="0"/>
        <w:bidi w:val="0"/>
        <w:adjustRightInd/>
        <w:snapToGrid/>
        <w:spacing w:line="360" w:lineRule="auto"/>
        <w:outlineLvl w:val="9"/>
        <w:rPr>
          <w:rFonts w:hint="eastAsia" w:ascii="宋体" w:hAnsi="宋体" w:eastAsia="宋体" w:cs="宋体"/>
          <w:color w:val="auto"/>
          <w:sz w:val="24"/>
          <w:szCs w:val="24"/>
        </w:rPr>
      </w:pPr>
    </w:p>
    <w:p w14:paraId="121445F3">
      <w:pPr>
        <w:keepNext w:val="0"/>
        <w:keepLines w:val="0"/>
        <w:pageBreakBefore w:val="0"/>
        <w:kinsoku/>
        <w:wordWrap/>
        <w:overflowPunct/>
        <w:topLinePunct w:val="0"/>
        <w:autoSpaceDE/>
        <w:autoSpaceDN/>
        <w:bidi w:val="0"/>
        <w:adjustRightInd/>
        <w:snapToGrid/>
        <w:spacing w:line="360" w:lineRule="auto"/>
        <w:ind w:right="0" w:firstLine="480" w:firstLineChars="200"/>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eastAsia="zh-CN"/>
        </w:rPr>
        <w:t>单</w:t>
      </w:r>
      <w:r>
        <w:rPr>
          <w:rFonts w:hint="eastAsia" w:ascii="宋体" w:hAnsi="宋体" w:eastAsia="宋体" w:cs="宋体"/>
          <w:b w:val="0"/>
          <w:bCs/>
          <w:color w:val="auto"/>
          <w:sz w:val="24"/>
          <w:szCs w:val="24"/>
        </w:rPr>
        <w:t>位</w:t>
      </w:r>
      <w:r>
        <w:rPr>
          <w:rFonts w:hint="eastAsia" w:ascii="宋体" w:hAnsi="宋体" w:eastAsia="宋体" w:cs="宋体"/>
          <w:b w:val="0"/>
          <w:bCs/>
          <w:color w:val="auto"/>
          <w:sz w:val="24"/>
          <w:szCs w:val="24"/>
          <w:lang w:eastAsia="zh-CN"/>
        </w:rPr>
        <w:t>名称</w:t>
      </w:r>
      <w:r>
        <w:rPr>
          <w:rFonts w:hint="eastAsia" w:ascii="宋体" w:hAnsi="宋体" w:eastAsia="宋体" w:cs="宋体"/>
          <w:b w:val="0"/>
          <w:bCs/>
          <w:color w:val="auto"/>
          <w:sz w:val="24"/>
          <w:szCs w:val="24"/>
        </w:rPr>
        <w:t>：</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rPr>
        <w:t>（公章）</w:t>
      </w:r>
    </w:p>
    <w:p w14:paraId="1FAA22C9">
      <w:pPr>
        <w:keepNext w:val="0"/>
        <w:keepLines w:val="0"/>
        <w:pageBreakBefore w:val="0"/>
        <w:kinsoku/>
        <w:wordWrap/>
        <w:overflowPunct/>
        <w:topLinePunct w:val="0"/>
        <w:autoSpaceDE/>
        <w:autoSpaceDN/>
        <w:bidi w:val="0"/>
        <w:adjustRightInd/>
        <w:snapToGrid/>
        <w:spacing w:line="360" w:lineRule="auto"/>
        <w:ind w:right="0" w:firstLine="480" w:firstLineChars="200"/>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法定代表人或委托代理人：</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rPr>
        <w:t>（签字或盖章）</w:t>
      </w:r>
    </w:p>
    <w:p w14:paraId="5095D742">
      <w:pPr>
        <w:keepNext w:val="0"/>
        <w:keepLines w:val="0"/>
        <w:pageBreakBefore w:val="0"/>
        <w:kinsoku/>
        <w:wordWrap/>
        <w:overflowPunct/>
        <w:topLinePunct w:val="0"/>
        <w:bidi w:val="0"/>
        <w:adjustRightInd/>
        <w:snapToGrid/>
        <w:spacing w:line="360" w:lineRule="auto"/>
        <w:ind w:left="0" w:leftChars="0" w:firstLine="480" w:firstLineChars="200"/>
        <w:jc w:val="center"/>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年   月 </w:t>
      </w: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 w:val="0"/>
          <w:bCs/>
          <w:color w:val="auto"/>
          <w:sz w:val="24"/>
          <w:szCs w:val="24"/>
        </w:rPr>
        <w:t xml:space="preserve"> 日</w:t>
      </w:r>
    </w:p>
    <w:p w14:paraId="62389487">
      <w:pPr>
        <w:keepNext w:val="0"/>
        <w:keepLines w:val="0"/>
        <w:pageBreakBefore w:val="0"/>
        <w:kinsoku/>
        <w:wordWrap/>
        <w:overflowPunct/>
        <w:topLinePunct w:val="0"/>
        <w:bidi w:val="0"/>
        <w:adjustRightInd/>
        <w:snapToGrid/>
        <w:spacing w:line="360" w:lineRule="auto"/>
        <w:jc w:val="both"/>
        <w:outlineLvl w:val="9"/>
        <w:rPr>
          <w:rFonts w:hint="eastAsia" w:ascii="宋体" w:hAnsi="宋体" w:eastAsia="宋体" w:cs="宋体"/>
          <w:b w:val="0"/>
          <w:bCs/>
          <w:color w:val="auto"/>
          <w:sz w:val="24"/>
          <w:szCs w:val="24"/>
        </w:rPr>
      </w:pPr>
    </w:p>
    <w:p w14:paraId="6D84C431">
      <w:pPr>
        <w:keepNext w:val="0"/>
        <w:keepLines w:val="0"/>
        <w:pageBreakBefore w:val="0"/>
        <w:kinsoku/>
        <w:wordWrap/>
        <w:overflowPunct/>
        <w:topLinePunct w:val="0"/>
        <w:bidi w:val="0"/>
        <w:adjustRightInd/>
        <w:snapToGrid/>
        <w:spacing w:line="360" w:lineRule="auto"/>
        <w:ind w:left="0" w:leftChars="0"/>
        <w:rPr>
          <w:rFonts w:hint="eastAsia" w:ascii="宋体" w:hAnsi="宋体" w:eastAsia="宋体" w:cs="宋体"/>
          <w:b/>
          <w:color w:val="auto"/>
          <w:sz w:val="24"/>
          <w:szCs w:val="24"/>
        </w:rPr>
      </w:pPr>
      <w:bookmarkStart w:id="439" w:name="_Toc31202"/>
      <w:bookmarkStart w:id="440" w:name="_Toc13192"/>
      <w:bookmarkStart w:id="441" w:name="_Toc3352_WPSOffice_Level3"/>
      <w:bookmarkStart w:id="442" w:name="_Toc18824_WPSOffice_Level3"/>
      <w:bookmarkStart w:id="443" w:name="_Toc7532"/>
      <w:r>
        <w:rPr>
          <w:rFonts w:hint="eastAsia" w:ascii="宋体" w:hAnsi="宋体" w:eastAsia="宋体" w:cs="宋体"/>
          <w:b/>
          <w:color w:val="auto"/>
          <w:sz w:val="24"/>
          <w:szCs w:val="24"/>
        </w:rPr>
        <w:br w:type="page"/>
      </w:r>
    </w:p>
    <w:p w14:paraId="3006E35A">
      <w:pPr>
        <w:keepNext w:val="0"/>
        <w:keepLines w:val="0"/>
        <w:pageBreakBefore w:val="0"/>
        <w:widowControl/>
        <w:kinsoku/>
        <w:wordWrap/>
        <w:overflowPunct/>
        <w:topLinePunct w:val="0"/>
        <w:bidi w:val="0"/>
        <w:adjustRightInd/>
        <w:snapToGrid/>
        <w:spacing w:line="360" w:lineRule="auto"/>
        <w:ind w:left="0" w:leftChars="0"/>
        <w:outlineLvl w:val="1"/>
        <w:rPr>
          <w:rFonts w:hint="eastAsia" w:ascii="宋体" w:hAnsi="宋体" w:eastAsia="宋体" w:cs="宋体"/>
          <w:b/>
          <w:color w:val="auto"/>
          <w:sz w:val="24"/>
          <w:szCs w:val="24"/>
        </w:rPr>
      </w:pPr>
      <w:bookmarkStart w:id="444" w:name="_Toc21692"/>
      <w:r>
        <w:rPr>
          <w:rFonts w:hint="eastAsia" w:ascii="宋体" w:hAnsi="宋体" w:eastAsia="宋体" w:cs="宋体"/>
          <w:b/>
          <w:bCs w:val="0"/>
          <w:color w:val="auto"/>
          <w:kern w:val="2"/>
          <w:sz w:val="28"/>
          <w:szCs w:val="28"/>
          <w:lang w:val="en-US" w:eastAsia="zh-CN" w:bidi="ar-SA"/>
        </w:rPr>
        <w:t>附件11：分项报价表</w:t>
      </w:r>
      <w:bookmarkEnd w:id="439"/>
      <w:bookmarkEnd w:id="440"/>
      <w:bookmarkEnd w:id="441"/>
      <w:bookmarkEnd w:id="442"/>
      <w:bookmarkEnd w:id="443"/>
      <w:bookmarkEnd w:id="444"/>
    </w:p>
    <w:p w14:paraId="34722B1C">
      <w:pPr>
        <w:keepNext w:val="0"/>
        <w:keepLines w:val="0"/>
        <w:pageBreakBefore w:val="0"/>
        <w:kinsoku/>
        <w:wordWrap/>
        <w:overflowPunct/>
        <w:topLinePunct w:val="0"/>
        <w:bidi w:val="0"/>
        <w:adjustRightInd/>
        <w:snapToGrid/>
        <w:spacing w:line="360" w:lineRule="auto"/>
        <w:ind w:left="0" w:leftChars="0"/>
        <w:jc w:val="center"/>
        <w:outlineLvl w:val="9"/>
        <w:rPr>
          <w:rFonts w:hint="eastAsia" w:ascii="宋体" w:hAnsi="宋体" w:eastAsia="宋体" w:cs="宋体"/>
          <w:b/>
          <w:color w:val="auto"/>
          <w:sz w:val="24"/>
          <w:szCs w:val="24"/>
        </w:rPr>
      </w:pPr>
      <w:bookmarkStart w:id="445" w:name="_Toc31256_WPSOffice_Level3"/>
      <w:bookmarkStart w:id="446" w:name="_Toc12587_WPSOffice_Level1"/>
      <w:bookmarkStart w:id="447" w:name="_Toc19937_WPSOffice_Level1"/>
      <w:r>
        <w:rPr>
          <w:rFonts w:hint="eastAsia" w:ascii="宋体" w:hAnsi="宋体" w:eastAsia="宋体" w:cs="宋体"/>
          <w:b/>
          <w:color w:val="auto"/>
          <w:sz w:val="24"/>
          <w:szCs w:val="24"/>
          <w:lang w:val="zh-CN" w:eastAsia="zh-CN"/>
        </w:rPr>
        <w:t>分项报价表</w:t>
      </w:r>
      <w:bookmarkEnd w:id="445"/>
      <w:bookmarkEnd w:id="446"/>
      <w:bookmarkEnd w:id="447"/>
    </w:p>
    <w:p w14:paraId="45B35226">
      <w:pPr>
        <w:keepNext w:val="0"/>
        <w:keepLines w:val="0"/>
        <w:pageBreakBefore w:val="0"/>
        <w:widowControl w:val="0"/>
        <w:kinsoku/>
        <w:wordWrap/>
        <w:overflowPunct/>
        <w:topLinePunct w:val="0"/>
        <w:bidi w:val="0"/>
        <w:adjustRightInd/>
        <w:snapToGrid/>
        <w:spacing w:line="360" w:lineRule="auto"/>
        <w:ind w:left="0" w:leftChars="0"/>
        <w:jc w:val="both"/>
        <w:outlineLvl w:val="9"/>
        <w:rPr>
          <w:rFonts w:hint="eastAsia" w:ascii="宋体" w:hAnsi="宋体" w:eastAsia="宋体" w:cs="宋体"/>
          <w:b w:val="0"/>
          <w:bCs/>
          <w:color w:val="auto"/>
          <w:sz w:val="24"/>
          <w:szCs w:val="24"/>
        </w:rPr>
      </w:pPr>
    </w:p>
    <w:p w14:paraId="1C1D88DE">
      <w:pPr>
        <w:keepNext w:val="0"/>
        <w:keepLines w:val="0"/>
        <w:pageBreakBefore w:val="0"/>
        <w:widowControl w:val="0"/>
        <w:kinsoku/>
        <w:wordWrap/>
        <w:overflowPunct/>
        <w:topLinePunct w:val="0"/>
        <w:bidi w:val="0"/>
        <w:adjustRightInd/>
        <w:snapToGrid/>
        <w:spacing w:line="360" w:lineRule="auto"/>
        <w:ind w:left="0" w:leftChars="0"/>
        <w:jc w:val="both"/>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供应商名称</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 w:val="0"/>
          <w:bCs/>
          <w:color w:val="auto"/>
          <w:sz w:val="24"/>
          <w:szCs w:val="24"/>
        </w:rPr>
        <w:t>单位：人民币(元)</w:t>
      </w:r>
    </w:p>
    <w:tbl>
      <w:tblPr>
        <w:tblStyle w:val="19"/>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84"/>
        <w:gridCol w:w="1154"/>
        <w:gridCol w:w="855"/>
        <w:gridCol w:w="1103"/>
        <w:gridCol w:w="1068"/>
        <w:gridCol w:w="919"/>
        <w:gridCol w:w="848"/>
        <w:gridCol w:w="1110"/>
        <w:gridCol w:w="1253"/>
        <w:gridCol w:w="1311"/>
      </w:tblGrid>
      <w:tr w14:paraId="13601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7" w:hRule="atLeast"/>
          <w:jc w:val="center"/>
        </w:trPr>
        <w:tc>
          <w:tcPr>
            <w:tcW w:w="584" w:type="dxa"/>
            <w:vAlign w:val="center"/>
          </w:tcPr>
          <w:p w14:paraId="43D172B3">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序号</w:t>
            </w:r>
          </w:p>
        </w:tc>
        <w:tc>
          <w:tcPr>
            <w:tcW w:w="1154" w:type="dxa"/>
            <w:vAlign w:val="center"/>
          </w:tcPr>
          <w:p w14:paraId="4A66C1B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lang w:eastAsia="zh-CN"/>
              </w:rPr>
            </w:pPr>
            <w:r>
              <w:rPr>
                <w:rFonts w:hint="eastAsia" w:ascii="宋体" w:hAnsi="宋体" w:eastAsia="宋体" w:cs="宋体"/>
                <w:color w:val="auto"/>
                <w:sz w:val="24"/>
                <w:szCs w:val="24"/>
                <w:lang w:val="zh-CN"/>
              </w:rPr>
              <w:t>产品名称</w:t>
            </w:r>
          </w:p>
        </w:tc>
        <w:tc>
          <w:tcPr>
            <w:tcW w:w="855" w:type="dxa"/>
            <w:vAlign w:val="center"/>
          </w:tcPr>
          <w:p w14:paraId="1B46B019">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品牌</w:t>
            </w:r>
          </w:p>
        </w:tc>
        <w:tc>
          <w:tcPr>
            <w:tcW w:w="1103" w:type="dxa"/>
            <w:vAlign w:val="center"/>
          </w:tcPr>
          <w:p w14:paraId="552B3312">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规格型号</w:t>
            </w:r>
          </w:p>
        </w:tc>
        <w:tc>
          <w:tcPr>
            <w:tcW w:w="1068" w:type="dxa"/>
            <w:vAlign w:val="center"/>
          </w:tcPr>
          <w:p w14:paraId="2AB6DC31">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生产厂家</w:t>
            </w:r>
          </w:p>
        </w:tc>
        <w:tc>
          <w:tcPr>
            <w:tcW w:w="919" w:type="dxa"/>
            <w:vAlign w:val="center"/>
          </w:tcPr>
          <w:p w14:paraId="7B9DD176">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rFonts w:hint="eastAsia" w:ascii="宋体" w:hAnsi="宋体" w:eastAsia="宋体" w:cs="宋体"/>
                <w:b w:val="0"/>
                <w:bCs/>
                <w:color w:val="auto"/>
                <w:sz w:val="24"/>
                <w:szCs w:val="24"/>
                <w:lang w:eastAsia="zh-CN"/>
              </w:rPr>
            </w:pPr>
            <w:r>
              <w:rPr>
                <w:rFonts w:hint="eastAsia" w:ascii="宋体" w:hAnsi="宋体" w:eastAsia="宋体" w:cs="宋体"/>
                <w:color w:val="auto"/>
                <w:kern w:val="0"/>
                <w:sz w:val="24"/>
                <w:szCs w:val="24"/>
                <w:lang w:val="zh-CN"/>
              </w:rPr>
              <w:t>数量</w:t>
            </w:r>
          </w:p>
        </w:tc>
        <w:tc>
          <w:tcPr>
            <w:tcW w:w="848" w:type="dxa"/>
            <w:vAlign w:val="center"/>
          </w:tcPr>
          <w:p w14:paraId="4739E9F7">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color w:val="auto"/>
                <w:sz w:val="24"/>
                <w:szCs w:val="24"/>
                <w:lang w:val="zh-CN"/>
              </w:rPr>
              <w:t>单位</w:t>
            </w:r>
          </w:p>
        </w:tc>
        <w:tc>
          <w:tcPr>
            <w:tcW w:w="1110" w:type="dxa"/>
            <w:vAlign w:val="center"/>
          </w:tcPr>
          <w:p w14:paraId="4C3569B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单价</w:t>
            </w:r>
          </w:p>
        </w:tc>
        <w:tc>
          <w:tcPr>
            <w:tcW w:w="1253" w:type="dxa"/>
            <w:vAlign w:val="center"/>
          </w:tcPr>
          <w:p w14:paraId="485A31B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合计</w:t>
            </w:r>
          </w:p>
        </w:tc>
        <w:tc>
          <w:tcPr>
            <w:tcW w:w="1311" w:type="dxa"/>
            <w:vAlign w:val="center"/>
          </w:tcPr>
          <w:p w14:paraId="31AFE66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备注</w:t>
            </w:r>
          </w:p>
        </w:tc>
      </w:tr>
      <w:tr w14:paraId="251C7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3" w:hRule="atLeast"/>
          <w:jc w:val="center"/>
        </w:trPr>
        <w:tc>
          <w:tcPr>
            <w:tcW w:w="584" w:type="dxa"/>
            <w:vAlign w:val="center"/>
          </w:tcPr>
          <w:p w14:paraId="56DCC96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w:t>
            </w:r>
          </w:p>
        </w:tc>
        <w:tc>
          <w:tcPr>
            <w:tcW w:w="1154" w:type="dxa"/>
            <w:vAlign w:val="center"/>
          </w:tcPr>
          <w:p w14:paraId="25399EF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855" w:type="dxa"/>
            <w:vAlign w:val="center"/>
          </w:tcPr>
          <w:p w14:paraId="47E7538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1103" w:type="dxa"/>
            <w:vAlign w:val="center"/>
          </w:tcPr>
          <w:p w14:paraId="5F4CAACE">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1068" w:type="dxa"/>
            <w:vAlign w:val="center"/>
          </w:tcPr>
          <w:p w14:paraId="2B26DBA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919" w:type="dxa"/>
            <w:vAlign w:val="center"/>
          </w:tcPr>
          <w:p w14:paraId="41C15E7B">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848" w:type="dxa"/>
            <w:vAlign w:val="center"/>
          </w:tcPr>
          <w:p w14:paraId="1FB098B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1110" w:type="dxa"/>
            <w:vAlign w:val="center"/>
          </w:tcPr>
          <w:p w14:paraId="49FF90D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1253" w:type="dxa"/>
            <w:vAlign w:val="center"/>
          </w:tcPr>
          <w:p w14:paraId="021BFE0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1311" w:type="dxa"/>
            <w:vAlign w:val="center"/>
          </w:tcPr>
          <w:p w14:paraId="58F6316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r>
      <w:tr w14:paraId="24DF4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3" w:hRule="atLeast"/>
          <w:jc w:val="center"/>
        </w:trPr>
        <w:tc>
          <w:tcPr>
            <w:tcW w:w="584" w:type="dxa"/>
            <w:vAlign w:val="center"/>
          </w:tcPr>
          <w:p w14:paraId="43DE44F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w:t>
            </w:r>
          </w:p>
        </w:tc>
        <w:tc>
          <w:tcPr>
            <w:tcW w:w="1154" w:type="dxa"/>
            <w:vAlign w:val="center"/>
          </w:tcPr>
          <w:p w14:paraId="17F09CEA">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855" w:type="dxa"/>
            <w:vAlign w:val="center"/>
          </w:tcPr>
          <w:p w14:paraId="0404A21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1103" w:type="dxa"/>
            <w:vAlign w:val="center"/>
          </w:tcPr>
          <w:p w14:paraId="34D6168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1068" w:type="dxa"/>
            <w:vAlign w:val="center"/>
          </w:tcPr>
          <w:p w14:paraId="352AA9F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919" w:type="dxa"/>
            <w:vAlign w:val="center"/>
          </w:tcPr>
          <w:p w14:paraId="594B11F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848" w:type="dxa"/>
            <w:vAlign w:val="center"/>
          </w:tcPr>
          <w:p w14:paraId="6CFEA12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1110" w:type="dxa"/>
            <w:vAlign w:val="center"/>
          </w:tcPr>
          <w:p w14:paraId="65D7ABDD">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1253" w:type="dxa"/>
            <w:vAlign w:val="center"/>
          </w:tcPr>
          <w:p w14:paraId="62F326B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1311" w:type="dxa"/>
            <w:vAlign w:val="center"/>
          </w:tcPr>
          <w:p w14:paraId="5DA23B6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r>
      <w:tr w14:paraId="73473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3" w:hRule="atLeast"/>
          <w:jc w:val="center"/>
        </w:trPr>
        <w:tc>
          <w:tcPr>
            <w:tcW w:w="584" w:type="dxa"/>
            <w:vAlign w:val="center"/>
          </w:tcPr>
          <w:p w14:paraId="0CFFF28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w:t>
            </w:r>
          </w:p>
        </w:tc>
        <w:tc>
          <w:tcPr>
            <w:tcW w:w="1154" w:type="dxa"/>
            <w:vAlign w:val="center"/>
          </w:tcPr>
          <w:p w14:paraId="113B006E">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855" w:type="dxa"/>
            <w:vAlign w:val="center"/>
          </w:tcPr>
          <w:p w14:paraId="2FE2F4B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1103" w:type="dxa"/>
            <w:vAlign w:val="center"/>
          </w:tcPr>
          <w:p w14:paraId="1F36441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1068" w:type="dxa"/>
            <w:vAlign w:val="center"/>
          </w:tcPr>
          <w:p w14:paraId="2BA075C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919" w:type="dxa"/>
            <w:vAlign w:val="center"/>
          </w:tcPr>
          <w:p w14:paraId="7322940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848" w:type="dxa"/>
            <w:vAlign w:val="center"/>
          </w:tcPr>
          <w:p w14:paraId="76C4EDB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1110" w:type="dxa"/>
            <w:vAlign w:val="center"/>
          </w:tcPr>
          <w:p w14:paraId="06B660C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1253" w:type="dxa"/>
            <w:vAlign w:val="center"/>
          </w:tcPr>
          <w:p w14:paraId="3D2841CA">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1311" w:type="dxa"/>
            <w:vAlign w:val="center"/>
          </w:tcPr>
          <w:p w14:paraId="79A0366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r>
      <w:tr w14:paraId="143B1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3" w:hRule="atLeast"/>
          <w:jc w:val="center"/>
        </w:trPr>
        <w:tc>
          <w:tcPr>
            <w:tcW w:w="584" w:type="dxa"/>
            <w:vAlign w:val="center"/>
          </w:tcPr>
          <w:p w14:paraId="5DD386A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4</w:t>
            </w:r>
          </w:p>
        </w:tc>
        <w:tc>
          <w:tcPr>
            <w:tcW w:w="1154" w:type="dxa"/>
            <w:vAlign w:val="center"/>
          </w:tcPr>
          <w:p w14:paraId="3149ACDE">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855" w:type="dxa"/>
            <w:vAlign w:val="center"/>
          </w:tcPr>
          <w:p w14:paraId="25E4A9B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1103" w:type="dxa"/>
            <w:vAlign w:val="center"/>
          </w:tcPr>
          <w:p w14:paraId="69FF5F4B">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1068" w:type="dxa"/>
            <w:vAlign w:val="center"/>
          </w:tcPr>
          <w:p w14:paraId="32E0BAB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919" w:type="dxa"/>
            <w:vAlign w:val="center"/>
          </w:tcPr>
          <w:p w14:paraId="2804515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848" w:type="dxa"/>
            <w:vAlign w:val="center"/>
          </w:tcPr>
          <w:p w14:paraId="2BAA077B">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1110" w:type="dxa"/>
            <w:vAlign w:val="center"/>
          </w:tcPr>
          <w:p w14:paraId="1792A50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1253" w:type="dxa"/>
            <w:vAlign w:val="center"/>
          </w:tcPr>
          <w:p w14:paraId="09C6E59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1311" w:type="dxa"/>
            <w:vAlign w:val="center"/>
          </w:tcPr>
          <w:p w14:paraId="4198953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r>
      <w:tr w14:paraId="4F9BA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3" w:hRule="atLeast"/>
          <w:jc w:val="center"/>
        </w:trPr>
        <w:tc>
          <w:tcPr>
            <w:tcW w:w="584" w:type="dxa"/>
            <w:vAlign w:val="center"/>
          </w:tcPr>
          <w:p w14:paraId="6115EF0A">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w:t>
            </w:r>
          </w:p>
        </w:tc>
        <w:tc>
          <w:tcPr>
            <w:tcW w:w="1154" w:type="dxa"/>
            <w:vAlign w:val="center"/>
          </w:tcPr>
          <w:p w14:paraId="27303DB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855" w:type="dxa"/>
            <w:vAlign w:val="center"/>
          </w:tcPr>
          <w:p w14:paraId="21CEAA8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1103" w:type="dxa"/>
            <w:vAlign w:val="center"/>
          </w:tcPr>
          <w:p w14:paraId="08F81BAB">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1068" w:type="dxa"/>
            <w:vAlign w:val="center"/>
          </w:tcPr>
          <w:p w14:paraId="6C8ACB4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919" w:type="dxa"/>
            <w:vAlign w:val="center"/>
          </w:tcPr>
          <w:p w14:paraId="3779121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848" w:type="dxa"/>
            <w:vAlign w:val="center"/>
          </w:tcPr>
          <w:p w14:paraId="5971B48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1110" w:type="dxa"/>
            <w:vAlign w:val="center"/>
          </w:tcPr>
          <w:p w14:paraId="1BE052BB">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1253" w:type="dxa"/>
            <w:vAlign w:val="center"/>
          </w:tcPr>
          <w:p w14:paraId="0586F7BB">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1311" w:type="dxa"/>
            <w:vAlign w:val="center"/>
          </w:tcPr>
          <w:p w14:paraId="73699B4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r>
      <w:tr w14:paraId="2CC45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25" w:hRule="atLeast"/>
          <w:jc w:val="center"/>
        </w:trPr>
        <w:tc>
          <w:tcPr>
            <w:tcW w:w="10205" w:type="dxa"/>
            <w:gridSpan w:val="10"/>
            <w:vAlign w:val="center"/>
          </w:tcPr>
          <w:p w14:paraId="69373F2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其他承诺及需要说明的事项：</w:t>
            </w:r>
          </w:p>
        </w:tc>
      </w:tr>
      <w:tr w14:paraId="5CD89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61" w:hRule="atLeast"/>
          <w:jc w:val="center"/>
        </w:trPr>
        <w:tc>
          <w:tcPr>
            <w:tcW w:w="4764" w:type="dxa"/>
            <w:gridSpan w:val="5"/>
            <w:vAlign w:val="center"/>
          </w:tcPr>
          <w:p w14:paraId="79AFC931">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总价</w:t>
            </w:r>
          </w:p>
        </w:tc>
        <w:tc>
          <w:tcPr>
            <w:tcW w:w="5441" w:type="dxa"/>
            <w:gridSpan w:val="5"/>
            <w:vAlign w:val="center"/>
          </w:tcPr>
          <w:p w14:paraId="5A93D5F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大写：</w:t>
            </w:r>
          </w:p>
          <w:p w14:paraId="4D5E3CF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小写：</w:t>
            </w:r>
          </w:p>
        </w:tc>
      </w:tr>
    </w:tbl>
    <w:p w14:paraId="06E97D17">
      <w:pPr>
        <w:keepNext w:val="0"/>
        <w:keepLines w:val="0"/>
        <w:pageBreakBefore w:val="0"/>
        <w:kinsoku/>
        <w:wordWrap/>
        <w:overflowPunct/>
        <w:topLinePunct w:val="0"/>
        <w:autoSpaceDE/>
        <w:autoSpaceDN/>
        <w:bidi w:val="0"/>
        <w:adjustRightInd/>
        <w:snapToGrid/>
        <w:spacing w:line="360" w:lineRule="auto"/>
        <w:ind w:right="0"/>
        <w:jc w:val="both"/>
        <w:textAlignment w:val="auto"/>
        <w:outlineLvl w:val="9"/>
        <w:rPr>
          <w:rFonts w:hint="eastAsia" w:ascii="宋体" w:hAnsi="宋体" w:eastAsia="宋体" w:cs="宋体"/>
          <w:b w:val="0"/>
          <w:bCs/>
          <w:color w:val="auto"/>
          <w:sz w:val="24"/>
          <w:szCs w:val="24"/>
          <w:lang w:val="zh-CN" w:eastAsia="zh-CN"/>
        </w:rPr>
      </w:pPr>
      <w:bookmarkStart w:id="448" w:name="_Toc698"/>
      <w:r>
        <w:rPr>
          <w:rFonts w:hint="eastAsia" w:ascii="宋体" w:hAnsi="宋体" w:eastAsia="宋体" w:cs="宋体"/>
          <w:b w:val="0"/>
          <w:bCs/>
          <w:color w:val="auto"/>
          <w:sz w:val="24"/>
          <w:szCs w:val="24"/>
          <w:lang w:val="zh-CN" w:eastAsia="zh-CN"/>
        </w:rPr>
        <w:t>注：</w:t>
      </w:r>
      <w:r>
        <w:rPr>
          <w:rFonts w:hint="eastAsia" w:ascii="宋体" w:hAnsi="宋体" w:eastAsia="宋体" w:cs="宋体"/>
          <w:b w:val="0"/>
          <w:bCs/>
          <w:color w:val="auto"/>
          <w:sz w:val="24"/>
          <w:szCs w:val="24"/>
          <w:lang w:eastAsia="zh-CN"/>
        </w:rPr>
        <w:t>1.</w:t>
      </w:r>
      <w:r>
        <w:rPr>
          <w:rFonts w:hint="eastAsia" w:ascii="宋体" w:hAnsi="宋体" w:eastAsia="宋体" w:cs="宋体"/>
          <w:b w:val="0"/>
          <w:bCs/>
          <w:color w:val="auto"/>
          <w:sz w:val="24"/>
          <w:szCs w:val="24"/>
          <w:lang w:val="zh-CN" w:eastAsia="zh-CN"/>
        </w:rPr>
        <w:t>本表应按照“项目概况及技术参数”中的产品序号按顺序逐项填写，不得遗漏，</w:t>
      </w:r>
      <w:r>
        <w:rPr>
          <w:rFonts w:hint="eastAsia" w:ascii="宋体" w:hAnsi="宋体" w:eastAsia="宋体" w:cs="宋体"/>
          <w:b w:val="0"/>
          <w:bCs/>
          <w:color w:val="auto"/>
          <w:sz w:val="24"/>
          <w:szCs w:val="24"/>
          <w:lang w:eastAsia="zh-CN"/>
        </w:rPr>
        <w:t>否则，按无效投标处理</w:t>
      </w:r>
      <w:r>
        <w:rPr>
          <w:rFonts w:hint="eastAsia" w:ascii="宋体" w:hAnsi="宋体" w:eastAsia="宋体" w:cs="宋体"/>
          <w:b w:val="0"/>
          <w:bCs/>
          <w:color w:val="auto"/>
          <w:sz w:val="24"/>
          <w:szCs w:val="24"/>
          <w:lang w:val="zh-CN" w:eastAsia="zh-CN"/>
        </w:rPr>
        <w:t>。</w:t>
      </w:r>
    </w:p>
    <w:p w14:paraId="3ADDEE5E">
      <w:pPr>
        <w:keepNext w:val="0"/>
        <w:keepLines w:val="0"/>
        <w:pageBreakBefore w:val="0"/>
        <w:kinsoku/>
        <w:wordWrap/>
        <w:overflowPunct/>
        <w:topLinePunct w:val="0"/>
        <w:autoSpaceDE/>
        <w:autoSpaceDN/>
        <w:bidi w:val="0"/>
        <w:adjustRightInd/>
        <w:snapToGrid/>
        <w:spacing w:line="360" w:lineRule="auto"/>
        <w:ind w:right="0"/>
        <w:jc w:val="both"/>
        <w:textAlignment w:val="auto"/>
        <w:outlineLvl w:val="9"/>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eastAsia="zh-CN"/>
        </w:rPr>
        <w:t xml:space="preserve">    2.</w:t>
      </w:r>
      <w:r>
        <w:rPr>
          <w:rFonts w:hint="eastAsia" w:ascii="宋体" w:hAnsi="宋体" w:eastAsia="宋体" w:cs="宋体"/>
          <w:b w:val="0"/>
          <w:bCs/>
          <w:color w:val="auto"/>
          <w:sz w:val="24"/>
          <w:szCs w:val="24"/>
          <w:lang w:val="zh-CN" w:eastAsia="zh-CN"/>
        </w:rPr>
        <w:t>投标报价不能有两个或两个以上的报价方案。</w:t>
      </w:r>
    </w:p>
    <w:p w14:paraId="062DAD0C">
      <w:pPr>
        <w:pStyle w:val="2"/>
        <w:ind w:left="0" w:leftChars="0" w:firstLine="0" w:firstLineChars="0"/>
        <w:rPr>
          <w:rFonts w:hint="eastAsia" w:ascii="宋体" w:hAnsi="宋体" w:eastAsia="宋体" w:cs="宋体"/>
          <w:color w:val="auto"/>
          <w:lang w:eastAsia="zh-CN"/>
        </w:rPr>
      </w:pPr>
    </w:p>
    <w:p w14:paraId="357FBBEB">
      <w:pPr>
        <w:pStyle w:val="2"/>
        <w:ind w:left="0" w:leftChars="0" w:firstLine="0" w:firstLineChars="0"/>
        <w:rPr>
          <w:rFonts w:hint="eastAsia" w:ascii="宋体" w:hAnsi="宋体" w:eastAsia="宋体" w:cs="宋体"/>
          <w:color w:val="auto"/>
          <w:lang w:eastAsia="zh-CN"/>
        </w:rPr>
      </w:pPr>
    </w:p>
    <w:p w14:paraId="6394C6D7">
      <w:pPr>
        <w:keepNext w:val="0"/>
        <w:keepLines w:val="0"/>
        <w:pageBreakBefore w:val="0"/>
        <w:kinsoku/>
        <w:wordWrap/>
        <w:overflowPunct/>
        <w:topLinePunct w:val="0"/>
        <w:autoSpaceDE/>
        <w:autoSpaceDN/>
        <w:bidi w:val="0"/>
        <w:adjustRightInd/>
        <w:snapToGrid/>
        <w:spacing w:line="360" w:lineRule="auto"/>
        <w:ind w:right="0"/>
        <w:jc w:val="both"/>
        <w:textAlignment w:val="auto"/>
        <w:outlineLvl w:val="9"/>
        <w:rPr>
          <w:rFonts w:hint="eastAsia" w:ascii="宋体" w:hAnsi="宋体" w:eastAsia="宋体" w:cs="宋体"/>
          <w:b w:val="0"/>
          <w:bCs/>
          <w:color w:val="auto"/>
          <w:sz w:val="24"/>
          <w:szCs w:val="24"/>
          <w:lang w:eastAsia="zh-CN"/>
        </w:rPr>
      </w:pPr>
    </w:p>
    <w:p w14:paraId="15B30F5A">
      <w:pPr>
        <w:keepNext w:val="0"/>
        <w:keepLines w:val="0"/>
        <w:pageBreakBefore w:val="0"/>
        <w:kinsoku/>
        <w:wordWrap/>
        <w:overflowPunct/>
        <w:topLinePunct w:val="0"/>
        <w:autoSpaceDE/>
        <w:autoSpaceDN/>
        <w:bidi w:val="0"/>
        <w:adjustRightInd/>
        <w:snapToGrid/>
        <w:spacing w:line="360" w:lineRule="auto"/>
        <w:ind w:right="0" w:firstLine="480" w:firstLineChars="200"/>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eastAsia="zh-CN"/>
        </w:rPr>
        <w:t>单</w:t>
      </w:r>
      <w:r>
        <w:rPr>
          <w:rFonts w:hint="eastAsia" w:ascii="宋体" w:hAnsi="宋体" w:eastAsia="宋体" w:cs="宋体"/>
          <w:b w:val="0"/>
          <w:bCs/>
          <w:color w:val="auto"/>
          <w:sz w:val="24"/>
          <w:szCs w:val="24"/>
        </w:rPr>
        <w:t>位</w:t>
      </w:r>
      <w:r>
        <w:rPr>
          <w:rFonts w:hint="eastAsia" w:ascii="宋体" w:hAnsi="宋体" w:eastAsia="宋体" w:cs="宋体"/>
          <w:b w:val="0"/>
          <w:bCs/>
          <w:color w:val="auto"/>
          <w:sz w:val="24"/>
          <w:szCs w:val="24"/>
          <w:lang w:eastAsia="zh-CN"/>
        </w:rPr>
        <w:t>名称</w:t>
      </w:r>
      <w:r>
        <w:rPr>
          <w:rFonts w:hint="eastAsia" w:ascii="宋体" w:hAnsi="宋体" w:eastAsia="宋体" w:cs="宋体"/>
          <w:b w:val="0"/>
          <w:bCs/>
          <w:color w:val="auto"/>
          <w:sz w:val="24"/>
          <w:szCs w:val="24"/>
        </w:rPr>
        <w:t>：</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rPr>
        <w:t>（公章）</w:t>
      </w:r>
    </w:p>
    <w:p w14:paraId="53D9EF1D">
      <w:pPr>
        <w:keepNext w:val="0"/>
        <w:keepLines w:val="0"/>
        <w:pageBreakBefore w:val="0"/>
        <w:kinsoku/>
        <w:wordWrap/>
        <w:overflowPunct/>
        <w:topLinePunct w:val="0"/>
        <w:autoSpaceDE/>
        <w:autoSpaceDN/>
        <w:bidi w:val="0"/>
        <w:adjustRightInd/>
        <w:snapToGrid/>
        <w:spacing w:line="360" w:lineRule="auto"/>
        <w:ind w:right="0" w:firstLine="480" w:firstLineChars="200"/>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法定代表人或委托代理人：</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rPr>
        <w:t>（签字或盖章）</w:t>
      </w:r>
    </w:p>
    <w:p w14:paraId="7B104FA3">
      <w:pPr>
        <w:keepNext w:val="0"/>
        <w:keepLines w:val="0"/>
        <w:pageBreakBefore w:val="0"/>
        <w:widowControl w:val="0"/>
        <w:kinsoku/>
        <w:wordWrap/>
        <w:overflowPunct/>
        <w:topLinePunct w:val="0"/>
        <w:bidi w:val="0"/>
        <w:adjustRightInd/>
        <w:snapToGrid/>
        <w:spacing w:line="360" w:lineRule="auto"/>
        <w:ind w:left="0" w:leftChars="0" w:firstLine="480" w:firstLineChars="200"/>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年   月 </w:t>
      </w: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 w:val="0"/>
          <w:bCs/>
          <w:color w:val="auto"/>
          <w:sz w:val="24"/>
          <w:szCs w:val="24"/>
        </w:rPr>
        <w:t xml:space="preserve"> 日</w:t>
      </w:r>
    </w:p>
    <w:p w14:paraId="0657920B">
      <w:pPr>
        <w:keepNext w:val="0"/>
        <w:keepLines w:val="0"/>
        <w:pageBreakBefore w:val="0"/>
        <w:kinsoku/>
        <w:wordWrap/>
        <w:overflowPunct/>
        <w:topLinePunct w:val="0"/>
        <w:bidi w:val="0"/>
        <w:adjustRightInd/>
        <w:snapToGrid/>
        <w:spacing w:line="360" w:lineRule="auto"/>
        <w:ind w:left="0" w:leftChars="0"/>
        <w:rPr>
          <w:rFonts w:hint="eastAsia" w:ascii="宋体" w:hAnsi="宋体" w:eastAsia="宋体" w:cs="宋体"/>
          <w:color w:val="auto"/>
          <w:sz w:val="24"/>
          <w:szCs w:val="24"/>
        </w:rPr>
      </w:pPr>
    </w:p>
    <w:p w14:paraId="28F757D5">
      <w:pPr>
        <w:keepNext w:val="0"/>
        <w:keepLines w:val="0"/>
        <w:pageBreakBefore w:val="0"/>
        <w:kinsoku/>
        <w:wordWrap/>
        <w:overflowPunct/>
        <w:topLinePunct w:val="0"/>
        <w:bidi w:val="0"/>
        <w:adjustRightInd/>
        <w:snapToGrid/>
        <w:spacing w:line="360" w:lineRule="auto"/>
        <w:ind w:left="0" w:leftChars="0"/>
        <w:rPr>
          <w:rFonts w:hint="eastAsia" w:ascii="宋体" w:hAnsi="宋体" w:eastAsia="宋体" w:cs="宋体"/>
          <w:b/>
          <w:color w:val="auto"/>
          <w:sz w:val="24"/>
          <w:szCs w:val="24"/>
          <w:lang w:eastAsia="zh-CN"/>
        </w:rPr>
      </w:pPr>
      <w:bookmarkStart w:id="449" w:name="_Toc28315_WPSOffice_Level3"/>
      <w:bookmarkStart w:id="450" w:name="_Toc13098_WPSOffice_Level3"/>
      <w:bookmarkStart w:id="451" w:name="_Toc28398"/>
      <w:bookmarkStart w:id="452" w:name="_Toc20734"/>
      <w:r>
        <w:rPr>
          <w:rFonts w:hint="eastAsia" w:ascii="宋体" w:hAnsi="宋体" w:eastAsia="宋体" w:cs="宋体"/>
          <w:b/>
          <w:color w:val="auto"/>
          <w:sz w:val="24"/>
          <w:szCs w:val="24"/>
          <w:lang w:eastAsia="zh-CN"/>
        </w:rPr>
        <w:br w:type="page"/>
      </w:r>
    </w:p>
    <w:p w14:paraId="2E3D3665">
      <w:pPr>
        <w:keepNext w:val="0"/>
        <w:keepLines w:val="0"/>
        <w:pageBreakBefore w:val="0"/>
        <w:widowControl/>
        <w:kinsoku/>
        <w:wordWrap/>
        <w:overflowPunct/>
        <w:topLinePunct w:val="0"/>
        <w:bidi w:val="0"/>
        <w:adjustRightInd/>
        <w:snapToGrid/>
        <w:spacing w:line="360" w:lineRule="auto"/>
        <w:ind w:left="0" w:leftChars="0"/>
        <w:outlineLvl w:val="1"/>
        <w:rPr>
          <w:rFonts w:hint="eastAsia" w:ascii="宋体" w:hAnsi="宋体" w:eastAsia="宋体" w:cs="宋体"/>
          <w:b/>
          <w:color w:val="auto"/>
          <w:sz w:val="24"/>
          <w:szCs w:val="24"/>
        </w:rPr>
      </w:pPr>
      <w:bookmarkStart w:id="453" w:name="_Toc15096"/>
      <w:r>
        <w:rPr>
          <w:rFonts w:hint="eastAsia" w:ascii="宋体" w:hAnsi="宋体" w:eastAsia="宋体" w:cs="宋体"/>
          <w:b/>
          <w:bCs w:val="0"/>
          <w:color w:val="auto"/>
          <w:kern w:val="2"/>
          <w:sz w:val="28"/>
          <w:szCs w:val="28"/>
          <w:lang w:val="en-US" w:eastAsia="zh-CN" w:bidi="ar-SA"/>
        </w:rPr>
        <w:t>附件12：</w:t>
      </w:r>
      <w:bookmarkEnd w:id="448"/>
      <w:bookmarkEnd w:id="449"/>
      <w:bookmarkEnd w:id="450"/>
      <w:bookmarkEnd w:id="451"/>
      <w:bookmarkEnd w:id="452"/>
      <w:bookmarkEnd w:id="453"/>
      <w:r>
        <w:rPr>
          <w:rFonts w:hint="eastAsia" w:ascii="宋体" w:hAnsi="宋体" w:eastAsia="宋体" w:cs="宋体"/>
          <w:b/>
          <w:bCs w:val="0"/>
          <w:color w:val="auto"/>
          <w:kern w:val="2"/>
          <w:sz w:val="28"/>
          <w:szCs w:val="28"/>
          <w:lang w:val="en-US" w:eastAsia="zh-CN" w:bidi="ar-SA"/>
        </w:rPr>
        <w:t>技术规格响应表</w:t>
      </w:r>
    </w:p>
    <w:p w14:paraId="0F28FABC">
      <w:pPr>
        <w:keepNext w:val="0"/>
        <w:keepLines w:val="0"/>
        <w:pageBreakBefore w:val="0"/>
        <w:kinsoku/>
        <w:wordWrap/>
        <w:overflowPunct/>
        <w:topLinePunct w:val="0"/>
        <w:bidi w:val="0"/>
        <w:adjustRightInd/>
        <w:snapToGrid/>
        <w:spacing w:line="360" w:lineRule="auto"/>
        <w:ind w:left="0" w:leftChars="0"/>
        <w:jc w:val="center"/>
        <w:outlineLvl w:val="9"/>
        <w:rPr>
          <w:rFonts w:hint="eastAsia" w:ascii="宋体" w:hAnsi="宋体" w:eastAsia="宋体" w:cs="宋体"/>
          <w:b/>
          <w:color w:val="auto"/>
          <w:sz w:val="24"/>
          <w:szCs w:val="24"/>
          <w:lang w:val="zh-CN" w:eastAsia="zh-CN"/>
        </w:rPr>
      </w:pPr>
      <w:r>
        <w:rPr>
          <w:rFonts w:hint="eastAsia" w:ascii="宋体" w:hAnsi="宋体" w:eastAsia="宋体" w:cs="宋体"/>
          <w:b/>
          <w:bCs/>
          <w:color w:val="auto"/>
          <w:sz w:val="24"/>
          <w:szCs w:val="24"/>
          <w:lang w:val="zh-CN"/>
        </w:rPr>
        <w:t>技术规格响应表</w:t>
      </w:r>
    </w:p>
    <w:p w14:paraId="296CCFC8">
      <w:pPr>
        <w:keepNext w:val="0"/>
        <w:keepLines w:val="0"/>
        <w:pageBreakBefore w:val="0"/>
        <w:widowControl w:val="0"/>
        <w:kinsoku/>
        <w:wordWrap/>
        <w:overflowPunct/>
        <w:topLinePunct w:val="0"/>
        <w:bidi w:val="0"/>
        <w:adjustRightInd/>
        <w:snapToGrid/>
        <w:spacing w:line="360" w:lineRule="auto"/>
        <w:ind w:left="0" w:leftChars="0"/>
        <w:jc w:val="left"/>
        <w:textAlignment w:val="auto"/>
        <w:outlineLvl w:val="9"/>
        <w:rPr>
          <w:rFonts w:hint="eastAsia" w:ascii="宋体" w:hAnsi="宋体" w:eastAsia="宋体" w:cs="宋体"/>
          <w:b w:val="0"/>
          <w:bCs/>
          <w:color w:val="auto"/>
          <w:sz w:val="24"/>
          <w:szCs w:val="24"/>
          <w:lang w:val="en-US" w:eastAsia="zh-CN"/>
        </w:rPr>
      </w:pPr>
      <w:bookmarkStart w:id="454" w:name="_Toc14764_WPSOffice_Level2"/>
      <w:r>
        <w:rPr>
          <w:rFonts w:hint="eastAsia" w:ascii="宋体" w:hAnsi="宋体" w:eastAsia="宋体" w:cs="宋体"/>
          <w:b w:val="0"/>
          <w:bCs/>
          <w:color w:val="auto"/>
          <w:sz w:val="24"/>
          <w:szCs w:val="24"/>
        </w:rPr>
        <w:t>供应商名称</w:t>
      </w:r>
      <w:bookmarkEnd w:id="454"/>
      <w:r>
        <w:rPr>
          <w:rFonts w:hint="eastAsia" w:ascii="宋体" w:hAnsi="宋体" w:eastAsia="宋体" w:cs="宋体"/>
          <w:b w:val="0"/>
          <w:bCs/>
          <w:color w:val="auto"/>
          <w:sz w:val="24"/>
          <w:szCs w:val="24"/>
          <w:lang w:eastAsia="zh-CN"/>
        </w:rPr>
        <w:t>：</w:t>
      </w:r>
    </w:p>
    <w:tbl>
      <w:tblPr>
        <w:tblStyle w:val="18"/>
        <w:tblW w:w="89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97"/>
        <w:gridCol w:w="886"/>
        <w:gridCol w:w="2766"/>
        <w:gridCol w:w="915"/>
        <w:gridCol w:w="2880"/>
        <w:gridCol w:w="873"/>
      </w:tblGrid>
      <w:tr w14:paraId="3E4D3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97" w:type="dxa"/>
            <w:vAlign w:val="top"/>
          </w:tcPr>
          <w:p w14:paraId="329F8CB3">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3652" w:type="dxa"/>
            <w:gridSpan w:val="2"/>
            <w:vAlign w:val="top"/>
          </w:tcPr>
          <w:p w14:paraId="643CADDA">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zh-CN"/>
              </w:rPr>
              <w:t>采购需求技术参数、指标</w:t>
            </w:r>
          </w:p>
        </w:tc>
        <w:tc>
          <w:tcPr>
            <w:tcW w:w="3795" w:type="dxa"/>
            <w:gridSpan w:val="2"/>
            <w:vAlign w:val="top"/>
          </w:tcPr>
          <w:p w14:paraId="24AA4913">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rPr>
              <w:t>投标产品技术参数、指标</w:t>
            </w:r>
          </w:p>
        </w:tc>
        <w:tc>
          <w:tcPr>
            <w:tcW w:w="873" w:type="dxa"/>
            <w:vAlign w:val="center"/>
          </w:tcPr>
          <w:p w14:paraId="5D95B511">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偏离</w:t>
            </w:r>
          </w:p>
        </w:tc>
      </w:tr>
      <w:tr w14:paraId="099F1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97" w:type="dxa"/>
            <w:vAlign w:val="top"/>
          </w:tcPr>
          <w:p w14:paraId="3C8DD2F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886" w:type="dxa"/>
            <w:vAlign w:val="center"/>
          </w:tcPr>
          <w:p w14:paraId="088CFDD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名称</w:t>
            </w:r>
          </w:p>
        </w:tc>
        <w:tc>
          <w:tcPr>
            <w:tcW w:w="2766" w:type="dxa"/>
            <w:vAlign w:val="center"/>
          </w:tcPr>
          <w:p w14:paraId="37A1FB9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zh-CN"/>
              </w:rPr>
              <w:t>技术参数及配置</w:t>
            </w:r>
          </w:p>
        </w:tc>
        <w:tc>
          <w:tcPr>
            <w:tcW w:w="915" w:type="dxa"/>
            <w:vAlign w:val="center"/>
          </w:tcPr>
          <w:p w14:paraId="2872D21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名称</w:t>
            </w:r>
          </w:p>
        </w:tc>
        <w:tc>
          <w:tcPr>
            <w:tcW w:w="2880" w:type="dxa"/>
            <w:vAlign w:val="center"/>
          </w:tcPr>
          <w:p w14:paraId="2628C17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zh-CN" w:eastAsia="zh-CN"/>
              </w:rPr>
              <w:t>技术参数及配置</w:t>
            </w:r>
          </w:p>
        </w:tc>
        <w:tc>
          <w:tcPr>
            <w:tcW w:w="873" w:type="dxa"/>
            <w:vAlign w:val="top"/>
          </w:tcPr>
          <w:p w14:paraId="3A43AFE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24"/>
                <w:szCs w:val="24"/>
              </w:rPr>
            </w:pPr>
          </w:p>
        </w:tc>
      </w:tr>
      <w:tr w14:paraId="24C09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97" w:type="dxa"/>
            <w:vAlign w:val="center"/>
          </w:tcPr>
          <w:p w14:paraId="3CF4F86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886" w:type="dxa"/>
            <w:vAlign w:val="top"/>
          </w:tcPr>
          <w:p w14:paraId="73E7AFC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24"/>
                <w:szCs w:val="24"/>
              </w:rPr>
            </w:pPr>
          </w:p>
        </w:tc>
        <w:tc>
          <w:tcPr>
            <w:tcW w:w="2766" w:type="dxa"/>
            <w:vAlign w:val="top"/>
          </w:tcPr>
          <w:p w14:paraId="2E9C96CA">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24"/>
                <w:szCs w:val="24"/>
              </w:rPr>
            </w:pPr>
          </w:p>
        </w:tc>
        <w:tc>
          <w:tcPr>
            <w:tcW w:w="915" w:type="dxa"/>
            <w:vAlign w:val="top"/>
          </w:tcPr>
          <w:p w14:paraId="1FACA3F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24"/>
                <w:szCs w:val="24"/>
              </w:rPr>
            </w:pPr>
          </w:p>
        </w:tc>
        <w:tc>
          <w:tcPr>
            <w:tcW w:w="2880" w:type="dxa"/>
            <w:vAlign w:val="top"/>
          </w:tcPr>
          <w:p w14:paraId="520C3B3E">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24"/>
                <w:szCs w:val="24"/>
              </w:rPr>
            </w:pPr>
          </w:p>
        </w:tc>
        <w:tc>
          <w:tcPr>
            <w:tcW w:w="873" w:type="dxa"/>
            <w:vAlign w:val="top"/>
          </w:tcPr>
          <w:p w14:paraId="26579C9D">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24"/>
                <w:szCs w:val="24"/>
              </w:rPr>
            </w:pPr>
          </w:p>
        </w:tc>
      </w:tr>
      <w:tr w14:paraId="0A0A6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97" w:type="dxa"/>
            <w:vAlign w:val="center"/>
          </w:tcPr>
          <w:p w14:paraId="1E83352A">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886" w:type="dxa"/>
            <w:vAlign w:val="top"/>
          </w:tcPr>
          <w:p w14:paraId="51D87EC3">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24"/>
                <w:szCs w:val="24"/>
              </w:rPr>
            </w:pPr>
          </w:p>
        </w:tc>
        <w:tc>
          <w:tcPr>
            <w:tcW w:w="2766" w:type="dxa"/>
            <w:vAlign w:val="top"/>
          </w:tcPr>
          <w:p w14:paraId="435A2F4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24"/>
                <w:szCs w:val="24"/>
              </w:rPr>
            </w:pPr>
          </w:p>
        </w:tc>
        <w:tc>
          <w:tcPr>
            <w:tcW w:w="915" w:type="dxa"/>
            <w:vAlign w:val="top"/>
          </w:tcPr>
          <w:p w14:paraId="040657AB">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24"/>
                <w:szCs w:val="24"/>
              </w:rPr>
            </w:pPr>
          </w:p>
        </w:tc>
        <w:tc>
          <w:tcPr>
            <w:tcW w:w="2880" w:type="dxa"/>
            <w:vAlign w:val="top"/>
          </w:tcPr>
          <w:p w14:paraId="0BDC8A7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24"/>
                <w:szCs w:val="24"/>
              </w:rPr>
            </w:pPr>
          </w:p>
        </w:tc>
        <w:tc>
          <w:tcPr>
            <w:tcW w:w="873" w:type="dxa"/>
            <w:vAlign w:val="top"/>
          </w:tcPr>
          <w:p w14:paraId="5391B8A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24"/>
                <w:szCs w:val="24"/>
              </w:rPr>
            </w:pPr>
          </w:p>
        </w:tc>
      </w:tr>
      <w:tr w14:paraId="58F9E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97" w:type="dxa"/>
            <w:vAlign w:val="center"/>
          </w:tcPr>
          <w:p w14:paraId="5F57E14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886" w:type="dxa"/>
            <w:vAlign w:val="top"/>
          </w:tcPr>
          <w:p w14:paraId="56466D8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24"/>
                <w:szCs w:val="24"/>
              </w:rPr>
            </w:pPr>
          </w:p>
        </w:tc>
        <w:tc>
          <w:tcPr>
            <w:tcW w:w="2766" w:type="dxa"/>
            <w:vAlign w:val="top"/>
          </w:tcPr>
          <w:p w14:paraId="26EEA4C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24"/>
                <w:szCs w:val="24"/>
              </w:rPr>
            </w:pPr>
          </w:p>
        </w:tc>
        <w:tc>
          <w:tcPr>
            <w:tcW w:w="915" w:type="dxa"/>
            <w:vAlign w:val="top"/>
          </w:tcPr>
          <w:p w14:paraId="341454D3">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24"/>
                <w:szCs w:val="24"/>
              </w:rPr>
            </w:pPr>
          </w:p>
        </w:tc>
        <w:tc>
          <w:tcPr>
            <w:tcW w:w="2880" w:type="dxa"/>
            <w:vAlign w:val="top"/>
          </w:tcPr>
          <w:p w14:paraId="6D785DD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24"/>
                <w:szCs w:val="24"/>
              </w:rPr>
            </w:pPr>
          </w:p>
        </w:tc>
        <w:tc>
          <w:tcPr>
            <w:tcW w:w="873" w:type="dxa"/>
            <w:vAlign w:val="top"/>
          </w:tcPr>
          <w:p w14:paraId="5921873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24"/>
                <w:szCs w:val="24"/>
              </w:rPr>
            </w:pPr>
          </w:p>
        </w:tc>
      </w:tr>
    </w:tbl>
    <w:p w14:paraId="31F9303C">
      <w:pPr>
        <w:autoSpaceDE w:val="0"/>
        <w:autoSpaceDN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注：1.本表应按照“</w:t>
      </w:r>
      <w:r>
        <w:rPr>
          <w:rFonts w:hint="eastAsia" w:ascii="宋体" w:hAnsi="宋体" w:eastAsia="宋体" w:cs="宋体"/>
          <w:b/>
          <w:bCs/>
          <w:color w:val="auto"/>
          <w:sz w:val="24"/>
          <w:szCs w:val="24"/>
          <w:lang w:val="zh-CN"/>
        </w:rPr>
        <w:t>项目概况及技术参数</w:t>
      </w:r>
      <w:r>
        <w:rPr>
          <w:rFonts w:hint="eastAsia" w:ascii="宋体" w:hAnsi="宋体" w:eastAsia="宋体" w:cs="宋体"/>
          <w:color w:val="auto"/>
          <w:sz w:val="24"/>
          <w:szCs w:val="24"/>
          <w:lang w:val="zh-CN"/>
        </w:rPr>
        <w:t>”中产品序号的指标逐项填写，不得遗漏，否则，按无效投标处理。</w:t>
      </w:r>
    </w:p>
    <w:p w14:paraId="5C5BC5D7">
      <w:pPr>
        <w:autoSpaceDE w:val="0"/>
        <w:autoSpaceDN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“投标产品技术参数、指标”必须与</w:t>
      </w:r>
      <w:r>
        <w:rPr>
          <w:rFonts w:hint="eastAsia" w:ascii="宋体" w:hAnsi="宋体" w:eastAsia="宋体" w:cs="宋体"/>
          <w:color w:val="auto"/>
          <w:sz w:val="24"/>
          <w:szCs w:val="24"/>
        </w:rPr>
        <w:t>响应</w:t>
      </w:r>
      <w:r>
        <w:rPr>
          <w:rFonts w:hint="eastAsia" w:ascii="宋体" w:hAnsi="宋体" w:eastAsia="宋体" w:cs="宋体"/>
          <w:color w:val="auto"/>
          <w:sz w:val="24"/>
          <w:szCs w:val="24"/>
          <w:lang w:val="zh-CN"/>
        </w:rPr>
        <w:t>文件中提供的产品检测报告、彩页等证明材料的实质性响应情况相一致。若在</w:t>
      </w:r>
      <w:r>
        <w:rPr>
          <w:rFonts w:hint="eastAsia" w:ascii="宋体" w:hAnsi="宋体" w:eastAsia="宋体" w:cs="宋体"/>
          <w:color w:val="auto"/>
          <w:sz w:val="24"/>
          <w:szCs w:val="24"/>
        </w:rPr>
        <w:t>评审</w:t>
      </w:r>
      <w:r>
        <w:rPr>
          <w:rFonts w:hint="eastAsia" w:ascii="宋体" w:hAnsi="宋体" w:eastAsia="宋体" w:cs="宋体"/>
          <w:color w:val="auto"/>
          <w:sz w:val="24"/>
          <w:szCs w:val="24"/>
          <w:lang w:val="zh-CN"/>
        </w:rPr>
        <w:t>环节发现该项与</w:t>
      </w:r>
      <w:r>
        <w:rPr>
          <w:rFonts w:hint="eastAsia" w:ascii="宋体" w:hAnsi="宋体" w:eastAsia="宋体" w:cs="宋体"/>
          <w:color w:val="auto"/>
          <w:sz w:val="24"/>
          <w:szCs w:val="24"/>
        </w:rPr>
        <w:t>响应</w:t>
      </w:r>
      <w:r>
        <w:rPr>
          <w:rFonts w:hint="eastAsia" w:ascii="宋体" w:hAnsi="宋体" w:eastAsia="宋体" w:cs="宋体"/>
          <w:color w:val="auto"/>
          <w:sz w:val="24"/>
          <w:szCs w:val="24"/>
          <w:lang w:val="zh-CN"/>
        </w:rPr>
        <w:t>文件中提供的产品检测报告、彩页（或厂家公开发布的资料参数）等证明材料的实质性响应情况不一致或直接复制</w:t>
      </w:r>
      <w:r>
        <w:rPr>
          <w:rFonts w:hint="eastAsia" w:ascii="宋体" w:hAnsi="宋体" w:eastAsia="宋体" w:cs="宋体"/>
          <w:color w:val="auto"/>
          <w:sz w:val="24"/>
          <w:szCs w:val="24"/>
        </w:rPr>
        <w:t>磋商</w:t>
      </w:r>
      <w:r>
        <w:rPr>
          <w:rFonts w:hint="eastAsia" w:ascii="宋体" w:hAnsi="宋体" w:eastAsia="宋体" w:cs="宋体"/>
          <w:color w:val="auto"/>
          <w:sz w:val="24"/>
          <w:szCs w:val="24"/>
          <w:lang w:val="zh-CN"/>
        </w:rPr>
        <w:t>文件“采购需求技术参数、指标”内容的，按无效投标处理。</w:t>
      </w:r>
    </w:p>
    <w:p w14:paraId="22E86A8C">
      <w:pPr>
        <w:autoSpaceDE w:val="0"/>
        <w:autoSpaceDN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填写此表时以</w:t>
      </w:r>
      <w:r>
        <w:rPr>
          <w:rFonts w:hint="eastAsia" w:ascii="宋体" w:hAnsi="宋体" w:eastAsia="宋体" w:cs="宋体"/>
          <w:color w:val="auto"/>
          <w:sz w:val="24"/>
          <w:szCs w:val="24"/>
        </w:rPr>
        <w:t>采购</w:t>
      </w:r>
      <w:r>
        <w:rPr>
          <w:rFonts w:hint="eastAsia" w:ascii="宋体" w:hAnsi="宋体" w:eastAsia="宋体" w:cs="宋体"/>
          <w:color w:val="auto"/>
          <w:sz w:val="24"/>
          <w:szCs w:val="24"/>
          <w:lang w:val="zh-CN"/>
        </w:rPr>
        <w:t>项目参数要求为基本投标要求，满足</w:t>
      </w:r>
      <w:r>
        <w:rPr>
          <w:rFonts w:hint="eastAsia" w:ascii="宋体" w:hAnsi="宋体" w:eastAsia="宋体" w:cs="宋体"/>
          <w:color w:val="auto"/>
          <w:sz w:val="24"/>
          <w:szCs w:val="24"/>
        </w:rPr>
        <w:t>采购</w:t>
      </w:r>
      <w:r>
        <w:rPr>
          <w:rFonts w:hint="eastAsia" w:ascii="宋体" w:hAnsi="宋体" w:eastAsia="宋体" w:cs="宋体"/>
          <w:color w:val="auto"/>
          <w:sz w:val="24"/>
          <w:szCs w:val="24"/>
          <w:lang w:val="zh-CN"/>
        </w:rPr>
        <w:t>项目参数要求的指标需列出“0”；超出、不满足招标项目参数要求的指标需列出“+”、“-”偏差，并做出详细说明；如果只注明“+”、“-”或未填写，将视为该项指标不响应。</w:t>
      </w:r>
    </w:p>
    <w:p w14:paraId="10875D02">
      <w:pPr>
        <w:widowControl w:val="0"/>
        <w:wordWrap/>
        <w:adjustRightInd/>
        <w:snapToGrid/>
        <w:spacing w:line="360" w:lineRule="auto"/>
        <w:ind w:firstLine="240" w:firstLineChars="100"/>
        <w:textAlignment w:val="auto"/>
        <w:outlineLvl w:val="9"/>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4.</w:t>
      </w:r>
      <w:r>
        <w:rPr>
          <w:rFonts w:hint="eastAsia" w:ascii="宋体" w:hAnsi="宋体" w:eastAsia="宋体" w:cs="宋体"/>
          <w:color w:val="auto"/>
          <w:sz w:val="24"/>
          <w:szCs w:val="24"/>
        </w:rPr>
        <w:t>供应商</w:t>
      </w:r>
      <w:r>
        <w:rPr>
          <w:rFonts w:hint="eastAsia" w:ascii="宋体" w:hAnsi="宋体" w:eastAsia="宋体" w:cs="宋体"/>
          <w:color w:val="auto"/>
          <w:sz w:val="24"/>
          <w:szCs w:val="24"/>
          <w:lang w:val="zh-CN"/>
        </w:rPr>
        <w:t>响应采购需求应具体、明确，含糊不清、不确切或伪造、编造证明材料的，按照实质性不响应处理。对伪造、编造证明材料的，将报告本级财政部门。</w:t>
      </w:r>
    </w:p>
    <w:p w14:paraId="59E43B50">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u w:val="single"/>
        </w:rPr>
      </w:pPr>
    </w:p>
    <w:p w14:paraId="79A15F89">
      <w:pPr>
        <w:keepNext w:val="0"/>
        <w:keepLines w:val="0"/>
        <w:pageBreakBefore w:val="0"/>
        <w:kinsoku/>
        <w:wordWrap/>
        <w:overflowPunct/>
        <w:topLinePunct w:val="0"/>
        <w:autoSpaceDE/>
        <w:autoSpaceDN/>
        <w:bidi w:val="0"/>
        <w:adjustRightInd/>
        <w:snapToGrid/>
        <w:spacing w:line="360" w:lineRule="auto"/>
        <w:ind w:right="0" w:firstLine="480" w:firstLineChars="200"/>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eastAsia="zh-CN"/>
        </w:rPr>
        <w:t>单</w:t>
      </w:r>
      <w:r>
        <w:rPr>
          <w:rFonts w:hint="eastAsia" w:ascii="宋体" w:hAnsi="宋体" w:eastAsia="宋体" w:cs="宋体"/>
          <w:b w:val="0"/>
          <w:bCs/>
          <w:color w:val="auto"/>
          <w:sz w:val="24"/>
          <w:szCs w:val="24"/>
        </w:rPr>
        <w:t>位</w:t>
      </w:r>
      <w:r>
        <w:rPr>
          <w:rFonts w:hint="eastAsia" w:ascii="宋体" w:hAnsi="宋体" w:eastAsia="宋体" w:cs="宋体"/>
          <w:b w:val="0"/>
          <w:bCs/>
          <w:color w:val="auto"/>
          <w:sz w:val="24"/>
          <w:szCs w:val="24"/>
          <w:lang w:eastAsia="zh-CN"/>
        </w:rPr>
        <w:t>名称</w:t>
      </w:r>
      <w:r>
        <w:rPr>
          <w:rFonts w:hint="eastAsia" w:ascii="宋体" w:hAnsi="宋体" w:eastAsia="宋体" w:cs="宋体"/>
          <w:b w:val="0"/>
          <w:bCs/>
          <w:color w:val="auto"/>
          <w:sz w:val="24"/>
          <w:szCs w:val="24"/>
        </w:rPr>
        <w:t>：</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rPr>
        <w:t>（公章）</w:t>
      </w:r>
    </w:p>
    <w:p w14:paraId="356065C2">
      <w:pPr>
        <w:keepNext w:val="0"/>
        <w:keepLines w:val="0"/>
        <w:pageBreakBefore w:val="0"/>
        <w:kinsoku/>
        <w:wordWrap/>
        <w:overflowPunct/>
        <w:topLinePunct w:val="0"/>
        <w:autoSpaceDE/>
        <w:autoSpaceDN/>
        <w:bidi w:val="0"/>
        <w:adjustRightInd/>
        <w:snapToGrid/>
        <w:spacing w:line="360" w:lineRule="auto"/>
        <w:ind w:right="0" w:firstLine="480" w:firstLineChars="200"/>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法定代表人或委托代理人：</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rPr>
        <w:t>（签字或盖章）</w:t>
      </w:r>
    </w:p>
    <w:p w14:paraId="1079C717">
      <w:pPr>
        <w:keepNext w:val="0"/>
        <w:keepLines w:val="0"/>
        <w:pageBreakBefore w:val="0"/>
        <w:widowControl w:val="0"/>
        <w:kinsoku/>
        <w:wordWrap/>
        <w:overflowPunct/>
        <w:topLinePunct w:val="0"/>
        <w:bidi w:val="0"/>
        <w:adjustRightInd/>
        <w:snapToGrid/>
        <w:spacing w:line="360" w:lineRule="auto"/>
        <w:ind w:left="0" w:leftChars="0" w:firstLine="480" w:firstLineChars="200"/>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年   月 </w:t>
      </w: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 w:val="0"/>
          <w:bCs/>
          <w:color w:val="auto"/>
          <w:sz w:val="24"/>
          <w:szCs w:val="24"/>
        </w:rPr>
        <w:t xml:space="preserve"> 日</w:t>
      </w:r>
    </w:p>
    <w:p w14:paraId="633F8CA3">
      <w:pPr>
        <w:keepNext w:val="0"/>
        <w:keepLines w:val="0"/>
        <w:pageBreakBefore w:val="0"/>
        <w:kinsoku/>
        <w:wordWrap/>
        <w:overflowPunct/>
        <w:topLinePunct w:val="0"/>
        <w:bidi w:val="0"/>
        <w:adjustRightInd/>
        <w:snapToGrid/>
        <w:spacing w:line="360" w:lineRule="auto"/>
        <w:ind w:left="0" w:leftChars="0"/>
        <w:rPr>
          <w:rFonts w:hint="eastAsia" w:ascii="宋体" w:hAnsi="宋体" w:eastAsia="宋体" w:cs="宋体"/>
          <w:color w:val="auto"/>
          <w:sz w:val="24"/>
          <w:szCs w:val="24"/>
        </w:rPr>
      </w:pPr>
    </w:p>
    <w:p w14:paraId="4A9BCA18">
      <w:pPr>
        <w:keepNext w:val="0"/>
        <w:keepLines w:val="0"/>
        <w:pageBreakBefore w:val="0"/>
        <w:kinsoku/>
        <w:wordWrap/>
        <w:overflowPunct/>
        <w:topLinePunct w:val="0"/>
        <w:bidi w:val="0"/>
        <w:adjustRightInd/>
        <w:snapToGrid/>
        <w:spacing w:line="360" w:lineRule="auto"/>
        <w:ind w:left="0" w:leftChars="0"/>
        <w:rPr>
          <w:rFonts w:hint="eastAsia" w:ascii="宋体" w:hAnsi="宋体" w:eastAsia="宋体" w:cs="宋体"/>
          <w:b/>
          <w:bCs w:val="0"/>
          <w:color w:val="auto"/>
          <w:kern w:val="2"/>
          <w:sz w:val="28"/>
          <w:szCs w:val="28"/>
          <w:lang w:val="en-US" w:eastAsia="zh-CN" w:bidi="ar-SA"/>
        </w:rPr>
      </w:pPr>
      <w:bookmarkStart w:id="455" w:name="_Toc6913_WPSOffice_Level3"/>
      <w:bookmarkStart w:id="456" w:name="_Toc7597"/>
      <w:bookmarkStart w:id="457" w:name="_Toc14547"/>
      <w:bookmarkStart w:id="458" w:name="_Toc18025_WPSOffice_Level3"/>
      <w:bookmarkStart w:id="459" w:name="_Toc28501"/>
      <w:r>
        <w:rPr>
          <w:rFonts w:hint="eastAsia" w:ascii="宋体" w:hAnsi="宋体" w:eastAsia="宋体" w:cs="宋体"/>
          <w:b/>
          <w:bCs w:val="0"/>
          <w:color w:val="auto"/>
          <w:kern w:val="2"/>
          <w:sz w:val="28"/>
          <w:szCs w:val="28"/>
          <w:lang w:val="en-US" w:eastAsia="zh-CN" w:bidi="ar-SA"/>
        </w:rPr>
        <w:br w:type="page"/>
      </w:r>
    </w:p>
    <w:p w14:paraId="1D0C2076">
      <w:pPr>
        <w:keepNext w:val="0"/>
        <w:keepLines w:val="0"/>
        <w:pageBreakBefore w:val="0"/>
        <w:widowControl/>
        <w:kinsoku/>
        <w:wordWrap/>
        <w:overflowPunct/>
        <w:topLinePunct w:val="0"/>
        <w:bidi w:val="0"/>
        <w:adjustRightInd/>
        <w:snapToGrid/>
        <w:spacing w:line="360" w:lineRule="auto"/>
        <w:ind w:left="0" w:leftChars="0"/>
        <w:outlineLvl w:val="1"/>
        <w:rPr>
          <w:rFonts w:hint="eastAsia" w:ascii="宋体" w:hAnsi="宋体" w:eastAsia="宋体" w:cs="宋体"/>
          <w:b/>
          <w:color w:val="auto"/>
          <w:sz w:val="24"/>
          <w:szCs w:val="24"/>
        </w:rPr>
      </w:pPr>
      <w:bookmarkStart w:id="460" w:name="_Toc12537"/>
      <w:r>
        <w:rPr>
          <w:rFonts w:hint="eastAsia" w:ascii="宋体" w:hAnsi="宋体" w:eastAsia="宋体" w:cs="宋体"/>
          <w:b/>
          <w:bCs w:val="0"/>
          <w:color w:val="auto"/>
          <w:kern w:val="2"/>
          <w:sz w:val="28"/>
          <w:szCs w:val="28"/>
          <w:lang w:val="en-US" w:eastAsia="zh-CN" w:bidi="ar-SA"/>
        </w:rPr>
        <w:t>附件13：</w:t>
      </w:r>
      <w:bookmarkEnd w:id="455"/>
      <w:bookmarkEnd w:id="456"/>
      <w:bookmarkEnd w:id="457"/>
      <w:r>
        <w:rPr>
          <w:rFonts w:hint="eastAsia" w:ascii="宋体" w:hAnsi="宋体" w:eastAsia="宋体" w:cs="宋体"/>
          <w:b/>
          <w:bCs w:val="0"/>
          <w:color w:val="auto"/>
          <w:kern w:val="2"/>
          <w:sz w:val="28"/>
          <w:szCs w:val="28"/>
          <w:lang w:val="en-US" w:eastAsia="zh-CN" w:bidi="ar-SA"/>
        </w:rPr>
        <w:t>产品相关资料</w:t>
      </w:r>
      <w:bookmarkEnd w:id="458"/>
      <w:bookmarkEnd w:id="459"/>
      <w:bookmarkEnd w:id="460"/>
      <w:r>
        <w:rPr>
          <w:rFonts w:hint="eastAsia" w:ascii="宋体" w:hAnsi="宋体" w:eastAsia="宋体" w:cs="宋体"/>
          <w:b/>
          <w:bCs w:val="0"/>
          <w:color w:val="auto"/>
          <w:kern w:val="2"/>
          <w:sz w:val="28"/>
          <w:szCs w:val="28"/>
          <w:lang w:val="en-US" w:eastAsia="zh-CN" w:bidi="ar-SA"/>
        </w:rPr>
        <w:t>（具备履行合同所必须的设备和专业技术能力证明）</w:t>
      </w:r>
    </w:p>
    <w:p w14:paraId="504F4B28">
      <w:pPr>
        <w:keepNext w:val="0"/>
        <w:keepLines w:val="0"/>
        <w:pageBreakBefore w:val="0"/>
        <w:kinsoku/>
        <w:wordWrap/>
        <w:overflowPunct/>
        <w:topLinePunct w:val="0"/>
        <w:bidi w:val="0"/>
        <w:adjustRightInd/>
        <w:snapToGrid/>
        <w:spacing w:line="360" w:lineRule="auto"/>
        <w:ind w:left="0" w:leftChars="0"/>
        <w:jc w:val="center"/>
        <w:outlineLvl w:val="9"/>
        <w:rPr>
          <w:rFonts w:hint="eastAsia" w:ascii="宋体" w:hAnsi="宋体" w:eastAsia="宋体" w:cs="宋体"/>
          <w:bCs/>
          <w:color w:val="auto"/>
          <w:sz w:val="24"/>
          <w:szCs w:val="24"/>
        </w:rPr>
      </w:pPr>
    </w:p>
    <w:p w14:paraId="4F154C94">
      <w:pPr>
        <w:keepNext w:val="0"/>
        <w:keepLines w:val="0"/>
        <w:pageBreakBefore w:val="0"/>
        <w:widowControl/>
        <w:kinsoku/>
        <w:wordWrap/>
        <w:overflowPunct/>
        <w:topLinePunct w:val="0"/>
        <w:bidi w:val="0"/>
        <w:adjustRightInd/>
        <w:snapToGrid/>
        <w:spacing w:line="360" w:lineRule="auto"/>
        <w:ind w:left="0" w:leftChars="0" w:firstLine="504" w:firstLineChars="200"/>
        <w:jc w:val="left"/>
        <w:rPr>
          <w:rFonts w:hint="eastAsia" w:ascii="宋体" w:hAnsi="宋体" w:eastAsia="宋体" w:cs="宋体"/>
          <w:color w:val="auto"/>
          <w:spacing w:val="6"/>
          <w:kern w:val="0"/>
          <w:sz w:val="24"/>
          <w:szCs w:val="24"/>
          <w:lang w:val="zh-CN" w:eastAsia="zh-CN"/>
        </w:rPr>
      </w:pPr>
      <w:r>
        <w:rPr>
          <w:rFonts w:hint="eastAsia" w:ascii="宋体" w:hAnsi="宋体" w:eastAsia="宋体" w:cs="宋体"/>
          <w:color w:val="auto"/>
          <w:spacing w:val="6"/>
          <w:kern w:val="0"/>
          <w:sz w:val="24"/>
          <w:szCs w:val="24"/>
          <w:lang w:val="zh-CN"/>
        </w:rPr>
        <w:t>为保证本项目合同的顺利履行，供应商必须具备履行合同的设备和专业技术能力，须提供必须具备履行合同的设备和专业技术能力的承诺函（格式自拟），并提供相关设备的购置发票或相关人员的职称证书</w:t>
      </w:r>
      <w:r>
        <w:rPr>
          <w:rFonts w:hint="eastAsia" w:ascii="宋体" w:hAnsi="宋体" w:eastAsia="宋体" w:cs="宋体"/>
          <w:color w:val="auto"/>
          <w:spacing w:val="6"/>
          <w:kern w:val="0"/>
          <w:sz w:val="24"/>
          <w:szCs w:val="24"/>
          <w:lang w:val="zh-CN" w:eastAsia="zh-CN"/>
        </w:rPr>
        <w:t>或</w:t>
      </w:r>
      <w:r>
        <w:rPr>
          <w:rFonts w:hint="eastAsia" w:ascii="宋体" w:hAnsi="宋体" w:eastAsia="宋体" w:cs="宋体"/>
          <w:color w:val="auto"/>
          <w:spacing w:val="6"/>
          <w:kern w:val="0"/>
          <w:sz w:val="24"/>
          <w:szCs w:val="24"/>
          <w:lang w:val="zh-CN"/>
        </w:rPr>
        <w:t>用工合同等证明材料。</w:t>
      </w:r>
    </w:p>
    <w:p w14:paraId="2645BE07">
      <w:pPr>
        <w:keepNext w:val="0"/>
        <w:keepLines w:val="0"/>
        <w:pageBreakBefore w:val="0"/>
        <w:widowControl/>
        <w:kinsoku/>
        <w:wordWrap/>
        <w:overflowPunct/>
        <w:topLinePunct w:val="0"/>
        <w:bidi w:val="0"/>
        <w:adjustRightInd/>
        <w:snapToGrid/>
        <w:spacing w:line="360" w:lineRule="auto"/>
        <w:ind w:left="0" w:leftChars="0"/>
        <w:jc w:val="left"/>
        <w:rPr>
          <w:rFonts w:hint="eastAsia" w:ascii="宋体" w:hAnsi="宋体" w:eastAsia="宋体" w:cs="宋体"/>
          <w:color w:val="auto"/>
          <w:spacing w:val="6"/>
          <w:kern w:val="0"/>
          <w:sz w:val="24"/>
          <w:szCs w:val="24"/>
        </w:rPr>
      </w:pPr>
    </w:p>
    <w:p w14:paraId="32FFCA06">
      <w:pPr>
        <w:keepNext w:val="0"/>
        <w:keepLines w:val="0"/>
        <w:pageBreakBefore w:val="0"/>
        <w:kinsoku/>
        <w:wordWrap/>
        <w:overflowPunct/>
        <w:topLinePunct w:val="0"/>
        <w:bidi w:val="0"/>
        <w:adjustRightInd/>
        <w:snapToGrid/>
        <w:spacing w:line="360" w:lineRule="auto"/>
        <w:ind w:left="0" w:leftChars="0"/>
        <w:rPr>
          <w:rFonts w:hint="eastAsia" w:ascii="宋体" w:hAnsi="宋体" w:eastAsia="宋体" w:cs="宋体"/>
          <w:b/>
          <w:bCs w:val="0"/>
          <w:color w:val="auto"/>
          <w:kern w:val="2"/>
          <w:sz w:val="28"/>
          <w:szCs w:val="28"/>
          <w:lang w:val="en-US" w:eastAsia="zh-CN" w:bidi="ar-SA"/>
        </w:rPr>
      </w:pPr>
      <w:bookmarkStart w:id="461" w:name="_Toc31301_WPSOffice_Level3"/>
      <w:bookmarkStart w:id="462" w:name="_Toc3146_WPSOffice_Level3"/>
      <w:bookmarkStart w:id="463" w:name="_Toc4925"/>
      <w:bookmarkStart w:id="464" w:name="_Toc11887"/>
      <w:bookmarkStart w:id="465" w:name="_Toc10368"/>
      <w:r>
        <w:rPr>
          <w:rFonts w:hint="eastAsia" w:ascii="宋体" w:hAnsi="宋体" w:eastAsia="宋体" w:cs="宋体"/>
          <w:b/>
          <w:bCs w:val="0"/>
          <w:color w:val="auto"/>
          <w:kern w:val="2"/>
          <w:sz w:val="28"/>
          <w:szCs w:val="28"/>
          <w:lang w:val="en-US" w:eastAsia="zh-CN" w:bidi="ar-SA"/>
        </w:rPr>
        <w:br w:type="page"/>
      </w:r>
    </w:p>
    <w:p w14:paraId="038BF805">
      <w:pPr>
        <w:keepNext w:val="0"/>
        <w:keepLines w:val="0"/>
        <w:pageBreakBefore w:val="0"/>
        <w:widowControl/>
        <w:kinsoku/>
        <w:wordWrap/>
        <w:overflowPunct/>
        <w:topLinePunct w:val="0"/>
        <w:bidi w:val="0"/>
        <w:adjustRightInd/>
        <w:snapToGrid/>
        <w:spacing w:line="360" w:lineRule="auto"/>
        <w:ind w:left="0" w:leftChars="0"/>
        <w:outlineLvl w:val="1"/>
        <w:rPr>
          <w:rFonts w:hint="eastAsia" w:ascii="宋体" w:hAnsi="宋体" w:eastAsia="宋体" w:cs="宋体"/>
          <w:b/>
          <w:bCs w:val="0"/>
          <w:color w:val="auto"/>
          <w:kern w:val="2"/>
          <w:sz w:val="24"/>
          <w:szCs w:val="24"/>
          <w:lang w:val="en-US" w:eastAsia="zh-CN" w:bidi="ar-SA"/>
        </w:rPr>
      </w:pPr>
      <w:bookmarkStart w:id="466" w:name="_Toc1417"/>
      <w:r>
        <w:rPr>
          <w:rFonts w:hint="eastAsia" w:ascii="宋体" w:hAnsi="宋体" w:eastAsia="宋体" w:cs="宋体"/>
          <w:b/>
          <w:bCs w:val="0"/>
          <w:color w:val="auto"/>
          <w:kern w:val="2"/>
          <w:sz w:val="28"/>
          <w:szCs w:val="28"/>
          <w:lang w:val="en-US" w:eastAsia="zh-CN" w:bidi="ar-SA"/>
        </w:rPr>
        <w:t>附件14：享受政府采购政策优惠的证明资料</w:t>
      </w:r>
      <w:bookmarkEnd w:id="461"/>
      <w:bookmarkEnd w:id="462"/>
      <w:bookmarkEnd w:id="463"/>
      <w:bookmarkEnd w:id="464"/>
      <w:bookmarkEnd w:id="465"/>
      <w:bookmarkEnd w:id="466"/>
    </w:p>
    <w:p w14:paraId="3D9C3287">
      <w:pPr>
        <w:keepNext w:val="0"/>
        <w:keepLines w:val="0"/>
        <w:pageBreakBefore w:val="0"/>
        <w:numPr>
          <w:ilvl w:val="0"/>
          <w:numId w:val="0"/>
        </w:numPr>
        <w:kinsoku/>
        <w:wordWrap/>
        <w:overflowPunct/>
        <w:topLinePunct w:val="0"/>
        <w:bidi w:val="0"/>
        <w:adjustRightInd/>
        <w:snapToGrid/>
        <w:spacing w:line="360" w:lineRule="auto"/>
        <w:jc w:val="center"/>
        <w:outlineLvl w:val="9"/>
        <w:rPr>
          <w:rFonts w:hint="eastAsia" w:ascii="宋体" w:hAnsi="宋体" w:eastAsia="宋体" w:cs="宋体"/>
          <w:b/>
          <w:bCs/>
          <w:color w:val="auto"/>
          <w:kern w:val="2"/>
          <w:sz w:val="24"/>
          <w:szCs w:val="24"/>
          <w:lang w:val="en-US" w:eastAsia="zh-CN" w:bidi="ar-SA"/>
        </w:rPr>
      </w:pPr>
      <w:bookmarkStart w:id="467" w:name="_Toc25276"/>
      <w:r>
        <w:rPr>
          <w:rFonts w:hint="eastAsia" w:ascii="宋体" w:hAnsi="宋体" w:eastAsia="宋体" w:cs="宋体"/>
          <w:b/>
          <w:bCs/>
          <w:color w:val="auto"/>
          <w:kern w:val="2"/>
          <w:sz w:val="24"/>
          <w:szCs w:val="24"/>
          <w:lang w:val="en-US" w:eastAsia="zh-CN" w:bidi="ar-SA"/>
        </w:rPr>
        <w:t>1.节能产品、环境标志产品证明材料</w:t>
      </w:r>
      <w:bookmarkEnd w:id="467"/>
    </w:p>
    <w:p w14:paraId="1C6422EA">
      <w:pPr>
        <w:keepNext w:val="0"/>
        <w:keepLines w:val="0"/>
        <w:pageBreakBefore w:val="0"/>
        <w:widowControl w:val="0"/>
        <w:numPr>
          <w:ilvl w:val="0"/>
          <w:numId w:val="0"/>
        </w:numPr>
        <w:kinsoku/>
        <w:wordWrap/>
        <w:overflowPunct/>
        <w:topLinePunct w:val="0"/>
        <w:bidi w:val="0"/>
        <w:adjustRightInd/>
        <w:snapToGrid/>
        <w:spacing w:line="360" w:lineRule="auto"/>
        <w:ind w:left="0" w:lef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产品</w:t>
      </w:r>
      <w:r>
        <w:rPr>
          <w:rFonts w:hint="eastAsia" w:ascii="宋体" w:hAnsi="宋体" w:eastAsia="宋体" w:cs="宋体"/>
          <w:bCs/>
          <w:color w:val="auto"/>
          <w:sz w:val="24"/>
          <w:szCs w:val="24"/>
        </w:rPr>
        <w:t>属于</w:t>
      </w:r>
      <w:r>
        <w:rPr>
          <w:rFonts w:hint="eastAsia" w:ascii="宋体" w:hAnsi="宋体" w:eastAsia="宋体" w:cs="宋体"/>
          <w:bCs/>
          <w:color w:val="auto"/>
          <w:sz w:val="24"/>
          <w:szCs w:val="24"/>
          <w:lang w:eastAsia="zh-CN"/>
        </w:rPr>
        <w:t>品目清单范围的</w:t>
      </w:r>
      <w:r>
        <w:rPr>
          <w:rFonts w:hint="eastAsia" w:ascii="宋体" w:hAnsi="宋体" w:eastAsia="宋体" w:cs="宋体"/>
          <w:color w:val="auto"/>
          <w:sz w:val="24"/>
          <w:szCs w:val="24"/>
          <w:lang w:eastAsia="zh-CN"/>
        </w:rPr>
        <w:t>，</w:t>
      </w:r>
      <w:r>
        <w:rPr>
          <w:rFonts w:hint="eastAsia" w:ascii="宋体" w:hAnsi="宋体" w:eastAsia="宋体" w:cs="宋体"/>
          <w:bCs/>
          <w:color w:val="auto"/>
          <w:sz w:val="24"/>
          <w:szCs w:val="24"/>
          <w:lang w:eastAsia="zh-CN"/>
        </w:rPr>
        <w:t>实施政府优先采购和强制采购。</w:t>
      </w:r>
      <w:r>
        <w:rPr>
          <w:rFonts w:hint="eastAsia" w:ascii="宋体" w:hAnsi="宋体" w:eastAsia="宋体" w:cs="宋体"/>
          <w:color w:val="auto"/>
          <w:sz w:val="24"/>
          <w:szCs w:val="24"/>
        </w:rPr>
        <w:t>供应商应</w:t>
      </w:r>
      <w:r>
        <w:rPr>
          <w:rFonts w:hint="eastAsia" w:ascii="宋体" w:hAnsi="宋体" w:eastAsia="宋体" w:cs="宋体"/>
          <w:color w:val="auto"/>
          <w:sz w:val="24"/>
          <w:szCs w:val="24"/>
          <w:lang w:eastAsia="zh-CN"/>
        </w:rPr>
        <w:t>提供</w:t>
      </w:r>
      <w:r>
        <w:rPr>
          <w:rFonts w:hint="eastAsia" w:ascii="宋体" w:hAnsi="宋体" w:eastAsia="宋体" w:cs="宋体"/>
          <w:color w:val="auto"/>
          <w:sz w:val="24"/>
          <w:szCs w:val="24"/>
        </w:rPr>
        <w:t>国家确定的认证机构出具的、处于有效期之内的节能产品、环境标志产品认证证书，并加盖供应商单位公章。</w:t>
      </w:r>
    </w:p>
    <w:p w14:paraId="044BE0EC">
      <w:pPr>
        <w:keepNext w:val="0"/>
        <w:keepLines w:val="0"/>
        <w:pageBreakBefore w:val="0"/>
        <w:kinsoku/>
        <w:wordWrap/>
        <w:overflowPunct/>
        <w:topLinePunct w:val="0"/>
        <w:bidi w:val="0"/>
        <w:adjustRightInd/>
        <w:snapToGrid/>
        <w:spacing w:line="360" w:lineRule="auto"/>
        <w:ind w:left="0" w:leftChars="0"/>
        <w:rPr>
          <w:rFonts w:hint="eastAsia" w:ascii="宋体" w:hAnsi="宋体" w:eastAsia="宋体" w:cs="宋体"/>
          <w:color w:val="auto"/>
          <w:kern w:val="2"/>
          <w:sz w:val="24"/>
          <w:szCs w:val="24"/>
          <w:lang w:val="en-US" w:eastAsia="zh-CN" w:bidi="ar-SA"/>
        </w:rPr>
      </w:pPr>
    </w:p>
    <w:p w14:paraId="435C0BDC">
      <w:pPr>
        <w:keepNext w:val="0"/>
        <w:keepLines w:val="0"/>
        <w:pageBreakBefore w:val="0"/>
        <w:kinsoku/>
        <w:wordWrap/>
        <w:overflowPunct/>
        <w:topLinePunct w:val="0"/>
        <w:bidi w:val="0"/>
        <w:adjustRightInd/>
        <w:snapToGrid/>
        <w:spacing w:line="360" w:lineRule="auto"/>
        <w:ind w:left="0" w:leftChars="0"/>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br w:type="page"/>
      </w:r>
    </w:p>
    <w:p w14:paraId="1990ADBC">
      <w:pPr>
        <w:autoSpaceDE w:val="0"/>
        <w:autoSpaceDN w:val="0"/>
        <w:spacing w:line="360" w:lineRule="auto"/>
        <w:jc w:val="center"/>
        <w:rPr>
          <w:rFonts w:hint="eastAsia" w:ascii="宋体" w:hAnsi="宋体" w:eastAsia="宋体" w:cs="宋体"/>
          <w:b/>
          <w:bCs/>
          <w:color w:val="auto"/>
          <w:kern w:val="0"/>
          <w:sz w:val="24"/>
          <w:szCs w:val="24"/>
          <w:lang w:val="zh-CN" w:eastAsia="zh-CN"/>
        </w:rPr>
      </w:pPr>
      <w:bookmarkStart w:id="468" w:name="_Toc22784_WPSOffice_Level3"/>
      <w:bookmarkStart w:id="469" w:name="_Toc31539"/>
      <w:bookmarkStart w:id="470" w:name="_Toc6454"/>
      <w:r>
        <w:rPr>
          <w:rFonts w:hint="eastAsia" w:ascii="宋体" w:hAnsi="宋体" w:eastAsia="宋体" w:cs="宋体"/>
          <w:b/>
          <w:bCs/>
          <w:color w:val="auto"/>
          <w:kern w:val="2"/>
          <w:sz w:val="24"/>
          <w:szCs w:val="24"/>
          <w:lang w:val="en-US" w:eastAsia="zh-CN" w:bidi="ar-SA"/>
        </w:rPr>
        <w:t>2.</w:t>
      </w:r>
      <w:bookmarkEnd w:id="468"/>
      <w:bookmarkEnd w:id="469"/>
      <w:bookmarkEnd w:id="470"/>
      <w:r>
        <w:rPr>
          <w:rFonts w:hint="eastAsia" w:ascii="宋体" w:hAnsi="宋体" w:eastAsia="宋体" w:cs="宋体"/>
          <w:b/>
          <w:bCs/>
          <w:color w:val="auto"/>
          <w:kern w:val="0"/>
          <w:sz w:val="24"/>
          <w:szCs w:val="24"/>
          <w:lang w:eastAsia="zh-CN"/>
        </w:rPr>
        <w:t>中小企业声明函</w:t>
      </w:r>
    </w:p>
    <w:p w14:paraId="4A193019">
      <w:pPr>
        <w:autoSpaceDE w:val="0"/>
        <w:autoSpaceDN w:val="0"/>
        <w:spacing w:line="360" w:lineRule="auto"/>
        <w:ind w:left="0" w:leftChars="0" w:firstLine="0" w:firstLineChars="0"/>
        <w:rPr>
          <w:rFonts w:hint="eastAsia" w:ascii="宋体" w:hAnsi="宋体" w:eastAsia="宋体" w:cs="宋体"/>
          <w:color w:val="auto"/>
          <w:kern w:val="0"/>
          <w:sz w:val="24"/>
          <w:szCs w:val="24"/>
          <w:lang w:val="zh-CN"/>
        </w:rPr>
      </w:pPr>
      <w:r>
        <w:rPr>
          <w:rFonts w:hint="eastAsia" w:ascii="宋体" w:hAnsi="宋体" w:eastAsia="宋体" w:cs="宋体"/>
          <w:b/>
          <w:bCs/>
          <w:color w:val="auto"/>
          <w:kern w:val="0"/>
          <w:sz w:val="24"/>
          <w:szCs w:val="24"/>
          <w:lang w:val="zh-CN"/>
        </w:rPr>
        <w:t>致：青海鼎钊招标代理有限公司</w:t>
      </w:r>
    </w:p>
    <w:p w14:paraId="10C451F2">
      <w:pPr>
        <w:widowControl/>
        <w:spacing w:line="360" w:lineRule="auto"/>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本公司郑重声明，根据《政府采购促进中小企业发展管理办法》（财库﹝2020﹞46号）的规定，本公司参加</w:t>
      </w:r>
      <w:r>
        <w:rPr>
          <w:rFonts w:hint="eastAsia" w:ascii="宋体" w:hAnsi="宋体" w:eastAsia="宋体" w:cs="宋体"/>
          <w:color w:val="auto"/>
          <w:sz w:val="24"/>
          <w:szCs w:val="24"/>
          <w:u w:val="single"/>
          <w:lang w:bidi="ar"/>
        </w:rPr>
        <w:t>（单位名称）的（项目名称）</w:t>
      </w:r>
      <w:r>
        <w:rPr>
          <w:rFonts w:hint="eastAsia" w:ascii="宋体" w:hAnsi="宋体" w:eastAsia="宋体" w:cs="宋体"/>
          <w:color w:val="auto"/>
          <w:sz w:val="24"/>
          <w:szCs w:val="24"/>
          <w:lang w:bidi="ar"/>
        </w:rPr>
        <w:t>采购活动，提供的货物全部由符合政策要求的中小企业制造。相关企业的具体情况如下：</w:t>
      </w:r>
    </w:p>
    <w:p w14:paraId="0922358E">
      <w:pPr>
        <w:widowControl/>
        <w:spacing w:line="360" w:lineRule="auto"/>
        <w:ind w:firstLine="480"/>
        <w:jc w:val="left"/>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1.</w:t>
      </w:r>
      <w:r>
        <w:rPr>
          <w:rFonts w:hint="eastAsia" w:ascii="宋体" w:hAnsi="宋体" w:eastAsia="宋体" w:cs="宋体"/>
          <w:color w:val="auto"/>
          <w:sz w:val="24"/>
          <w:szCs w:val="24"/>
          <w:u w:val="single"/>
          <w:lang w:bidi="ar"/>
        </w:rPr>
        <w:t>（标的名称）</w:t>
      </w:r>
      <w:r>
        <w:rPr>
          <w:rFonts w:hint="eastAsia" w:ascii="宋体" w:hAnsi="宋体" w:eastAsia="宋体" w:cs="宋体"/>
          <w:color w:val="auto"/>
          <w:sz w:val="24"/>
          <w:szCs w:val="24"/>
          <w:lang w:bidi="ar"/>
        </w:rPr>
        <w:t>，属于</w:t>
      </w:r>
      <w:r>
        <w:rPr>
          <w:rFonts w:hint="eastAsia" w:ascii="宋体" w:hAnsi="宋体" w:eastAsia="宋体" w:cs="宋体"/>
          <w:color w:val="auto"/>
          <w:sz w:val="24"/>
          <w:szCs w:val="24"/>
          <w:u w:val="single"/>
          <w:lang w:bidi="ar"/>
        </w:rPr>
        <w:t>（采购文件中明确的所属行业）</w:t>
      </w:r>
      <w:r>
        <w:rPr>
          <w:rFonts w:hint="eastAsia" w:ascii="宋体" w:hAnsi="宋体" w:eastAsia="宋体" w:cs="宋体"/>
          <w:color w:val="auto"/>
          <w:sz w:val="24"/>
          <w:szCs w:val="24"/>
          <w:lang w:bidi="ar"/>
        </w:rPr>
        <w:t>行业；制造商为</w:t>
      </w:r>
      <w:r>
        <w:rPr>
          <w:rFonts w:hint="eastAsia" w:ascii="宋体" w:hAnsi="宋体" w:eastAsia="宋体" w:cs="宋体"/>
          <w:color w:val="auto"/>
          <w:sz w:val="24"/>
          <w:szCs w:val="24"/>
          <w:u w:val="single"/>
          <w:lang w:bidi="ar"/>
        </w:rPr>
        <w:t>（企业名称）</w:t>
      </w:r>
      <w:r>
        <w:rPr>
          <w:rFonts w:hint="eastAsia" w:ascii="宋体" w:hAnsi="宋体" w:eastAsia="宋体" w:cs="宋体"/>
          <w:color w:val="auto"/>
          <w:sz w:val="24"/>
          <w:szCs w:val="24"/>
          <w:lang w:bidi="ar"/>
        </w:rPr>
        <w:t>，从业人员</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人，营业收入为</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万元，资产总额为</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万元</w:t>
      </w:r>
      <w:r>
        <w:rPr>
          <w:rFonts w:hint="eastAsia" w:ascii="宋体" w:hAnsi="宋体" w:eastAsia="宋体" w:cs="宋体"/>
          <w:color w:val="auto"/>
          <w:sz w:val="24"/>
          <w:szCs w:val="24"/>
          <w:vertAlign w:val="superscript"/>
          <w:lang w:bidi="ar"/>
        </w:rPr>
        <w:t>1</w:t>
      </w:r>
      <w:r>
        <w:rPr>
          <w:rFonts w:hint="eastAsia" w:ascii="宋体" w:hAnsi="宋体" w:eastAsia="宋体" w:cs="宋体"/>
          <w:color w:val="auto"/>
          <w:sz w:val="24"/>
          <w:szCs w:val="24"/>
          <w:lang w:bidi="ar"/>
        </w:rPr>
        <w:t>，属于</w:t>
      </w:r>
      <w:r>
        <w:rPr>
          <w:rFonts w:hint="eastAsia" w:ascii="宋体" w:hAnsi="宋体" w:eastAsia="宋体" w:cs="宋体"/>
          <w:color w:val="auto"/>
          <w:sz w:val="24"/>
          <w:szCs w:val="24"/>
          <w:u w:val="single"/>
          <w:lang w:bidi="ar"/>
        </w:rPr>
        <w:t>（中型企业、小型企业、微型企业）</w:t>
      </w:r>
      <w:r>
        <w:rPr>
          <w:rFonts w:hint="eastAsia" w:ascii="宋体" w:hAnsi="宋体" w:eastAsia="宋体" w:cs="宋体"/>
          <w:color w:val="auto"/>
          <w:sz w:val="24"/>
          <w:szCs w:val="24"/>
          <w:lang w:bidi="ar"/>
        </w:rPr>
        <w:t>；</w:t>
      </w:r>
    </w:p>
    <w:p w14:paraId="762AE936">
      <w:pPr>
        <w:widowControl/>
        <w:spacing w:line="360" w:lineRule="auto"/>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2.</w:t>
      </w:r>
      <w:r>
        <w:rPr>
          <w:rFonts w:hint="eastAsia" w:ascii="宋体" w:hAnsi="宋体" w:eastAsia="宋体" w:cs="宋体"/>
          <w:color w:val="auto"/>
          <w:sz w:val="24"/>
          <w:szCs w:val="24"/>
          <w:u w:val="single"/>
          <w:lang w:bidi="ar"/>
        </w:rPr>
        <w:t>（标的名称）</w:t>
      </w:r>
      <w:r>
        <w:rPr>
          <w:rFonts w:hint="eastAsia" w:ascii="宋体" w:hAnsi="宋体" w:eastAsia="宋体" w:cs="宋体"/>
          <w:color w:val="auto"/>
          <w:sz w:val="24"/>
          <w:szCs w:val="24"/>
          <w:lang w:bidi="ar"/>
        </w:rPr>
        <w:t>，属于</w:t>
      </w:r>
      <w:r>
        <w:rPr>
          <w:rFonts w:hint="eastAsia" w:ascii="宋体" w:hAnsi="宋体" w:eastAsia="宋体" w:cs="宋体"/>
          <w:color w:val="auto"/>
          <w:sz w:val="24"/>
          <w:szCs w:val="24"/>
          <w:u w:val="single"/>
          <w:lang w:bidi="ar"/>
        </w:rPr>
        <w:t>（采购文件中明确的所属行业）</w:t>
      </w:r>
      <w:r>
        <w:rPr>
          <w:rFonts w:hint="eastAsia" w:ascii="宋体" w:hAnsi="宋体" w:eastAsia="宋体" w:cs="宋体"/>
          <w:color w:val="auto"/>
          <w:sz w:val="24"/>
          <w:szCs w:val="24"/>
          <w:lang w:bidi="ar"/>
        </w:rPr>
        <w:t>行业；制造商为</w:t>
      </w:r>
      <w:r>
        <w:rPr>
          <w:rFonts w:hint="eastAsia" w:ascii="宋体" w:hAnsi="宋体" w:eastAsia="宋体" w:cs="宋体"/>
          <w:color w:val="auto"/>
          <w:sz w:val="24"/>
          <w:szCs w:val="24"/>
          <w:u w:val="single"/>
          <w:lang w:bidi="ar"/>
        </w:rPr>
        <w:t>（企业名称）</w:t>
      </w:r>
      <w:r>
        <w:rPr>
          <w:rFonts w:hint="eastAsia" w:ascii="宋体" w:hAnsi="宋体" w:eastAsia="宋体" w:cs="宋体"/>
          <w:color w:val="auto"/>
          <w:sz w:val="24"/>
          <w:szCs w:val="24"/>
          <w:lang w:bidi="ar"/>
        </w:rPr>
        <w:t>，从业人员</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人，营业收入为</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万元，资产总额为</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万元</w:t>
      </w:r>
      <w:r>
        <w:rPr>
          <w:rFonts w:hint="eastAsia" w:ascii="宋体" w:hAnsi="宋体" w:eastAsia="宋体" w:cs="宋体"/>
          <w:color w:val="auto"/>
          <w:sz w:val="24"/>
          <w:szCs w:val="24"/>
          <w:vertAlign w:val="superscript"/>
          <w:lang w:bidi="ar"/>
        </w:rPr>
        <w:t>1</w:t>
      </w:r>
      <w:r>
        <w:rPr>
          <w:rFonts w:hint="eastAsia" w:ascii="宋体" w:hAnsi="宋体" w:eastAsia="宋体" w:cs="宋体"/>
          <w:color w:val="auto"/>
          <w:sz w:val="24"/>
          <w:szCs w:val="24"/>
          <w:lang w:bidi="ar"/>
        </w:rPr>
        <w:t>，属于</w:t>
      </w:r>
      <w:r>
        <w:rPr>
          <w:rFonts w:hint="eastAsia" w:ascii="宋体" w:hAnsi="宋体" w:eastAsia="宋体" w:cs="宋体"/>
          <w:color w:val="auto"/>
          <w:sz w:val="24"/>
          <w:szCs w:val="24"/>
          <w:u w:val="single"/>
          <w:lang w:bidi="ar"/>
        </w:rPr>
        <w:t>（中型企业、小型企业、微型企业）</w:t>
      </w:r>
      <w:r>
        <w:rPr>
          <w:rFonts w:hint="eastAsia" w:ascii="宋体" w:hAnsi="宋体" w:eastAsia="宋体" w:cs="宋体"/>
          <w:color w:val="auto"/>
          <w:sz w:val="24"/>
          <w:szCs w:val="24"/>
          <w:lang w:bidi="ar"/>
        </w:rPr>
        <w:t>；</w:t>
      </w:r>
    </w:p>
    <w:p w14:paraId="4232465D">
      <w:pPr>
        <w:widowControl/>
        <w:spacing w:line="360" w:lineRule="auto"/>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w:t>
      </w:r>
    </w:p>
    <w:p w14:paraId="784ACB6A">
      <w:pPr>
        <w:widowControl/>
        <w:spacing w:line="360" w:lineRule="auto"/>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以上企业，不属于大企业的分支机构，不存在控股股东为大企业的情形，也不存在与大企业的负责人为同一人的情形。</w:t>
      </w:r>
    </w:p>
    <w:p w14:paraId="2732C8CA">
      <w:pPr>
        <w:widowControl/>
        <w:spacing w:line="360" w:lineRule="auto"/>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本企业对上述声明内容的真实性负责。如有虚假，将依法承担相应责任。</w:t>
      </w:r>
    </w:p>
    <w:p w14:paraId="47494E04">
      <w:pPr>
        <w:widowControl/>
        <w:spacing w:line="360" w:lineRule="auto"/>
        <w:ind w:firstLine="480"/>
        <w:jc w:val="center"/>
        <w:rPr>
          <w:rFonts w:hint="eastAsia" w:ascii="宋体" w:hAnsi="宋体" w:eastAsia="宋体" w:cs="宋体"/>
          <w:color w:val="auto"/>
          <w:sz w:val="24"/>
          <w:szCs w:val="24"/>
        </w:rPr>
      </w:pPr>
    </w:p>
    <w:p w14:paraId="265E732E">
      <w:pPr>
        <w:widowControl/>
        <w:spacing w:line="360" w:lineRule="auto"/>
        <w:ind w:firstLine="480"/>
        <w:jc w:val="center"/>
        <w:rPr>
          <w:rFonts w:hint="eastAsia" w:ascii="宋体" w:hAnsi="宋体" w:eastAsia="宋体" w:cs="宋体"/>
          <w:color w:val="auto"/>
          <w:sz w:val="24"/>
          <w:szCs w:val="24"/>
        </w:rPr>
      </w:pPr>
    </w:p>
    <w:p w14:paraId="2BCD4CF6">
      <w:pPr>
        <w:widowControl/>
        <w:spacing w:line="360" w:lineRule="auto"/>
        <w:ind w:firstLine="480"/>
        <w:jc w:val="center"/>
        <w:rPr>
          <w:rFonts w:hint="eastAsia" w:ascii="宋体" w:hAnsi="宋体" w:eastAsia="宋体" w:cs="宋体"/>
          <w:color w:val="auto"/>
          <w:sz w:val="24"/>
          <w:szCs w:val="24"/>
        </w:rPr>
      </w:pPr>
    </w:p>
    <w:p w14:paraId="1C5846E5">
      <w:pPr>
        <w:widowControl/>
        <w:spacing w:line="360" w:lineRule="auto"/>
        <w:ind w:firstLine="482"/>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企业名称（盖章）：</w:t>
      </w:r>
    </w:p>
    <w:p w14:paraId="5467C756">
      <w:pPr>
        <w:widowControl/>
        <w:spacing w:line="360" w:lineRule="auto"/>
        <w:ind w:firstLine="482"/>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日 期：</w:t>
      </w:r>
    </w:p>
    <w:p w14:paraId="15B01F76">
      <w:pPr>
        <w:pStyle w:val="17"/>
        <w:ind w:firstLine="420"/>
        <w:rPr>
          <w:rFonts w:hint="eastAsia" w:ascii="宋体" w:hAnsi="宋体" w:eastAsia="宋体" w:cs="宋体"/>
          <w:color w:val="auto"/>
        </w:rPr>
      </w:pPr>
    </w:p>
    <w:p w14:paraId="342AF0B9">
      <w:pPr>
        <w:widowControl/>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注：1.</w:t>
      </w:r>
      <w:r>
        <w:rPr>
          <w:rFonts w:hint="eastAsia" w:ascii="宋体" w:hAnsi="宋体" w:eastAsia="宋体" w:cs="宋体"/>
          <w:color w:val="auto"/>
          <w:sz w:val="24"/>
          <w:szCs w:val="24"/>
          <w:vertAlign w:val="superscript"/>
        </w:rPr>
        <w:t>1</w:t>
      </w:r>
      <w:r>
        <w:rPr>
          <w:rFonts w:hint="eastAsia" w:ascii="宋体" w:hAnsi="宋体" w:eastAsia="宋体" w:cs="宋体"/>
          <w:color w:val="auto"/>
          <w:sz w:val="24"/>
          <w:szCs w:val="24"/>
        </w:rPr>
        <w:t>从业人员、营业收入、资产总额填报上一年度数据，无上一年度数据的新成立企业可不填报。</w:t>
      </w:r>
    </w:p>
    <w:p w14:paraId="32B98AC1">
      <w:pPr>
        <w:pStyle w:val="8"/>
        <w:ind w:firstLine="480"/>
        <w:rPr>
          <w:rFonts w:hint="eastAsia" w:ascii="宋体" w:hAnsi="宋体" w:eastAsia="宋体" w:cs="宋体"/>
          <w:color w:val="auto"/>
          <w:szCs w:val="24"/>
        </w:rPr>
      </w:pPr>
      <w:r>
        <w:rPr>
          <w:rFonts w:hint="eastAsia" w:ascii="宋体" w:hAnsi="宋体" w:eastAsia="宋体" w:cs="宋体"/>
          <w:color w:val="auto"/>
          <w:szCs w:val="24"/>
        </w:rPr>
        <w:t>2.成交供应商享受《政府采购促进中小企业发展管理办法》规定的中小企业扶持政策的，采购代理机构应当随成交结果公开成交供应商的《中小企业声明函》。</w:t>
      </w:r>
    </w:p>
    <w:p w14:paraId="521E43E6">
      <w:pPr>
        <w:pStyle w:val="8"/>
        <w:ind w:firstLine="480"/>
        <w:rPr>
          <w:rFonts w:hint="eastAsia" w:ascii="宋体" w:hAnsi="宋体" w:eastAsia="宋体" w:cs="宋体"/>
          <w:color w:val="auto"/>
          <w:spacing w:val="6"/>
          <w:kern w:val="0"/>
          <w:sz w:val="24"/>
          <w:szCs w:val="24"/>
        </w:rPr>
      </w:pPr>
      <w:r>
        <w:rPr>
          <w:rFonts w:hint="eastAsia" w:ascii="宋体" w:hAnsi="宋体" w:eastAsia="宋体" w:cs="宋体"/>
          <w:color w:val="auto"/>
          <w:sz w:val="24"/>
          <w:szCs w:val="24"/>
        </w:rPr>
        <w:t>3.若无此项内容，可不提供此函。</w:t>
      </w:r>
    </w:p>
    <w:p w14:paraId="71EB0179">
      <w:pPr>
        <w:widowControl/>
        <w:spacing w:line="240" w:lineRule="auto"/>
        <w:ind w:firstLine="0" w:firstLineChars="0"/>
        <w:jc w:val="left"/>
        <w:rPr>
          <w:rFonts w:hint="eastAsia" w:ascii="宋体" w:hAnsi="宋体" w:eastAsia="宋体" w:cs="宋体"/>
          <w:color w:val="auto"/>
          <w:sz w:val="32"/>
          <w:szCs w:val="32"/>
        </w:rPr>
      </w:pPr>
      <w:bookmarkStart w:id="471" w:name="_Toc12160"/>
      <w:bookmarkStart w:id="472" w:name="_Toc14211_WPSOffice_Level3"/>
      <w:bookmarkStart w:id="473" w:name="_Toc11740"/>
      <w:r>
        <w:rPr>
          <w:rFonts w:hint="eastAsia" w:ascii="宋体" w:hAnsi="宋体" w:eastAsia="宋体" w:cs="宋体"/>
          <w:b w:val="0"/>
          <w:bCs w:val="0"/>
          <w:color w:val="auto"/>
          <w:kern w:val="2"/>
          <w:sz w:val="24"/>
          <w:szCs w:val="24"/>
          <w:lang w:val="en-US" w:eastAsia="zh-CN" w:bidi="ar-SA"/>
        </w:rPr>
        <w:br w:type="page"/>
      </w:r>
      <w:r>
        <w:rPr>
          <w:rFonts w:hint="eastAsia" w:ascii="宋体" w:hAnsi="宋体" w:eastAsia="宋体" w:cs="宋体"/>
          <w:b/>
          <w:bCs/>
          <w:color w:val="auto"/>
          <w:sz w:val="28"/>
          <w:szCs w:val="28"/>
        </w:rPr>
        <w:t>附表</w:t>
      </w:r>
    </w:p>
    <w:p w14:paraId="751CCCE1">
      <w:pPr>
        <w:widowControl/>
        <w:spacing w:line="360" w:lineRule="auto"/>
        <w:ind w:firstLine="562"/>
        <w:jc w:val="center"/>
        <w:rPr>
          <w:rFonts w:hint="eastAsia" w:ascii="宋体" w:hAnsi="宋体" w:eastAsia="宋体" w:cs="宋体"/>
          <w:color w:val="auto"/>
          <w:sz w:val="36"/>
          <w:szCs w:val="32"/>
        </w:rPr>
      </w:pPr>
      <w:r>
        <w:rPr>
          <w:rFonts w:hint="eastAsia" w:ascii="宋体" w:hAnsi="宋体" w:eastAsia="宋体" w:cs="宋体"/>
          <w:b/>
          <w:bCs/>
          <w:color w:val="auto"/>
          <w:sz w:val="28"/>
          <w:szCs w:val="28"/>
        </w:rPr>
        <w:t>大中小微型企业划分标准</w:t>
      </w:r>
    </w:p>
    <w:tbl>
      <w:tblPr>
        <w:tblStyle w:val="18"/>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058"/>
        <w:gridCol w:w="1410"/>
        <w:gridCol w:w="1065"/>
        <w:gridCol w:w="1217"/>
        <w:gridCol w:w="1708"/>
        <w:gridCol w:w="1674"/>
        <w:gridCol w:w="1073"/>
      </w:tblGrid>
      <w:tr w14:paraId="07330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Align w:val="center"/>
          </w:tcPr>
          <w:p w14:paraId="70E68DE4">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bCs/>
                <w:color w:val="auto"/>
                <w:szCs w:val="21"/>
              </w:rPr>
            </w:pPr>
            <w:r>
              <w:rPr>
                <w:rFonts w:hint="eastAsia" w:ascii="宋体" w:hAnsi="宋体" w:eastAsia="宋体" w:cs="宋体"/>
                <w:b/>
                <w:bCs/>
                <w:color w:val="auto"/>
                <w:szCs w:val="21"/>
              </w:rPr>
              <w:t>行业名称</w:t>
            </w:r>
          </w:p>
        </w:tc>
        <w:tc>
          <w:tcPr>
            <w:tcW w:w="1410" w:type="dxa"/>
            <w:vAlign w:val="center"/>
          </w:tcPr>
          <w:p w14:paraId="4AC9DB92">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bCs/>
                <w:color w:val="auto"/>
                <w:szCs w:val="21"/>
              </w:rPr>
            </w:pPr>
            <w:r>
              <w:rPr>
                <w:rFonts w:hint="eastAsia" w:ascii="宋体" w:hAnsi="宋体" w:eastAsia="宋体" w:cs="宋体"/>
                <w:b/>
                <w:bCs/>
                <w:color w:val="auto"/>
                <w:szCs w:val="21"/>
              </w:rPr>
              <w:t>指标名称</w:t>
            </w:r>
          </w:p>
        </w:tc>
        <w:tc>
          <w:tcPr>
            <w:tcW w:w="1065" w:type="dxa"/>
            <w:vAlign w:val="center"/>
          </w:tcPr>
          <w:p w14:paraId="7AC373D9">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bCs/>
                <w:color w:val="auto"/>
                <w:szCs w:val="21"/>
              </w:rPr>
            </w:pPr>
            <w:r>
              <w:rPr>
                <w:rFonts w:hint="eastAsia" w:ascii="宋体" w:hAnsi="宋体" w:eastAsia="宋体" w:cs="宋体"/>
                <w:b/>
                <w:bCs/>
                <w:color w:val="auto"/>
                <w:szCs w:val="21"/>
              </w:rPr>
              <w:t>计量单位</w:t>
            </w:r>
          </w:p>
        </w:tc>
        <w:tc>
          <w:tcPr>
            <w:tcW w:w="1217" w:type="dxa"/>
            <w:vAlign w:val="center"/>
          </w:tcPr>
          <w:p w14:paraId="4563EA16">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bCs/>
                <w:color w:val="auto"/>
                <w:szCs w:val="21"/>
              </w:rPr>
            </w:pPr>
            <w:r>
              <w:rPr>
                <w:rFonts w:hint="eastAsia" w:ascii="宋体" w:hAnsi="宋体" w:eastAsia="宋体" w:cs="宋体"/>
                <w:b/>
                <w:bCs/>
                <w:color w:val="auto"/>
                <w:szCs w:val="21"/>
              </w:rPr>
              <w:t>大型</w:t>
            </w:r>
          </w:p>
        </w:tc>
        <w:tc>
          <w:tcPr>
            <w:tcW w:w="1708" w:type="dxa"/>
            <w:vAlign w:val="center"/>
          </w:tcPr>
          <w:p w14:paraId="451A48FC">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bCs/>
                <w:color w:val="auto"/>
                <w:szCs w:val="21"/>
              </w:rPr>
            </w:pPr>
            <w:r>
              <w:rPr>
                <w:rFonts w:hint="eastAsia" w:ascii="宋体" w:hAnsi="宋体" w:eastAsia="宋体" w:cs="宋体"/>
                <w:b/>
                <w:bCs/>
                <w:color w:val="auto"/>
                <w:szCs w:val="21"/>
              </w:rPr>
              <w:t>中型</w:t>
            </w:r>
          </w:p>
        </w:tc>
        <w:tc>
          <w:tcPr>
            <w:tcW w:w="1674" w:type="dxa"/>
            <w:vAlign w:val="center"/>
          </w:tcPr>
          <w:p w14:paraId="78D9C061">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bCs/>
                <w:color w:val="auto"/>
                <w:szCs w:val="21"/>
              </w:rPr>
            </w:pPr>
            <w:r>
              <w:rPr>
                <w:rFonts w:hint="eastAsia" w:ascii="宋体" w:hAnsi="宋体" w:eastAsia="宋体" w:cs="宋体"/>
                <w:b/>
                <w:bCs/>
                <w:color w:val="auto"/>
                <w:szCs w:val="21"/>
              </w:rPr>
              <w:t>小型</w:t>
            </w:r>
          </w:p>
        </w:tc>
        <w:tc>
          <w:tcPr>
            <w:tcW w:w="1073" w:type="dxa"/>
            <w:vAlign w:val="center"/>
          </w:tcPr>
          <w:p w14:paraId="07B272E6">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bCs/>
                <w:color w:val="auto"/>
                <w:szCs w:val="21"/>
              </w:rPr>
            </w:pPr>
            <w:r>
              <w:rPr>
                <w:rFonts w:hint="eastAsia" w:ascii="宋体" w:hAnsi="宋体" w:eastAsia="宋体" w:cs="宋体"/>
                <w:b/>
                <w:bCs/>
                <w:color w:val="auto"/>
                <w:szCs w:val="21"/>
              </w:rPr>
              <w:t>微型</w:t>
            </w:r>
          </w:p>
        </w:tc>
      </w:tr>
      <w:tr w14:paraId="37FC8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Align w:val="center"/>
          </w:tcPr>
          <w:p w14:paraId="7A6A1A19">
            <w:pPr>
              <w:keepNext w:val="0"/>
              <w:keepLines w:val="0"/>
              <w:pageBreakBefore w:val="0"/>
              <w:widowControl/>
              <w:kinsoku/>
              <w:wordWrap/>
              <w:overflowPunct/>
              <w:topLinePunct w:val="0"/>
              <w:autoSpaceDE/>
              <w:autoSpaceDN/>
              <w:bidi w:val="0"/>
              <w:adjustRightInd/>
              <w:snapToGrid/>
              <w:spacing w:line="288" w:lineRule="auto"/>
              <w:ind w:firstLine="0" w:firstLineChars="0"/>
              <w:jc w:val="left"/>
              <w:textAlignment w:val="auto"/>
              <w:rPr>
                <w:rFonts w:hint="eastAsia" w:ascii="宋体" w:hAnsi="宋体" w:eastAsia="宋体" w:cs="宋体"/>
                <w:color w:val="auto"/>
                <w:szCs w:val="21"/>
              </w:rPr>
            </w:pPr>
            <w:r>
              <w:rPr>
                <w:rFonts w:hint="eastAsia" w:ascii="宋体" w:hAnsi="宋体" w:eastAsia="宋体" w:cs="宋体"/>
                <w:color w:val="auto"/>
                <w:szCs w:val="21"/>
              </w:rPr>
              <w:t>农、林、牧、渔业</w:t>
            </w:r>
          </w:p>
        </w:tc>
        <w:tc>
          <w:tcPr>
            <w:tcW w:w="1410" w:type="dxa"/>
            <w:vAlign w:val="center"/>
          </w:tcPr>
          <w:p w14:paraId="41EA4D2C">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营业收入(Y)</w:t>
            </w:r>
          </w:p>
        </w:tc>
        <w:tc>
          <w:tcPr>
            <w:tcW w:w="1065" w:type="dxa"/>
            <w:vAlign w:val="center"/>
          </w:tcPr>
          <w:p w14:paraId="273C63A9">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万元</w:t>
            </w:r>
          </w:p>
        </w:tc>
        <w:tc>
          <w:tcPr>
            <w:tcW w:w="1217" w:type="dxa"/>
            <w:vAlign w:val="center"/>
          </w:tcPr>
          <w:p w14:paraId="1037CD18">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Y≥20000</w:t>
            </w:r>
          </w:p>
        </w:tc>
        <w:tc>
          <w:tcPr>
            <w:tcW w:w="1708" w:type="dxa"/>
            <w:vAlign w:val="center"/>
          </w:tcPr>
          <w:p w14:paraId="0279362B">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500≤Y＜20000</w:t>
            </w:r>
          </w:p>
        </w:tc>
        <w:tc>
          <w:tcPr>
            <w:tcW w:w="1674" w:type="dxa"/>
            <w:vAlign w:val="center"/>
          </w:tcPr>
          <w:p w14:paraId="075EBDFC">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50≤Y＜500</w:t>
            </w:r>
          </w:p>
        </w:tc>
        <w:tc>
          <w:tcPr>
            <w:tcW w:w="1073" w:type="dxa"/>
            <w:vAlign w:val="center"/>
          </w:tcPr>
          <w:p w14:paraId="28AF2034">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Y＜50</w:t>
            </w:r>
          </w:p>
        </w:tc>
      </w:tr>
      <w:tr w14:paraId="242DA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restart"/>
            <w:vAlign w:val="center"/>
          </w:tcPr>
          <w:p w14:paraId="4C936080">
            <w:pPr>
              <w:keepNext w:val="0"/>
              <w:keepLines w:val="0"/>
              <w:pageBreakBefore w:val="0"/>
              <w:widowControl/>
              <w:kinsoku/>
              <w:wordWrap/>
              <w:overflowPunct/>
              <w:topLinePunct w:val="0"/>
              <w:autoSpaceDE/>
              <w:autoSpaceDN/>
              <w:bidi w:val="0"/>
              <w:adjustRightInd/>
              <w:snapToGrid/>
              <w:spacing w:line="288" w:lineRule="auto"/>
              <w:ind w:firstLine="0" w:firstLineChars="0"/>
              <w:jc w:val="left"/>
              <w:textAlignment w:val="auto"/>
              <w:rPr>
                <w:rFonts w:hint="eastAsia" w:ascii="宋体" w:hAnsi="宋体" w:eastAsia="宋体" w:cs="宋体"/>
                <w:b/>
                <w:bCs/>
                <w:color w:val="auto"/>
                <w:szCs w:val="21"/>
              </w:rPr>
            </w:pPr>
            <w:r>
              <w:rPr>
                <w:rFonts w:hint="eastAsia" w:ascii="宋体" w:hAnsi="宋体" w:eastAsia="宋体" w:cs="宋体"/>
                <w:b/>
                <w:bCs/>
                <w:color w:val="auto"/>
                <w:szCs w:val="21"/>
              </w:rPr>
              <w:t>工业*</w:t>
            </w:r>
          </w:p>
        </w:tc>
        <w:tc>
          <w:tcPr>
            <w:tcW w:w="1410" w:type="dxa"/>
            <w:vAlign w:val="center"/>
          </w:tcPr>
          <w:p w14:paraId="41EB8519">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bCs/>
                <w:color w:val="auto"/>
                <w:szCs w:val="21"/>
              </w:rPr>
            </w:pPr>
            <w:r>
              <w:rPr>
                <w:rFonts w:hint="eastAsia" w:ascii="宋体" w:hAnsi="宋体" w:eastAsia="宋体" w:cs="宋体"/>
                <w:b/>
                <w:bCs/>
                <w:color w:val="auto"/>
                <w:szCs w:val="21"/>
              </w:rPr>
              <w:t>从业人员(X)</w:t>
            </w:r>
          </w:p>
        </w:tc>
        <w:tc>
          <w:tcPr>
            <w:tcW w:w="1065" w:type="dxa"/>
            <w:vAlign w:val="center"/>
          </w:tcPr>
          <w:p w14:paraId="0FFB5096">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bCs/>
                <w:color w:val="auto"/>
                <w:szCs w:val="21"/>
              </w:rPr>
            </w:pPr>
            <w:r>
              <w:rPr>
                <w:rFonts w:hint="eastAsia" w:ascii="宋体" w:hAnsi="宋体" w:eastAsia="宋体" w:cs="宋体"/>
                <w:b/>
                <w:bCs/>
                <w:color w:val="auto"/>
                <w:szCs w:val="21"/>
              </w:rPr>
              <w:t>人</w:t>
            </w:r>
          </w:p>
        </w:tc>
        <w:tc>
          <w:tcPr>
            <w:tcW w:w="1217" w:type="dxa"/>
            <w:vAlign w:val="center"/>
          </w:tcPr>
          <w:p w14:paraId="1E756947">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bCs/>
                <w:color w:val="auto"/>
                <w:szCs w:val="21"/>
              </w:rPr>
            </w:pPr>
            <w:r>
              <w:rPr>
                <w:rFonts w:hint="eastAsia" w:ascii="宋体" w:hAnsi="宋体" w:eastAsia="宋体" w:cs="宋体"/>
                <w:b/>
                <w:bCs/>
                <w:color w:val="auto"/>
                <w:szCs w:val="21"/>
              </w:rPr>
              <w:t>X≥1000</w:t>
            </w:r>
          </w:p>
        </w:tc>
        <w:tc>
          <w:tcPr>
            <w:tcW w:w="1708" w:type="dxa"/>
            <w:vAlign w:val="center"/>
          </w:tcPr>
          <w:p w14:paraId="5DE51E93">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bCs/>
                <w:color w:val="auto"/>
                <w:szCs w:val="21"/>
              </w:rPr>
            </w:pPr>
            <w:r>
              <w:rPr>
                <w:rFonts w:hint="eastAsia" w:ascii="宋体" w:hAnsi="宋体" w:eastAsia="宋体" w:cs="宋体"/>
                <w:b/>
                <w:bCs/>
                <w:color w:val="auto"/>
                <w:szCs w:val="21"/>
              </w:rPr>
              <w:t>300≤X＜1000</w:t>
            </w:r>
          </w:p>
        </w:tc>
        <w:tc>
          <w:tcPr>
            <w:tcW w:w="1674" w:type="dxa"/>
            <w:vAlign w:val="center"/>
          </w:tcPr>
          <w:p w14:paraId="77698F5B">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bCs/>
                <w:color w:val="auto"/>
                <w:szCs w:val="21"/>
              </w:rPr>
            </w:pPr>
            <w:r>
              <w:rPr>
                <w:rFonts w:hint="eastAsia" w:ascii="宋体" w:hAnsi="宋体" w:eastAsia="宋体" w:cs="宋体"/>
                <w:b/>
                <w:bCs/>
                <w:color w:val="auto"/>
                <w:szCs w:val="21"/>
              </w:rPr>
              <w:t>20≤X＜300</w:t>
            </w:r>
          </w:p>
        </w:tc>
        <w:tc>
          <w:tcPr>
            <w:tcW w:w="1073" w:type="dxa"/>
            <w:vAlign w:val="center"/>
          </w:tcPr>
          <w:p w14:paraId="4AD11F70">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bCs/>
                <w:color w:val="auto"/>
                <w:szCs w:val="21"/>
              </w:rPr>
            </w:pPr>
            <w:r>
              <w:rPr>
                <w:rFonts w:hint="eastAsia" w:ascii="宋体" w:hAnsi="宋体" w:eastAsia="宋体" w:cs="宋体"/>
                <w:b/>
                <w:bCs/>
                <w:color w:val="auto"/>
                <w:szCs w:val="21"/>
              </w:rPr>
              <w:t>X＜20</w:t>
            </w:r>
          </w:p>
        </w:tc>
      </w:tr>
      <w:tr w14:paraId="47FC6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continue"/>
            <w:vAlign w:val="center"/>
          </w:tcPr>
          <w:p w14:paraId="51E6608C">
            <w:pPr>
              <w:keepNext w:val="0"/>
              <w:keepLines w:val="0"/>
              <w:pageBreakBefore w:val="0"/>
              <w:widowControl/>
              <w:kinsoku/>
              <w:wordWrap/>
              <w:overflowPunct/>
              <w:topLinePunct w:val="0"/>
              <w:autoSpaceDE/>
              <w:autoSpaceDN/>
              <w:bidi w:val="0"/>
              <w:adjustRightInd/>
              <w:snapToGrid/>
              <w:spacing w:line="288" w:lineRule="auto"/>
              <w:ind w:firstLine="0" w:firstLineChars="0"/>
              <w:jc w:val="left"/>
              <w:textAlignment w:val="auto"/>
              <w:rPr>
                <w:rFonts w:hint="eastAsia" w:ascii="宋体" w:hAnsi="宋体" w:eastAsia="宋体" w:cs="宋体"/>
                <w:b/>
                <w:bCs/>
                <w:color w:val="auto"/>
                <w:szCs w:val="21"/>
              </w:rPr>
            </w:pPr>
          </w:p>
        </w:tc>
        <w:tc>
          <w:tcPr>
            <w:tcW w:w="1410" w:type="dxa"/>
            <w:vAlign w:val="center"/>
          </w:tcPr>
          <w:p w14:paraId="0B81FA0B">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bCs/>
                <w:color w:val="auto"/>
                <w:szCs w:val="21"/>
              </w:rPr>
            </w:pPr>
            <w:r>
              <w:rPr>
                <w:rFonts w:hint="eastAsia" w:ascii="宋体" w:hAnsi="宋体" w:eastAsia="宋体" w:cs="宋体"/>
                <w:b/>
                <w:bCs/>
                <w:color w:val="auto"/>
                <w:szCs w:val="21"/>
              </w:rPr>
              <w:t>营业收入(Y)</w:t>
            </w:r>
          </w:p>
        </w:tc>
        <w:tc>
          <w:tcPr>
            <w:tcW w:w="1065" w:type="dxa"/>
            <w:vAlign w:val="center"/>
          </w:tcPr>
          <w:p w14:paraId="65F8DDA1">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bCs/>
                <w:color w:val="auto"/>
                <w:szCs w:val="21"/>
              </w:rPr>
            </w:pPr>
            <w:r>
              <w:rPr>
                <w:rFonts w:hint="eastAsia" w:ascii="宋体" w:hAnsi="宋体" w:eastAsia="宋体" w:cs="宋体"/>
                <w:b/>
                <w:bCs/>
                <w:color w:val="auto"/>
                <w:szCs w:val="21"/>
              </w:rPr>
              <w:t>万元</w:t>
            </w:r>
          </w:p>
        </w:tc>
        <w:tc>
          <w:tcPr>
            <w:tcW w:w="1217" w:type="dxa"/>
            <w:vAlign w:val="center"/>
          </w:tcPr>
          <w:p w14:paraId="624C355D">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bCs/>
                <w:color w:val="auto"/>
                <w:szCs w:val="21"/>
              </w:rPr>
            </w:pPr>
            <w:r>
              <w:rPr>
                <w:rFonts w:hint="eastAsia" w:ascii="宋体" w:hAnsi="宋体" w:eastAsia="宋体" w:cs="宋体"/>
                <w:b/>
                <w:bCs/>
                <w:color w:val="auto"/>
                <w:szCs w:val="21"/>
              </w:rPr>
              <w:t>Y≥40000</w:t>
            </w:r>
          </w:p>
        </w:tc>
        <w:tc>
          <w:tcPr>
            <w:tcW w:w="1708" w:type="dxa"/>
            <w:vAlign w:val="center"/>
          </w:tcPr>
          <w:p w14:paraId="29D42EE1">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bCs/>
                <w:color w:val="auto"/>
                <w:szCs w:val="21"/>
              </w:rPr>
            </w:pPr>
            <w:r>
              <w:rPr>
                <w:rFonts w:hint="eastAsia" w:ascii="宋体" w:hAnsi="宋体" w:eastAsia="宋体" w:cs="宋体"/>
                <w:b/>
                <w:bCs/>
                <w:color w:val="auto"/>
                <w:szCs w:val="21"/>
              </w:rPr>
              <w:t>2000≤Y＜40000</w:t>
            </w:r>
          </w:p>
        </w:tc>
        <w:tc>
          <w:tcPr>
            <w:tcW w:w="1674" w:type="dxa"/>
            <w:vAlign w:val="center"/>
          </w:tcPr>
          <w:p w14:paraId="37688439">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bCs/>
                <w:color w:val="auto"/>
                <w:szCs w:val="21"/>
              </w:rPr>
            </w:pPr>
            <w:r>
              <w:rPr>
                <w:rFonts w:hint="eastAsia" w:ascii="宋体" w:hAnsi="宋体" w:eastAsia="宋体" w:cs="宋体"/>
                <w:b/>
                <w:bCs/>
                <w:color w:val="auto"/>
                <w:szCs w:val="21"/>
              </w:rPr>
              <w:t>300≤Y＜2000</w:t>
            </w:r>
          </w:p>
        </w:tc>
        <w:tc>
          <w:tcPr>
            <w:tcW w:w="1073" w:type="dxa"/>
            <w:vAlign w:val="center"/>
          </w:tcPr>
          <w:p w14:paraId="150577A2">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bCs/>
                <w:color w:val="auto"/>
                <w:szCs w:val="21"/>
              </w:rPr>
            </w:pPr>
            <w:r>
              <w:rPr>
                <w:rFonts w:hint="eastAsia" w:ascii="宋体" w:hAnsi="宋体" w:eastAsia="宋体" w:cs="宋体"/>
                <w:b/>
                <w:bCs/>
                <w:color w:val="auto"/>
                <w:szCs w:val="21"/>
              </w:rPr>
              <w:t>Y＜300</w:t>
            </w:r>
          </w:p>
        </w:tc>
      </w:tr>
      <w:tr w14:paraId="49F12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restart"/>
            <w:vAlign w:val="center"/>
          </w:tcPr>
          <w:p w14:paraId="571F866B">
            <w:pPr>
              <w:keepNext w:val="0"/>
              <w:keepLines w:val="0"/>
              <w:pageBreakBefore w:val="0"/>
              <w:widowControl/>
              <w:kinsoku/>
              <w:wordWrap/>
              <w:overflowPunct/>
              <w:topLinePunct w:val="0"/>
              <w:autoSpaceDE/>
              <w:autoSpaceDN/>
              <w:bidi w:val="0"/>
              <w:adjustRightInd/>
              <w:snapToGrid/>
              <w:spacing w:line="288" w:lineRule="auto"/>
              <w:ind w:firstLine="0" w:firstLineChars="0"/>
              <w:jc w:val="left"/>
              <w:textAlignment w:val="auto"/>
              <w:rPr>
                <w:rFonts w:hint="eastAsia" w:ascii="宋体" w:hAnsi="宋体" w:eastAsia="宋体" w:cs="宋体"/>
                <w:color w:val="auto"/>
                <w:szCs w:val="21"/>
              </w:rPr>
            </w:pPr>
            <w:r>
              <w:rPr>
                <w:rFonts w:hint="eastAsia" w:ascii="宋体" w:hAnsi="宋体" w:eastAsia="宋体" w:cs="宋体"/>
                <w:color w:val="auto"/>
                <w:szCs w:val="21"/>
              </w:rPr>
              <w:t>建筑业</w:t>
            </w:r>
          </w:p>
        </w:tc>
        <w:tc>
          <w:tcPr>
            <w:tcW w:w="1410" w:type="dxa"/>
            <w:vAlign w:val="center"/>
          </w:tcPr>
          <w:p w14:paraId="4B6EF516">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营业收入(Y)</w:t>
            </w:r>
          </w:p>
        </w:tc>
        <w:tc>
          <w:tcPr>
            <w:tcW w:w="1065" w:type="dxa"/>
            <w:vAlign w:val="center"/>
          </w:tcPr>
          <w:p w14:paraId="5AA133F8">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万元</w:t>
            </w:r>
          </w:p>
        </w:tc>
        <w:tc>
          <w:tcPr>
            <w:tcW w:w="1217" w:type="dxa"/>
            <w:vAlign w:val="center"/>
          </w:tcPr>
          <w:p w14:paraId="51B39ECA">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Y≥80000</w:t>
            </w:r>
          </w:p>
        </w:tc>
        <w:tc>
          <w:tcPr>
            <w:tcW w:w="1708" w:type="dxa"/>
            <w:vAlign w:val="center"/>
          </w:tcPr>
          <w:p w14:paraId="038533B0">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6000≤Y＜80000</w:t>
            </w:r>
          </w:p>
        </w:tc>
        <w:tc>
          <w:tcPr>
            <w:tcW w:w="1674" w:type="dxa"/>
            <w:vAlign w:val="center"/>
          </w:tcPr>
          <w:p w14:paraId="487E27DB">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300≤Y＜6000</w:t>
            </w:r>
          </w:p>
        </w:tc>
        <w:tc>
          <w:tcPr>
            <w:tcW w:w="1073" w:type="dxa"/>
            <w:vAlign w:val="center"/>
          </w:tcPr>
          <w:p w14:paraId="619930BD">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Y＜300</w:t>
            </w:r>
          </w:p>
        </w:tc>
      </w:tr>
      <w:tr w14:paraId="04A9E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continue"/>
            <w:vAlign w:val="center"/>
          </w:tcPr>
          <w:p w14:paraId="6A800280">
            <w:pPr>
              <w:keepNext w:val="0"/>
              <w:keepLines w:val="0"/>
              <w:pageBreakBefore w:val="0"/>
              <w:widowControl/>
              <w:kinsoku/>
              <w:wordWrap/>
              <w:overflowPunct/>
              <w:topLinePunct w:val="0"/>
              <w:autoSpaceDE/>
              <w:autoSpaceDN/>
              <w:bidi w:val="0"/>
              <w:adjustRightInd/>
              <w:snapToGrid/>
              <w:spacing w:line="288" w:lineRule="auto"/>
              <w:ind w:firstLine="0" w:firstLineChars="0"/>
              <w:jc w:val="left"/>
              <w:textAlignment w:val="auto"/>
              <w:rPr>
                <w:rFonts w:hint="eastAsia" w:ascii="宋体" w:hAnsi="宋体" w:eastAsia="宋体" w:cs="宋体"/>
                <w:color w:val="auto"/>
                <w:szCs w:val="21"/>
              </w:rPr>
            </w:pPr>
          </w:p>
        </w:tc>
        <w:tc>
          <w:tcPr>
            <w:tcW w:w="1410" w:type="dxa"/>
            <w:vAlign w:val="center"/>
          </w:tcPr>
          <w:p w14:paraId="015143F3">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资产总额(Z)</w:t>
            </w:r>
          </w:p>
        </w:tc>
        <w:tc>
          <w:tcPr>
            <w:tcW w:w="1065" w:type="dxa"/>
            <w:vAlign w:val="center"/>
          </w:tcPr>
          <w:p w14:paraId="133DAB82">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万元</w:t>
            </w:r>
          </w:p>
        </w:tc>
        <w:tc>
          <w:tcPr>
            <w:tcW w:w="1217" w:type="dxa"/>
            <w:vAlign w:val="center"/>
          </w:tcPr>
          <w:p w14:paraId="7E3B5575">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Z≥80000</w:t>
            </w:r>
          </w:p>
        </w:tc>
        <w:tc>
          <w:tcPr>
            <w:tcW w:w="1708" w:type="dxa"/>
            <w:vAlign w:val="center"/>
          </w:tcPr>
          <w:p w14:paraId="3EDB4C78">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5000≤Z＜80000</w:t>
            </w:r>
          </w:p>
        </w:tc>
        <w:tc>
          <w:tcPr>
            <w:tcW w:w="1674" w:type="dxa"/>
            <w:vAlign w:val="center"/>
          </w:tcPr>
          <w:p w14:paraId="3CAE7FD4">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300≤Z＜5000</w:t>
            </w:r>
          </w:p>
        </w:tc>
        <w:tc>
          <w:tcPr>
            <w:tcW w:w="1073" w:type="dxa"/>
            <w:vAlign w:val="center"/>
          </w:tcPr>
          <w:p w14:paraId="0533A403">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Z＜300</w:t>
            </w:r>
          </w:p>
        </w:tc>
      </w:tr>
      <w:tr w14:paraId="47AE4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restart"/>
            <w:vAlign w:val="center"/>
          </w:tcPr>
          <w:p w14:paraId="326B7A70">
            <w:pPr>
              <w:keepNext w:val="0"/>
              <w:keepLines w:val="0"/>
              <w:pageBreakBefore w:val="0"/>
              <w:widowControl/>
              <w:kinsoku/>
              <w:wordWrap/>
              <w:overflowPunct/>
              <w:topLinePunct w:val="0"/>
              <w:autoSpaceDE/>
              <w:autoSpaceDN/>
              <w:bidi w:val="0"/>
              <w:adjustRightInd/>
              <w:snapToGrid/>
              <w:spacing w:line="288" w:lineRule="auto"/>
              <w:ind w:firstLine="0" w:firstLineChars="0"/>
              <w:jc w:val="left"/>
              <w:textAlignment w:val="auto"/>
              <w:rPr>
                <w:rFonts w:hint="eastAsia" w:ascii="宋体" w:hAnsi="宋体" w:eastAsia="宋体" w:cs="宋体"/>
                <w:color w:val="auto"/>
                <w:szCs w:val="21"/>
              </w:rPr>
            </w:pPr>
            <w:r>
              <w:rPr>
                <w:rFonts w:hint="eastAsia" w:ascii="宋体" w:hAnsi="宋体" w:eastAsia="宋体" w:cs="宋体"/>
                <w:color w:val="auto"/>
                <w:szCs w:val="21"/>
              </w:rPr>
              <w:t>批发业</w:t>
            </w:r>
          </w:p>
        </w:tc>
        <w:tc>
          <w:tcPr>
            <w:tcW w:w="1410" w:type="dxa"/>
            <w:vAlign w:val="center"/>
          </w:tcPr>
          <w:p w14:paraId="41A7D9CE">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从业人员(X)</w:t>
            </w:r>
          </w:p>
        </w:tc>
        <w:tc>
          <w:tcPr>
            <w:tcW w:w="1065" w:type="dxa"/>
            <w:vAlign w:val="center"/>
          </w:tcPr>
          <w:p w14:paraId="089A1DFF">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人</w:t>
            </w:r>
          </w:p>
        </w:tc>
        <w:tc>
          <w:tcPr>
            <w:tcW w:w="1217" w:type="dxa"/>
            <w:vAlign w:val="center"/>
          </w:tcPr>
          <w:p w14:paraId="5B9431E8">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X≥200</w:t>
            </w:r>
          </w:p>
        </w:tc>
        <w:tc>
          <w:tcPr>
            <w:tcW w:w="1708" w:type="dxa"/>
            <w:vAlign w:val="center"/>
          </w:tcPr>
          <w:p w14:paraId="432E38C2">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20≤X＜200</w:t>
            </w:r>
          </w:p>
        </w:tc>
        <w:tc>
          <w:tcPr>
            <w:tcW w:w="1674" w:type="dxa"/>
            <w:vAlign w:val="center"/>
          </w:tcPr>
          <w:p w14:paraId="1E3CB677">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5≤X＜20</w:t>
            </w:r>
          </w:p>
        </w:tc>
        <w:tc>
          <w:tcPr>
            <w:tcW w:w="1073" w:type="dxa"/>
            <w:vAlign w:val="center"/>
          </w:tcPr>
          <w:p w14:paraId="7DB7E969">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X＜5</w:t>
            </w:r>
          </w:p>
        </w:tc>
      </w:tr>
      <w:tr w14:paraId="11532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continue"/>
            <w:vAlign w:val="center"/>
          </w:tcPr>
          <w:p w14:paraId="4046EF23">
            <w:pPr>
              <w:keepNext w:val="0"/>
              <w:keepLines w:val="0"/>
              <w:pageBreakBefore w:val="0"/>
              <w:widowControl/>
              <w:kinsoku/>
              <w:wordWrap/>
              <w:overflowPunct/>
              <w:topLinePunct w:val="0"/>
              <w:autoSpaceDE/>
              <w:autoSpaceDN/>
              <w:bidi w:val="0"/>
              <w:adjustRightInd/>
              <w:snapToGrid/>
              <w:spacing w:line="288" w:lineRule="auto"/>
              <w:ind w:firstLine="0" w:firstLineChars="0"/>
              <w:jc w:val="left"/>
              <w:textAlignment w:val="auto"/>
              <w:rPr>
                <w:rFonts w:hint="eastAsia" w:ascii="宋体" w:hAnsi="宋体" w:eastAsia="宋体" w:cs="宋体"/>
                <w:color w:val="auto"/>
                <w:szCs w:val="21"/>
              </w:rPr>
            </w:pPr>
          </w:p>
        </w:tc>
        <w:tc>
          <w:tcPr>
            <w:tcW w:w="1410" w:type="dxa"/>
            <w:vAlign w:val="center"/>
          </w:tcPr>
          <w:p w14:paraId="3604B131">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营业收入(Y)</w:t>
            </w:r>
          </w:p>
        </w:tc>
        <w:tc>
          <w:tcPr>
            <w:tcW w:w="1065" w:type="dxa"/>
            <w:vAlign w:val="center"/>
          </w:tcPr>
          <w:p w14:paraId="528485D0">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万元</w:t>
            </w:r>
          </w:p>
        </w:tc>
        <w:tc>
          <w:tcPr>
            <w:tcW w:w="1217" w:type="dxa"/>
            <w:vAlign w:val="center"/>
          </w:tcPr>
          <w:p w14:paraId="0CE5FDAC">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Y≥40000</w:t>
            </w:r>
          </w:p>
        </w:tc>
        <w:tc>
          <w:tcPr>
            <w:tcW w:w="1708" w:type="dxa"/>
            <w:vAlign w:val="center"/>
          </w:tcPr>
          <w:p w14:paraId="0C8EF3FB">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5000≤Y＜40000</w:t>
            </w:r>
          </w:p>
        </w:tc>
        <w:tc>
          <w:tcPr>
            <w:tcW w:w="1674" w:type="dxa"/>
            <w:vAlign w:val="center"/>
          </w:tcPr>
          <w:p w14:paraId="0F67A290">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1000≤Y＜5000</w:t>
            </w:r>
          </w:p>
        </w:tc>
        <w:tc>
          <w:tcPr>
            <w:tcW w:w="1073" w:type="dxa"/>
            <w:vAlign w:val="center"/>
          </w:tcPr>
          <w:p w14:paraId="598B35AD">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Y＜1000</w:t>
            </w:r>
          </w:p>
        </w:tc>
      </w:tr>
      <w:tr w14:paraId="201C0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restart"/>
            <w:vAlign w:val="center"/>
          </w:tcPr>
          <w:p w14:paraId="4C34F1FE">
            <w:pPr>
              <w:keepNext w:val="0"/>
              <w:keepLines w:val="0"/>
              <w:pageBreakBefore w:val="0"/>
              <w:widowControl/>
              <w:kinsoku/>
              <w:wordWrap/>
              <w:overflowPunct/>
              <w:topLinePunct w:val="0"/>
              <w:autoSpaceDE/>
              <w:autoSpaceDN/>
              <w:bidi w:val="0"/>
              <w:adjustRightInd/>
              <w:snapToGrid/>
              <w:spacing w:line="288" w:lineRule="auto"/>
              <w:ind w:firstLine="0" w:firstLineChars="0"/>
              <w:jc w:val="left"/>
              <w:textAlignment w:val="auto"/>
              <w:rPr>
                <w:rFonts w:hint="eastAsia" w:ascii="宋体" w:hAnsi="宋体" w:eastAsia="宋体" w:cs="宋体"/>
                <w:color w:val="auto"/>
                <w:szCs w:val="21"/>
              </w:rPr>
            </w:pPr>
            <w:r>
              <w:rPr>
                <w:rFonts w:hint="eastAsia" w:ascii="宋体" w:hAnsi="宋体" w:eastAsia="宋体" w:cs="宋体"/>
                <w:color w:val="auto"/>
                <w:szCs w:val="21"/>
              </w:rPr>
              <w:t>零售业</w:t>
            </w:r>
          </w:p>
        </w:tc>
        <w:tc>
          <w:tcPr>
            <w:tcW w:w="1410" w:type="dxa"/>
            <w:vAlign w:val="center"/>
          </w:tcPr>
          <w:p w14:paraId="457058E3">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从业人员(X)</w:t>
            </w:r>
          </w:p>
        </w:tc>
        <w:tc>
          <w:tcPr>
            <w:tcW w:w="1065" w:type="dxa"/>
            <w:vAlign w:val="center"/>
          </w:tcPr>
          <w:p w14:paraId="3D40E162">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人</w:t>
            </w:r>
          </w:p>
        </w:tc>
        <w:tc>
          <w:tcPr>
            <w:tcW w:w="1217" w:type="dxa"/>
            <w:vAlign w:val="center"/>
          </w:tcPr>
          <w:p w14:paraId="666FC2F2">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X≥300</w:t>
            </w:r>
          </w:p>
        </w:tc>
        <w:tc>
          <w:tcPr>
            <w:tcW w:w="1708" w:type="dxa"/>
            <w:vAlign w:val="center"/>
          </w:tcPr>
          <w:p w14:paraId="74D3BD6F">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50≤X＜300</w:t>
            </w:r>
          </w:p>
        </w:tc>
        <w:tc>
          <w:tcPr>
            <w:tcW w:w="1674" w:type="dxa"/>
            <w:vAlign w:val="center"/>
          </w:tcPr>
          <w:p w14:paraId="632D37FE">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10≤X＜50</w:t>
            </w:r>
          </w:p>
        </w:tc>
        <w:tc>
          <w:tcPr>
            <w:tcW w:w="1073" w:type="dxa"/>
            <w:vAlign w:val="center"/>
          </w:tcPr>
          <w:p w14:paraId="6C3B973F">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X＜10</w:t>
            </w:r>
          </w:p>
        </w:tc>
      </w:tr>
      <w:tr w14:paraId="013B6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continue"/>
            <w:vAlign w:val="center"/>
          </w:tcPr>
          <w:p w14:paraId="5ACB1089">
            <w:pPr>
              <w:keepNext w:val="0"/>
              <w:keepLines w:val="0"/>
              <w:pageBreakBefore w:val="0"/>
              <w:widowControl/>
              <w:kinsoku/>
              <w:wordWrap/>
              <w:overflowPunct/>
              <w:topLinePunct w:val="0"/>
              <w:autoSpaceDE/>
              <w:autoSpaceDN/>
              <w:bidi w:val="0"/>
              <w:adjustRightInd/>
              <w:snapToGrid/>
              <w:spacing w:line="288" w:lineRule="auto"/>
              <w:ind w:firstLine="0" w:firstLineChars="0"/>
              <w:jc w:val="left"/>
              <w:textAlignment w:val="auto"/>
              <w:rPr>
                <w:rFonts w:hint="eastAsia" w:ascii="宋体" w:hAnsi="宋体" w:eastAsia="宋体" w:cs="宋体"/>
                <w:color w:val="auto"/>
                <w:szCs w:val="21"/>
              </w:rPr>
            </w:pPr>
          </w:p>
        </w:tc>
        <w:tc>
          <w:tcPr>
            <w:tcW w:w="1410" w:type="dxa"/>
            <w:vAlign w:val="center"/>
          </w:tcPr>
          <w:p w14:paraId="00660A72">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营业收入(Y)</w:t>
            </w:r>
          </w:p>
        </w:tc>
        <w:tc>
          <w:tcPr>
            <w:tcW w:w="1065" w:type="dxa"/>
            <w:vAlign w:val="center"/>
          </w:tcPr>
          <w:p w14:paraId="1184BAC0">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万元</w:t>
            </w:r>
          </w:p>
        </w:tc>
        <w:tc>
          <w:tcPr>
            <w:tcW w:w="1217" w:type="dxa"/>
            <w:vAlign w:val="center"/>
          </w:tcPr>
          <w:p w14:paraId="3549636A">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Y≥20000</w:t>
            </w:r>
          </w:p>
        </w:tc>
        <w:tc>
          <w:tcPr>
            <w:tcW w:w="1708" w:type="dxa"/>
            <w:vAlign w:val="center"/>
          </w:tcPr>
          <w:p w14:paraId="00C46293">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500≤Y＜20000</w:t>
            </w:r>
          </w:p>
        </w:tc>
        <w:tc>
          <w:tcPr>
            <w:tcW w:w="1674" w:type="dxa"/>
            <w:vAlign w:val="center"/>
          </w:tcPr>
          <w:p w14:paraId="6FCCCC88">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100≤Y＜500</w:t>
            </w:r>
          </w:p>
        </w:tc>
        <w:tc>
          <w:tcPr>
            <w:tcW w:w="1073" w:type="dxa"/>
            <w:vAlign w:val="center"/>
          </w:tcPr>
          <w:p w14:paraId="371C2CD9">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Y＜100</w:t>
            </w:r>
          </w:p>
        </w:tc>
      </w:tr>
      <w:tr w14:paraId="48917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restart"/>
            <w:vAlign w:val="center"/>
          </w:tcPr>
          <w:p w14:paraId="3DF0F6EC">
            <w:pPr>
              <w:keepNext w:val="0"/>
              <w:keepLines w:val="0"/>
              <w:pageBreakBefore w:val="0"/>
              <w:widowControl/>
              <w:kinsoku/>
              <w:wordWrap/>
              <w:overflowPunct/>
              <w:topLinePunct w:val="0"/>
              <w:autoSpaceDE/>
              <w:autoSpaceDN/>
              <w:bidi w:val="0"/>
              <w:adjustRightInd/>
              <w:snapToGrid/>
              <w:spacing w:line="288" w:lineRule="auto"/>
              <w:ind w:firstLine="0" w:firstLineChars="0"/>
              <w:jc w:val="left"/>
              <w:textAlignment w:val="auto"/>
              <w:rPr>
                <w:rFonts w:hint="eastAsia" w:ascii="宋体" w:hAnsi="宋体" w:eastAsia="宋体" w:cs="宋体"/>
                <w:color w:val="auto"/>
                <w:szCs w:val="21"/>
              </w:rPr>
            </w:pPr>
            <w:r>
              <w:rPr>
                <w:rFonts w:hint="eastAsia" w:ascii="宋体" w:hAnsi="宋体" w:eastAsia="宋体" w:cs="宋体"/>
                <w:color w:val="auto"/>
                <w:szCs w:val="21"/>
              </w:rPr>
              <w:t>交通运输业*</w:t>
            </w:r>
          </w:p>
        </w:tc>
        <w:tc>
          <w:tcPr>
            <w:tcW w:w="1410" w:type="dxa"/>
            <w:vAlign w:val="center"/>
          </w:tcPr>
          <w:p w14:paraId="3105D48C">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从业人员(X)</w:t>
            </w:r>
          </w:p>
        </w:tc>
        <w:tc>
          <w:tcPr>
            <w:tcW w:w="1065" w:type="dxa"/>
            <w:vAlign w:val="center"/>
          </w:tcPr>
          <w:p w14:paraId="6C7CD43F">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人</w:t>
            </w:r>
          </w:p>
        </w:tc>
        <w:tc>
          <w:tcPr>
            <w:tcW w:w="1217" w:type="dxa"/>
            <w:vAlign w:val="center"/>
          </w:tcPr>
          <w:p w14:paraId="1B8BB91E">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X≥1000</w:t>
            </w:r>
          </w:p>
        </w:tc>
        <w:tc>
          <w:tcPr>
            <w:tcW w:w="1708" w:type="dxa"/>
            <w:vAlign w:val="center"/>
          </w:tcPr>
          <w:p w14:paraId="5272C984">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300≤X＜1000</w:t>
            </w:r>
          </w:p>
        </w:tc>
        <w:tc>
          <w:tcPr>
            <w:tcW w:w="1674" w:type="dxa"/>
            <w:vAlign w:val="center"/>
          </w:tcPr>
          <w:p w14:paraId="66D9DD26">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20≤X＜300</w:t>
            </w:r>
          </w:p>
        </w:tc>
        <w:tc>
          <w:tcPr>
            <w:tcW w:w="1073" w:type="dxa"/>
            <w:vAlign w:val="center"/>
          </w:tcPr>
          <w:p w14:paraId="0607F556">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X＜20</w:t>
            </w:r>
          </w:p>
        </w:tc>
      </w:tr>
      <w:tr w14:paraId="6AE55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continue"/>
            <w:vAlign w:val="center"/>
          </w:tcPr>
          <w:p w14:paraId="2AFC30FC">
            <w:pPr>
              <w:keepNext w:val="0"/>
              <w:keepLines w:val="0"/>
              <w:pageBreakBefore w:val="0"/>
              <w:widowControl/>
              <w:kinsoku/>
              <w:wordWrap/>
              <w:overflowPunct/>
              <w:topLinePunct w:val="0"/>
              <w:autoSpaceDE/>
              <w:autoSpaceDN/>
              <w:bidi w:val="0"/>
              <w:adjustRightInd/>
              <w:snapToGrid/>
              <w:spacing w:line="288" w:lineRule="auto"/>
              <w:ind w:firstLine="0" w:firstLineChars="0"/>
              <w:jc w:val="left"/>
              <w:textAlignment w:val="auto"/>
              <w:rPr>
                <w:rFonts w:hint="eastAsia" w:ascii="宋体" w:hAnsi="宋体" w:eastAsia="宋体" w:cs="宋体"/>
                <w:color w:val="auto"/>
                <w:szCs w:val="21"/>
              </w:rPr>
            </w:pPr>
          </w:p>
        </w:tc>
        <w:tc>
          <w:tcPr>
            <w:tcW w:w="1410" w:type="dxa"/>
            <w:vAlign w:val="center"/>
          </w:tcPr>
          <w:p w14:paraId="1532C1D0">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营业收入(Y)</w:t>
            </w:r>
          </w:p>
        </w:tc>
        <w:tc>
          <w:tcPr>
            <w:tcW w:w="1065" w:type="dxa"/>
            <w:vAlign w:val="center"/>
          </w:tcPr>
          <w:p w14:paraId="0619F304">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万元</w:t>
            </w:r>
          </w:p>
        </w:tc>
        <w:tc>
          <w:tcPr>
            <w:tcW w:w="1217" w:type="dxa"/>
            <w:vAlign w:val="center"/>
          </w:tcPr>
          <w:p w14:paraId="57B48B24">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Y≥30000</w:t>
            </w:r>
          </w:p>
        </w:tc>
        <w:tc>
          <w:tcPr>
            <w:tcW w:w="1708" w:type="dxa"/>
            <w:vAlign w:val="center"/>
          </w:tcPr>
          <w:p w14:paraId="4C55559D">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3000≤Y＜30000</w:t>
            </w:r>
          </w:p>
        </w:tc>
        <w:tc>
          <w:tcPr>
            <w:tcW w:w="1674" w:type="dxa"/>
            <w:vAlign w:val="center"/>
          </w:tcPr>
          <w:p w14:paraId="456D5BC9">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200≤Y＜3000</w:t>
            </w:r>
          </w:p>
        </w:tc>
        <w:tc>
          <w:tcPr>
            <w:tcW w:w="1073" w:type="dxa"/>
            <w:vAlign w:val="center"/>
          </w:tcPr>
          <w:p w14:paraId="157352D4">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Y＜200</w:t>
            </w:r>
          </w:p>
        </w:tc>
      </w:tr>
      <w:tr w14:paraId="007B9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restart"/>
            <w:vAlign w:val="center"/>
          </w:tcPr>
          <w:p w14:paraId="629AE32C">
            <w:pPr>
              <w:keepNext w:val="0"/>
              <w:keepLines w:val="0"/>
              <w:pageBreakBefore w:val="0"/>
              <w:widowControl/>
              <w:kinsoku/>
              <w:wordWrap/>
              <w:overflowPunct/>
              <w:topLinePunct w:val="0"/>
              <w:autoSpaceDE/>
              <w:autoSpaceDN/>
              <w:bidi w:val="0"/>
              <w:adjustRightInd/>
              <w:snapToGrid/>
              <w:spacing w:line="288" w:lineRule="auto"/>
              <w:ind w:firstLine="0" w:firstLineChars="0"/>
              <w:jc w:val="left"/>
              <w:textAlignment w:val="auto"/>
              <w:rPr>
                <w:rFonts w:hint="eastAsia" w:ascii="宋体" w:hAnsi="宋体" w:eastAsia="宋体" w:cs="宋体"/>
                <w:color w:val="auto"/>
                <w:szCs w:val="21"/>
              </w:rPr>
            </w:pPr>
            <w:r>
              <w:rPr>
                <w:rFonts w:hint="eastAsia" w:ascii="宋体" w:hAnsi="宋体" w:eastAsia="宋体" w:cs="宋体"/>
                <w:color w:val="auto"/>
                <w:szCs w:val="21"/>
              </w:rPr>
              <w:t>仓储业*</w:t>
            </w:r>
          </w:p>
        </w:tc>
        <w:tc>
          <w:tcPr>
            <w:tcW w:w="1410" w:type="dxa"/>
            <w:vAlign w:val="center"/>
          </w:tcPr>
          <w:p w14:paraId="5FD7862E">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从业人员(X)</w:t>
            </w:r>
          </w:p>
        </w:tc>
        <w:tc>
          <w:tcPr>
            <w:tcW w:w="1065" w:type="dxa"/>
            <w:vAlign w:val="center"/>
          </w:tcPr>
          <w:p w14:paraId="5BD5101E">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人</w:t>
            </w:r>
          </w:p>
        </w:tc>
        <w:tc>
          <w:tcPr>
            <w:tcW w:w="1217" w:type="dxa"/>
            <w:vAlign w:val="center"/>
          </w:tcPr>
          <w:p w14:paraId="3CE15F4E">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X≥200</w:t>
            </w:r>
          </w:p>
        </w:tc>
        <w:tc>
          <w:tcPr>
            <w:tcW w:w="1708" w:type="dxa"/>
            <w:vAlign w:val="center"/>
          </w:tcPr>
          <w:p w14:paraId="21F16CAA">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100≤X＜200</w:t>
            </w:r>
          </w:p>
        </w:tc>
        <w:tc>
          <w:tcPr>
            <w:tcW w:w="1674" w:type="dxa"/>
            <w:vAlign w:val="center"/>
          </w:tcPr>
          <w:p w14:paraId="0E885655">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20≤X＜100</w:t>
            </w:r>
          </w:p>
        </w:tc>
        <w:tc>
          <w:tcPr>
            <w:tcW w:w="1073" w:type="dxa"/>
            <w:vAlign w:val="center"/>
          </w:tcPr>
          <w:p w14:paraId="11317CE9">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X＜20</w:t>
            </w:r>
          </w:p>
        </w:tc>
      </w:tr>
      <w:tr w14:paraId="59A77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continue"/>
            <w:vAlign w:val="center"/>
          </w:tcPr>
          <w:p w14:paraId="38258DF7">
            <w:pPr>
              <w:keepNext w:val="0"/>
              <w:keepLines w:val="0"/>
              <w:pageBreakBefore w:val="0"/>
              <w:widowControl/>
              <w:kinsoku/>
              <w:wordWrap/>
              <w:overflowPunct/>
              <w:topLinePunct w:val="0"/>
              <w:autoSpaceDE/>
              <w:autoSpaceDN/>
              <w:bidi w:val="0"/>
              <w:adjustRightInd/>
              <w:snapToGrid/>
              <w:spacing w:line="288" w:lineRule="auto"/>
              <w:ind w:firstLine="0" w:firstLineChars="0"/>
              <w:jc w:val="left"/>
              <w:textAlignment w:val="auto"/>
              <w:rPr>
                <w:rFonts w:hint="eastAsia" w:ascii="宋体" w:hAnsi="宋体" w:eastAsia="宋体" w:cs="宋体"/>
                <w:color w:val="auto"/>
                <w:szCs w:val="21"/>
              </w:rPr>
            </w:pPr>
          </w:p>
        </w:tc>
        <w:tc>
          <w:tcPr>
            <w:tcW w:w="1410" w:type="dxa"/>
            <w:vAlign w:val="center"/>
          </w:tcPr>
          <w:p w14:paraId="64B769A1">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营业收入(Y)</w:t>
            </w:r>
          </w:p>
        </w:tc>
        <w:tc>
          <w:tcPr>
            <w:tcW w:w="1065" w:type="dxa"/>
            <w:vAlign w:val="center"/>
          </w:tcPr>
          <w:p w14:paraId="3EA7A6AB">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万元</w:t>
            </w:r>
          </w:p>
        </w:tc>
        <w:tc>
          <w:tcPr>
            <w:tcW w:w="1217" w:type="dxa"/>
            <w:vAlign w:val="center"/>
          </w:tcPr>
          <w:p w14:paraId="627D2AFB">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Y≥30000</w:t>
            </w:r>
          </w:p>
        </w:tc>
        <w:tc>
          <w:tcPr>
            <w:tcW w:w="1708" w:type="dxa"/>
            <w:vAlign w:val="center"/>
          </w:tcPr>
          <w:p w14:paraId="4EABE8D8">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1000≤Y＜30000</w:t>
            </w:r>
          </w:p>
        </w:tc>
        <w:tc>
          <w:tcPr>
            <w:tcW w:w="1674" w:type="dxa"/>
            <w:vAlign w:val="center"/>
          </w:tcPr>
          <w:p w14:paraId="536389B5">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100≤Y＜1000</w:t>
            </w:r>
          </w:p>
        </w:tc>
        <w:tc>
          <w:tcPr>
            <w:tcW w:w="1073" w:type="dxa"/>
            <w:vAlign w:val="center"/>
          </w:tcPr>
          <w:p w14:paraId="3AEC82BB">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Y＜100</w:t>
            </w:r>
          </w:p>
        </w:tc>
      </w:tr>
      <w:tr w14:paraId="7E7BF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restart"/>
            <w:vAlign w:val="center"/>
          </w:tcPr>
          <w:p w14:paraId="1282CBB6">
            <w:pPr>
              <w:keepNext w:val="0"/>
              <w:keepLines w:val="0"/>
              <w:pageBreakBefore w:val="0"/>
              <w:widowControl/>
              <w:kinsoku/>
              <w:wordWrap/>
              <w:overflowPunct/>
              <w:topLinePunct w:val="0"/>
              <w:autoSpaceDE/>
              <w:autoSpaceDN/>
              <w:bidi w:val="0"/>
              <w:adjustRightInd/>
              <w:snapToGrid/>
              <w:spacing w:line="288" w:lineRule="auto"/>
              <w:ind w:firstLine="0" w:firstLineChars="0"/>
              <w:jc w:val="left"/>
              <w:textAlignment w:val="auto"/>
              <w:rPr>
                <w:rFonts w:hint="eastAsia" w:ascii="宋体" w:hAnsi="宋体" w:eastAsia="宋体" w:cs="宋体"/>
                <w:color w:val="auto"/>
                <w:szCs w:val="21"/>
              </w:rPr>
            </w:pPr>
            <w:r>
              <w:rPr>
                <w:rFonts w:hint="eastAsia" w:ascii="宋体" w:hAnsi="宋体" w:eastAsia="宋体" w:cs="宋体"/>
                <w:color w:val="auto"/>
                <w:szCs w:val="21"/>
              </w:rPr>
              <w:t>邮政业</w:t>
            </w:r>
          </w:p>
        </w:tc>
        <w:tc>
          <w:tcPr>
            <w:tcW w:w="1410" w:type="dxa"/>
            <w:vAlign w:val="center"/>
          </w:tcPr>
          <w:p w14:paraId="555E53C6">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从业人员(X)</w:t>
            </w:r>
          </w:p>
        </w:tc>
        <w:tc>
          <w:tcPr>
            <w:tcW w:w="1065" w:type="dxa"/>
            <w:vAlign w:val="center"/>
          </w:tcPr>
          <w:p w14:paraId="69DBBD46">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人</w:t>
            </w:r>
          </w:p>
        </w:tc>
        <w:tc>
          <w:tcPr>
            <w:tcW w:w="1217" w:type="dxa"/>
            <w:vAlign w:val="center"/>
          </w:tcPr>
          <w:p w14:paraId="4986337F">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X≥1000</w:t>
            </w:r>
          </w:p>
        </w:tc>
        <w:tc>
          <w:tcPr>
            <w:tcW w:w="1708" w:type="dxa"/>
            <w:vAlign w:val="center"/>
          </w:tcPr>
          <w:p w14:paraId="2C3349D4">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300≤X＜1000</w:t>
            </w:r>
          </w:p>
        </w:tc>
        <w:tc>
          <w:tcPr>
            <w:tcW w:w="1674" w:type="dxa"/>
            <w:vAlign w:val="center"/>
          </w:tcPr>
          <w:p w14:paraId="66697DAC">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20≤X＜300</w:t>
            </w:r>
          </w:p>
        </w:tc>
        <w:tc>
          <w:tcPr>
            <w:tcW w:w="1073" w:type="dxa"/>
            <w:vAlign w:val="center"/>
          </w:tcPr>
          <w:p w14:paraId="69C503AF">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X＜20</w:t>
            </w:r>
          </w:p>
        </w:tc>
      </w:tr>
      <w:tr w14:paraId="2352B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continue"/>
            <w:vAlign w:val="center"/>
          </w:tcPr>
          <w:p w14:paraId="78BD75ED">
            <w:pPr>
              <w:keepNext w:val="0"/>
              <w:keepLines w:val="0"/>
              <w:pageBreakBefore w:val="0"/>
              <w:widowControl/>
              <w:kinsoku/>
              <w:wordWrap/>
              <w:overflowPunct/>
              <w:topLinePunct w:val="0"/>
              <w:autoSpaceDE/>
              <w:autoSpaceDN/>
              <w:bidi w:val="0"/>
              <w:adjustRightInd/>
              <w:snapToGrid/>
              <w:spacing w:line="288" w:lineRule="auto"/>
              <w:ind w:firstLine="0" w:firstLineChars="0"/>
              <w:jc w:val="left"/>
              <w:textAlignment w:val="auto"/>
              <w:rPr>
                <w:rFonts w:hint="eastAsia" w:ascii="宋体" w:hAnsi="宋体" w:eastAsia="宋体" w:cs="宋体"/>
                <w:color w:val="auto"/>
                <w:szCs w:val="21"/>
              </w:rPr>
            </w:pPr>
          </w:p>
        </w:tc>
        <w:tc>
          <w:tcPr>
            <w:tcW w:w="1410" w:type="dxa"/>
            <w:vAlign w:val="center"/>
          </w:tcPr>
          <w:p w14:paraId="4F4D2138">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营业收入(Y)</w:t>
            </w:r>
          </w:p>
        </w:tc>
        <w:tc>
          <w:tcPr>
            <w:tcW w:w="1065" w:type="dxa"/>
            <w:vAlign w:val="center"/>
          </w:tcPr>
          <w:p w14:paraId="7705CCC2">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万元</w:t>
            </w:r>
          </w:p>
        </w:tc>
        <w:tc>
          <w:tcPr>
            <w:tcW w:w="1217" w:type="dxa"/>
            <w:vAlign w:val="center"/>
          </w:tcPr>
          <w:p w14:paraId="3E4F70AD">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Y≥30000</w:t>
            </w:r>
          </w:p>
        </w:tc>
        <w:tc>
          <w:tcPr>
            <w:tcW w:w="1708" w:type="dxa"/>
            <w:vAlign w:val="center"/>
          </w:tcPr>
          <w:p w14:paraId="7D48357C">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2000≤Y＜30000</w:t>
            </w:r>
          </w:p>
        </w:tc>
        <w:tc>
          <w:tcPr>
            <w:tcW w:w="1674" w:type="dxa"/>
            <w:vAlign w:val="center"/>
          </w:tcPr>
          <w:p w14:paraId="17B15649">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100≤Y＜2000</w:t>
            </w:r>
          </w:p>
        </w:tc>
        <w:tc>
          <w:tcPr>
            <w:tcW w:w="1073" w:type="dxa"/>
            <w:vAlign w:val="center"/>
          </w:tcPr>
          <w:p w14:paraId="3A095D46">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Y＜100</w:t>
            </w:r>
          </w:p>
        </w:tc>
      </w:tr>
      <w:tr w14:paraId="64A7E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restart"/>
            <w:vAlign w:val="center"/>
          </w:tcPr>
          <w:p w14:paraId="652A8BFE">
            <w:pPr>
              <w:keepNext w:val="0"/>
              <w:keepLines w:val="0"/>
              <w:pageBreakBefore w:val="0"/>
              <w:widowControl/>
              <w:kinsoku/>
              <w:wordWrap/>
              <w:overflowPunct/>
              <w:topLinePunct w:val="0"/>
              <w:autoSpaceDE/>
              <w:autoSpaceDN/>
              <w:bidi w:val="0"/>
              <w:adjustRightInd/>
              <w:snapToGrid/>
              <w:spacing w:line="288" w:lineRule="auto"/>
              <w:ind w:firstLine="0" w:firstLineChars="0"/>
              <w:jc w:val="left"/>
              <w:textAlignment w:val="auto"/>
              <w:rPr>
                <w:rFonts w:hint="eastAsia" w:ascii="宋体" w:hAnsi="宋体" w:eastAsia="宋体" w:cs="宋体"/>
                <w:color w:val="auto"/>
                <w:szCs w:val="21"/>
              </w:rPr>
            </w:pPr>
            <w:r>
              <w:rPr>
                <w:rFonts w:hint="eastAsia" w:ascii="宋体" w:hAnsi="宋体" w:eastAsia="宋体" w:cs="宋体"/>
                <w:color w:val="auto"/>
                <w:szCs w:val="21"/>
              </w:rPr>
              <w:t>住宿业</w:t>
            </w:r>
          </w:p>
        </w:tc>
        <w:tc>
          <w:tcPr>
            <w:tcW w:w="1410" w:type="dxa"/>
            <w:vAlign w:val="center"/>
          </w:tcPr>
          <w:p w14:paraId="20F58A19">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从业人员(X)</w:t>
            </w:r>
          </w:p>
        </w:tc>
        <w:tc>
          <w:tcPr>
            <w:tcW w:w="1065" w:type="dxa"/>
            <w:vAlign w:val="center"/>
          </w:tcPr>
          <w:p w14:paraId="577BA8D5">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人</w:t>
            </w:r>
          </w:p>
        </w:tc>
        <w:tc>
          <w:tcPr>
            <w:tcW w:w="1217" w:type="dxa"/>
            <w:vAlign w:val="center"/>
          </w:tcPr>
          <w:p w14:paraId="677042AA">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X≥300</w:t>
            </w:r>
          </w:p>
        </w:tc>
        <w:tc>
          <w:tcPr>
            <w:tcW w:w="1708" w:type="dxa"/>
            <w:vAlign w:val="center"/>
          </w:tcPr>
          <w:p w14:paraId="1816D8C7">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100≤X＜300</w:t>
            </w:r>
          </w:p>
        </w:tc>
        <w:tc>
          <w:tcPr>
            <w:tcW w:w="1674" w:type="dxa"/>
            <w:vAlign w:val="center"/>
          </w:tcPr>
          <w:p w14:paraId="7808B2BC">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10≤X＜100</w:t>
            </w:r>
          </w:p>
        </w:tc>
        <w:tc>
          <w:tcPr>
            <w:tcW w:w="1073" w:type="dxa"/>
            <w:vAlign w:val="center"/>
          </w:tcPr>
          <w:p w14:paraId="59BF6B48">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X＜10</w:t>
            </w:r>
          </w:p>
        </w:tc>
      </w:tr>
      <w:tr w14:paraId="52C4E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continue"/>
            <w:vAlign w:val="center"/>
          </w:tcPr>
          <w:p w14:paraId="2D5A77B9">
            <w:pPr>
              <w:keepNext w:val="0"/>
              <w:keepLines w:val="0"/>
              <w:pageBreakBefore w:val="0"/>
              <w:widowControl/>
              <w:kinsoku/>
              <w:wordWrap/>
              <w:overflowPunct/>
              <w:topLinePunct w:val="0"/>
              <w:autoSpaceDE/>
              <w:autoSpaceDN/>
              <w:bidi w:val="0"/>
              <w:adjustRightInd/>
              <w:snapToGrid/>
              <w:spacing w:line="288" w:lineRule="auto"/>
              <w:ind w:firstLine="0" w:firstLineChars="0"/>
              <w:jc w:val="left"/>
              <w:textAlignment w:val="auto"/>
              <w:rPr>
                <w:rFonts w:hint="eastAsia" w:ascii="宋体" w:hAnsi="宋体" w:eastAsia="宋体" w:cs="宋体"/>
                <w:color w:val="auto"/>
                <w:szCs w:val="21"/>
              </w:rPr>
            </w:pPr>
          </w:p>
        </w:tc>
        <w:tc>
          <w:tcPr>
            <w:tcW w:w="1410" w:type="dxa"/>
            <w:vAlign w:val="center"/>
          </w:tcPr>
          <w:p w14:paraId="4440672D">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营业收入(Y)</w:t>
            </w:r>
          </w:p>
        </w:tc>
        <w:tc>
          <w:tcPr>
            <w:tcW w:w="1065" w:type="dxa"/>
            <w:vAlign w:val="center"/>
          </w:tcPr>
          <w:p w14:paraId="1571B80C">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万元</w:t>
            </w:r>
          </w:p>
        </w:tc>
        <w:tc>
          <w:tcPr>
            <w:tcW w:w="1217" w:type="dxa"/>
            <w:vAlign w:val="center"/>
          </w:tcPr>
          <w:p w14:paraId="73275169">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Y≥10000</w:t>
            </w:r>
          </w:p>
        </w:tc>
        <w:tc>
          <w:tcPr>
            <w:tcW w:w="1708" w:type="dxa"/>
            <w:vAlign w:val="center"/>
          </w:tcPr>
          <w:p w14:paraId="76520BE9">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2000≤Y＜10000</w:t>
            </w:r>
          </w:p>
        </w:tc>
        <w:tc>
          <w:tcPr>
            <w:tcW w:w="1674" w:type="dxa"/>
            <w:vAlign w:val="center"/>
          </w:tcPr>
          <w:p w14:paraId="5499AA1E">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100≤Y＜2000</w:t>
            </w:r>
          </w:p>
        </w:tc>
        <w:tc>
          <w:tcPr>
            <w:tcW w:w="1073" w:type="dxa"/>
            <w:vAlign w:val="center"/>
          </w:tcPr>
          <w:p w14:paraId="10674A8A">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Y＜100</w:t>
            </w:r>
          </w:p>
        </w:tc>
      </w:tr>
      <w:tr w14:paraId="1B1E4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restart"/>
            <w:vAlign w:val="center"/>
          </w:tcPr>
          <w:p w14:paraId="1C5FF35C">
            <w:pPr>
              <w:keepNext w:val="0"/>
              <w:keepLines w:val="0"/>
              <w:pageBreakBefore w:val="0"/>
              <w:widowControl/>
              <w:kinsoku/>
              <w:wordWrap/>
              <w:overflowPunct/>
              <w:topLinePunct w:val="0"/>
              <w:autoSpaceDE/>
              <w:autoSpaceDN/>
              <w:bidi w:val="0"/>
              <w:adjustRightInd/>
              <w:snapToGrid/>
              <w:spacing w:line="288" w:lineRule="auto"/>
              <w:ind w:firstLine="0" w:firstLineChars="0"/>
              <w:jc w:val="left"/>
              <w:textAlignment w:val="auto"/>
              <w:rPr>
                <w:rFonts w:hint="eastAsia" w:ascii="宋体" w:hAnsi="宋体" w:eastAsia="宋体" w:cs="宋体"/>
                <w:color w:val="auto"/>
                <w:szCs w:val="21"/>
              </w:rPr>
            </w:pPr>
            <w:r>
              <w:rPr>
                <w:rFonts w:hint="eastAsia" w:ascii="宋体" w:hAnsi="宋体" w:eastAsia="宋体" w:cs="宋体"/>
                <w:color w:val="auto"/>
                <w:szCs w:val="21"/>
              </w:rPr>
              <w:t>餐饮业</w:t>
            </w:r>
          </w:p>
        </w:tc>
        <w:tc>
          <w:tcPr>
            <w:tcW w:w="1410" w:type="dxa"/>
            <w:vAlign w:val="center"/>
          </w:tcPr>
          <w:p w14:paraId="3B7707A2">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从业人员(X)</w:t>
            </w:r>
          </w:p>
        </w:tc>
        <w:tc>
          <w:tcPr>
            <w:tcW w:w="1065" w:type="dxa"/>
            <w:vAlign w:val="center"/>
          </w:tcPr>
          <w:p w14:paraId="773CD454">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人</w:t>
            </w:r>
          </w:p>
        </w:tc>
        <w:tc>
          <w:tcPr>
            <w:tcW w:w="1217" w:type="dxa"/>
            <w:vAlign w:val="center"/>
          </w:tcPr>
          <w:p w14:paraId="772ABA62">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X≥300</w:t>
            </w:r>
          </w:p>
        </w:tc>
        <w:tc>
          <w:tcPr>
            <w:tcW w:w="1708" w:type="dxa"/>
            <w:vAlign w:val="center"/>
          </w:tcPr>
          <w:p w14:paraId="2D004D4A">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100≤X＜300</w:t>
            </w:r>
          </w:p>
        </w:tc>
        <w:tc>
          <w:tcPr>
            <w:tcW w:w="1674" w:type="dxa"/>
            <w:vAlign w:val="center"/>
          </w:tcPr>
          <w:p w14:paraId="43317BA3">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10≤X＜100</w:t>
            </w:r>
          </w:p>
        </w:tc>
        <w:tc>
          <w:tcPr>
            <w:tcW w:w="1073" w:type="dxa"/>
            <w:vAlign w:val="center"/>
          </w:tcPr>
          <w:p w14:paraId="3BD52920">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X＜10</w:t>
            </w:r>
          </w:p>
        </w:tc>
      </w:tr>
      <w:tr w14:paraId="0FA79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continue"/>
            <w:vAlign w:val="center"/>
          </w:tcPr>
          <w:p w14:paraId="756260F4">
            <w:pPr>
              <w:keepNext w:val="0"/>
              <w:keepLines w:val="0"/>
              <w:pageBreakBefore w:val="0"/>
              <w:widowControl/>
              <w:kinsoku/>
              <w:wordWrap/>
              <w:overflowPunct/>
              <w:topLinePunct w:val="0"/>
              <w:autoSpaceDE/>
              <w:autoSpaceDN/>
              <w:bidi w:val="0"/>
              <w:adjustRightInd/>
              <w:snapToGrid/>
              <w:spacing w:line="288" w:lineRule="auto"/>
              <w:ind w:firstLine="0" w:firstLineChars="0"/>
              <w:jc w:val="left"/>
              <w:textAlignment w:val="auto"/>
              <w:rPr>
                <w:rFonts w:hint="eastAsia" w:ascii="宋体" w:hAnsi="宋体" w:eastAsia="宋体" w:cs="宋体"/>
                <w:color w:val="auto"/>
                <w:szCs w:val="21"/>
              </w:rPr>
            </w:pPr>
          </w:p>
        </w:tc>
        <w:tc>
          <w:tcPr>
            <w:tcW w:w="1410" w:type="dxa"/>
            <w:vAlign w:val="center"/>
          </w:tcPr>
          <w:p w14:paraId="797A18B3">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营业收入(Y)</w:t>
            </w:r>
          </w:p>
        </w:tc>
        <w:tc>
          <w:tcPr>
            <w:tcW w:w="1065" w:type="dxa"/>
            <w:vAlign w:val="center"/>
          </w:tcPr>
          <w:p w14:paraId="54DC708F">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万元</w:t>
            </w:r>
          </w:p>
        </w:tc>
        <w:tc>
          <w:tcPr>
            <w:tcW w:w="1217" w:type="dxa"/>
            <w:vAlign w:val="center"/>
          </w:tcPr>
          <w:p w14:paraId="6DC6D4CB">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Y≥10000</w:t>
            </w:r>
          </w:p>
        </w:tc>
        <w:tc>
          <w:tcPr>
            <w:tcW w:w="1708" w:type="dxa"/>
            <w:vAlign w:val="center"/>
          </w:tcPr>
          <w:p w14:paraId="255052E0">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2000≤Y＜10000</w:t>
            </w:r>
          </w:p>
        </w:tc>
        <w:tc>
          <w:tcPr>
            <w:tcW w:w="1674" w:type="dxa"/>
            <w:vAlign w:val="center"/>
          </w:tcPr>
          <w:p w14:paraId="1A58B78C">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100≤Y＜2000</w:t>
            </w:r>
          </w:p>
        </w:tc>
        <w:tc>
          <w:tcPr>
            <w:tcW w:w="1073" w:type="dxa"/>
            <w:vAlign w:val="center"/>
          </w:tcPr>
          <w:p w14:paraId="423383E1">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Y＜100</w:t>
            </w:r>
          </w:p>
        </w:tc>
      </w:tr>
      <w:tr w14:paraId="3B8E8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restart"/>
            <w:vAlign w:val="center"/>
          </w:tcPr>
          <w:p w14:paraId="2271333B">
            <w:pPr>
              <w:keepNext w:val="0"/>
              <w:keepLines w:val="0"/>
              <w:pageBreakBefore w:val="0"/>
              <w:widowControl/>
              <w:kinsoku/>
              <w:wordWrap/>
              <w:overflowPunct/>
              <w:topLinePunct w:val="0"/>
              <w:autoSpaceDE/>
              <w:autoSpaceDN/>
              <w:bidi w:val="0"/>
              <w:adjustRightInd/>
              <w:snapToGrid/>
              <w:spacing w:line="288" w:lineRule="auto"/>
              <w:ind w:firstLine="0" w:firstLineChars="0"/>
              <w:jc w:val="left"/>
              <w:textAlignment w:val="auto"/>
              <w:rPr>
                <w:rFonts w:hint="eastAsia" w:ascii="宋体" w:hAnsi="宋体" w:eastAsia="宋体" w:cs="宋体"/>
                <w:color w:val="auto"/>
                <w:szCs w:val="21"/>
              </w:rPr>
            </w:pPr>
            <w:r>
              <w:rPr>
                <w:rFonts w:hint="eastAsia" w:ascii="宋体" w:hAnsi="宋体" w:eastAsia="宋体" w:cs="宋体"/>
                <w:color w:val="auto"/>
                <w:szCs w:val="21"/>
              </w:rPr>
              <w:t>信息传输业*</w:t>
            </w:r>
          </w:p>
        </w:tc>
        <w:tc>
          <w:tcPr>
            <w:tcW w:w="1410" w:type="dxa"/>
            <w:vAlign w:val="center"/>
          </w:tcPr>
          <w:p w14:paraId="2FB8207B">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从业人员(X)</w:t>
            </w:r>
          </w:p>
        </w:tc>
        <w:tc>
          <w:tcPr>
            <w:tcW w:w="1065" w:type="dxa"/>
            <w:vAlign w:val="center"/>
          </w:tcPr>
          <w:p w14:paraId="62F1ED2A">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人</w:t>
            </w:r>
          </w:p>
        </w:tc>
        <w:tc>
          <w:tcPr>
            <w:tcW w:w="1217" w:type="dxa"/>
            <w:vAlign w:val="center"/>
          </w:tcPr>
          <w:p w14:paraId="7E003E48">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X≥2000</w:t>
            </w:r>
          </w:p>
        </w:tc>
        <w:tc>
          <w:tcPr>
            <w:tcW w:w="1708" w:type="dxa"/>
            <w:vAlign w:val="center"/>
          </w:tcPr>
          <w:p w14:paraId="4BF6B133">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100≤X＜2000</w:t>
            </w:r>
          </w:p>
        </w:tc>
        <w:tc>
          <w:tcPr>
            <w:tcW w:w="1674" w:type="dxa"/>
            <w:vAlign w:val="center"/>
          </w:tcPr>
          <w:p w14:paraId="2AB66538">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10≤X＜100</w:t>
            </w:r>
          </w:p>
        </w:tc>
        <w:tc>
          <w:tcPr>
            <w:tcW w:w="1073" w:type="dxa"/>
            <w:vAlign w:val="center"/>
          </w:tcPr>
          <w:p w14:paraId="1B99721E">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X＜10</w:t>
            </w:r>
          </w:p>
        </w:tc>
      </w:tr>
      <w:tr w14:paraId="49E8E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continue"/>
            <w:vAlign w:val="center"/>
          </w:tcPr>
          <w:p w14:paraId="2053F065">
            <w:pPr>
              <w:keepNext w:val="0"/>
              <w:keepLines w:val="0"/>
              <w:pageBreakBefore w:val="0"/>
              <w:widowControl/>
              <w:kinsoku/>
              <w:wordWrap/>
              <w:overflowPunct/>
              <w:topLinePunct w:val="0"/>
              <w:autoSpaceDE/>
              <w:autoSpaceDN/>
              <w:bidi w:val="0"/>
              <w:adjustRightInd/>
              <w:snapToGrid/>
              <w:spacing w:line="288" w:lineRule="auto"/>
              <w:ind w:firstLine="0" w:firstLineChars="0"/>
              <w:jc w:val="left"/>
              <w:textAlignment w:val="auto"/>
              <w:rPr>
                <w:rFonts w:hint="eastAsia" w:ascii="宋体" w:hAnsi="宋体" w:eastAsia="宋体" w:cs="宋体"/>
                <w:color w:val="auto"/>
                <w:szCs w:val="21"/>
              </w:rPr>
            </w:pPr>
          </w:p>
        </w:tc>
        <w:tc>
          <w:tcPr>
            <w:tcW w:w="1410" w:type="dxa"/>
            <w:vAlign w:val="center"/>
          </w:tcPr>
          <w:p w14:paraId="448027C3">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营业收入(Y)</w:t>
            </w:r>
          </w:p>
        </w:tc>
        <w:tc>
          <w:tcPr>
            <w:tcW w:w="1065" w:type="dxa"/>
            <w:vAlign w:val="center"/>
          </w:tcPr>
          <w:p w14:paraId="69F492D1">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万元</w:t>
            </w:r>
          </w:p>
        </w:tc>
        <w:tc>
          <w:tcPr>
            <w:tcW w:w="1217" w:type="dxa"/>
            <w:vAlign w:val="center"/>
          </w:tcPr>
          <w:p w14:paraId="684017C4">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Y≥100000</w:t>
            </w:r>
          </w:p>
        </w:tc>
        <w:tc>
          <w:tcPr>
            <w:tcW w:w="1708" w:type="dxa"/>
            <w:vAlign w:val="center"/>
          </w:tcPr>
          <w:p w14:paraId="5D838E86">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1000≤Y＜100000</w:t>
            </w:r>
          </w:p>
        </w:tc>
        <w:tc>
          <w:tcPr>
            <w:tcW w:w="1674" w:type="dxa"/>
            <w:vAlign w:val="center"/>
          </w:tcPr>
          <w:p w14:paraId="51435FA2">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100≤Y＜1000</w:t>
            </w:r>
          </w:p>
        </w:tc>
        <w:tc>
          <w:tcPr>
            <w:tcW w:w="1073" w:type="dxa"/>
            <w:vAlign w:val="center"/>
          </w:tcPr>
          <w:p w14:paraId="71116157">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Y＜100</w:t>
            </w:r>
          </w:p>
        </w:tc>
      </w:tr>
      <w:tr w14:paraId="05507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restart"/>
            <w:vAlign w:val="center"/>
          </w:tcPr>
          <w:p w14:paraId="02C47422">
            <w:pPr>
              <w:keepNext w:val="0"/>
              <w:keepLines w:val="0"/>
              <w:pageBreakBefore w:val="0"/>
              <w:widowControl/>
              <w:kinsoku/>
              <w:wordWrap/>
              <w:overflowPunct/>
              <w:topLinePunct w:val="0"/>
              <w:autoSpaceDE/>
              <w:autoSpaceDN/>
              <w:bidi w:val="0"/>
              <w:adjustRightInd/>
              <w:snapToGrid/>
              <w:spacing w:line="288" w:lineRule="auto"/>
              <w:ind w:firstLine="0" w:firstLineChars="0"/>
              <w:jc w:val="left"/>
              <w:textAlignment w:val="auto"/>
              <w:rPr>
                <w:rFonts w:hint="eastAsia" w:ascii="宋体" w:hAnsi="宋体" w:eastAsia="宋体" w:cs="宋体"/>
                <w:color w:val="auto"/>
                <w:spacing w:val="-12"/>
                <w:szCs w:val="21"/>
              </w:rPr>
            </w:pPr>
            <w:r>
              <w:rPr>
                <w:rFonts w:hint="eastAsia" w:ascii="宋体" w:hAnsi="宋体" w:eastAsia="宋体" w:cs="宋体"/>
                <w:color w:val="auto"/>
                <w:spacing w:val="-12"/>
                <w:szCs w:val="21"/>
              </w:rPr>
              <w:t>软件和信息技术服</w:t>
            </w:r>
            <w:r>
              <w:rPr>
                <w:rFonts w:hint="eastAsia" w:ascii="宋体" w:hAnsi="宋体" w:eastAsia="宋体" w:cs="宋体"/>
                <w:color w:val="auto"/>
                <w:szCs w:val="21"/>
              </w:rPr>
              <w:t>务业</w:t>
            </w:r>
          </w:p>
        </w:tc>
        <w:tc>
          <w:tcPr>
            <w:tcW w:w="1410" w:type="dxa"/>
            <w:vAlign w:val="center"/>
          </w:tcPr>
          <w:p w14:paraId="668A0475">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从业人员(X)</w:t>
            </w:r>
          </w:p>
        </w:tc>
        <w:tc>
          <w:tcPr>
            <w:tcW w:w="1065" w:type="dxa"/>
            <w:vAlign w:val="center"/>
          </w:tcPr>
          <w:p w14:paraId="2C73BF49">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人</w:t>
            </w:r>
          </w:p>
        </w:tc>
        <w:tc>
          <w:tcPr>
            <w:tcW w:w="1217" w:type="dxa"/>
            <w:vAlign w:val="center"/>
          </w:tcPr>
          <w:p w14:paraId="5DE3C21A">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X≥300</w:t>
            </w:r>
          </w:p>
        </w:tc>
        <w:tc>
          <w:tcPr>
            <w:tcW w:w="1708" w:type="dxa"/>
            <w:vAlign w:val="center"/>
          </w:tcPr>
          <w:p w14:paraId="565A9962">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100≤X＜300</w:t>
            </w:r>
          </w:p>
        </w:tc>
        <w:tc>
          <w:tcPr>
            <w:tcW w:w="1674" w:type="dxa"/>
            <w:vAlign w:val="center"/>
          </w:tcPr>
          <w:p w14:paraId="4732BC11">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10≤X＜100</w:t>
            </w:r>
          </w:p>
        </w:tc>
        <w:tc>
          <w:tcPr>
            <w:tcW w:w="1073" w:type="dxa"/>
            <w:vAlign w:val="center"/>
          </w:tcPr>
          <w:p w14:paraId="7EDFCE10">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X＜10</w:t>
            </w:r>
          </w:p>
        </w:tc>
      </w:tr>
      <w:tr w14:paraId="19949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continue"/>
            <w:vAlign w:val="center"/>
          </w:tcPr>
          <w:p w14:paraId="032DF63F">
            <w:pPr>
              <w:keepNext w:val="0"/>
              <w:keepLines w:val="0"/>
              <w:pageBreakBefore w:val="0"/>
              <w:widowControl/>
              <w:kinsoku/>
              <w:wordWrap/>
              <w:overflowPunct/>
              <w:topLinePunct w:val="0"/>
              <w:autoSpaceDE/>
              <w:autoSpaceDN/>
              <w:bidi w:val="0"/>
              <w:adjustRightInd/>
              <w:snapToGrid/>
              <w:spacing w:line="288" w:lineRule="auto"/>
              <w:ind w:firstLine="0" w:firstLineChars="0"/>
              <w:jc w:val="left"/>
              <w:textAlignment w:val="auto"/>
              <w:rPr>
                <w:rFonts w:hint="eastAsia" w:ascii="宋体" w:hAnsi="宋体" w:eastAsia="宋体" w:cs="宋体"/>
                <w:color w:val="auto"/>
                <w:spacing w:val="-12"/>
                <w:szCs w:val="21"/>
              </w:rPr>
            </w:pPr>
          </w:p>
        </w:tc>
        <w:tc>
          <w:tcPr>
            <w:tcW w:w="1410" w:type="dxa"/>
            <w:vAlign w:val="center"/>
          </w:tcPr>
          <w:p w14:paraId="31B9CEF1">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营业收入(Y)</w:t>
            </w:r>
          </w:p>
        </w:tc>
        <w:tc>
          <w:tcPr>
            <w:tcW w:w="1065" w:type="dxa"/>
            <w:vAlign w:val="center"/>
          </w:tcPr>
          <w:p w14:paraId="3F54837C">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万元</w:t>
            </w:r>
          </w:p>
        </w:tc>
        <w:tc>
          <w:tcPr>
            <w:tcW w:w="1217" w:type="dxa"/>
            <w:vAlign w:val="center"/>
          </w:tcPr>
          <w:p w14:paraId="3D3ABFB1">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Y≥10000</w:t>
            </w:r>
          </w:p>
        </w:tc>
        <w:tc>
          <w:tcPr>
            <w:tcW w:w="1708" w:type="dxa"/>
            <w:vAlign w:val="center"/>
          </w:tcPr>
          <w:p w14:paraId="5544A48F">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1000≤Y＜10000</w:t>
            </w:r>
          </w:p>
        </w:tc>
        <w:tc>
          <w:tcPr>
            <w:tcW w:w="1674" w:type="dxa"/>
            <w:vAlign w:val="center"/>
          </w:tcPr>
          <w:p w14:paraId="433CC3A8">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50≤Y＜1000</w:t>
            </w:r>
          </w:p>
        </w:tc>
        <w:tc>
          <w:tcPr>
            <w:tcW w:w="1073" w:type="dxa"/>
            <w:vAlign w:val="center"/>
          </w:tcPr>
          <w:p w14:paraId="2CBDDC1C">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Y＜50</w:t>
            </w:r>
          </w:p>
        </w:tc>
      </w:tr>
      <w:tr w14:paraId="7286D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restart"/>
            <w:vAlign w:val="center"/>
          </w:tcPr>
          <w:p w14:paraId="2325A65A">
            <w:pPr>
              <w:keepNext w:val="0"/>
              <w:keepLines w:val="0"/>
              <w:pageBreakBefore w:val="0"/>
              <w:widowControl/>
              <w:kinsoku/>
              <w:wordWrap/>
              <w:overflowPunct/>
              <w:topLinePunct w:val="0"/>
              <w:autoSpaceDE/>
              <w:autoSpaceDN/>
              <w:bidi w:val="0"/>
              <w:adjustRightInd/>
              <w:snapToGrid/>
              <w:spacing w:line="288" w:lineRule="auto"/>
              <w:ind w:firstLine="0" w:firstLineChars="0"/>
              <w:jc w:val="left"/>
              <w:textAlignment w:val="auto"/>
              <w:rPr>
                <w:rFonts w:hint="eastAsia" w:ascii="宋体" w:hAnsi="宋体" w:eastAsia="宋体" w:cs="宋体"/>
                <w:color w:val="auto"/>
                <w:szCs w:val="21"/>
              </w:rPr>
            </w:pPr>
            <w:r>
              <w:rPr>
                <w:rFonts w:hint="eastAsia" w:ascii="宋体" w:hAnsi="宋体" w:eastAsia="宋体" w:cs="宋体"/>
                <w:color w:val="auto"/>
                <w:szCs w:val="21"/>
              </w:rPr>
              <w:t>房地产开发经营</w:t>
            </w:r>
          </w:p>
        </w:tc>
        <w:tc>
          <w:tcPr>
            <w:tcW w:w="1410" w:type="dxa"/>
            <w:vAlign w:val="center"/>
          </w:tcPr>
          <w:p w14:paraId="7239DE9F">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营业收入(Y)</w:t>
            </w:r>
          </w:p>
        </w:tc>
        <w:tc>
          <w:tcPr>
            <w:tcW w:w="1065" w:type="dxa"/>
            <w:vAlign w:val="center"/>
          </w:tcPr>
          <w:p w14:paraId="51FD74D3">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万元</w:t>
            </w:r>
          </w:p>
        </w:tc>
        <w:tc>
          <w:tcPr>
            <w:tcW w:w="1217" w:type="dxa"/>
            <w:vAlign w:val="center"/>
          </w:tcPr>
          <w:p w14:paraId="7D34F7A0">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Y≥200000</w:t>
            </w:r>
          </w:p>
        </w:tc>
        <w:tc>
          <w:tcPr>
            <w:tcW w:w="1708" w:type="dxa"/>
            <w:vAlign w:val="center"/>
          </w:tcPr>
          <w:p w14:paraId="2F8702FB">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1000≤Y＜200000</w:t>
            </w:r>
          </w:p>
        </w:tc>
        <w:tc>
          <w:tcPr>
            <w:tcW w:w="1674" w:type="dxa"/>
            <w:vAlign w:val="center"/>
          </w:tcPr>
          <w:p w14:paraId="150DD757">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100≤Y＜1000</w:t>
            </w:r>
          </w:p>
        </w:tc>
        <w:tc>
          <w:tcPr>
            <w:tcW w:w="1073" w:type="dxa"/>
            <w:vAlign w:val="center"/>
          </w:tcPr>
          <w:p w14:paraId="4AF9A0F6">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Y＜100</w:t>
            </w:r>
          </w:p>
        </w:tc>
      </w:tr>
      <w:tr w14:paraId="38E7C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continue"/>
            <w:vAlign w:val="center"/>
          </w:tcPr>
          <w:p w14:paraId="3DDADD11">
            <w:pPr>
              <w:keepNext w:val="0"/>
              <w:keepLines w:val="0"/>
              <w:pageBreakBefore w:val="0"/>
              <w:widowControl/>
              <w:kinsoku/>
              <w:wordWrap/>
              <w:overflowPunct/>
              <w:topLinePunct w:val="0"/>
              <w:autoSpaceDE/>
              <w:autoSpaceDN/>
              <w:bidi w:val="0"/>
              <w:adjustRightInd/>
              <w:snapToGrid/>
              <w:spacing w:line="288" w:lineRule="auto"/>
              <w:ind w:firstLine="0" w:firstLineChars="0"/>
              <w:jc w:val="left"/>
              <w:textAlignment w:val="auto"/>
              <w:rPr>
                <w:rFonts w:hint="eastAsia" w:ascii="宋体" w:hAnsi="宋体" w:eastAsia="宋体" w:cs="宋体"/>
                <w:color w:val="auto"/>
                <w:szCs w:val="21"/>
              </w:rPr>
            </w:pPr>
          </w:p>
        </w:tc>
        <w:tc>
          <w:tcPr>
            <w:tcW w:w="1410" w:type="dxa"/>
            <w:vAlign w:val="center"/>
          </w:tcPr>
          <w:p w14:paraId="1056E143">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资产总额(Z)</w:t>
            </w:r>
          </w:p>
        </w:tc>
        <w:tc>
          <w:tcPr>
            <w:tcW w:w="1065" w:type="dxa"/>
            <w:vAlign w:val="center"/>
          </w:tcPr>
          <w:p w14:paraId="7DD00933">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万元</w:t>
            </w:r>
          </w:p>
        </w:tc>
        <w:tc>
          <w:tcPr>
            <w:tcW w:w="1217" w:type="dxa"/>
            <w:vAlign w:val="center"/>
          </w:tcPr>
          <w:p w14:paraId="70F4F61A">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Z≥10000</w:t>
            </w:r>
          </w:p>
        </w:tc>
        <w:tc>
          <w:tcPr>
            <w:tcW w:w="1708" w:type="dxa"/>
            <w:vAlign w:val="center"/>
          </w:tcPr>
          <w:p w14:paraId="413EDE50">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5000≤Z＜10000</w:t>
            </w:r>
          </w:p>
        </w:tc>
        <w:tc>
          <w:tcPr>
            <w:tcW w:w="1674" w:type="dxa"/>
            <w:vAlign w:val="center"/>
          </w:tcPr>
          <w:p w14:paraId="2EFCE2AB">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2000≤Z＜5000</w:t>
            </w:r>
          </w:p>
        </w:tc>
        <w:tc>
          <w:tcPr>
            <w:tcW w:w="1073" w:type="dxa"/>
            <w:vAlign w:val="center"/>
          </w:tcPr>
          <w:p w14:paraId="4C49D199">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Z＜2000</w:t>
            </w:r>
          </w:p>
        </w:tc>
      </w:tr>
      <w:tr w14:paraId="3DDFE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restart"/>
            <w:vAlign w:val="center"/>
          </w:tcPr>
          <w:p w14:paraId="320C3C92">
            <w:pPr>
              <w:keepNext w:val="0"/>
              <w:keepLines w:val="0"/>
              <w:pageBreakBefore w:val="0"/>
              <w:widowControl/>
              <w:kinsoku/>
              <w:wordWrap/>
              <w:overflowPunct/>
              <w:topLinePunct w:val="0"/>
              <w:autoSpaceDE/>
              <w:autoSpaceDN/>
              <w:bidi w:val="0"/>
              <w:adjustRightInd/>
              <w:snapToGrid/>
              <w:spacing w:line="288" w:lineRule="auto"/>
              <w:ind w:firstLine="0" w:firstLineChars="0"/>
              <w:jc w:val="left"/>
              <w:textAlignment w:val="auto"/>
              <w:rPr>
                <w:rFonts w:hint="eastAsia" w:ascii="宋体" w:hAnsi="宋体" w:eastAsia="宋体" w:cs="宋体"/>
                <w:color w:val="auto"/>
                <w:szCs w:val="21"/>
              </w:rPr>
            </w:pPr>
            <w:r>
              <w:rPr>
                <w:rFonts w:hint="eastAsia" w:ascii="宋体" w:hAnsi="宋体" w:eastAsia="宋体" w:cs="宋体"/>
                <w:color w:val="auto"/>
                <w:szCs w:val="21"/>
              </w:rPr>
              <w:t>物业管理</w:t>
            </w:r>
          </w:p>
        </w:tc>
        <w:tc>
          <w:tcPr>
            <w:tcW w:w="1410" w:type="dxa"/>
            <w:vAlign w:val="center"/>
          </w:tcPr>
          <w:p w14:paraId="013081DC">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从业人员(X)</w:t>
            </w:r>
          </w:p>
        </w:tc>
        <w:tc>
          <w:tcPr>
            <w:tcW w:w="1065" w:type="dxa"/>
            <w:vAlign w:val="center"/>
          </w:tcPr>
          <w:p w14:paraId="44BDE48A">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人</w:t>
            </w:r>
          </w:p>
        </w:tc>
        <w:tc>
          <w:tcPr>
            <w:tcW w:w="1217" w:type="dxa"/>
            <w:vAlign w:val="center"/>
          </w:tcPr>
          <w:p w14:paraId="28CBF973">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X≥1000</w:t>
            </w:r>
          </w:p>
        </w:tc>
        <w:tc>
          <w:tcPr>
            <w:tcW w:w="1708" w:type="dxa"/>
            <w:vAlign w:val="center"/>
          </w:tcPr>
          <w:p w14:paraId="0E098B3C">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300≤X＜1000</w:t>
            </w:r>
          </w:p>
        </w:tc>
        <w:tc>
          <w:tcPr>
            <w:tcW w:w="1674" w:type="dxa"/>
            <w:vAlign w:val="center"/>
          </w:tcPr>
          <w:p w14:paraId="0D18E06D">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100≤X＜300</w:t>
            </w:r>
          </w:p>
        </w:tc>
        <w:tc>
          <w:tcPr>
            <w:tcW w:w="1073" w:type="dxa"/>
            <w:vAlign w:val="center"/>
          </w:tcPr>
          <w:p w14:paraId="0F4EDB00">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X＜100</w:t>
            </w:r>
          </w:p>
        </w:tc>
      </w:tr>
      <w:tr w14:paraId="1DA84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continue"/>
            <w:vAlign w:val="center"/>
          </w:tcPr>
          <w:p w14:paraId="478F74E1">
            <w:pPr>
              <w:keepNext w:val="0"/>
              <w:keepLines w:val="0"/>
              <w:pageBreakBefore w:val="0"/>
              <w:widowControl/>
              <w:kinsoku/>
              <w:wordWrap/>
              <w:overflowPunct/>
              <w:topLinePunct w:val="0"/>
              <w:autoSpaceDE/>
              <w:autoSpaceDN/>
              <w:bidi w:val="0"/>
              <w:adjustRightInd/>
              <w:snapToGrid/>
              <w:spacing w:line="288" w:lineRule="auto"/>
              <w:ind w:firstLine="0" w:firstLineChars="0"/>
              <w:jc w:val="left"/>
              <w:textAlignment w:val="auto"/>
              <w:rPr>
                <w:rFonts w:hint="eastAsia" w:ascii="宋体" w:hAnsi="宋体" w:eastAsia="宋体" w:cs="宋体"/>
                <w:color w:val="auto"/>
                <w:szCs w:val="21"/>
              </w:rPr>
            </w:pPr>
          </w:p>
        </w:tc>
        <w:tc>
          <w:tcPr>
            <w:tcW w:w="1410" w:type="dxa"/>
            <w:vAlign w:val="center"/>
          </w:tcPr>
          <w:p w14:paraId="5B45E62D">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营业收入(Y)</w:t>
            </w:r>
          </w:p>
        </w:tc>
        <w:tc>
          <w:tcPr>
            <w:tcW w:w="1065" w:type="dxa"/>
            <w:vAlign w:val="center"/>
          </w:tcPr>
          <w:p w14:paraId="00BDCA3C">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万元</w:t>
            </w:r>
          </w:p>
        </w:tc>
        <w:tc>
          <w:tcPr>
            <w:tcW w:w="1217" w:type="dxa"/>
            <w:vAlign w:val="center"/>
          </w:tcPr>
          <w:p w14:paraId="7085483D">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Y≥5000</w:t>
            </w:r>
          </w:p>
        </w:tc>
        <w:tc>
          <w:tcPr>
            <w:tcW w:w="1708" w:type="dxa"/>
            <w:vAlign w:val="center"/>
          </w:tcPr>
          <w:p w14:paraId="1CF33885">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1000≤Y＜5000</w:t>
            </w:r>
          </w:p>
        </w:tc>
        <w:tc>
          <w:tcPr>
            <w:tcW w:w="1674" w:type="dxa"/>
            <w:vAlign w:val="center"/>
          </w:tcPr>
          <w:p w14:paraId="2EDFC591">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500≤Y＜1000</w:t>
            </w:r>
          </w:p>
        </w:tc>
        <w:tc>
          <w:tcPr>
            <w:tcW w:w="1073" w:type="dxa"/>
            <w:vAlign w:val="center"/>
          </w:tcPr>
          <w:p w14:paraId="5EB17A8B">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Y＜500</w:t>
            </w:r>
          </w:p>
        </w:tc>
      </w:tr>
      <w:tr w14:paraId="3AE5B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restart"/>
            <w:vAlign w:val="center"/>
          </w:tcPr>
          <w:p w14:paraId="512C0431">
            <w:pPr>
              <w:keepNext w:val="0"/>
              <w:keepLines w:val="0"/>
              <w:pageBreakBefore w:val="0"/>
              <w:widowControl/>
              <w:kinsoku/>
              <w:wordWrap/>
              <w:overflowPunct/>
              <w:topLinePunct w:val="0"/>
              <w:autoSpaceDE/>
              <w:autoSpaceDN/>
              <w:bidi w:val="0"/>
              <w:adjustRightInd/>
              <w:snapToGrid/>
              <w:spacing w:line="288" w:lineRule="auto"/>
              <w:ind w:firstLine="0" w:firstLineChars="0"/>
              <w:jc w:val="left"/>
              <w:textAlignment w:val="auto"/>
              <w:rPr>
                <w:rFonts w:hint="eastAsia" w:ascii="宋体" w:hAnsi="宋体" w:eastAsia="宋体" w:cs="宋体"/>
                <w:color w:val="auto"/>
                <w:szCs w:val="21"/>
              </w:rPr>
            </w:pPr>
            <w:r>
              <w:rPr>
                <w:rFonts w:hint="eastAsia" w:ascii="宋体" w:hAnsi="宋体" w:eastAsia="宋体" w:cs="宋体"/>
                <w:color w:val="auto"/>
                <w:szCs w:val="21"/>
              </w:rPr>
              <w:t>租赁和商务服务业</w:t>
            </w:r>
          </w:p>
        </w:tc>
        <w:tc>
          <w:tcPr>
            <w:tcW w:w="1410" w:type="dxa"/>
            <w:vAlign w:val="center"/>
          </w:tcPr>
          <w:p w14:paraId="54401B72">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从业人员(X)</w:t>
            </w:r>
          </w:p>
        </w:tc>
        <w:tc>
          <w:tcPr>
            <w:tcW w:w="1065" w:type="dxa"/>
            <w:vAlign w:val="center"/>
          </w:tcPr>
          <w:p w14:paraId="3133D9D0">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人</w:t>
            </w:r>
          </w:p>
        </w:tc>
        <w:tc>
          <w:tcPr>
            <w:tcW w:w="1217" w:type="dxa"/>
            <w:vAlign w:val="center"/>
          </w:tcPr>
          <w:p w14:paraId="079BCDA1">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X≥300</w:t>
            </w:r>
          </w:p>
        </w:tc>
        <w:tc>
          <w:tcPr>
            <w:tcW w:w="1708" w:type="dxa"/>
            <w:vAlign w:val="center"/>
          </w:tcPr>
          <w:p w14:paraId="576DA08B">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100≤X＜300</w:t>
            </w:r>
          </w:p>
        </w:tc>
        <w:tc>
          <w:tcPr>
            <w:tcW w:w="1674" w:type="dxa"/>
            <w:vAlign w:val="center"/>
          </w:tcPr>
          <w:p w14:paraId="6C96EC2E">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10≤X＜100</w:t>
            </w:r>
          </w:p>
        </w:tc>
        <w:tc>
          <w:tcPr>
            <w:tcW w:w="1073" w:type="dxa"/>
            <w:vAlign w:val="center"/>
          </w:tcPr>
          <w:p w14:paraId="3D4A120C">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X＜10</w:t>
            </w:r>
          </w:p>
        </w:tc>
      </w:tr>
      <w:tr w14:paraId="1B51C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continue"/>
            <w:vAlign w:val="center"/>
          </w:tcPr>
          <w:p w14:paraId="3CF0C6EF">
            <w:pPr>
              <w:keepNext w:val="0"/>
              <w:keepLines w:val="0"/>
              <w:pageBreakBefore w:val="0"/>
              <w:widowControl/>
              <w:kinsoku/>
              <w:wordWrap/>
              <w:overflowPunct/>
              <w:topLinePunct w:val="0"/>
              <w:autoSpaceDE/>
              <w:autoSpaceDN/>
              <w:bidi w:val="0"/>
              <w:adjustRightInd/>
              <w:snapToGrid/>
              <w:spacing w:line="288" w:lineRule="auto"/>
              <w:ind w:firstLine="0" w:firstLineChars="0"/>
              <w:jc w:val="left"/>
              <w:textAlignment w:val="auto"/>
              <w:rPr>
                <w:rFonts w:hint="eastAsia" w:ascii="宋体" w:hAnsi="宋体" w:eastAsia="宋体" w:cs="宋体"/>
                <w:color w:val="auto"/>
                <w:szCs w:val="21"/>
              </w:rPr>
            </w:pPr>
          </w:p>
        </w:tc>
        <w:tc>
          <w:tcPr>
            <w:tcW w:w="1410" w:type="dxa"/>
            <w:vAlign w:val="center"/>
          </w:tcPr>
          <w:p w14:paraId="6744B281">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资产总额(Z)</w:t>
            </w:r>
          </w:p>
        </w:tc>
        <w:tc>
          <w:tcPr>
            <w:tcW w:w="1065" w:type="dxa"/>
            <w:vAlign w:val="center"/>
          </w:tcPr>
          <w:p w14:paraId="685B1D4F">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万元</w:t>
            </w:r>
          </w:p>
        </w:tc>
        <w:tc>
          <w:tcPr>
            <w:tcW w:w="1217" w:type="dxa"/>
            <w:vAlign w:val="center"/>
          </w:tcPr>
          <w:p w14:paraId="6DD68497">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Z≥120000</w:t>
            </w:r>
          </w:p>
        </w:tc>
        <w:tc>
          <w:tcPr>
            <w:tcW w:w="1708" w:type="dxa"/>
            <w:vAlign w:val="center"/>
          </w:tcPr>
          <w:p w14:paraId="33D69252">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8000≤Z＜120000</w:t>
            </w:r>
          </w:p>
        </w:tc>
        <w:tc>
          <w:tcPr>
            <w:tcW w:w="1674" w:type="dxa"/>
            <w:vAlign w:val="center"/>
          </w:tcPr>
          <w:p w14:paraId="66468281">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100≤Z＜8000</w:t>
            </w:r>
          </w:p>
        </w:tc>
        <w:tc>
          <w:tcPr>
            <w:tcW w:w="1073" w:type="dxa"/>
            <w:vAlign w:val="center"/>
          </w:tcPr>
          <w:p w14:paraId="1CC904D5">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Z＜100</w:t>
            </w:r>
          </w:p>
        </w:tc>
      </w:tr>
      <w:tr w14:paraId="0DE76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Align w:val="center"/>
          </w:tcPr>
          <w:p w14:paraId="582ED57E">
            <w:pPr>
              <w:keepNext w:val="0"/>
              <w:keepLines w:val="0"/>
              <w:pageBreakBefore w:val="0"/>
              <w:widowControl/>
              <w:kinsoku/>
              <w:wordWrap/>
              <w:overflowPunct/>
              <w:topLinePunct w:val="0"/>
              <w:autoSpaceDE/>
              <w:autoSpaceDN/>
              <w:bidi w:val="0"/>
              <w:adjustRightInd/>
              <w:snapToGrid/>
              <w:spacing w:line="288" w:lineRule="auto"/>
              <w:ind w:firstLine="0" w:firstLineChars="0"/>
              <w:jc w:val="left"/>
              <w:textAlignment w:val="auto"/>
              <w:rPr>
                <w:rFonts w:hint="eastAsia" w:ascii="宋体" w:hAnsi="宋体" w:eastAsia="宋体" w:cs="宋体"/>
                <w:color w:val="auto"/>
                <w:szCs w:val="21"/>
              </w:rPr>
            </w:pPr>
            <w:r>
              <w:rPr>
                <w:rFonts w:hint="eastAsia" w:ascii="宋体" w:hAnsi="宋体" w:eastAsia="宋体" w:cs="宋体"/>
                <w:color w:val="auto"/>
                <w:szCs w:val="21"/>
              </w:rPr>
              <w:t>其他未列明行业*</w:t>
            </w:r>
          </w:p>
        </w:tc>
        <w:tc>
          <w:tcPr>
            <w:tcW w:w="1410" w:type="dxa"/>
            <w:vAlign w:val="center"/>
          </w:tcPr>
          <w:p w14:paraId="0F9BC397">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从业人员(X)</w:t>
            </w:r>
          </w:p>
        </w:tc>
        <w:tc>
          <w:tcPr>
            <w:tcW w:w="1065" w:type="dxa"/>
            <w:vAlign w:val="center"/>
          </w:tcPr>
          <w:p w14:paraId="6D662930">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人</w:t>
            </w:r>
          </w:p>
        </w:tc>
        <w:tc>
          <w:tcPr>
            <w:tcW w:w="1217" w:type="dxa"/>
            <w:vAlign w:val="center"/>
          </w:tcPr>
          <w:p w14:paraId="14711906">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X≥300</w:t>
            </w:r>
          </w:p>
        </w:tc>
        <w:tc>
          <w:tcPr>
            <w:tcW w:w="1708" w:type="dxa"/>
            <w:vAlign w:val="center"/>
          </w:tcPr>
          <w:p w14:paraId="13FA321F">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100≤X＜300</w:t>
            </w:r>
          </w:p>
        </w:tc>
        <w:tc>
          <w:tcPr>
            <w:tcW w:w="1674" w:type="dxa"/>
            <w:vAlign w:val="center"/>
          </w:tcPr>
          <w:p w14:paraId="1519946D">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10≤X＜100</w:t>
            </w:r>
          </w:p>
        </w:tc>
        <w:tc>
          <w:tcPr>
            <w:tcW w:w="1073" w:type="dxa"/>
            <w:vAlign w:val="center"/>
          </w:tcPr>
          <w:p w14:paraId="6B1BB94F">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X＜10</w:t>
            </w:r>
          </w:p>
        </w:tc>
      </w:tr>
    </w:tbl>
    <w:p w14:paraId="43570521">
      <w:pPr>
        <w:widowControl/>
        <w:spacing w:line="360" w:lineRule="auto"/>
        <w:ind w:firstLine="0" w:firstLineChars="0"/>
        <w:rPr>
          <w:rFonts w:hint="eastAsia" w:ascii="宋体" w:hAnsi="宋体" w:eastAsia="宋体" w:cs="宋体"/>
          <w:color w:val="auto"/>
          <w:spacing w:val="8"/>
          <w:sz w:val="24"/>
          <w:szCs w:val="24"/>
        </w:rPr>
      </w:pPr>
      <w:r>
        <w:rPr>
          <w:rFonts w:hint="eastAsia" w:ascii="宋体" w:hAnsi="宋体" w:eastAsia="宋体" w:cs="宋体"/>
          <w:b/>
          <w:bCs/>
          <w:color w:val="auto"/>
          <w:spacing w:val="8"/>
          <w:sz w:val="24"/>
          <w:szCs w:val="24"/>
        </w:rPr>
        <w:t>说明：</w:t>
      </w:r>
    </w:p>
    <w:p w14:paraId="0E41DCBA">
      <w:pPr>
        <w:spacing w:line="360" w:lineRule="auto"/>
        <w:ind w:firstLine="0" w:firstLineChars="0"/>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rPr>
        <w:t>　　1.大型、中型和小型企业须同时满足所列指标的</w:t>
      </w:r>
      <w:r>
        <w:rPr>
          <w:rFonts w:hint="eastAsia" w:ascii="宋体" w:hAnsi="宋体" w:eastAsia="宋体" w:cs="宋体"/>
          <w:b/>
          <w:bCs/>
          <w:color w:val="auto"/>
          <w:spacing w:val="8"/>
          <w:sz w:val="24"/>
          <w:szCs w:val="24"/>
        </w:rPr>
        <w:t>下限</w:t>
      </w:r>
      <w:r>
        <w:rPr>
          <w:rFonts w:hint="eastAsia" w:ascii="宋体" w:hAnsi="宋体" w:eastAsia="宋体" w:cs="宋体"/>
          <w:color w:val="auto"/>
          <w:spacing w:val="8"/>
          <w:sz w:val="24"/>
          <w:szCs w:val="24"/>
        </w:rPr>
        <w:t>，</w:t>
      </w:r>
      <w:r>
        <w:rPr>
          <w:rFonts w:hint="eastAsia" w:ascii="宋体" w:hAnsi="宋体" w:eastAsia="宋体" w:cs="宋体"/>
          <w:b/>
          <w:bCs/>
          <w:color w:val="auto"/>
          <w:spacing w:val="8"/>
          <w:sz w:val="24"/>
          <w:szCs w:val="24"/>
        </w:rPr>
        <w:t>否则下划一档</w:t>
      </w:r>
      <w:r>
        <w:rPr>
          <w:rFonts w:hint="eastAsia" w:ascii="宋体" w:hAnsi="宋体" w:eastAsia="宋体" w:cs="宋体"/>
          <w:color w:val="auto"/>
          <w:spacing w:val="8"/>
          <w:sz w:val="24"/>
          <w:szCs w:val="24"/>
        </w:rPr>
        <w:t>；微型企业只须满足所列指标中的</w:t>
      </w:r>
      <w:r>
        <w:rPr>
          <w:rFonts w:hint="eastAsia" w:ascii="宋体" w:hAnsi="宋体" w:eastAsia="宋体" w:cs="宋体"/>
          <w:b/>
          <w:bCs/>
          <w:color w:val="auto"/>
          <w:spacing w:val="8"/>
          <w:sz w:val="24"/>
          <w:szCs w:val="24"/>
        </w:rPr>
        <w:t>一项</w:t>
      </w:r>
      <w:r>
        <w:rPr>
          <w:rFonts w:hint="eastAsia" w:ascii="宋体" w:hAnsi="宋体" w:eastAsia="宋体" w:cs="宋体"/>
          <w:color w:val="auto"/>
          <w:spacing w:val="8"/>
          <w:sz w:val="24"/>
          <w:szCs w:val="24"/>
        </w:rPr>
        <w:t>即可。</w:t>
      </w:r>
    </w:p>
    <w:p w14:paraId="76C3337E">
      <w:pPr>
        <w:spacing w:line="360" w:lineRule="auto"/>
        <w:ind w:firstLine="512" w:firstLineChars="0"/>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rPr>
        <w:t>2.附表中各行业的范围以《国民经济行业分类》（GB/T4754-2017）为准。带*的项为行业组合类别，其中，</w:t>
      </w:r>
      <w:r>
        <w:rPr>
          <w:rFonts w:hint="eastAsia" w:ascii="宋体" w:hAnsi="宋体" w:eastAsia="宋体" w:cs="宋体"/>
          <w:b/>
          <w:bCs/>
          <w:color w:val="auto"/>
          <w:spacing w:val="8"/>
          <w:sz w:val="24"/>
          <w:szCs w:val="24"/>
        </w:rPr>
        <w:t>工业</w:t>
      </w:r>
      <w:r>
        <w:rPr>
          <w:rFonts w:hint="eastAsia" w:ascii="宋体" w:hAnsi="宋体" w:eastAsia="宋体" w:cs="宋体"/>
          <w:color w:val="auto"/>
          <w:spacing w:val="8"/>
          <w:sz w:val="24"/>
          <w:szCs w:val="24"/>
        </w:rPr>
        <w:t>包括采矿业，制造业，电力、热力、燃气及水生产和供应业；</w:t>
      </w:r>
      <w:r>
        <w:rPr>
          <w:rFonts w:hint="eastAsia" w:ascii="宋体" w:hAnsi="宋体" w:eastAsia="宋体" w:cs="宋体"/>
          <w:b/>
          <w:bCs/>
          <w:color w:val="auto"/>
          <w:spacing w:val="8"/>
          <w:sz w:val="24"/>
          <w:szCs w:val="24"/>
        </w:rPr>
        <w:t>交通运输业</w:t>
      </w:r>
      <w:r>
        <w:rPr>
          <w:rFonts w:hint="eastAsia" w:ascii="宋体" w:hAnsi="宋体" w:eastAsia="宋体" w:cs="宋体"/>
          <w:color w:val="auto"/>
          <w:spacing w:val="8"/>
          <w:sz w:val="24"/>
          <w:szCs w:val="24"/>
        </w:rPr>
        <w:t>包括道路运输业，水上运输业，航空运输业，管道运输业，多式联运和运输代理业、装卸搬运，不包括铁路运输业；</w:t>
      </w:r>
      <w:r>
        <w:rPr>
          <w:rFonts w:hint="eastAsia" w:ascii="宋体" w:hAnsi="宋体" w:eastAsia="宋体" w:cs="宋体"/>
          <w:b/>
          <w:bCs/>
          <w:color w:val="auto"/>
          <w:spacing w:val="8"/>
          <w:sz w:val="24"/>
          <w:szCs w:val="24"/>
        </w:rPr>
        <w:t>仓储业</w:t>
      </w:r>
      <w:r>
        <w:rPr>
          <w:rFonts w:hint="eastAsia" w:ascii="宋体" w:hAnsi="宋体" w:eastAsia="宋体" w:cs="宋体"/>
          <w:color w:val="auto"/>
          <w:spacing w:val="8"/>
          <w:sz w:val="24"/>
          <w:szCs w:val="24"/>
        </w:rPr>
        <w:t>包括通用仓储，低温仓储，危险品仓储，谷物、棉花等农产品仓储，中药材仓储和其他仓储业；</w:t>
      </w:r>
      <w:r>
        <w:rPr>
          <w:rFonts w:hint="eastAsia" w:ascii="宋体" w:hAnsi="宋体" w:eastAsia="宋体" w:cs="宋体"/>
          <w:b/>
          <w:bCs/>
          <w:color w:val="auto"/>
          <w:spacing w:val="8"/>
          <w:sz w:val="24"/>
          <w:szCs w:val="24"/>
        </w:rPr>
        <w:t>信息传输业</w:t>
      </w:r>
      <w:r>
        <w:rPr>
          <w:rFonts w:hint="eastAsia" w:ascii="宋体" w:hAnsi="宋体" w:eastAsia="宋体" w:cs="宋体"/>
          <w:color w:val="auto"/>
          <w:spacing w:val="8"/>
          <w:sz w:val="24"/>
          <w:szCs w:val="24"/>
        </w:rPr>
        <w:t>包括电信、广播电视和卫星传输服务，互联网和相关服务；</w:t>
      </w:r>
      <w:r>
        <w:rPr>
          <w:rFonts w:hint="eastAsia" w:ascii="宋体" w:hAnsi="宋体" w:eastAsia="宋体" w:cs="宋体"/>
          <w:b/>
          <w:bCs/>
          <w:color w:val="auto"/>
          <w:spacing w:val="8"/>
          <w:sz w:val="24"/>
          <w:szCs w:val="24"/>
        </w:rPr>
        <w:t>其他未列明行业</w:t>
      </w:r>
      <w:r>
        <w:rPr>
          <w:rFonts w:hint="eastAsia" w:ascii="宋体" w:hAnsi="宋体" w:eastAsia="宋体" w:cs="宋体"/>
          <w:color w:val="auto"/>
          <w:spacing w:val="8"/>
          <w:sz w:val="24"/>
          <w:szCs w:val="24"/>
        </w:rPr>
        <w:t>包括科学研究和技术服务业，水利、环境和公共设施管理业，居民服务、修理和其他服务业，社会工作，文化、体育和娱乐业，以及房地产中介服务，其他房地产业等，不包括自有房地产经营活动。</w:t>
      </w:r>
    </w:p>
    <w:p w14:paraId="49519DE3">
      <w:pPr>
        <w:spacing w:line="360" w:lineRule="auto"/>
        <w:ind w:firstLine="512" w:firstLineChars="0"/>
        <w:rPr>
          <w:rFonts w:hint="eastAsia" w:ascii="宋体" w:hAnsi="宋体" w:eastAsia="宋体" w:cs="宋体"/>
          <w:color w:val="auto"/>
          <w:lang w:val="en-US" w:eastAsia="zh-CN"/>
        </w:rPr>
      </w:pPr>
      <w:r>
        <w:rPr>
          <w:rFonts w:hint="eastAsia" w:ascii="宋体" w:hAnsi="宋体" w:eastAsia="宋体" w:cs="宋体"/>
          <w:color w:val="auto"/>
          <w:spacing w:val="8"/>
          <w:sz w:val="24"/>
          <w:szCs w:val="24"/>
        </w:rPr>
        <w:t>3.企业划分指标以现行统计制度为准。（1）</w:t>
      </w:r>
      <w:r>
        <w:rPr>
          <w:rFonts w:hint="eastAsia" w:ascii="宋体" w:hAnsi="宋体" w:eastAsia="宋体" w:cs="宋体"/>
          <w:b/>
          <w:bCs/>
          <w:color w:val="auto"/>
          <w:spacing w:val="8"/>
          <w:sz w:val="24"/>
          <w:szCs w:val="24"/>
        </w:rPr>
        <w:t>从业人员</w:t>
      </w:r>
      <w:r>
        <w:rPr>
          <w:rFonts w:hint="eastAsia" w:ascii="宋体" w:hAnsi="宋体" w:eastAsia="宋体" w:cs="宋体"/>
          <w:color w:val="auto"/>
          <w:spacing w:val="8"/>
          <w:sz w:val="24"/>
          <w:szCs w:val="24"/>
        </w:rPr>
        <w:t>，是指期末从业人员数，没有期末从业人员数的，采用全年平均人员数代替。（2）</w:t>
      </w:r>
      <w:r>
        <w:rPr>
          <w:rFonts w:hint="eastAsia" w:ascii="宋体" w:hAnsi="宋体" w:eastAsia="宋体" w:cs="宋体"/>
          <w:b/>
          <w:bCs/>
          <w:color w:val="auto"/>
          <w:spacing w:val="8"/>
          <w:sz w:val="24"/>
          <w:szCs w:val="24"/>
        </w:rPr>
        <w:t>营业收入</w:t>
      </w:r>
      <w:r>
        <w:rPr>
          <w:rFonts w:hint="eastAsia" w:ascii="宋体" w:hAnsi="宋体" w:eastAsia="宋体" w:cs="宋体"/>
          <w:color w:val="auto"/>
          <w:spacing w:val="8"/>
          <w:sz w:val="24"/>
          <w:szCs w:val="24"/>
        </w:rPr>
        <w:t>，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w:t>
      </w:r>
      <w:r>
        <w:rPr>
          <w:rFonts w:hint="eastAsia" w:ascii="宋体" w:hAnsi="宋体" w:eastAsia="宋体" w:cs="宋体"/>
          <w:b/>
          <w:bCs/>
          <w:color w:val="auto"/>
          <w:spacing w:val="8"/>
          <w:sz w:val="24"/>
          <w:szCs w:val="24"/>
        </w:rPr>
        <w:t>资产总额</w:t>
      </w:r>
      <w:r>
        <w:rPr>
          <w:rFonts w:hint="eastAsia" w:ascii="宋体" w:hAnsi="宋体" w:eastAsia="宋体" w:cs="宋体"/>
          <w:color w:val="auto"/>
          <w:spacing w:val="8"/>
          <w:sz w:val="24"/>
          <w:szCs w:val="24"/>
        </w:rPr>
        <w:t>，采用资产总计代替。</w:t>
      </w:r>
    </w:p>
    <w:p w14:paraId="37E6623D">
      <w:pPr>
        <w:bidi w:val="0"/>
        <w:rPr>
          <w:rFonts w:hint="eastAsia" w:ascii="宋体" w:hAnsi="宋体" w:eastAsia="宋体" w:cs="宋体"/>
          <w:color w:val="auto"/>
          <w:lang w:val="en-US" w:eastAsia="zh-CN"/>
        </w:rPr>
      </w:pPr>
    </w:p>
    <w:p w14:paraId="2CDDB690">
      <w:pPr>
        <w:bidi w:val="0"/>
        <w:rPr>
          <w:rFonts w:hint="eastAsia" w:ascii="宋体" w:hAnsi="宋体" w:eastAsia="宋体" w:cs="宋体"/>
          <w:color w:val="auto"/>
          <w:lang w:val="en-US" w:eastAsia="zh-CN"/>
        </w:rPr>
      </w:pPr>
    </w:p>
    <w:p w14:paraId="3DCD32C2">
      <w:pPr>
        <w:bidi w:val="0"/>
        <w:rPr>
          <w:rFonts w:hint="eastAsia" w:ascii="宋体" w:hAnsi="宋体" w:eastAsia="宋体" w:cs="宋体"/>
          <w:color w:val="auto"/>
          <w:lang w:val="en-US" w:eastAsia="zh-CN"/>
        </w:rPr>
      </w:pPr>
    </w:p>
    <w:p w14:paraId="73EC0DF8">
      <w:pPr>
        <w:bidi w:val="0"/>
        <w:rPr>
          <w:rFonts w:hint="eastAsia" w:ascii="宋体" w:hAnsi="宋体" w:eastAsia="宋体" w:cs="宋体"/>
          <w:color w:val="auto"/>
          <w:lang w:val="en-US" w:eastAsia="zh-CN"/>
        </w:rPr>
      </w:pPr>
    </w:p>
    <w:p w14:paraId="708F93A7">
      <w:pP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br w:type="page"/>
      </w:r>
    </w:p>
    <w:p w14:paraId="1CE85E55">
      <w:pPr>
        <w:autoSpaceDE w:val="0"/>
        <w:autoSpaceDN w:val="0"/>
        <w:spacing w:line="360" w:lineRule="auto"/>
        <w:jc w:val="center"/>
        <w:rPr>
          <w:rFonts w:hint="eastAsia" w:ascii="宋体" w:hAnsi="宋体" w:eastAsia="宋体" w:cs="宋体"/>
          <w:color w:val="auto"/>
          <w:lang w:val="en-US" w:eastAsia="zh-CN"/>
        </w:rPr>
      </w:pPr>
      <w:r>
        <w:rPr>
          <w:rFonts w:hint="eastAsia" w:ascii="宋体" w:hAnsi="宋体" w:eastAsia="宋体" w:cs="宋体"/>
          <w:b/>
          <w:bCs/>
          <w:color w:val="auto"/>
          <w:sz w:val="24"/>
          <w:szCs w:val="24"/>
          <w:lang w:val="en-US" w:eastAsia="zh-CN"/>
        </w:rPr>
        <w:t>3.残疾人福利性单位声明函</w:t>
      </w:r>
      <w:bookmarkEnd w:id="471"/>
      <w:bookmarkEnd w:id="472"/>
      <w:bookmarkEnd w:id="473"/>
    </w:p>
    <w:p w14:paraId="55B9E35B">
      <w:pPr>
        <w:spacing w:line="360" w:lineRule="auto"/>
        <w:rPr>
          <w:rFonts w:hint="eastAsia" w:ascii="宋体" w:hAnsi="宋体" w:eastAsia="宋体" w:cs="宋体"/>
          <w:b/>
          <w:bCs/>
          <w:i w:val="0"/>
          <w:iCs w:val="0"/>
          <w:color w:val="auto"/>
          <w:kern w:val="0"/>
          <w:sz w:val="24"/>
          <w:szCs w:val="24"/>
          <w:lang w:val="en-US" w:eastAsia="zh-CN" w:bidi="ar"/>
        </w:rPr>
      </w:pPr>
      <w:r>
        <w:rPr>
          <w:rFonts w:hint="eastAsia" w:ascii="宋体" w:hAnsi="宋体" w:eastAsia="宋体" w:cs="宋体"/>
          <w:b/>
          <w:bCs/>
          <w:i w:val="0"/>
          <w:iCs w:val="0"/>
          <w:color w:val="auto"/>
          <w:kern w:val="0"/>
          <w:sz w:val="24"/>
          <w:szCs w:val="24"/>
          <w:lang w:val="en-US" w:eastAsia="zh-CN" w:bidi="ar"/>
        </w:rPr>
        <w:t>致：</w:t>
      </w:r>
      <w:r>
        <w:rPr>
          <w:rFonts w:hint="eastAsia" w:ascii="宋体" w:hAnsi="宋体" w:eastAsia="宋体" w:cs="宋体"/>
          <w:b/>
          <w:bCs/>
          <w:i w:val="0"/>
          <w:iCs w:val="0"/>
          <w:color w:val="auto"/>
          <w:kern w:val="0"/>
          <w:sz w:val="24"/>
          <w:szCs w:val="24"/>
          <w:lang w:val="zh-CN" w:eastAsia="zh-CN" w:bidi="ar"/>
        </w:rPr>
        <w:t>青海鼎钊招标代理有限公司</w:t>
      </w:r>
    </w:p>
    <w:p w14:paraId="36ADD9F7">
      <w:pPr>
        <w:spacing w:line="360" w:lineRule="auto"/>
        <w:ind w:firstLine="480"/>
        <w:rPr>
          <w:rFonts w:hint="eastAsia" w:ascii="宋体" w:hAnsi="宋体" w:eastAsia="宋体" w:cs="宋体"/>
          <w:i w:val="0"/>
          <w:iCs w:val="0"/>
          <w:color w:val="auto"/>
          <w:kern w:val="0"/>
          <w:sz w:val="24"/>
          <w:szCs w:val="24"/>
          <w:lang w:val="en-US" w:eastAsia="zh-CN" w:bidi="ar"/>
        </w:rPr>
      </w:pPr>
      <w:r>
        <w:rPr>
          <w:rFonts w:hint="eastAsia" w:ascii="宋体" w:hAnsi="宋体" w:eastAsia="宋体" w:cs="宋体"/>
          <w:i w:val="0"/>
          <w:iCs w:val="0"/>
          <w:color w:val="auto"/>
          <w:kern w:val="0"/>
          <w:sz w:val="24"/>
          <w:szCs w:val="24"/>
          <w:lang w:val="en-US" w:eastAsia="zh-CN" w:bidi="ar"/>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eastAsia="宋体" w:cs="宋体"/>
          <w:i w:val="0"/>
          <w:iCs w:val="0"/>
          <w:color w:val="auto"/>
          <w:kern w:val="0"/>
          <w:sz w:val="24"/>
          <w:szCs w:val="24"/>
          <w:u w:val="single"/>
          <w:lang w:val="en-US" w:eastAsia="zh-CN" w:bidi="ar"/>
        </w:rPr>
        <w:t xml:space="preserve">   </w:t>
      </w:r>
      <w:r>
        <w:rPr>
          <w:rFonts w:hint="eastAsia" w:ascii="宋体" w:hAnsi="宋体" w:eastAsia="宋体" w:cs="宋体"/>
          <w:i w:val="0"/>
          <w:iCs w:val="0"/>
          <w:color w:val="auto"/>
          <w:kern w:val="0"/>
          <w:sz w:val="24"/>
          <w:szCs w:val="24"/>
          <w:lang w:val="en-US" w:eastAsia="zh-CN" w:bidi="ar"/>
        </w:rPr>
        <w:t>人，安置的残疾人人数</w:t>
      </w:r>
      <w:r>
        <w:rPr>
          <w:rFonts w:hint="eastAsia" w:ascii="宋体" w:hAnsi="宋体" w:eastAsia="宋体" w:cs="宋体"/>
          <w:i w:val="0"/>
          <w:iCs w:val="0"/>
          <w:color w:val="auto"/>
          <w:kern w:val="0"/>
          <w:sz w:val="24"/>
          <w:szCs w:val="24"/>
          <w:u w:val="single"/>
          <w:lang w:val="en-US" w:eastAsia="zh-CN" w:bidi="ar"/>
        </w:rPr>
        <w:t xml:space="preserve">   </w:t>
      </w:r>
      <w:r>
        <w:rPr>
          <w:rFonts w:hint="eastAsia" w:ascii="宋体" w:hAnsi="宋体" w:eastAsia="宋体" w:cs="宋体"/>
          <w:i w:val="0"/>
          <w:iCs w:val="0"/>
          <w:color w:val="auto"/>
          <w:kern w:val="0"/>
          <w:sz w:val="24"/>
          <w:szCs w:val="24"/>
          <w:lang w:val="en-US" w:eastAsia="zh-CN" w:bidi="ar"/>
        </w:rPr>
        <w:t>人。且本单位参加______单位的______项目采购活动提供本单位制造的货物（由本单位承担工程/提供服务），或者提供其他残疾人福利性单位制造的货物（不包括使用非残疾人福利性单位注册商标的货物）。</w:t>
      </w:r>
    </w:p>
    <w:p w14:paraId="18B08271">
      <w:pPr>
        <w:spacing w:line="360" w:lineRule="auto"/>
        <w:ind w:firstLine="480"/>
        <w:rPr>
          <w:rFonts w:hint="eastAsia" w:ascii="宋体" w:hAnsi="宋体" w:eastAsia="宋体" w:cs="宋体"/>
          <w:color w:val="auto"/>
        </w:rPr>
      </w:pPr>
      <w:r>
        <w:rPr>
          <w:rFonts w:hint="eastAsia" w:ascii="宋体" w:hAnsi="宋体" w:eastAsia="宋体" w:cs="宋体"/>
          <w:i w:val="0"/>
          <w:iCs w:val="0"/>
          <w:color w:val="auto"/>
          <w:kern w:val="0"/>
          <w:sz w:val="24"/>
          <w:szCs w:val="24"/>
          <w:lang w:val="en-US" w:eastAsia="zh-CN" w:bidi="ar"/>
        </w:rPr>
        <w:t>本单位对上述声明的真实性负责。如有虚假，将依法承担相应责任。</w:t>
      </w:r>
    </w:p>
    <w:p w14:paraId="37488B5E">
      <w:pPr>
        <w:spacing w:line="360" w:lineRule="auto"/>
        <w:ind w:firstLine="480"/>
        <w:rPr>
          <w:rFonts w:hint="eastAsia" w:ascii="宋体" w:hAnsi="宋体" w:eastAsia="宋体" w:cs="宋体"/>
          <w:color w:val="auto"/>
        </w:rPr>
      </w:pPr>
    </w:p>
    <w:p w14:paraId="6943C280">
      <w:pPr>
        <w:spacing w:line="360" w:lineRule="auto"/>
        <w:ind w:firstLine="480"/>
        <w:rPr>
          <w:rFonts w:hint="eastAsia" w:ascii="宋体" w:hAnsi="宋体" w:eastAsia="宋体" w:cs="宋体"/>
          <w:i w:val="0"/>
          <w:iCs w:val="0"/>
          <w:color w:val="auto"/>
          <w:kern w:val="0"/>
          <w:sz w:val="24"/>
          <w:szCs w:val="24"/>
          <w:lang w:val="en-US" w:eastAsia="zh-CN" w:bidi="ar"/>
        </w:rPr>
      </w:pPr>
      <w:r>
        <w:rPr>
          <w:rFonts w:hint="eastAsia" w:ascii="宋体" w:hAnsi="宋体" w:eastAsia="宋体" w:cs="宋体"/>
          <w:i w:val="0"/>
          <w:iCs w:val="0"/>
          <w:color w:val="auto"/>
          <w:kern w:val="0"/>
          <w:sz w:val="24"/>
          <w:szCs w:val="24"/>
          <w:lang w:val="en-US" w:eastAsia="zh-CN" w:bidi="ar"/>
        </w:rPr>
        <w:t>注：若无此项内容，可不提供此函。</w:t>
      </w:r>
    </w:p>
    <w:p w14:paraId="7339EDD1">
      <w:pPr>
        <w:keepNext w:val="0"/>
        <w:keepLines w:val="0"/>
        <w:pageBreakBefore w:val="0"/>
        <w:kinsoku/>
        <w:wordWrap/>
        <w:overflowPunct/>
        <w:topLinePunct w:val="0"/>
        <w:autoSpaceDE/>
        <w:autoSpaceDN/>
        <w:bidi w:val="0"/>
        <w:adjustRightInd/>
        <w:snapToGrid/>
        <w:spacing w:line="360" w:lineRule="auto"/>
        <w:ind w:right="0" w:firstLine="480" w:firstLineChars="200"/>
        <w:jc w:val="center"/>
        <w:textAlignment w:val="auto"/>
        <w:outlineLvl w:val="9"/>
        <w:rPr>
          <w:rFonts w:hint="eastAsia" w:ascii="宋体" w:hAnsi="宋体" w:eastAsia="宋体" w:cs="宋体"/>
          <w:b w:val="0"/>
          <w:bCs/>
          <w:color w:val="auto"/>
          <w:sz w:val="24"/>
          <w:szCs w:val="24"/>
          <w:lang w:eastAsia="zh-CN"/>
        </w:rPr>
      </w:pPr>
    </w:p>
    <w:p w14:paraId="30760D8D">
      <w:pPr>
        <w:keepNext w:val="0"/>
        <w:keepLines w:val="0"/>
        <w:pageBreakBefore w:val="0"/>
        <w:kinsoku/>
        <w:wordWrap/>
        <w:overflowPunct/>
        <w:topLinePunct w:val="0"/>
        <w:autoSpaceDE/>
        <w:autoSpaceDN/>
        <w:bidi w:val="0"/>
        <w:adjustRightInd/>
        <w:snapToGrid/>
        <w:spacing w:line="360" w:lineRule="auto"/>
        <w:ind w:right="0" w:firstLine="480" w:firstLineChars="200"/>
        <w:jc w:val="center"/>
        <w:textAlignment w:val="auto"/>
        <w:outlineLvl w:val="9"/>
        <w:rPr>
          <w:rFonts w:hint="eastAsia" w:ascii="宋体" w:hAnsi="宋体" w:eastAsia="宋体" w:cs="宋体"/>
          <w:b w:val="0"/>
          <w:bCs/>
          <w:color w:val="auto"/>
          <w:sz w:val="24"/>
          <w:szCs w:val="24"/>
          <w:lang w:eastAsia="zh-CN"/>
        </w:rPr>
      </w:pPr>
    </w:p>
    <w:p w14:paraId="221ED288">
      <w:pPr>
        <w:keepNext w:val="0"/>
        <w:keepLines w:val="0"/>
        <w:pageBreakBefore w:val="0"/>
        <w:kinsoku/>
        <w:wordWrap/>
        <w:overflowPunct/>
        <w:topLinePunct w:val="0"/>
        <w:autoSpaceDE/>
        <w:autoSpaceDN/>
        <w:bidi w:val="0"/>
        <w:adjustRightInd/>
        <w:snapToGrid/>
        <w:spacing w:line="360" w:lineRule="auto"/>
        <w:ind w:right="0" w:firstLine="480" w:firstLineChars="200"/>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eastAsia="zh-CN"/>
        </w:rPr>
        <w:t>单</w:t>
      </w:r>
      <w:r>
        <w:rPr>
          <w:rFonts w:hint="eastAsia" w:ascii="宋体" w:hAnsi="宋体" w:eastAsia="宋体" w:cs="宋体"/>
          <w:b w:val="0"/>
          <w:bCs/>
          <w:color w:val="auto"/>
          <w:sz w:val="24"/>
          <w:szCs w:val="24"/>
        </w:rPr>
        <w:t>位</w:t>
      </w:r>
      <w:r>
        <w:rPr>
          <w:rFonts w:hint="eastAsia" w:ascii="宋体" w:hAnsi="宋体" w:eastAsia="宋体" w:cs="宋体"/>
          <w:b w:val="0"/>
          <w:bCs/>
          <w:color w:val="auto"/>
          <w:sz w:val="24"/>
          <w:szCs w:val="24"/>
          <w:lang w:eastAsia="zh-CN"/>
        </w:rPr>
        <w:t>名称</w:t>
      </w:r>
      <w:r>
        <w:rPr>
          <w:rFonts w:hint="eastAsia" w:ascii="宋体" w:hAnsi="宋体" w:eastAsia="宋体" w:cs="宋体"/>
          <w:b w:val="0"/>
          <w:bCs/>
          <w:color w:val="auto"/>
          <w:sz w:val="24"/>
          <w:szCs w:val="24"/>
        </w:rPr>
        <w:t>：</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rPr>
        <w:t>（公章）</w:t>
      </w:r>
    </w:p>
    <w:p w14:paraId="51B339A0">
      <w:pPr>
        <w:keepNext w:val="0"/>
        <w:keepLines w:val="0"/>
        <w:pageBreakBefore w:val="0"/>
        <w:kinsoku/>
        <w:wordWrap/>
        <w:overflowPunct/>
        <w:topLinePunct w:val="0"/>
        <w:autoSpaceDE/>
        <w:autoSpaceDN/>
        <w:bidi w:val="0"/>
        <w:adjustRightInd/>
        <w:snapToGrid/>
        <w:spacing w:line="360" w:lineRule="auto"/>
        <w:ind w:right="0" w:firstLine="480" w:firstLineChars="200"/>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法定代表人或委托代理人：</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rPr>
        <w:t>（签字或盖章）</w:t>
      </w:r>
    </w:p>
    <w:p w14:paraId="79A37195">
      <w:pPr>
        <w:keepNext w:val="0"/>
        <w:keepLines w:val="0"/>
        <w:pageBreakBefore w:val="0"/>
        <w:kinsoku/>
        <w:wordWrap/>
        <w:overflowPunct/>
        <w:topLinePunct w:val="0"/>
        <w:bidi w:val="0"/>
        <w:adjustRightInd/>
        <w:snapToGrid/>
        <w:spacing w:line="360" w:lineRule="auto"/>
        <w:ind w:left="0" w:leftChars="0" w:firstLine="480" w:firstLineChars="200"/>
        <w:jc w:val="center"/>
        <w:outlineLvl w:val="9"/>
        <w:rPr>
          <w:rFonts w:hint="eastAsia" w:ascii="宋体" w:hAnsi="宋体" w:eastAsia="宋体" w:cs="宋体"/>
          <w:color w:val="auto"/>
          <w:spacing w:val="6"/>
          <w:sz w:val="24"/>
          <w:szCs w:val="24"/>
        </w:rPr>
      </w:pPr>
      <w:r>
        <w:rPr>
          <w:rFonts w:hint="eastAsia" w:ascii="宋体" w:hAnsi="宋体" w:eastAsia="宋体" w:cs="宋体"/>
          <w:b w:val="0"/>
          <w:bCs/>
          <w:color w:val="auto"/>
          <w:sz w:val="24"/>
          <w:szCs w:val="24"/>
        </w:rPr>
        <w:t xml:space="preserve">年   月 </w:t>
      </w: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 w:val="0"/>
          <w:bCs/>
          <w:color w:val="auto"/>
          <w:sz w:val="24"/>
          <w:szCs w:val="24"/>
        </w:rPr>
        <w:t xml:space="preserve"> 日</w:t>
      </w:r>
    </w:p>
    <w:p w14:paraId="4613E9FB">
      <w:pPr>
        <w:keepNext w:val="0"/>
        <w:keepLines w:val="0"/>
        <w:pageBreakBefore w:val="0"/>
        <w:kinsoku/>
        <w:wordWrap/>
        <w:overflowPunct/>
        <w:topLinePunct w:val="0"/>
        <w:bidi w:val="0"/>
        <w:adjustRightInd/>
        <w:snapToGrid/>
        <w:spacing w:line="360" w:lineRule="auto"/>
        <w:ind w:left="0" w:leftChars="0"/>
        <w:jc w:val="both"/>
        <w:outlineLvl w:val="9"/>
        <w:rPr>
          <w:rFonts w:hint="eastAsia" w:ascii="宋体" w:hAnsi="宋体" w:eastAsia="宋体" w:cs="宋体"/>
          <w:b w:val="0"/>
          <w:bCs w:val="0"/>
          <w:color w:val="auto"/>
          <w:kern w:val="2"/>
          <w:sz w:val="24"/>
          <w:szCs w:val="24"/>
          <w:lang w:val="en-US" w:eastAsia="zh-CN" w:bidi="ar-SA"/>
        </w:rPr>
      </w:pPr>
    </w:p>
    <w:p w14:paraId="41DCA87E">
      <w:pPr>
        <w:rPr>
          <w:rFonts w:hint="eastAsia" w:ascii="宋体" w:hAnsi="宋体" w:eastAsia="宋体" w:cs="宋体"/>
          <w:b w:val="0"/>
          <w:bCs w:val="0"/>
          <w:color w:val="auto"/>
          <w:kern w:val="2"/>
          <w:sz w:val="24"/>
          <w:szCs w:val="24"/>
          <w:lang w:val="en-US" w:eastAsia="zh-CN" w:bidi="ar-SA"/>
        </w:rPr>
      </w:pPr>
      <w:bookmarkStart w:id="474" w:name="_Toc30801"/>
      <w:bookmarkStart w:id="475" w:name="_Toc9477"/>
      <w:r>
        <w:rPr>
          <w:rFonts w:hint="eastAsia" w:ascii="宋体" w:hAnsi="宋体" w:eastAsia="宋体" w:cs="宋体"/>
          <w:b w:val="0"/>
          <w:bCs w:val="0"/>
          <w:color w:val="auto"/>
          <w:kern w:val="2"/>
          <w:sz w:val="24"/>
          <w:szCs w:val="24"/>
          <w:lang w:val="en-US" w:eastAsia="zh-CN" w:bidi="ar-SA"/>
        </w:rPr>
        <w:br w:type="page"/>
      </w:r>
    </w:p>
    <w:p w14:paraId="29739937">
      <w:pPr>
        <w:keepNext w:val="0"/>
        <w:keepLines w:val="0"/>
        <w:pageBreakBefore w:val="0"/>
        <w:numPr>
          <w:ilvl w:val="0"/>
          <w:numId w:val="0"/>
        </w:numPr>
        <w:kinsoku/>
        <w:wordWrap/>
        <w:overflowPunct/>
        <w:topLinePunct w:val="0"/>
        <w:bidi w:val="0"/>
        <w:adjustRightInd/>
        <w:snapToGrid/>
        <w:spacing w:line="360" w:lineRule="auto"/>
        <w:ind w:left="0" w:leftChars="0"/>
        <w:jc w:val="center"/>
        <w:outlineLvl w:val="9"/>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4.监狱企业证明资料</w:t>
      </w:r>
      <w:bookmarkEnd w:id="474"/>
      <w:bookmarkEnd w:id="475"/>
    </w:p>
    <w:p w14:paraId="6128651B">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监狱企业参加政府采购活动时，应当提供由省级以上监狱管理局、戒毒管理局(含新疆生产建设兵团)出具的属于监狱企业的证明文件。</w:t>
      </w:r>
    </w:p>
    <w:p w14:paraId="6DFEECFF">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outlineLvl w:val="9"/>
        <w:rPr>
          <w:rFonts w:hint="eastAsia" w:ascii="宋体" w:hAnsi="宋体" w:eastAsia="宋体" w:cs="宋体"/>
          <w:color w:val="auto"/>
          <w:sz w:val="24"/>
          <w:szCs w:val="24"/>
        </w:rPr>
      </w:pPr>
    </w:p>
    <w:p w14:paraId="6DCB84F5">
      <w:pPr>
        <w:keepNext w:val="0"/>
        <w:keepLines w:val="0"/>
        <w:pageBreakBefore w:val="0"/>
        <w:kinsoku/>
        <w:wordWrap/>
        <w:overflowPunct/>
        <w:topLinePunct w:val="0"/>
        <w:autoSpaceDE/>
        <w:autoSpaceDN/>
        <w:bidi w:val="0"/>
        <w:adjustRightInd/>
        <w:snapToGrid/>
        <w:spacing w:line="360" w:lineRule="auto"/>
        <w:ind w:right="0" w:firstLine="480" w:firstLineChars="200"/>
        <w:jc w:val="center"/>
        <w:textAlignment w:val="auto"/>
        <w:outlineLvl w:val="9"/>
        <w:rPr>
          <w:rFonts w:hint="eastAsia" w:ascii="宋体" w:hAnsi="宋体" w:eastAsia="宋体" w:cs="宋体"/>
          <w:b w:val="0"/>
          <w:bCs/>
          <w:color w:val="auto"/>
          <w:sz w:val="24"/>
          <w:szCs w:val="24"/>
          <w:lang w:eastAsia="zh-CN"/>
        </w:rPr>
      </w:pPr>
    </w:p>
    <w:p w14:paraId="57E25B96">
      <w:pPr>
        <w:keepNext w:val="0"/>
        <w:keepLines w:val="0"/>
        <w:pageBreakBefore w:val="0"/>
        <w:kinsoku/>
        <w:wordWrap/>
        <w:overflowPunct/>
        <w:topLinePunct w:val="0"/>
        <w:bidi w:val="0"/>
        <w:adjustRightInd/>
        <w:snapToGrid/>
        <w:spacing w:line="360" w:lineRule="auto"/>
        <w:ind w:left="0" w:leftChars="0" w:firstLine="480" w:firstLineChars="200"/>
        <w:rPr>
          <w:rFonts w:hint="eastAsia" w:ascii="宋体" w:hAnsi="宋体" w:eastAsia="宋体" w:cs="宋体"/>
          <w:color w:val="auto"/>
          <w:sz w:val="24"/>
          <w:szCs w:val="24"/>
          <w:highlight w:val="yellow"/>
        </w:rPr>
      </w:pPr>
      <w:r>
        <w:rPr>
          <w:rFonts w:hint="eastAsia" w:ascii="宋体" w:hAnsi="宋体" w:eastAsia="宋体" w:cs="宋体"/>
          <w:i w:val="0"/>
          <w:iCs w:val="0"/>
          <w:color w:val="auto"/>
          <w:kern w:val="0"/>
          <w:sz w:val="24"/>
          <w:szCs w:val="24"/>
          <w:lang w:val="en-US" w:eastAsia="zh-CN" w:bidi="ar"/>
        </w:rPr>
        <w:t>注：若无此项内容，可不提供。</w:t>
      </w:r>
    </w:p>
    <w:p w14:paraId="1CA7FB3A">
      <w:pPr>
        <w:keepNext w:val="0"/>
        <w:keepLines w:val="0"/>
        <w:pageBreakBefore w:val="0"/>
        <w:kinsoku/>
        <w:wordWrap/>
        <w:overflowPunct/>
        <w:topLinePunct w:val="0"/>
        <w:bidi w:val="0"/>
        <w:adjustRightInd/>
        <w:snapToGrid/>
        <w:spacing w:line="360" w:lineRule="auto"/>
        <w:ind w:left="0" w:leftChars="0"/>
        <w:rPr>
          <w:rFonts w:hint="eastAsia" w:ascii="宋体" w:hAnsi="宋体" w:eastAsia="宋体" w:cs="宋体"/>
          <w:b/>
          <w:bCs w:val="0"/>
          <w:color w:val="auto"/>
          <w:kern w:val="2"/>
          <w:sz w:val="28"/>
          <w:szCs w:val="28"/>
          <w:lang w:val="en-US" w:eastAsia="zh-CN" w:bidi="ar-SA"/>
        </w:rPr>
      </w:pPr>
      <w:bookmarkStart w:id="476" w:name="_Toc21346"/>
      <w:bookmarkStart w:id="477" w:name="_Toc23033_WPSOffice_Level3"/>
      <w:bookmarkStart w:id="478" w:name="_Toc12068_WPSOffice_Level3"/>
      <w:r>
        <w:rPr>
          <w:rFonts w:hint="eastAsia" w:ascii="宋体" w:hAnsi="宋体" w:eastAsia="宋体" w:cs="宋体"/>
          <w:b/>
          <w:bCs w:val="0"/>
          <w:color w:val="auto"/>
          <w:kern w:val="2"/>
          <w:sz w:val="28"/>
          <w:szCs w:val="28"/>
          <w:lang w:val="en-US" w:eastAsia="zh-CN" w:bidi="ar-SA"/>
        </w:rPr>
        <w:br w:type="page"/>
      </w:r>
    </w:p>
    <w:p w14:paraId="3ED4B6A5">
      <w:pPr>
        <w:keepNext w:val="0"/>
        <w:keepLines w:val="0"/>
        <w:pageBreakBefore w:val="0"/>
        <w:widowControl/>
        <w:kinsoku/>
        <w:wordWrap/>
        <w:overflowPunct/>
        <w:topLinePunct w:val="0"/>
        <w:bidi w:val="0"/>
        <w:adjustRightInd/>
        <w:snapToGrid/>
        <w:spacing w:line="360" w:lineRule="auto"/>
        <w:ind w:left="0" w:leftChars="0"/>
        <w:outlineLvl w:val="1"/>
        <w:rPr>
          <w:rFonts w:hint="eastAsia" w:ascii="宋体" w:hAnsi="宋体" w:eastAsia="宋体" w:cs="宋体"/>
          <w:b/>
          <w:bCs w:val="0"/>
          <w:color w:val="auto"/>
          <w:kern w:val="2"/>
          <w:sz w:val="24"/>
          <w:szCs w:val="24"/>
          <w:lang w:val="en-US" w:eastAsia="zh-CN" w:bidi="ar-SA"/>
        </w:rPr>
      </w:pPr>
      <w:bookmarkStart w:id="479" w:name="_Toc4623"/>
      <w:r>
        <w:rPr>
          <w:rFonts w:hint="eastAsia" w:ascii="宋体" w:hAnsi="宋体" w:eastAsia="宋体" w:cs="宋体"/>
          <w:b/>
          <w:bCs w:val="0"/>
          <w:color w:val="auto"/>
          <w:kern w:val="2"/>
          <w:sz w:val="28"/>
          <w:szCs w:val="28"/>
          <w:lang w:val="en-US" w:eastAsia="zh-CN" w:bidi="ar-SA"/>
        </w:rPr>
        <w:t>附件15：最后报价表</w:t>
      </w:r>
      <w:bookmarkEnd w:id="476"/>
      <w:bookmarkEnd w:id="477"/>
      <w:bookmarkEnd w:id="478"/>
      <w:bookmarkEnd w:id="479"/>
    </w:p>
    <w:p w14:paraId="20757899">
      <w:pPr>
        <w:keepNext w:val="0"/>
        <w:keepLines w:val="0"/>
        <w:pageBreakBefore w:val="0"/>
        <w:widowControl w:val="0"/>
        <w:kinsoku/>
        <w:wordWrap/>
        <w:overflowPunct/>
        <w:topLinePunct w:val="0"/>
        <w:autoSpaceDE w:val="0"/>
        <w:autoSpaceDN w:val="0"/>
        <w:bidi w:val="0"/>
        <w:adjustRightInd/>
        <w:snapToGrid/>
        <w:spacing w:line="360" w:lineRule="auto"/>
        <w:ind w:left="0" w:leftChars="0"/>
        <w:jc w:val="center"/>
        <w:outlineLvl w:val="9"/>
        <w:rPr>
          <w:rFonts w:hint="eastAsia" w:ascii="宋体" w:hAnsi="宋体" w:eastAsia="宋体" w:cs="宋体"/>
          <w:b/>
          <w:bCs w:val="0"/>
          <w:color w:val="auto"/>
          <w:sz w:val="24"/>
          <w:szCs w:val="24"/>
          <w:lang w:val="zh-CN"/>
        </w:rPr>
      </w:pPr>
      <w:r>
        <w:rPr>
          <w:rFonts w:hint="eastAsia" w:ascii="宋体" w:hAnsi="宋体" w:eastAsia="宋体" w:cs="宋体"/>
          <w:b/>
          <w:bCs w:val="0"/>
          <w:color w:val="auto"/>
          <w:kern w:val="2"/>
          <w:sz w:val="24"/>
          <w:szCs w:val="24"/>
          <w:lang w:val="en-US" w:eastAsia="zh-CN" w:bidi="ar-SA"/>
        </w:rPr>
        <w:t>最后报价表</w:t>
      </w:r>
    </w:p>
    <w:p w14:paraId="52A1D11F">
      <w:pPr>
        <w:keepNext w:val="0"/>
        <w:keepLines w:val="0"/>
        <w:pageBreakBefore w:val="0"/>
        <w:widowControl w:val="0"/>
        <w:kinsoku/>
        <w:wordWrap/>
        <w:overflowPunct/>
        <w:topLinePunct w:val="0"/>
        <w:bidi w:val="0"/>
        <w:adjustRightInd/>
        <w:snapToGrid/>
        <w:spacing w:line="360" w:lineRule="auto"/>
        <w:ind w:left="0" w:leftChars="0"/>
        <w:outlineLvl w:val="9"/>
        <w:rPr>
          <w:rFonts w:hint="eastAsia" w:ascii="宋体" w:hAnsi="宋体" w:eastAsia="宋体" w:cs="宋体"/>
          <w:b/>
          <w:bCs w:val="0"/>
          <w:color w:val="auto"/>
          <w:sz w:val="24"/>
          <w:szCs w:val="24"/>
        </w:rPr>
      </w:pPr>
      <w:bookmarkStart w:id="480" w:name="_Toc31451_WPSOffice_Level2"/>
      <w:bookmarkStart w:id="481" w:name="_Toc26632_WPSOffice_Level2"/>
      <w:r>
        <w:rPr>
          <w:rFonts w:hint="eastAsia" w:ascii="宋体" w:hAnsi="宋体" w:eastAsia="宋体" w:cs="宋体"/>
          <w:b/>
          <w:bCs w:val="0"/>
          <w:color w:val="auto"/>
          <w:sz w:val="24"/>
          <w:szCs w:val="24"/>
        </w:rPr>
        <w:t>项目名称：</w:t>
      </w:r>
      <w:bookmarkEnd w:id="480"/>
      <w:bookmarkEnd w:id="481"/>
    </w:p>
    <w:p w14:paraId="4EC194F4">
      <w:pPr>
        <w:keepNext w:val="0"/>
        <w:keepLines w:val="0"/>
        <w:pageBreakBefore w:val="0"/>
        <w:kinsoku/>
        <w:wordWrap/>
        <w:overflowPunct/>
        <w:topLinePunct w:val="0"/>
        <w:bidi w:val="0"/>
        <w:adjustRightInd/>
        <w:snapToGrid/>
        <w:spacing w:line="360" w:lineRule="auto"/>
        <w:outlineLvl w:val="9"/>
        <w:rPr>
          <w:rFonts w:hint="eastAsia" w:ascii="宋体" w:hAnsi="宋体" w:eastAsia="宋体" w:cs="宋体"/>
          <w:b/>
          <w:bCs w:val="0"/>
          <w:color w:val="auto"/>
          <w:sz w:val="24"/>
          <w:szCs w:val="24"/>
          <w:lang w:val="en-US" w:eastAsia="zh-CN"/>
        </w:rPr>
      </w:pPr>
      <w:bookmarkStart w:id="482" w:name="_Toc18301_WPSOffice_Level2"/>
      <w:bookmarkStart w:id="483" w:name="_Toc16830_WPSOffice_Level2"/>
      <w:r>
        <w:rPr>
          <w:rFonts w:hint="eastAsia" w:ascii="宋体" w:hAnsi="宋体" w:eastAsia="宋体" w:cs="宋体"/>
          <w:b/>
          <w:bCs w:val="0"/>
          <w:color w:val="auto"/>
          <w:sz w:val="24"/>
          <w:szCs w:val="24"/>
        </w:rPr>
        <w:t>项目编号：</w:t>
      </w:r>
    </w:p>
    <w:p w14:paraId="18E3D362">
      <w:pPr>
        <w:keepNext w:val="0"/>
        <w:keepLines w:val="0"/>
        <w:pageBreakBefore w:val="0"/>
        <w:kinsoku/>
        <w:wordWrap/>
        <w:overflowPunct/>
        <w:topLinePunct w:val="0"/>
        <w:bidi w:val="0"/>
        <w:adjustRightInd/>
        <w:snapToGrid/>
        <w:spacing w:line="360" w:lineRule="auto"/>
        <w:jc w:val="right"/>
        <w:outlineLvl w:val="9"/>
        <w:rPr>
          <w:rFonts w:hint="eastAsia" w:ascii="宋体" w:hAnsi="宋体" w:eastAsia="宋体" w:cs="宋体"/>
          <w:bCs/>
          <w:color w:val="auto"/>
          <w:sz w:val="24"/>
          <w:szCs w:val="24"/>
        </w:rPr>
      </w:pPr>
      <w:r>
        <w:rPr>
          <w:rFonts w:hint="eastAsia" w:ascii="宋体" w:hAnsi="宋体" w:eastAsia="宋体" w:cs="宋体"/>
          <w:color w:val="auto"/>
          <w:sz w:val="24"/>
          <w:szCs w:val="24"/>
        </w:rPr>
        <w:t>单位：</w:t>
      </w:r>
      <w:r>
        <w:rPr>
          <w:rFonts w:hint="eastAsia" w:ascii="宋体" w:hAnsi="宋体" w:eastAsia="宋体" w:cs="宋体"/>
          <w:bCs/>
          <w:color w:val="auto"/>
          <w:sz w:val="24"/>
          <w:szCs w:val="24"/>
        </w:rPr>
        <w:t>人民币(元)</w:t>
      </w:r>
      <w:bookmarkEnd w:id="482"/>
      <w:bookmarkEnd w:id="483"/>
    </w:p>
    <w:tbl>
      <w:tblPr>
        <w:tblStyle w:val="18"/>
        <w:tblW w:w="91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8"/>
        <w:gridCol w:w="3065"/>
        <w:gridCol w:w="1879"/>
      </w:tblGrid>
      <w:tr w14:paraId="3AD00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08" w:type="dxa"/>
            <w:vAlign w:val="center"/>
          </w:tcPr>
          <w:p w14:paraId="273204DF">
            <w:pPr>
              <w:keepNext w:val="0"/>
              <w:keepLines w:val="0"/>
              <w:pageBreakBefore w:val="0"/>
              <w:widowControl w:val="0"/>
              <w:kinsoku/>
              <w:wordWrap/>
              <w:overflowPunct/>
              <w:topLinePunct w:val="0"/>
              <w:autoSpaceDE/>
              <w:autoSpaceDN/>
              <w:bidi w:val="0"/>
              <w:adjustRightInd/>
              <w:snapToGrid/>
              <w:spacing w:line="360" w:lineRule="auto"/>
              <w:ind w:left="0" w:leftChars="0"/>
              <w:jc w:val="center"/>
              <w:outlineLvl w:val="9"/>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最初报价</w:t>
            </w:r>
          </w:p>
        </w:tc>
        <w:tc>
          <w:tcPr>
            <w:tcW w:w="3065" w:type="dxa"/>
            <w:vAlign w:val="center"/>
          </w:tcPr>
          <w:p w14:paraId="11A91031">
            <w:pPr>
              <w:keepNext w:val="0"/>
              <w:keepLines w:val="0"/>
              <w:pageBreakBefore w:val="0"/>
              <w:widowControl w:val="0"/>
              <w:kinsoku/>
              <w:wordWrap/>
              <w:overflowPunct/>
              <w:topLinePunct w:val="0"/>
              <w:autoSpaceDE/>
              <w:autoSpaceDN/>
              <w:bidi w:val="0"/>
              <w:adjustRightInd/>
              <w:snapToGrid/>
              <w:spacing w:line="360" w:lineRule="auto"/>
              <w:ind w:left="0" w:leftChars="0"/>
              <w:jc w:val="center"/>
              <w:outlineLvl w:val="9"/>
              <w:rPr>
                <w:rFonts w:hint="eastAsia" w:ascii="宋体" w:hAnsi="宋体" w:eastAsia="宋体" w:cs="宋体"/>
                <w:b/>
                <w:bCs w:val="0"/>
                <w:color w:val="auto"/>
                <w:sz w:val="24"/>
                <w:szCs w:val="24"/>
                <w:lang w:eastAsia="zh-CN"/>
              </w:rPr>
            </w:pPr>
            <w:r>
              <w:rPr>
                <w:rFonts w:hint="eastAsia" w:ascii="宋体" w:hAnsi="宋体" w:eastAsia="宋体" w:cs="宋体"/>
                <w:b/>
                <w:bCs w:val="0"/>
                <w:color w:val="auto"/>
                <w:sz w:val="24"/>
                <w:szCs w:val="24"/>
                <w:lang w:eastAsia="zh-CN"/>
              </w:rPr>
              <w:t>最后报价</w:t>
            </w:r>
          </w:p>
        </w:tc>
        <w:tc>
          <w:tcPr>
            <w:tcW w:w="1879" w:type="dxa"/>
            <w:vAlign w:val="center"/>
          </w:tcPr>
          <w:p w14:paraId="3323F681">
            <w:pPr>
              <w:keepNext w:val="0"/>
              <w:keepLines w:val="0"/>
              <w:pageBreakBefore w:val="0"/>
              <w:widowControl w:val="0"/>
              <w:kinsoku/>
              <w:wordWrap/>
              <w:overflowPunct/>
              <w:topLinePunct w:val="0"/>
              <w:autoSpaceDE/>
              <w:autoSpaceDN/>
              <w:bidi w:val="0"/>
              <w:adjustRightInd/>
              <w:snapToGrid/>
              <w:spacing w:line="360" w:lineRule="auto"/>
              <w:ind w:left="0" w:leftChars="0"/>
              <w:jc w:val="center"/>
              <w:outlineLvl w:val="9"/>
              <w:rPr>
                <w:rFonts w:hint="eastAsia" w:ascii="宋体" w:hAnsi="宋体" w:eastAsia="宋体" w:cs="宋体"/>
                <w:b/>
                <w:bCs w:val="0"/>
                <w:color w:val="auto"/>
                <w:sz w:val="24"/>
                <w:szCs w:val="24"/>
                <w:lang w:eastAsia="zh-CN"/>
              </w:rPr>
            </w:pPr>
            <w:r>
              <w:rPr>
                <w:rFonts w:hint="eastAsia" w:ascii="宋体" w:hAnsi="宋体" w:eastAsia="宋体" w:cs="宋体"/>
                <w:b/>
                <w:bCs w:val="0"/>
                <w:color w:val="auto"/>
                <w:sz w:val="24"/>
                <w:szCs w:val="24"/>
                <w:lang w:val="en-US" w:eastAsia="zh-CN"/>
              </w:rPr>
              <w:t>交货时间</w:t>
            </w:r>
          </w:p>
        </w:tc>
      </w:tr>
      <w:tr w14:paraId="13CFD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08" w:type="dxa"/>
            <w:vAlign w:val="top"/>
          </w:tcPr>
          <w:p w14:paraId="6214C127">
            <w:pPr>
              <w:keepNext w:val="0"/>
              <w:keepLines w:val="0"/>
              <w:pageBreakBefore w:val="0"/>
              <w:widowControl w:val="0"/>
              <w:kinsoku/>
              <w:wordWrap/>
              <w:overflowPunct/>
              <w:topLinePunct w:val="0"/>
              <w:autoSpaceDE/>
              <w:autoSpaceDN/>
              <w:bidi w:val="0"/>
              <w:adjustRightInd/>
              <w:snapToGrid/>
              <w:spacing w:line="360" w:lineRule="auto"/>
              <w:ind w:left="0" w:leftChars="0"/>
              <w:textAlignment w:val="baseline"/>
              <w:outlineLvl w:val="9"/>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大写：</w:t>
            </w:r>
          </w:p>
        </w:tc>
        <w:tc>
          <w:tcPr>
            <w:tcW w:w="3065" w:type="dxa"/>
            <w:vAlign w:val="top"/>
          </w:tcPr>
          <w:p w14:paraId="0429EF08">
            <w:pPr>
              <w:keepNext w:val="0"/>
              <w:keepLines w:val="0"/>
              <w:pageBreakBefore w:val="0"/>
              <w:widowControl w:val="0"/>
              <w:kinsoku/>
              <w:wordWrap/>
              <w:overflowPunct/>
              <w:topLinePunct w:val="0"/>
              <w:autoSpaceDE/>
              <w:autoSpaceDN/>
              <w:bidi w:val="0"/>
              <w:adjustRightInd/>
              <w:snapToGrid/>
              <w:spacing w:line="360" w:lineRule="auto"/>
              <w:ind w:left="0" w:leftChars="0"/>
              <w:textAlignment w:val="baseline"/>
              <w:outlineLvl w:val="9"/>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大写：</w:t>
            </w:r>
          </w:p>
        </w:tc>
        <w:tc>
          <w:tcPr>
            <w:tcW w:w="1879" w:type="dxa"/>
            <w:vMerge w:val="restart"/>
            <w:vAlign w:val="center"/>
          </w:tcPr>
          <w:p w14:paraId="7AF2E875">
            <w:pPr>
              <w:keepNext w:val="0"/>
              <w:keepLines w:val="0"/>
              <w:pageBreakBefore w:val="0"/>
              <w:widowControl w:val="0"/>
              <w:kinsoku/>
              <w:wordWrap/>
              <w:overflowPunct/>
              <w:topLinePunct w:val="0"/>
              <w:autoSpaceDE/>
              <w:autoSpaceDN/>
              <w:bidi w:val="0"/>
              <w:adjustRightInd/>
              <w:snapToGrid/>
              <w:spacing w:line="360" w:lineRule="auto"/>
              <w:ind w:left="0" w:leftChars="0"/>
              <w:jc w:val="center"/>
              <w:outlineLvl w:val="9"/>
              <w:rPr>
                <w:rFonts w:hint="eastAsia" w:ascii="宋体" w:hAnsi="宋体" w:eastAsia="宋体" w:cs="宋体"/>
                <w:b/>
                <w:bCs w:val="0"/>
                <w:color w:val="auto"/>
                <w:sz w:val="24"/>
                <w:szCs w:val="24"/>
              </w:rPr>
            </w:pPr>
          </w:p>
        </w:tc>
      </w:tr>
      <w:tr w14:paraId="0D9D2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08" w:type="dxa"/>
            <w:vAlign w:val="top"/>
          </w:tcPr>
          <w:p w14:paraId="2B85A56C">
            <w:pPr>
              <w:keepNext w:val="0"/>
              <w:keepLines w:val="0"/>
              <w:pageBreakBefore w:val="0"/>
              <w:widowControl w:val="0"/>
              <w:kinsoku/>
              <w:wordWrap/>
              <w:overflowPunct/>
              <w:topLinePunct w:val="0"/>
              <w:autoSpaceDE/>
              <w:autoSpaceDN/>
              <w:bidi w:val="0"/>
              <w:adjustRightInd/>
              <w:snapToGrid/>
              <w:spacing w:line="360" w:lineRule="auto"/>
              <w:ind w:left="0" w:leftChars="0"/>
              <w:textAlignment w:val="baseline"/>
              <w:outlineLvl w:val="9"/>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小写：</w:t>
            </w:r>
          </w:p>
        </w:tc>
        <w:tc>
          <w:tcPr>
            <w:tcW w:w="3065" w:type="dxa"/>
            <w:vAlign w:val="top"/>
          </w:tcPr>
          <w:p w14:paraId="169B7CD9">
            <w:pPr>
              <w:keepNext w:val="0"/>
              <w:keepLines w:val="0"/>
              <w:pageBreakBefore w:val="0"/>
              <w:widowControl w:val="0"/>
              <w:kinsoku/>
              <w:wordWrap/>
              <w:overflowPunct/>
              <w:topLinePunct w:val="0"/>
              <w:autoSpaceDE/>
              <w:autoSpaceDN/>
              <w:bidi w:val="0"/>
              <w:adjustRightInd/>
              <w:snapToGrid/>
              <w:spacing w:line="360" w:lineRule="auto"/>
              <w:ind w:left="0" w:leftChars="0"/>
              <w:textAlignment w:val="baseline"/>
              <w:outlineLvl w:val="9"/>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小写：</w:t>
            </w:r>
          </w:p>
        </w:tc>
        <w:tc>
          <w:tcPr>
            <w:tcW w:w="1879" w:type="dxa"/>
            <w:vMerge w:val="continue"/>
            <w:vAlign w:val="center"/>
          </w:tcPr>
          <w:p w14:paraId="553C523D">
            <w:pPr>
              <w:keepNext w:val="0"/>
              <w:keepLines w:val="0"/>
              <w:pageBreakBefore w:val="0"/>
              <w:widowControl w:val="0"/>
              <w:kinsoku/>
              <w:wordWrap/>
              <w:overflowPunct/>
              <w:topLinePunct w:val="0"/>
              <w:autoSpaceDE/>
              <w:autoSpaceDN/>
              <w:bidi w:val="0"/>
              <w:adjustRightInd/>
              <w:snapToGrid/>
              <w:spacing w:line="360" w:lineRule="auto"/>
              <w:ind w:left="0" w:leftChars="0"/>
              <w:jc w:val="center"/>
              <w:outlineLvl w:val="9"/>
              <w:rPr>
                <w:rFonts w:hint="eastAsia" w:ascii="宋体" w:hAnsi="宋体" w:eastAsia="宋体" w:cs="宋体"/>
                <w:b/>
                <w:bCs w:val="0"/>
                <w:color w:val="auto"/>
                <w:sz w:val="24"/>
                <w:szCs w:val="24"/>
              </w:rPr>
            </w:pPr>
          </w:p>
        </w:tc>
      </w:tr>
      <w:tr w14:paraId="3C88A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1" w:hRule="atLeast"/>
          <w:jc w:val="center"/>
        </w:trPr>
        <w:tc>
          <w:tcPr>
            <w:tcW w:w="9152" w:type="dxa"/>
            <w:gridSpan w:val="3"/>
            <w:tcBorders>
              <w:bottom w:val="single" w:color="auto" w:sz="4" w:space="0"/>
            </w:tcBorders>
            <w:vAlign w:val="top"/>
          </w:tcPr>
          <w:p w14:paraId="52B49ECA">
            <w:pPr>
              <w:keepNext w:val="0"/>
              <w:keepLines w:val="0"/>
              <w:pageBreakBefore w:val="0"/>
              <w:widowControl w:val="0"/>
              <w:kinsoku/>
              <w:wordWrap/>
              <w:overflowPunct/>
              <w:topLinePunct w:val="0"/>
              <w:autoSpaceDE/>
              <w:autoSpaceDN/>
              <w:bidi w:val="0"/>
              <w:adjustRightInd/>
              <w:snapToGrid/>
              <w:spacing w:line="360" w:lineRule="auto"/>
              <w:ind w:left="0" w:leftChars="0"/>
              <w:jc w:val="both"/>
              <w:outlineLvl w:val="9"/>
              <w:rPr>
                <w:rFonts w:hint="eastAsia" w:ascii="宋体" w:hAnsi="宋体" w:eastAsia="宋体" w:cs="宋体"/>
                <w:b/>
                <w:bCs w:val="0"/>
                <w:color w:val="auto"/>
                <w:sz w:val="24"/>
                <w:szCs w:val="24"/>
                <w:lang w:eastAsia="zh-CN"/>
              </w:rPr>
            </w:pPr>
            <w:r>
              <w:rPr>
                <w:rFonts w:hint="eastAsia" w:ascii="宋体" w:hAnsi="宋体" w:eastAsia="宋体" w:cs="宋体"/>
                <w:b/>
                <w:bCs w:val="0"/>
                <w:color w:val="auto"/>
                <w:sz w:val="24"/>
                <w:szCs w:val="24"/>
              </w:rPr>
              <w:t>最终确定的质量保证及服务承诺</w:t>
            </w:r>
            <w:r>
              <w:rPr>
                <w:rFonts w:hint="eastAsia" w:ascii="宋体" w:hAnsi="宋体" w:eastAsia="宋体" w:cs="宋体"/>
                <w:b/>
                <w:bCs w:val="0"/>
                <w:color w:val="auto"/>
                <w:sz w:val="24"/>
                <w:szCs w:val="24"/>
                <w:lang w:eastAsia="zh-CN"/>
              </w:rPr>
              <w:t>：</w:t>
            </w:r>
          </w:p>
          <w:p w14:paraId="5FB298AB">
            <w:pPr>
              <w:keepNext w:val="0"/>
              <w:keepLines w:val="0"/>
              <w:pageBreakBefore w:val="0"/>
              <w:widowControl w:val="0"/>
              <w:kinsoku/>
              <w:wordWrap/>
              <w:overflowPunct/>
              <w:topLinePunct w:val="0"/>
              <w:autoSpaceDE/>
              <w:autoSpaceDN/>
              <w:bidi w:val="0"/>
              <w:adjustRightInd/>
              <w:snapToGrid/>
              <w:spacing w:line="360" w:lineRule="auto"/>
              <w:ind w:left="0" w:leftChars="0"/>
              <w:jc w:val="both"/>
              <w:outlineLvl w:val="9"/>
              <w:rPr>
                <w:rFonts w:hint="eastAsia" w:ascii="宋体" w:hAnsi="宋体" w:eastAsia="宋体" w:cs="宋体"/>
                <w:b/>
                <w:bCs w:val="0"/>
                <w:color w:val="auto"/>
                <w:sz w:val="24"/>
                <w:szCs w:val="24"/>
                <w:lang w:eastAsia="zh-CN"/>
              </w:rPr>
            </w:pPr>
          </w:p>
        </w:tc>
      </w:tr>
    </w:tbl>
    <w:p w14:paraId="3EC692D1">
      <w:pPr>
        <w:keepNext w:val="0"/>
        <w:keepLines w:val="0"/>
        <w:pageBreakBefore w:val="0"/>
        <w:widowControl w:val="0"/>
        <w:kinsoku/>
        <w:wordWrap/>
        <w:overflowPunct/>
        <w:topLinePunct w:val="0"/>
        <w:autoSpaceDE w:val="0"/>
        <w:autoSpaceDN w:val="0"/>
        <w:bidi w:val="0"/>
        <w:adjustRightInd/>
        <w:snapToGrid/>
        <w:spacing w:line="360" w:lineRule="auto"/>
        <w:ind w:left="0" w:leftChars="0"/>
        <w:jc w:val="both"/>
        <w:outlineLvl w:val="9"/>
        <w:rPr>
          <w:rFonts w:hint="eastAsia" w:ascii="宋体" w:hAnsi="宋体" w:eastAsia="宋体" w:cs="宋体"/>
          <w:b/>
          <w:bCs w:val="0"/>
          <w:color w:val="auto"/>
          <w:sz w:val="24"/>
          <w:szCs w:val="24"/>
          <w:lang w:val="en-US" w:eastAsia="zh-CN"/>
        </w:rPr>
      </w:pPr>
      <w:r>
        <w:rPr>
          <w:rFonts w:hint="eastAsia" w:ascii="宋体" w:hAnsi="宋体" w:eastAsia="宋体" w:cs="宋体"/>
          <w:color w:val="auto"/>
          <w:sz w:val="24"/>
          <w:szCs w:val="24"/>
        </w:rPr>
        <w:t>注：此表不需装订在响应文件中，供应商事先须盖章、签字。在</w:t>
      </w:r>
      <w:r>
        <w:rPr>
          <w:rFonts w:hint="eastAsia" w:ascii="宋体" w:hAnsi="宋体" w:eastAsia="宋体" w:cs="宋体"/>
          <w:color w:val="auto"/>
          <w:sz w:val="24"/>
          <w:szCs w:val="24"/>
          <w:lang w:val="en-US" w:eastAsia="zh-CN"/>
        </w:rPr>
        <w:t>谈判</w:t>
      </w:r>
      <w:r>
        <w:rPr>
          <w:rFonts w:hint="eastAsia" w:ascii="宋体" w:hAnsi="宋体" w:eastAsia="宋体" w:cs="宋体"/>
          <w:color w:val="auto"/>
          <w:sz w:val="24"/>
          <w:szCs w:val="24"/>
        </w:rPr>
        <w:t>期间，由</w:t>
      </w:r>
      <w:r>
        <w:rPr>
          <w:rFonts w:hint="eastAsia" w:ascii="宋体" w:hAnsi="宋体" w:eastAsia="宋体" w:cs="宋体"/>
          <w:color w:val="auto"/>
          <w:sz w:val="24"/>
          <w:szCs w:val="24"/>
          <w:lang w:val="en-US" w:eastAsia="zh-CN"/>
        </w:rPr>
        <w:t>谈判</w:t>
      </w:r>
      <w:r>
        <w:rPr>
          <w:rFonts w:hint="eastAsia" w:ascii="宋体" w:hAnsi="宋体" w:eastAsia="宋体" w:cs="宋体"/>
          <w:color w:val="auto"/>
          <w:sz w:val="24"/>
          <w:szCs w:val="24"/>
        </w:rPr>
        <w:t>小组确定合格的供应商</w:t>
      </w:r>
      <w:r>
        <w:rPr>
          <w:rFonts w:hint="eastAsia" w:ascii="宋体" w:hAnsi="宋体" w:eastAsia="宋体" w:cs="宋体"/>
          <w:color w:val="auto"/>
          <w:sz w:val="24"/>
          <w:szCs w:val="24"/>
          <w:lang w:val="en-US" w:eastAsia="zh-CN"/>
        </w:rPr>
        <w:t>后</w:t>
      </w:r>
      <w:r>
        <w:rPr>
          <w:rFonts w:hint="eastAsia" w:ascii="宋体" w:hAnsi="宋体" w:eastAsia="宋体" w:cs="宋体"/>
          <w:color w:val="auto"/>
          <w:sz w:val="24"/>
          <w:szCs w:val="24"/>
        </w:rPr>
        <w:t>填写</w:t>
      </w:r>
      <w:r>
        <w:rPr>
          <w:rFonts w:hint="eastAsia" w:ascii="宋体" w:hAnsi="宋体" w:eastAsia="宋体" w:cs="宋体"/>
          <w:color w:val="auto"/>
          <w:sz w:val="24"/>
          <w:szCs w:val="24"/>
          <w:lang w:val="en-US" w:eastAsia="zh-CN"/>
        </w:rPr>
        <w:t>并上传</w:t>
      </w:r>
      <w:r>
        <w:rPr>
          <w:rFonts w:hint="eastAsia" w:ascii="宋体" w:hAnsi="宋体" w:eastAsia="宋体" w:cs="宋体"/>
          <w:color w:val="auto"/>
          <w:sz w:val="24"/>
          <w:szCs w:val="24"/>
        </w:rPr>
        <w:t>。</w:t>
      </w:r>
    </w:p>
    <w:p w14:paraId="25B50FF9">
      <w:pPr>
        <w:pStyle w:val="44"/>
        <w:ind w:left="0" w:leftChars="0" w:firstLine="0" w:firstLineChars="0"/>
        <w:rPr>
          <w:rFonts w:hint="eastAsia" w:ascii="宋体" w:hAnsi="宋体" w:eastAsia="宋体" w:cs="宋体"/>
          <w:b/>
          <w:bCs w:val="0"/>
          <w:color w:val="auto"/>
          <w:sz w:val="24"/>
          <w:szCs w:val="24"/>
          <w:lang w:val="en-US" w:eastAsia="zh-CN"/>
        </w:rPr>
      </w:pPr>
    </w:p>
    <w:p w14:paraId="6C1DC369">
      <w:pPr>
        <w:pStyle w:val="44"/>
        <w:ind w:left="0" w:leftChars="0" w:firstLine="0" w:firstLineChars="0"/>
        <w:rPr>
          <w:rFonts w:hint="eastAsia" w:ascii="宋体" w:hAnsi="宋体" w:eastAsia="宋体" w:cs="宋体"/>
          <w:b/>
          <w:bCs w:val="0"/>
          <w:color w:val="auto"/>
          <w:sz w:val="24"/>
          <w:szCs w:val="24"/>
          <w:lang w:val="en-US" w:eastAsia="zh-CN"/>
        </w:rPr>
      </w:pPr>
    </w:p>
    <w:p w14:paraId="312C67C4">
      <w:pPr>
        <w:keepNext w:val="0"/>
        <w:keepLines w:val="0"/>
        <w:pageBreakBefore w:val="0"/>
        <w:kinsoku/>
        <w:wordWrap/>
        <w:overflowPunct/>
        <w:topLinePunct w:val="0"/>
        <w:autoSpaceDE/>
        <w:autoSpaceDN/>
        <w:bidi w:val="0"/>
        <w:adjustRightInd/>
        <w:snapToGrid/>
        <w:spacing w:line="360" w:lineRule="auto"/>
        <w:ind w:right="0" w:firstLine="480" w:firstLineChars="200"/>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eastAsia="zh-CN"/>
        </w:rPr>
        <w:t>单</w:t>
      </w:r>
      <w:r>
        <w:rPr>
          <w:rFonts w:hint="eastAsia" w:ascii="宋体" w:hAnsi="宋体" w:eastAsia="宋体" w:cs="宋体"/>
          <w:b w:val="0"/>
          <w:bCs/>
          <w:color w:val="auto"/>
          <w:sz w:val="24"/>
          <w:szCs w:val="24"/>
        </w:rPr>
        <w:t>位</w:t>
      </w:r>
      <w:r>
        <w:rPr>
          <w:rFonts w:hint="eastAsia" w:ascii="宋体" w:hAnsi="宋体" w:eastAsia="宋体" w:cs="宋体"/>
          <w:b w:val="0"/>
          <w:bCs/>
          <w:color w:val="auto"/>
          <w:sz w:val="24"/>
          <w:szCs w:val="24"/>
          <w:lang w:eastAsia="zh-CN"/>
        </w:rPr>
        <w:t>名称</w:t>
      </w:r>
      <w:r>
        <w:rPr>
          <w:rFonts w:hint="eastAsia" w:ascii="宋体" w:hAnsi="宋体" w:eastAsia="宋体" w:cs="宋体"/>
          <w:b w:val="0"/>
          <w:bCs/>
          <w:color w:val="auto"/>
          <w:sz w:val="24"/>
          <w:szCs w:val="24"/>
        </w:rPr>
        <w:t>：</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rPr>
        <w:t>（公章）</w:t>
      </w:r>
    </w:p>
    <w:p w14:paraId="015A9B5D">
      <w:pPr>
        <w:keepNext w:val="0"/>
        <w:keepLines w:val="0"/>
        <w:pageBreakBefore w:val="0"/>
        <w:kinsoku/>
        <w:wordWrap/>
        <w:overflowPunct/>
        <w:topLinePunct w:val="0"/>
        <w:autoSpaceDE/>
        <w:autoSpaceDN/>
        <w:bidi w:val="0"/>
        <w:adjustRightInd/>
        <w:snapToGrid/>
        <w:spacing w:line="360" w:lineRule="auto"/>
        <w:ind w:right="0" w:firstLine="480" w:firstLineChars="200"/>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法定代表人或委托代理人：</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rPr>
        <w:t>（签字或盖章）</w:t>
      </w:r>
    </w:p>
    <w:p w14:paraId="4C1B406A">
      <w:pPr>
        <w:keepNext w:val="0"/>
        <w:keepLines w:val="0"/>
        <w:pageBreakBefore w:val="0"/>
        <w:widowControl w:val="0"/>
        <w:kinsoku/>
        <w:wordWrap/>
        <w:overflowPunct/>
        <w:topLinePunct w:val="0"/>
        <w:autoSpaceDE w:val="0"/>
        <w:autoSpaceDN w:val="0"/>
        <w:bidi w:val="0"/>
        <w:adjustRightInd/>
        <w:snapToGrid/>
        <w:spacing w:line="360" w:lineRule="auto"/>
        <w:ind w:left="0" w:leftChars="0"/>
        <w:jc w:val="center"/>
        <w:outlineLvl w:val="9"/>
        <w:rPr>
          <w:rFonts w:hint="eastAsia" w:ascii="宋体" w:hAnsi="宋体" w:eastAsia="宋体" w:cs="宋体"/>
          <w:b/>
          <w:bCs w:val="0"/>
          <w:color w:val="auto"/>
          <w:sz w:val="24"/>
          <w:szCs w:val="24"/>
          <w:lang w:val="en-US" w:eastAsia="zh-CN"/>
        </w:rPr>
      </w:pPr>
      <w:r>
        <w:rPr>
          <w:rFonts w:hint="eastAsia" w:ascii="宋体" w:hAnsi="宋体" w:eastAsia="宋体" w:cs="宋体"/>
          <w:b w:val="0"/>
          <w:bCs/>
          <w:color w:val="auto"/>
          <w:sz w:val="24"/>
          <w:szCs w:val="24"/>
        </w:rPr>
        <w:t xml:space="preserve">年   月 </w:t>
      </w: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 w:val="0"/>
          <w:bCs/>
          <w:color w:val="auto"/>
          <w:sz w:val="24"/>
          <w:szCs w:val="24"/>
        </w:rPr>
        <w:t xml:space="preserve"> 日</w:t>
      </w:r>
    </w:p>
    <w:p w14:paraId="0E94EB50">
      <w:pPr>
        <w:keepNext w:val="0"/>
        <w:keepLines w:val="0"/>
        <w:pageBreakBefore w:val="0"/>
        <w:widowControl w:val="0"/>
        <w:kinsoku/>
        <w:wordWrap/>
        <w:overflowPunct/>
        <w:topLinePunct w:val="0"/>
        <w:autoSpaceDE w:val="0"/>
        <w:autoSpaceDN w:val="0"/>
        <w:bidi w:val="0"/>
        <w:adjustRightInd/>
        <w:snapToGrid/>
        <w:spacing w:line="360" w:lineRule="auto"/>
        <w:ind w:left="0" w:leftChars="0"/>
        <w:jc w:val="both"/>
        <w:outlineLvl w:val="9"/>
        <w:rPr>
          <w:rFonts w:hint="eastAsia" w:ascii="宋体" w:hAnsi="宋体" w:eastAsia="宋体" w:cs="宋体"/>
          <w:b/>
          <w:bCs w:val="0"/>
          <w:color w:val="auto"/>
          <w:sz w:val="24"/>
          <w:szCs w:val="24"/>
          <w:lang w:val="en-US" w:eastAsia="zh-CN"/>
        </w:rPr>
      </w:pPr>
    </w:p>
    <w:p w14:paraId="6070802D">
      <w:pPr>
        <w:keepNext w:val="0"/>
        <w:keepLines w:val="0"/>
        <w:pageBreakBefore w:val="0"/>
        <w:kinsoku/>
        <w:wordWrap/>
        <w:overflowPunct/>
        <w:topLinePunct w:val="0"/>
        <w:bidi w:val="0"/>
        <w:adjustRightInd/>
        <w:snapToGrid/>
        <w:spacing w:line="360" w:lineRule="auto"/>
        <w:ind w:left="0" w:leftChars="0"/>
        <w:rPr>
          <w:rFonts w:hint="eastAsia" w:ascii="宋体" w:hAnsi="宋体" w:eastAsia="宋体" w:cs="宋体"/>
          <w:b/>
          <w:color w:val="auto"/>
          <w:sz w:val="24"/>
        </w:rPr>
      </w:pPr>
      <w:r>
        <w:rPr>
          <w:rFonts w:hint="eastAsia" w:ascii="宋体" w:hAnsi="宋体" w:eastAsia="宋体" w:cs="宋体"/>
          <w:b/>
          <w:color w:val="auto"/>
          <w:sz w:val="24"/>
        </w:rPr>
        <w:br w:type="page"/>
      </w:r>
    </w:p>
    <w:p w14:paraId="60644DBE">
      <w:pPr>
        <w:widowControl/>
        <w:wordWrap/>
        <w:spacing w:before="157" w:beforeLines="50" w:line="560" w:lineRule="exact"/>
        <w:jc w:val="center"/>
        <w:outlineLvl w:val="0"/>
        <w:rPr>
          <w:rFonts w:hint="eastAsia" w:ascii="宋体" w:hAnsi="宋体" w:eastAsia="宋体" w:cs="宋体"/>
          <w:b/>
          <w:bCs/>
          <w:color w:val="auto"/>
          <w:sz w:val="32"/>
          <w:szCs w:val="32"/>
        </w:rPr>
      </w:pPr>
      <w:bookmarkStart w:id="484" w:name="_Toc376936766"/>
      <w:bookmarkStart w:id="485" w:name="_Toc5169"/>
      <w:bookmarkStart w:id="486" w:name="_Toc1031"/>
      <w:bookmarkStart w:id="487" w:name="_Toc7329_WPSOffice_Level1"/>
      <w:bookmarkStart w:id="488" w:name="_Toc24112_WPSOffice_Level1"/>
      <w:bookmarkStart w:id="489" w:name="_Toc5233"/>
      <w:bookmarkStart w:id="490" w:name="_Toc12949996"/>
      <w:bookmarkStart w:id="491" w:name="_Toc16779_WPSOffice_Level1"/>
      <w:bookmarkStart w:id="492" w:name="_Toc23722_WPSOffice_Level1"/>
      <w:bookmarkStart w:id="493" w:name="_Toc23740"/>
      <w:bookmarkStart w:id="494" w:name="_Toc416183225"/>
      <w:bookmarkStart w:id="495" w:name="_Toc16082_WPSOffice_Level1"/>
      <w:bookmarkStart w:id="496" w:name="_Toc27557_WPSOffice_Level1"/>
      <w:r>
        <w:rPr>
          <w:rFonts w:hint="eastAsia" w:ascii="宋体" w:hAnsi="宋体" w:eastAsia="宋体" w:cs="宋体"/>
          <w:b/>
          <w:bCs/>
          <w:color w:val="auto"/>
          <w:sz w:val="32"/>
          <w:szCs w:val="32"/>
          <w:lang w:eastAsia="zh-CN"/>
        </w:rPr>
        <w:t>第五部分</w:t>
      </w:r>
      <w:r>
        <w:rPr>
          <w:rFonts w:hint="eastAsia" w:ascii="宋体" w:hAnsi="宋体" w:eastAsia="宋体" w:cs="宋体"/>
          <w:b/>
          <w:bCs/>
          <w:color w:val="auto"/>
          <w:sz w:val="32"/>
          <w:szCs w:val="32"/>
        </w:rPr>
        <w:t xml:space="preserve"> </w:t>
      </w:r>
      <w:bookmarkEnd w:id="484"/>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青海省政府采购项目合同书</w:t>
      </w:r>
      <w:bookmarkEnd w:id="485"/>
      <w:bookmarkEnd w:id="486"/>
      <w:bookmarkEnd w:id="487"/>
      <w:bookmarkEnd w:id="488"/>
    </w:p>
    <w:p w14:paraId="3CA840CC">
      <w:pPr>
        <w:bidi w:val="0"/>
        <w:jc w:val="both"/>
        <w:rPr>
          <w:rFonts w:hint="eastAsia" w:ascii="宋体" w:hAnsi="宋体" w:eastAsia="宋体" w:cs="宋体"/>
          <w:color w:val="auto"/>
          <w:sz w:val="32"/>
          <w:szCs w:val="32"/>
        </w:rPr>
      </w:pPr>
      <w:bookmarkStart w:id="497" w:name="_Toc22776_WPSOffice_Level1"/>
      <w:bookmarkStart w:id="498" w:name="_Toc29785_WPSOffice_Level1"/>
      <w:bookmarkStart w:id="499" w:name="_Toc32639"/>
    </w:p>
    <w:p w14:paraId="667EA5C9">
      <w:pPr>
        <w:bidi w:val="0"/>
        <w:jc w:val="center"/>
        <w:rPr>
          <w:rFonts w:hint="eastAsia" w:ascii="宋体" w:hAnsi="宋体" w:eastAsia="宋体" w:cs="宋体"/>
          <w:color w:val="auto"/>
          <w:sz w:val="44"/>
          <w:szCs w:val="52"/>
        </w:rPr>
      </w:pPr>
      <w:r>
        <w:rPr>
          <w:rFonts w:hint="eastAsia" w:ascii="宋体" w:hAnsi="宋体" w:eastAsia="宋体" w:cs="宋体"/>
          <w:color w:val="auto"/>
          <w:sz w:val="44"/>
          <w:szCs w:val="52"/>
        </w:rPr>
        <w:t>（</w:t>
      </w:r>
      <w:r>
        <w:rPr>
          <w:rFonts w:hint="eastAsia" w:ascii="宋体" w:hAnsi="宋体" w:eastAsia="宋体" w:cs="宋体"/>
          <w:color w:val="auto"/>
          <w:sz w:val="44"/>
          <w:szCs w:val="52"/>
          <w:lang w:val="en-US" w:eastAsia="zh-CN"/>
        </w:rPr>
        <w:t>货物</w:t>
      </w:r>
      <w:r>
        <w:rPr>
          <w:rFonts w:hint="eastAsia" w:ascii="宋体" w:hAnsi="宋体" w:eastAsia="宋体" w:cs="宋体"/>
          <w:color w:val="auto"/>
          <w:sz w:val="44"/>
          <w:szCs w:val="52"/>
        </w:rPr>
        <w:t>类）</w:t>
      </w:r>
      <w:bookmarkEnd w:id="489"/>
      <w:bookmarkEnd w:id="490"/>
      <w:bookmarkEnd w:id="491"/>
      <w:bookmarkEnd w:id="492"/>
      <w:bookmarkEnd w:id="493"/>
      <w:bookmarkEnd w:id="494"/>
      <w:bookmarkEnd w:id="495"/>
      <w:bookmarkEnd w:id="496"/>
      <w:bookmarkEnd w:id="497"/>
      <w:bookmarkEnd w:id="498"/>
      <w:bookmarkEnd w:id="499"/>
    </w:p>
    <w:p w14:paraId="185986E7">
      <w:pPr>
        <w:bidi w:val="0"/>
        <w:rPr>
          <w:rFonts w:hint="eastAsia" w:ascii="宋体" w:hAnsi="宋体" w:eastAsia="宋体" w:cs="宋体"/>
          <w:color w:val="auto"/>
          <w:sz w:val="32"/>
          <w:szCs w:val="32"/>
        </w:rPr>
      </w:pPr>
      <w:bookmarkStart w:id="500" w:name="_Toc375576842"/>
      <w:bookmarkStart w:id="501" w:name="_Toc373954603"/>
      <w:bookmarkStart w:id="502" w:name="_Toc373936315"/>
    </w:p>
    <w:bookmarkEnd w:id="500"/>
    <w:bookmarkEnd w:id="501"/>
    <w:bookmarkEnd w:id="502"/>
    <w:p w14:paraId="011CE863">
      <w:pPr>
        <w:keepNext/>
        <w:keepLines/>
        <w:widowControl/>
        <w:wordWrap/>
        <w:snapToGrid w:val="0"/>
        <w:spacing w:before="157" w:beforeLines="50" w:line="560" w:lineRule="exact"/>
        <w:jc w:val="center"/>
        <w:outlineLvl w:val="9"/>
        <w:rPr>
          <w:rFonts w:hint="eastAsia" w:ascii="宋体" w:hAnsi="宋体" w:eastAsia="宋体" w:cs="宋体"/>
          <w:b/>
          <w:bCs w:val="0"/>
          <w:color w:val="auto"/>
          <w:kern w:val="28"/>
          <w:sz w:val="32"/>
          <w:szCs w:val="32"/>
        </w:rPr>
      </w:pPr>
      <w:bookmarkStart w:id="503" w:name="_Toc3676_WPSOffice_Level1"/>
      <w:bookmarkStart w:id="504" w:name="_Toc4308"/>
      <w:bookmarkStart w:id="505" w:name="_Toc12949997"/>
      <w:bookmarkStart w:id="506" w:name="_Toc416183226"/>
      <w:bookmarkStart w:id="507" w:name="_Toc9152_WPSOffice_Level1"/>
      <w:bookmarkStart w:id="508" w:name="_Toc31604_WPSOffice_Level1"/>
      <w:bookmarkStart w:id="509" w:name="_Toc9715"/>
      <w:bookmarkStart w:id="510" w:name="_Toc10999_WPSOffice_Level1"/>
      <w:bookmarkStart w:id="511" w:name="_Toc8067_WPSOffice_Level1"/>
      <w:r>
        <w:rPr>
          <w:rFonts w:hint="eastAsia" w:ascii="宋体" w:hAnsi="宋体" w:eastAsia="宋体" w:cs="宋体"/>
          <w:b/>
          <w:bCs w:val="0"/>
          <w:color w:val="auto"/>
          <w:kern w:val="28"/>
          <w:sz w:val="32"/>
          <w:szCs w:val="32"/>
        </w:rPr>
        <w:t>青海省政府采购项目合同书</w:t>
      </w:r>
      <w:bookmarkEnd w:id="503"/>
      <w:bookmarkEnd w:id="504"/>
      <w:bookmarkEnd w:id="505"/>
      <w:bookmarkEnd w:id="506"/>
      <w:bookmarkEnd w:id="507"/>
      <w:bookmarkEnd w:id="508"/>
      <w:bookmarkEnd w:id="509"/>
      <w:bookmarkEnd w:id="510"/>
      <w:bookmarkEnd w:id="511"/>
    </w:p>
    <w:p w14:paraId="77950FD3">
      <w:pPr>
        <w:pStyle w:val="25"/>
        <w:ind w:firstLine="3213" w:firstLineChars="1000"/>
        <w:rPr>
          <w:rFonts w:hint="eastAsia" w:ascii="宋体" w:hAnsi="宋体" w:eastAsia="宋体" w:cs="宋体"/>
          <w:b/>
          <w:bCs w:val="0"/>
          <w:color w:val="auto"/>
          <w:kern w:val="28"/>
          <w:sz w:val="32"/>
          <w:szCs w:val="32"/>
          <w:lang w:val="zh-CN" w:eastAsia="zh-CN" w:bidi="ar-SA"/>
        </w:rPr>
      </w:pPr>
      <w:r>
        <w:rPr>
          <w:rFonts w:hint="eastAsia" w:ascii="宋体" w:hAnsi="宋体" w:eastAsia="宋体" w:cs="宋体"/>
          <w:b/>
          <w:bCs w:val="0"/>
          <w:color w:val="auto"/>
          <w:kern w:val="28"/>
          <w:sz w:val="32"/>
          <w:szCs w:val="32"/>
          <w:lang w:val="zh-CN" w:eastAsia="zh-CN" w:bidi="ar-SA"/>
        </w:rPr>
        <w:t>（</w:t>
      </w:r>
      <w:r>
        <w:rPr>
          <w:rFonts w:hint="eastAsia" w:ascii="宋体" w:hAnsi="宋体" w:eastAsia="宋体" w:cs="宋体"/>
          <w:b/>
          <w:bCs w:val="0"/>
          <w:color w:val="auto"/>
          <w:kern w:val="28"/>
          <w:sz w:val="32"/>
          <w:szCs w:val="32"/>
          <w:lang w:val="en-US" w:eastAsia="zh-CN" w:bidi="ar-SA"/>
        </w:rPr>
        <w:t>参考版</w:t>
      </w:r>
      <w:r>
        <w:rPr>
          <w:rFonts w:hint="eastAsia" w:ascii="宋体" w:hAnsi="宋体" w:eastAsia="宋体" w:cs="宋体"/>
          <w:b/>
          <w:bCs w:val="0"/>
          <w:color w:val="auto"/>
          <w:kern w:val="28"/>
          <w:sz w:val="32"/>
          <w:szCs w:val="32"/>
          <w:lang w:val="zh-CN" w:eastAsia="zh-CN" w:bidi="ar-SA"/>
        </w:rPr>
        <w:t>）</w:t>
      </w:r>
    </w:p>
    <w:p w14:paraId="0F49A703">
      <w:pPr>
        <w:pStyle w:val="25"/>
        <w:rPr>
          <w:rFonts w:hint="eastAsia" w:ascii="宋体" w:hAnsi="宋体" w:eastAsia="宋体" w:cs="宋体"/>
          <w:b/>
          <w:bCs w:val="0"/>
          <w:color w:val="auto"/>
          <w:kern w:val="28"/>
          <w:sz w:val="32"/>
          <w:szCs w:val="32"/>
          <w:lang w:val="en-US" w:eastAsia="zh-CN" w:bidi="ar-SA"/>
        </w:rPr>
      </w:pPr>
    </w:p>
    <w:p w14:paraId="239C5FD1">
      <w:pPr>
        <w:wordWrap/>
        <w:spacing w:before="157" w:beforeLines="50" w:line="560" w:lineRule="exact"/>
        <w:jc w:val="both"/>
        <w:outlineLvl w:val="9"/>
        <w:rPr>
          <w:rFonts w:hint="eastAsia" w:ascii="宋体" w:hAnsi="宋体" w:eastAsia="宋体" w:cs="宋体"/>
          <w:b w:val="0"/>
          <w:bCs/>
          <w:color w:val="auto"/>
          <w:sz w:val="32"/>
          <w:szCs w:val="32"/>
        </w:rPr>
      </w:pPr>
    </w:p>
    <w:p w14:paraId="0443034A">
      <w:pPr>
        <w:pStyle w:val="11"/>
        <w:rPr>
          <w:rFonts w:hint="eastAsia" w:ascii="宋体" w:hAnsi="宋体" w:eastAsia="宋体" w:cs="宋体"/>
          <w:b w:val="0"/>
          <w:bCs/>
          <w:color w:val="auto"/>
          <w:sz w:val="32"/>
          <w:szCs w:val="32"/>
        </w:rPr>
      </w:pPr>
    </w:p>
    <w:p w14:paraId="19061F99">
      <w:pPr>
        <w:pStyle w:val="11"/>
        <w:rPr>
          <w:rFonts w:hint="eastAsia" w:ascii="宋体" w:hAnsi="宋体" w:eastAsia="宋体" w:cs="宋体"/>
          <w:b w:val="0"/>
          <w:bCs/>
          <w:color w:val="auto"/>
          <w:sz w:val="32"/>
          <w:szCs w:val="32"/>
        </w:rPr>
      </w:pPr>
    </w:p>
    <w:p w14:paraId="3C41A4BC">
      <w:pPr>
        <w:pStyle w:val="11"/>
        <w:rPr>
          <w:rFonts w:hint="eastAsia" w:ascii="宋体" w:hAnsi="宋体" w:eastAsia="宋体" w:cs="宋体"/>
          <w:b w:val="0"/>
          <w:bCs/>
          <w:color w:val="auto"/>
          <w:sz w:val="32"/>
          <w:szCs w:val="32"/>
        </w:rPr>
      </w:pPr>
    </w:p>
    <w:p w14:paraId="68D9D450">
      <w:pPr>
        <w:pStyle w:val="11"/>
        <w:rPr>
          <w:rFonts w:hint="eastAsia" w:ascii="宋体" w:hAnsi="宋体" w:eastAsia="宋体" w:cs="宋体"/>
          <w:b w:val="0"/>
          <w:bCs/>
          <w:color w:val="auto"/>
          <w:sz w:val="32"/>
          <w:szCs w:val="32"/>
        </w:rPr>
      </w:pPr>
    </w:p>
    <w:p w14:paraId="41F31D8D">
      <w:pPr>
        <w:wordWrap/>
        <w:spacing w:before="157" w:beforeLines="50" w:line="560" w:lineRule="exact"/>
        <w:outlineLvl w:val="9"/>
        <w:rPr>
          <w:rFonts w:hint="eastAsia" w:ascii="宋体" w:hAnsi="宋体" w:eastAsia="宋体" w:cs="宋体"/>
          <w:b w:val="0"/>
          <w:bCs/>
          <w:color w:val="auto"/>
          <w:sz w:val="28"/>
          <w:szCs w:val="28"/>
          <w:u w:val="single"/>
          <w:lang w:val="en-US"/>
        </w:rPr>
      </w:pPr>
      <w:bookmarkStart w:id="512" w:name="_Toc23338_WPSOffice_Level1"/>
      <w:bookmarkStart w:id="513" w:name="_Toc23548_WPSOffice_Level1"/>
      <w:bookmarkStart w:id="514" w:name="_Toc18140_WPSOffice_Level1"/>
      <w:bookmarkStart w:id="515" w:name="_Toc19373_WPSOffice_Level1"/>
      <w:r>
        <w:rPr>
          <w:rFonts w:hint="eastAsia" w:ascii="宋体" w:hAnsi="宋体" w:eastAsia="宋体" w:cs="宋体"/>
          <w:b w:val="0"/>
          <w:bCs/>
          <w:color w:val="auto"/>
          <w:sz w:val="28"/>
          <w:szCs w:val="28"/>
        </w:rPr>
        <w:t>采购项目名称：</w:t>
      </w:r>
      <w:bookmarkEnd w:id="512"/>
      <w:bookmarkEnd w:id="513"/>
      <w:bookmarkEnd w:id="514"/>
      <w:bookmarkEnd w:id="515"/>
      <w:r>
        <w:rPr>
          <w:rFonts w:hint="eastAsia" w:ascii="宋体" w:hAnsi="宋体" w:eastAsia="宋体" w:cs="宋体"/>
          <w:b w:val="0"/>
          <w:bCs/>
          <w:color w:val="auto"/>
          <w:sz w:val="28"/>
          <w:szCs w:val="28"/>
          <w:u w:val="single"/>
          <w:lang w:val="en-US" w:eastAsia="zh-CN"/>
        </w:rPr>
        <w:t>玉树市公安局执法执勤车辆采购项目</w:t>
      </w:r>
    </w:p>
    <w:p w14:paraId="4DCEB9AE">
      <w:pPr>
        <w:wordWrap/>
        <w:spacing w:before="157" w:beforeLines="50" w:line="560" w:lineRule="exact"/>
        <w:outlineLvl w:val="9"/>
        <w:rPr>
          <w:rFonts w:hint="eastAsia" w:ascii="宋体" w:hAnsi="宋体" w:eastAsia="宋体" w:cs="宋体"/>
          <w:b w:val="0"/>
          <w:bCs/>
          <w:color w:val="auto"/>
          <w:sz w:val="28"/>
          <w:szCs w:val="28"/>
          <w:u w:val="single"/>
        </w:rPr>
      </w:pPr>
      <w:bookmarkStart w:id="516" w:name="_Toc2770_WPSOffice_Level1"/>
      <w:bookmarkStart w:id="517" w:name="_Toc2957_WPSOffice_Level1"/>
      <w:bookmarkStart w:id="518" w:name="_Toc19950_WPSOffice_Level1"/>
      <w:bookmarkStart w:id="519" w:name="_Toc20437_WPSOffice_Level1"/>
      <w:r>
        <w:rPr>
          <w:rFonts w:hint="eastAsia" w:ascii="宋体" w:hAnsi="宋体" w:eastAsia="宋体" w:cs="宋体"/>
          <w:b w:val="0"/>
          <w:bCs/>
          <w:color w:val="auto"/>
          <w:sz w:val="28"/>
          <w:szCs w:val="28"/>
        </w:rPr>
        <w:t>采购项目编号：</w:t>
      </w:r>
      <w:bookmarkEnd w:id="516"/>
      <w:bookmarkEnd w:id="517"/>
      <w:bookmarkEnd w:id="518"/>
      <w:bookmarkEnd w:id="519"/>
      <w:r>
        <w:rPr>
          <w:rFonts w:hint="eastAsia" w:ascii="宋体" w:hAnsi="宋体" w:eastAsia="宋体" w:cs="宋体"/>
          <w:b w:val="0"/>
          <w:bCs/>
          <w:color w:val="auto"/>
          <w:sz w:val="28"/>
          <w:szCs w:val="28"/>
          <w:u w:val="single"/>
          <w:lang w:val="en-US" w:eastAsia="zh-CN"/>
        </w:rPr>
        <w:t>青海鼎钊竞谈（服务）2024-037</w:t>
      </w:r>
    </w:p>
    <w:p w14:paraId="7D8EBE0C">
      <w:pPr>
        <w:wordWrap/>
        <w:spacing w:before="157" w:beforeLines="50" w:line="560" w:lineRule="exact"/>
        <w:outlineLvl w:val="9"/>
        <w:rPr>
          <w:rFonts w:hint="eastAsia" w:ascii="宋体" w:hAnsi="宋体" w:eastAsia="宋体" w:cs="宋体"/>
          <w:b w:val="0"/>
          <w:bCs/>
          <w:color w:val="auto"/>
          <w:sz w:val="28"/>
          <w:szCs w:val="28"/>
        </w:rPr>
      </w:pPr>
      <w:bookmarkStart w:id="520" w:name="_Toc1998_WPSOffice_Level1"/>
      <w:bookmarkStart w:id="521" w:name="_Toc19490_WPSOffice_Level1"/>
      <w:bookmarkStart w:id="522" w:name="_Toc31508_WPSOffice_Level1"/>
      <w:bookmarkStart w:id="523" w:name="_Toc3022_WPSOffice_Level1"/>
      <w:r>
        <w:rPr>
          <w:rFonts w:hint="eastAsia" w:ascii="宋体" w:hAnsi="宋体" w:eastAsia="宋体" w:cs="宋体"/>
          <w:b w:val="0"/>
          <w:bCs/>
          <w:color w:val="auto"/>
          <w:sz w:val="28"/>
          <w:szCs w:val="28"/>
        </w:rPr>
        <w:t>采购合同编号：</w:t>
      </w:r>
      <w:bookmarkEnd w:id="520"/>
      <w:bookmarkEnd w:id="521"/>
      <w:bookmarkEnd w:id="522"/>
      <w:bookmarkEnd w:id="523"/>
      <w:r>
        <w:rPr>
          <w:rFonts w:hint="eastAsia" w:ascii="宋体" w:hAnsi="宋体" w:eastAsia="宋体" w:cs="宋体"/>
          <w:b w:val="0"/>
          <w:bCs/>
          <w:color w:val="auto"/>
          <w:sz w:val="28"/>
          <w:szCs w:val="28"/>
          <w:u w:val="single"/>
          <w:lang w:val="en-US" w:eastAsia="zh-CN"/>
        </w:rPr>
        <w:t xml:space="preserve">QHDZ-2024-037                </w:t>
      </w:r>
    </w:p>
    <w:p w14:paraId="3FE85412">
      <w:pPr>
        <w:wordWrap/>
        <w:spacing w:before="157" w:beforeLines="50" w:line="560" w:lineRule="exact"/>
        <w:outlineLvl w:val="9"/>
        <w:rPr>
          <w:rFonts w:hint="eastAsia" w:ascii="宋体" w:hAnsi="宋体" w:eastAsia="宋体" w:cs="宋体"/>
          <w:b w:val="0"/>
          <w:bCs/>
          <w:color w:val="auto"/>
          <w:sz w:val="28"/>
          <w:szCs w:val="28"/>
        </w:rPr>
      </w:pPr>
      <w:bookmarkStart w:id="524" w:name="_Toc2711_WPSOffice_Level1"/>
      <w:bookmarkStart w:id="525" w:name="_Toc8063_WPSOffice_Level1"/>
      <w:bookmarkStart w:id="526" w:name="_Toc24942_WPSOffice_Level1"/>
      <w:bookmarkStart w:id="527" w:name="_Toc5994_WPSOffice_Level1"/>
      <w:r>
        <w:rPr>
          <w:rFonts w:hint="eastAsia" w:ascii="宋体" w:hAnsi="宋体" w:eastAsia="宋体" w:cs="宋体"/>
          <w:b w:val="0"/>
          <w:bCs/>
          <w:color w:val="auto"/>
          <w:sz w:val="28"/>
          <w:szCs w:val="28"/>
        </w:rPr>
        <w:t>合同金额（人民币）：</w:t>
      </w:r>
      <w:bookmarkEnd w:id="524"/>
      <w:bookmarkEnd w:id="525"/>
      <w:bookmarkEnd w:id="526"/>
      <w:bookmarkEnd w:id="527"/>
      <w:r>
        <w:rPr>
          <w:rFonts w:hint="eastAsia" w:ascii="宋体" w:hAnsi="宋体" w:eastAsia="宋体" w:cs="宋体"/>
          <w:b w:val="0"/>
          <w:bCs/>
          <w:color w:val="auto"/>
          <w:sz w:val="28"/>
          <w:szCs w:val="28"/>
          <w:u w:val="single"/>
        </w:rPr>
        <w:t xml:space="preserve">                           </w:t>
      </w:r>
    </w:p>
    <w:p w14:paraId="6C8C039A">
      <w:pPr>
        <w:wordWrap/>
        <w:spacing w:before="157" w:beforeLines="50" w:line="560" w:lineRule="exact"/>
        <w:jc w:val="left"/>
        <w:outlineLvl w:val="9"/>
        <w:rPr>
          <w:rFonts w:hint="eastAsia" w:ascii="宋体" w:hAnsi="宋体" w:eastAsia="宋体" w:cs="宋体"/>
          <w:b w:val="0"/>
          <w:bCs/>
          <w:color w:val="auto"/>
          <w:sz w:val="28"/>
          <w:szCs w:val="28"/>
        </w:rPr>
      </w:pPr>
      <w:bookmarkStart w:id="528" w:name="_Toc31793_WPSOffice_Level1"/>
      <w:bookmarkStart w:id="529" w:name="_Toc3522_WPSOffice_Level1"/>
      <w:bookmarkStart w:id="530" w:name="_Toc6126_WPSOffice_Level1"/>
      <w:bookmarkStart w:id="531" w:name="_Toc10610_WPSOffice_Level1"/>
      <w:r>
        <w:rPr>
          <w:rFonts w:hint="eastAsia" w:ascii="宋体" w:hAnsi="宋体" w:eastAsia="宋体" w:cs="宋体"/>
          <w:b w:val="0"/>
          <w:bCs/>
          <w:color w:val="auto"/>
          <w:sz w:val="28"/>
          <w:szCs w:val="28"/>
          <w:lang w:val="zh-CN"/>
        </w:rPr>
        <w:t>采</w:t>
      </w:r>
      <w:r>
        <w:rPr>
          <w:rFonts w:hint="eastAsia" w:ascii="宋体" w:hAnsi="宋体" w:eastAsia="宋体" w:cs="宋体"/>
          <w:b w:val="0"/>
          <w:bCs/>
          <w:color w:val="auto"/>
          <w:sz w:val="28"/>
          <w:szCs w:val="28"/>
          <w:lang w:val="en-US" w:eastAsia="zh-CN"/>
        </w:rPr>
        <w:t xml:space="preserve">  </w:t>
      </w:r>
      <w:r>
        <w:rPr>
          <w:rFonts w:hint="eastAsia" w:ascii="宋体" w:hAnsi="宋体" w:eastAsia="宋体" w:cs="宋体"/>
          <w:b w:val="0"/>
          <w:bCs/>
          <w:color w:val="auto"/>
          <w:sz w:val="28"/>
          <w:szCs w:val="28"/>
          <w:lang w:val="zh-CN"/>
        </w:rPr>
        <w:t>购</w:t>
      </w:r>
      <w:r>
        <w:rPr>
          <w:rFonts w:hint="eastAsia" w:ascii="宋体" w:hAnsi="宋体" w:eastAsia="宋体" w:cs="宋体"/>
          <w:b w:val="0"/>
          <w:bCs/>
          <w:color w:val="auto"/>
          <w:sz w:val="28"/>
          <w:szCs w:val="28"/>
          <w:lang w:val="en-US" w:eastAsia="zh-CN"/>
        </w:rPr>
        <w:t xml:space="preserve">  </w:t>
      </w:r>
      <w:r>
        <w:rPr>
          <w:rFonts w:hint="eastAsia" w:ascii="宋体" w:hAnsi="宋体" w:eastAsia="宋体" w:cs="宋体"/>
          <w:b w:val="0"/>
          <w:bCs/>
          <w:color w:val="auto"/>
          <w:sz w:val="28"/>
          <w:szCs w:val="28"/>
          <w:lang w:val="zh-CN"/>
        </w:rPr>
        <w:t>人</w:t>
      </w:r>
      <w:r>
        <w:rPr>
          <w:rFonts w:hint="eastAsia" w:ascii="宋体" w:hAnsi="宋体" w:eastAsia="宋体" w:cs="宋体"/>
          <w:b w:val="0"/>
          <w:bCs/>
          <w:color w:val="auto"/>
          <w:sz w:val="28"/>
          <w:szCs w:val="28"/>
        </w:rPr>
        <w:t>（甲方）：</w:t>
      </w:r>
      <w:r>
        <w:rPr>
          <w:rFonts w:hint="eastAsia" w:ascii="宋体" w:hAnsi="宋体" w:eastAsia="宋体" w:cs="宋体"/>
          <w:b w:val="0"/>
          <w:bCs/>
          <w:color w:val="auto"/>
          <w:sz w:val="28"/>
          <w:szCs w:val="28"/>
          <w:u w:val="single"/>
        </w:rPr>
        <w:t xml:space="preserve">                        </w:t>
      </w:r>
      <w:r>
        <w:rPr>
          <w:rFonts w:hint="eastAsia" w:ascii="宋体" w:hAnsi="宋体" w:eastAsia="宋体" w:cs="宋体"/>
          <w:b w:val="0"/>
          <w:bCs/>
          <w:color w:val="auto"/>
          <w:sz w:val="28"/>
          <w:szCs w:val="28"/>
        </w:rPr>
        <w:t>（盖章）</w:t>
      </w:r>
      <w:bookmarkEnd w:id="528"/>
      <w:bookmarkEnd w:id="529"/>
      <w:bookmarkEnd w:id="530"/>
      <w:bookmarkEnd w:id="531"/>
    </w:p>
    <w:p w14:paraId="45BD1079">
      <w:pPr>
        <w:wordWrap/>
        <w:spacing w:before="157" w:beforeLines="50" w:line="560" w:lineRule="exact"/>
        <w:jc w:val="left"/>
        <w:outlineLvl w:val="9"/>
        <w:rPr>
          <w:rFonts w:hint="eastAsia" w:ascii="宋体" w:hAnsi="宋体" w:eastAsia="宋体" w:cs="宋体"/>
          <w:b w:val="0"/>
          <w:bCs/>
          <w:color w:val="auto"/>
          <w:sz w:val="32"/>
          <w:szCs w:val="32"/>
          <w:u w:val="single"/>
        </w:rPr>
      </w:pPr>
      <w:bookmarkStart w:id="532" w:name="_Toc382_WPSOffice_Level1"/>
      <w:bookmarkStart w:id="533" w:name="_Toc14960_WPSOffice_Level1"/>
      <w:bookmarkStart w:id="534" w:name="_Toc22516_WPSOffice_Level1"/>
      <w:bookmarkStart w:id="535" w:name="_Toc7246_WPSOffice_Level1"/>
      <w:r>
        <w:rPr>
          <w:rFonts w:hint="eastAsia" w:ascii="宋体" w:hAnsi="宋体" w:eastAsia="宋体" w:cs="宋体"/>
          <w:b w:val="0"/>
          <w:bCs/>
          <w:color w:val="auto"/>
          <w:sz w:val="28"/>
          <w:szCs w:val="28"/>
        </w:rPr>
        <w:t>成交供应商（乙方）：</w:t>
      </w:r>
      <w:r>
        <w:rPr>
          <w:rFonts w:hint="eastAsia" w:ascii="宋体" w:hAnsi="宋体" w:eastAsia="宋体" w:cs="宋体"/>
          <w:b w:val="0"/>
          <w:bCs/>
          <w:color w:val="auto"/>
          <w:sz w:val="28"/>
          <w:szCs w:val="28"/>
          <w:u w:val="single"/>
        </w:rPr>
        <w:t xml:space="preserve">                      </w:t>
      </w:r>
      <w:r>
        <w:rPr>
          <w:rFonts w:hint="eastAsia" w:ascii="宋体" w:hAnsi="宋体" w:eastAsia="宋体" w:cs="宋体"/>
          <w:b w:val="0"/>
          <w:bCs/>
          <w:color w:val="auto"/>
          <w:sz w:val="28"/>
          <w:szCs w:val="28"/>
          <w:u w:val="single"/>
          <w:lang w:val="en-US" w:eastAsia="zh-CN"/>
        </w:rPr>
        <w:t xml:space="preserve">  </w:t>
      </w:r>
      <w:r>
        <w:rPr>
          <w:rFonts w:hint="eastAsia" w:ascii="宋体" w:hAnsi="宋体" w:eastAsia="宋体" w:cs="宋体"/>
          <w:b w:val="0"/>
          <w:bCs/>
          <w:color w:val="auto"/>
          <w:sz w:val="28"/>
          <w:szCs w:val="28"/>
        </w:rPr>
        <w:t>（盖章）</w:t>
      </w:r>
      <w:bookmarkEnd w:id="532"/>
      <w:bookmarkEnd w:id="533"/>
      <w:bookmarkEnd w:id="534"/>
      <w:bookmarkEnd w:id="535"/>
    </w:p>
    <w:p w14:paraId="7CEA242A">
      <w:pPr>
        <w:widowControl w:val="0"/>
        <w:wordWrap/>
        <w:adjustRightInd w:val="0"/>
        <w:snapToGrid w:val="0"/>
        <w:spacing w:line="560" w:lineRule="exact"/>
        <w:textAlignment w:val="auto"/>
        <w:outlineLvl w:val="9"/>
        <w:rPr>
          <w:rFonts w:hint="eastAsia" w:ascii="宋体" w:hAnsi="宋体" w:eastAsia="宋体" w:cs="宋体"/>
          <w:bCs/>
          <w:color w:val="auto"/>
          <w:sz w:val="32"/>
          <w:szCs w:val="32"/>
        </w:rPr>
      </w:pPr>
    </w:p>
    <w:p w14:paraId="78BC0426">
      <w:pPr>
        <w:widowControl w:val="0"/>
        <w:wordWrap/>
        <w:adjustRightInd w:val="0"/>
        <w:snapToGrid w:val="0"/>
        <w:spacing w:line="560" w:lineRule="exact"/>
        <w:textAlignment w:val="auto"/>
        <w:outlineLvl w:val="9"/>
        <w:rPr>
          <w:rFonts w:hint="eastAsia" w:ascii="宋体" w:hAnsi="宋体" w:eastAsia="宋体" w:cs="宋体"/>
          <w:bCs/>
          <w:color w:val="auto"/>
          <w:sz w:val="32"/>
          <w:szCs w:val="32"/>
        </w:rPr>
      </w:pPr>
    </w:p>
    <w:p w14:paraId="1EE12442">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b/>
          <w:bCs/>
          <w:color w:val="auto"/>
          <w:sz w:val="28"/>
          <w:szCs w:val="28"/>
        </w:rPr>
      </w:pPr>
      <w:r>
        <w:rPr>
          <w:rFonts w:hint="eastAsia" w:ascii="宋体" w:hAnsi="宋体" w:eastAsia="宋体" w:cs="宋体"/>
          <w:bCs/>
          <w:color w:val="auto"/>
          <w:szCs w:val="21"/>
        </w:rPr>
        <w:br w:type="page"/>
      </w:r>
      <w:r>
        <w:rPr>
          <w:rFonts w:hint="eastAsia" w:ascii="宋体" w:hAnsi="宋体" w:eastAsia="宋体" w:cs="宋体"/>
          <w:b/>
          <w:bCs/>
          <w:color w:val="auto"/>
          <w:sz w:val="28"/>
          <w:szCs w:val="28"/>
          <w:lang w:val="zh-CN"/>
        </w:rPr>
        <w:t>采购人（以下简称甲方）：</w:t>
      </w:r>
    </w:p>
    <w:p w14:paraId="2DBDDAA5">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Cs/>
          <w:color w:val="auto"/>
          <w:szCs w:val="21"/>
          <w:lang w:val="en-US" w:eastAsia="zh-CN"/>
        </w:rPr>
      </w:pPr>
      <w:r>
        <w:rPr>
          <w:rFonts w:hint="eastAsia" w:ascii="宋体" w:hAnsi="宋体" w:eastAsia="宋体" w:cs="宋体"/>
          <w:b/>
          <w:bCs/>
          <w:color w:val="auto"/>
          <w:sz w:val="28"/>
          <w:szCs w:val="28"/>
          <w:lang w:val="zh-CN"/>
        </w:rPr>
        <w:t>供应商（以下简称乙方）：</w:t>
      </w:r>
    </w:p>
    <w:p w14:paraId="70262E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甲、乙双方根据</w:t>
      </w:r>
      <w:r>
        <w:rPr>
          <w:rFonts w:hint="eastAsia" w:ascii="宋体" w:hAnsi="宋体" w:eastAsia="宋体" w:cs="宋体"/>
          <w:bCs/>
          <w:color w:val="auto"/>
          <w:sz w:val="24"/>
          <w:szCs w:val="24"/>
          <w:lang w:eastAsia="zh-CN"/>
        </w:rPr>
        <w:t>2024</w:t>
      </w:r>
      <w:r>
        <w:rPr>
          <w:rFonts w:hint="eastAsia" w:ascii="宋体" w:hAnsi="宋体" w:eastAsia="宋体" w:cs="宋体"/>
          <w:bCs/>
          <w:color w:val="auto"/>
          <w:sz w:val="24"/>
          <w:szCs w:val="24"/>
        </w:rPr>
        <w:t>年</w:t>
      </w:r>
      <w:r>
        <w:rPr>
          <w:rFonts w:hint="eastAsia" w:ascii="宋体" w:hAnsi="宋体" w:eastAsia="宋体" w:cs="宋体"/>
          <w:bCs/>
          <w:color w:val="auto"/>
          <w:sz w:val="24"/>
          <w:szCs w:val="24"/>
          <w:u w:val="single"/>
          <w:lang w:val="en-US" w:eastAsia="zh-CN"/>
        </w:rPr>
        <w:t xml:space="preserve">   </w:t>
      </w:r>
      <w:r>
        <w:rPr>
          <w:rFonts w:hint="eastAsia" w:ascii="宋体" w:hAnsi="宋体" w:eastAsia="宋体" w:cs="宋体"/>
          <w:bCs/>
          <w:color w:val="auto"/>
          <w:sz w:val="24"/>
          <w:szCs w:val="24"/>
        </w:rPr>
        <w:t>月</w:t>
      </w:r>
      <w:r>
        <w:rPr>
          <w:rFonts w:hint="eastAsia" w:ascii="宋体" w:hAnsi="宋体" w:eastAsia="宋体" w:cs="宋体"/>
          <w:bCs/>
          <w:color w:val="auto"/>
          <w:sz w:val="24"/>
          <w:szCs w:val="24"/>
          <w:u w:val="single"/>
          <w:lang w:val="en-US" w:eastAsia="zh-CN"/>
        </w:rPr>
        <w:t xml:space="preserve">    </w:t>
      </w:r>
      <w:r>
        <w:rPr>
          <w:rFonts w:hint="eastAsia" w:ascii="宋体" w:hAnsi="宋体" w:eastAsia="宋体" w:cs="宋体"/>
          <w:bCs/>
          <w:color w:val="auto"/>
          <w:sz w:val="24"/>
          <w:szCs w:val="24"/>
        </w:rPr>
        <w:t>日</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项目（</w:t>
      </w:r>
      <w:r>
        <w:rPr>
          <w:rFonts w:hint="eastAsia" w:ascii="宋体" w:hAnsi="宋体" w:eastAsia="宋体" w:cs="宋体"/>
          <w:bCs/>
          <w:i/>
          <w:iCs/>
          <w:color w:val="auto"/>
          <w:sz w:val="24"/>
          <w:szCs w:val="24"/>
          <w:u w:val="single"/>
          <w:lang w:val="en-US" w:eastAsia="zh-CN"/>
        </w:rPr>
        <w:t xml:space="preserve"> </w:t>
      </w:r>
      <w:r>
        <w:rPr>
          <w:rFonts w:hint="eastAsia" w:ascii="宋体" w:hAnsi="宋体" w:eastAsia="宋体" w:cs="宋体"/>
          <w:bCs/>
          <w:color w:val="auto"/>
          <w:sz w:val="24"/>
          <w:szCs w:val="24"/>
          <w:u w:val="single"/>
          <w:lang w:eastAsia="zh-CN"/>
        </w:rPr>
        <w:t>项目编号</w:t>
      </w:r>
      <w:r>
        <w:rPr>
          <w:rFonts w:hint="eastAsia" w:ascii="宋体" w:hAnsi="宋体" w:eastAsia="宋体" w:cs="宋体"/>
          <w:bCs/>
          <w:color w:val="auto"/>
          <w:sz w:val="24"/>
          <w:szCs w:val="24"/>
          <w:u w:val="single"/>
          <w:lang w:val="en-US" w:eastAsia="zh-CN"/>
        </w:rPr>
        <w:t xml:space="preserve"> </w:t>
      </w:r>
      <w:r>
        <w:rPr>
          <w:rFonts w:hint="eastAsia" w:ascii="宋体" w:hAnsi="宋体" w:eastAsia="宋体" w:cs="宋体"/>
          <w:bCs/>
          <w:color w:val="auto"/>
          <w:sz w:val="24"/>
          <w:szCs w:val="24"/>
        </w:rPr>
        <w:t>）的谈判文件要求和</w:t>
      </w:r>
      <w:r>
        <w:rPr>
          <w:rFonts w:hint="eastAsia" w:ascii="宋体" w:hAnsi="宋体" w:eastAsia="宋体" w:cs="宋体"/>
          <w:bCs/>
          <w:color w:val="auto"/>
          <w:sz w:val="24"/>
          <w:szCs w:val="24"/>
          <w:lang w:val="en-US" w:eastAsia="zh-CN"/>
        </w:rPr>
        <w:t>青海鼎钊招标代理有限公司</w:t>
      </w:r>
      <w:r>
        <w:rPr>
          <w:rFonts w:hint="eastAsia" w:ascii="宋体" w:hAnsi="宋体" w:eastAsia="宋体" w:cs="宋体"/>
          <w:bCs/>
          <w:color w:val="auto"/>
          <w:sz w:val="24"/>
          <w:szCs w:val="24"/>
        </w:rPr>
        <w:t>出具的《成交通知书》，并经双方协商一致，达成合同总价款为</w:t>
      </w:r>
      <w:r>
        <w:rPr>
          <w:rFonts w:hint="eastAsia" w:ascii="宋体" w:hAnsi="宋体" w:eastAsia="宋体" w:cs="宋体"/>
          <w:bCs/>
          <w:color w:val="auto"/>
          <w:sz w:val="24"/>
          <w:szCs w:val="24"/>
          <w:u w:val="single"/>
          <w:lang w:val="en-US" w:eastAsia="zh-CN"/>
        </w:rPr>
        <w:t>大写：</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的</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项目采购合同：</w:t>
      </w:r>
    </w:p>
    <w:p w14:paraId="3CF33761">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Cs/>
          <w:color w:val="auto"/>
          <w:sz w:val="24"/>
          <w:szCs w:val="24"/>
          <w:lang w:val="zh-CN"/>
        </w:rPr>
      </w:pPr>
      <w:bookmarkStart w:id="536" w:name="_Toc29795_WPSOffice_Level1"/>
      <w:bookmarkStart w:id="537" w:name="_Toc6055_WPSOffice_Level1"/>
      <w:bookmarkStart w:id="538" w:name="_Toc16675_WPSOffice_Level1"/>
      <w:bookmarkStart w:id="539" w:name="_Toc96_WPSOffice_Level1"/>
      <w:bookmarkStart w:id="540" w:name="_Toc28036_WPSOffice_Level1"/>
      <w:bookmarkStart w:id="541" w:name="_Toc6866_WPSOffice_Level1"/>
      <w:r>
        <w:rPr>
          <w:rFonts w:hint="eastAsia" w:ascii="宋体" w:hAnsi="宋体" w:eastAsia="宋体" w:cs="宋体"/>
          <w:b/>
          <w:bCs w:val="0"/>
          <w:color w:val="auto"/>
          <w:sz w:val="24"/>
          <w:szCs w:val="24"/>
          <w:lang w:val="zh-CN"/>
        </w:rPr>
        <w:t>一、签订本政府采购合同的依据</w:t>
      </w:r>
      <w:bookmarkEnd w:id="536"/>
      <w:bookmarkEnd w:id="537"/>
      <w:bookmarkEnd w:id="538"/>
      <w:bookmarkEnd w:id="539"/>
      <w:bookmarkEnd w:id="540"/>
      <w:bookmarkEnd w:id="541"/>
    </w:p>
    <w:p w14:paraId="199F6AC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本政府采购合同所附下列文件是构成本政府采购合同不可分割的部分：</w:t>
      </w:r>
    </w:p>
    <w:p w14:paraId="6FB85CA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Cs/>
          <w:color w:val="auto"/>
          <w:sz w:val="24"/>
          <w:szCs w:val="24"/>
          <w:lang w:val="zh-CN"/>
        </w:rPr>
      </w:pPr>
      <w:bookmarkStart w:id="542" w:name="_Toc32479_WPSOffice_Level2"/>
      <w:bookmarkStart w:id="543" w:name="_Toc7329_WPSOffice_Level2"/>
      <w:bookmarkStart w:id="544" w:name="_Toc29065_WPSOffice_Level2"/>
      <w:r>
        <w:rPr>
          <w:rFonts w:hint="eastAsia" w:ascii="宋体" w:hAnsi="宋体" w:eastAsia="宋体" w:cs="宋体"/>
          <w:bCs/>
          <w:color w:val="auto"/>
          <w:sz w:val="24"/>
          <w:szCs w:val="24"/>
          <w:lang w:val="zh-CN"/>
        </w:rPr>
        <w:t>1.谈判文件；</w:t>
      </w:r>
      <w:bookmarkEnd w:id="542"/>
      <w:bookmarkEnd w:id="543"/>
      <w:bookmarkEnd w:id="544"/>
    </w:p>
    <w:p w14:paraId="4B1BED5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Cs/>
          <w:color w:val="auto"/>
          <w:sz w:val="24"/>
          <w:szCs w:val="24"/>
          <w:lang w:val="zh-CN"/>
        </w:rPr>
      </w:pPr>
      <w:bookmarkStart w:id="545" w:name="_Toc8989_WPSOffice_Level2"/>
      <w:bookmarkStart w:id="546" w:name="_Toc28112_WPSOffice_Level2"/>
      <w:bookmarkStart w:id="547" w:name="_Toc22776_WPSOffice_Level2"/>
      <w:r>
        <w:rPr>
          <w:rFonts w:hint="eastAsia" w:ascii="宋体" w:hAnsi="宋体" w:eastAsia="宋体" w:cs="宋体"/>
          <w:bCs/>
          <w:color w:val="auto"/>
          <w:sz w:val="24"/>
          <w:szCs w:val="24"/>
          <w:lang w:val="zh-CN"/>
        </w:rPr>
        <w:t>2.谈判文件的更正、变更公告；</w:t>
      </w:r>
      <w:bookmarkEnd w:id="545"/>
      <w:bookmarkEnd w:id="546"/>
      <w:bookmarkEnd w:id="547"/>
    </w:p>
    <w:p w14:paraId="6EDD7C1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Cs/>
          <w:color w:val="auto"/>
          <w:sz w:val="24"/>
          <w:szCs w:val="24"/>
          <w:lang w:val="zh-CN"/>
        </w:rPr>
      </w:pPr>
      <w:bookmarkStart w:id="548" w:name="_Toc29221_WPSOffice_Level2"/>
      <w:bookmarkStart w:id="549" w:name="_Toc29795_WPSOffice_Level2"/>
      <w:bookmarkStart w:id="550" w:name="_Toc28651_WPSOffice_Level2"/>
      <w:r>
        <w:rPr>
          <w:rFonts w:hint="eastAsia" w:ascii="宋体" w:hAnsi="宋体" w:eastAsia="宋体" w:cs="宋体"/>
          <w:bCs/>
          <w:color w:val="auto"/>
          <w:sz w:val="24"/>
          <w:szCs w:val="24"/>
          <w:lang w:val="zh-CN"/>
        </w:rPr>
        <w:t>3.成交供应商提交的响应文件；</w:t>
      </w:r>
      <w:bookmarkEnd w:id="548"/>
      <w:bookmarkEnd w:id="549"/>
      <w:bookmarkEnd w:id="550"/>
    </w:p>
    <w:p w14:paraId="79081A4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Cs/>
          <w:color w:val="auto"/>
          <w:sz w:val="24"/>
          <w:szCs w:val="24"/>
          <w:lang w:val="zh-CN"/>
        </w:rPr>
      </w:pPr>
      <w:bookmarkStart w:id="551" w:name="_Toc10173_WPSOffice_Level2"/>
      <w:bookmarkStart w:id="552" w:name="_Toc130_WPSOffice_Level2"/>
      <w:bookmarkStart w:id="553" w:name="_Toc13685_WPSOffice_Level2"/>
      <w:r>
        <w:rPr>
          <w:rFonts w:hint="eastAsia" w:ascii="宋体" w:hAnsi="宋体" w:eastAsia="宋体" w:cs="宋体"/>
          <w:bCs/>
          <w:color w:val="auto"/>
          <w:sz w:val="24"/>
          <w:szCs w:val="24"/>
          <w:lang w:val="zh-CN"/>
        </w:rPr>
        <w:t>4.</w:t>
      </w:r>
      <w:bookmarkEnd w:id="551"/>
      <w:bookmarkEnd w:id="552"/>
      <w:bookmarkEnd w:id="553"/>
      <w:bookmarkStart w:id="554" w:name="_Toc1858_WPSOffice_Level2"/>
      <w:bookmarkStart w:id="555" w:name="_Toc16117_WPSOffice_Level2"/>
      <w:bookmarkStart w:id="556" w:name="_Toc22537_WPSOffice_Level2"/>
      <w:r>
        <w:rPr>
          <w:rFonts w:hint="eastAsia" w:ascii="宋体" w:hAnsi="宋体" w:eastAsia="宋体" w:cs="宋体"/>
          <w:bCs/>
          <w:color w:val="auto"/>
          <w:sz w:val="24"/>
          <w:szCs w:val="24"/>
          <w:lang w:val="zh-CN"/>
        </w:rPr>
        <w:t>成交通知书</w:t>
      </w:r>
      <w:bookmarkEnd w:id="554"/>
      <w:bookmarkEnd w:id="555"/>
      <w:bookmarkEnd w:id="556"/>
      <w:r>
        <w:rPr>
          <w:rFonts w:hint="eastAsia" w:ascii="宋体" w:hAnsi="宋体" w:eastAsia="宋体" w:cs="宋体"/>
          <w:bCs/>
          <w:color w:val="auto"/>
          <w:sz w:val="24"/>
          <w:szCs w:val="24"/>
          <w:lang w:val="zh-CN"/>
        </w:rPr>
        <w:t>；</w:t>
      </w:r>
    </w:p>
    <w:p w14:paraId="272043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lang w:val="en-US" w:eastAsia="zh-CN"/>
        </w:rPr>
      </w:pPr>
      <w:r>
        <w:rPr>
          <w:rFonts w:hint="eastAsia" w:ascii="宋体" w:hAnsi="宋体" w:eastAsia="宋体" w:cs="宋体"/>
          <w:bCs/>
          <w:color w:val="auto"/>
          <w:sz w:val="24"/>
          <w:szCs w:val="24"/>
          <w:lang w:val="en-US" w:eastAsia="zh-CN"/>
        </w:rPr>
        <w:t>5.履约保证金凭证。</w:t>
      </w:r>
    </w:p>
    <w:p w14:paraId="6F1DA1CE">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Cs/>
          <w:color w:val="auto"/>
          <w:sz w:val="24"/>
          <w:szCs w:val="24"/>
          <w:lang w:val="zh-CN"/>
        </w:rPr>
      </w:pPr>
      <w:bookmarkStart w:id="557" w:name="_Toc10173_WPSOffice_Level1"/>
      <w:bookmarkStart w:id="558" w:name="_Toc7426_WPSOffice_Level1"/>
      <w:bookmarkStart w:id="559" w:name="_Toc10843_WPSOffice_Level1"/>
      <w:bookmarkStart w:id="560" w:name="_Toc12658_WPSOffice_Level1"/>
      <w:bookmarkStart w:id="561" w:name="_Toc29813_WPSOffice_Level1"/>
      <w:bookmarkStart w:id="562" w:name="_Toc4921_WPSOffice_Level1"/>
      <w:r>
        <w:rPr>
          <w:rFonts w:hint="eastAsia" w:ascii="宋体" w:hAnsi="宋体" w:eastAsia="宋体" w:cs="宋体"/>
          <w:b/>
          <w:bCs w:val="0"/>
          <w:color w:val="auto"/>
          <w:sz w:val="24"/>
          <w:szCs w:val="24"/>
          <w:lang w:val="zh-CN"/>
        </w:rPr>
        <w:t xml:space="preserve">二、合同标的及金额 </w:t>
      </w:r>
      <w:r>
        <w:rPr>
          <w:rFonts w:hint="eastAsia" w:ascii="宋体" w:hAnsi="宋体" w:eastAsia="宋体" w:cs="宋体"/>
          <w:bCs/>
          <w:color w:val="auto"/>
          <w:sz w:val="24"/>
          <w:szCs w:val="24"/>
          <w:lang w:val="zh-CN"/>
        </w:rPr>
        <w:t xml:space="preserve">                                      单位：元</w:t>
      </w:r>
      <w:bookmarkEnd w:id="557"/>
      <w:bookmarkEnd w:id="558"/>
      <w:bookmarkEnd w:id="559"/>
      <w:bookmarkEnd w:id="560"/>
      <w:bookmarkEnd w:id="561"/>
      <w:bookmarkEnd w:id="562"/>
    </w:p>
    <w:tbl>
      <w:tblPr>
        <w:tblStyle w:val="18"/>
        <w:tblW w:w="101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41"/>
        <w:gridCol w:w="1946"/>
        <w:gridCol w:w="1436"/>
        <w:gridCol w:w="1279"/>
        <w:gridCol w:w="1151"/>
        <w:gridCol w:w="1151"/>
        <w:gridCol w:w="1149"/>
        <w:gridCol w:w="1343"/>
      </w:tblGrid>
      <w:tr w14:paraId="46E9F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14:paraId="17BB11B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en-US" w:eastAsia="zh-CN"/>
              </w:rPr>
              <w:t>序</w:t>
            </w:r>
            <w:r>
              <w:rPr>
                <w:rFonts w:hint="eastAsia" w:ascii="宋体" w:hAnsi="宋体" w:eastAsia="宋体" w:cs="宋体"/>
                <w:bCs/>
                <w:color w:val="auto"/>
                <w:sz w:val="24"/>
                <w:szCs w:val="24"/>
                <w:lang w:val="zh-CN"/>
              </w:rPr>
              <w:t>号</w:t>
            </w:r>
          </w:p>
        </w:tc>
        <w:tc>
          <w:tcPr>
            <w:tcW w:w="1946" w:type="dxa"/>
            <w:tcBorders>
              <w:top w:val="single" w:color="auto" w:sz="4" w:space="0"/>
              <w:left w:val="single" w:color="auto" w:sz="4" w:space="0"/>
              <w:bottom w:val="single" w:color="auto" w:sz="4" w:space="0"/>
              <w:right w:val="single" w:color="auto" w:sz="4" w:space="0"/>
            </w:tcBorders>
            <w:vAlign w:val="center"/>
          </w:tcPr>
          <w:p w14:paraId="4B5E880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标的名称</w:t>
            </w:r>
          </w:p>
        </w:tc>
        <w:tc>
          <w:tcPr>
            <w:tcW w:w="1436" w:type="dxa"/>
            <w:tcBorders>
              <w:top w:val="single" w:color="auto" w:sz="4" w:space="0"/>
              <w:left w:val="single" w:color="auto" w:sz="4" w:space="0"/>
              <w:bottom w:val="single" w:color="auto" w:sz="4" w:space="0"/>
              <w:right w:val="single" w:color="auto" w:sz="4" w:space="0"/>
            </w:tcBorders>
            <w:vAlign w:val="center"/>
          </w:tcPr>
          <w:p w14:paraId="6F66E4D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规格型号</w:t>
            </w:r>
          </w:p>
        </w:tc>
        <w:tc>
          <w:tcPr>
            <w:tcW w:w="1279" w:type="dxa"/>
            <w:tcBorders>
              <w:top w:val="single" w:color="auto" w:sz="4" w:space="0"/>
              <w:left w:val="single" w:color="auto" w:sz="4" w:space="0"/>
              <w:bottom w:val="single" w:color="auto" w:sz="4" w:space="0"/>
              <w:right w:val="single" w:color="auto" w:sz="4" w:space="0"/>
            </w:tcBorders>
            <w:vAlign w:val="center"/>
          </w:tcPr>
          <w:p w14:paraId="6557262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数量</w:t>
            </w:r>
          </w:p>
        </w:tc>
        <w:tc>
          <w:tcPr>
            <w:tcW w:w="1151" w:type="dxa"/>
            <w:tcBorders>
              <w:top w:val="single" w:color="auto" w:sz="4" w:space="0"/>
              <w:left w:val="single" w:color="auto" w:sz="4" w:space="0"/>
              <w:bottom w:val="single" w:color="auto" w:sz="4" w:space="0"/>
              <w:right w:val="single" w:color="auto" w:sz="4" w:space="0"/>
            </w:tcBorders>
            <w:vAlign w:val="center"/>
          </w:tcPr>
          <w:p w14:paraId="61277DA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单位</w:t>
            </w:r>
          </w:p>
        </w:tc>
        <w:tc>
          <w:tcPr>
            <w:tcW w:w="1151" w:type="dxa"/>
            <w:tcBorders>
              <w:top w:val="single" w:color="auto" w:sz="4" w:space="0"/>
              <w:left w:val="single" w:color="auto" w:sz="4" w:space="0"/>
              <w:bottom w:val="single" w:color="auto" w:sz="4" w:space="0"/>
              <w:right w:val="single" w:color="auto" w:sz="4" w:space="0"/>
            </w:tcBorders>
            <w:vAlign w:val="center"/>
          </w:tcPr>
          <w:p w14:paraId="7A41691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单价</w:t>
            </w:r>
          </w:p>
        </w:tc>
        <w:tc>
          <w:tcPr>
            <w:tcW w:w="1149" w:type="dxa"/>
            <w:tcBorders>
              <w:top w:val="single" w:color="auto" w:sz="4" w:space="0"/>
              <w:left w:val="single" w:color="auto" w:sz="4" w:space="0"/>
              <w:bottom w:val="single" w:color="auto" w:sz="4" w:space="0"/>
              <w:right w:val="single" w:color="auto" w:sz="4" w:space="0"/>
            </w:tcBorders>
            <w:vAlign w:val="center"/>
          </w:tcPr>
          <w:p w14:paraId="4C3FA55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bCs/>
                <w:color w:val="auto"/>
                <w:sz w:val="24"/>
                <w:szCs w:val="24"/>
                <w:lang w:val="zh-CN" w:eastAsia="zh-CN"/>
              </w:rPr>
            </w:pPr>
            <w:r>
              <w:rPr>
                <w:rFonts w:hint="eastAsia" w:ascii="宋体" w:hAnsi="宋体" w:eastAsia="宋体" w:cs="宋体"/>
                <w:bCs/>
                <w:color w:val="auto"/>
                <w:sz w:val="24"/>
                <w:szCs w:val="24"/>
                <w:lang w:val="en-US" w:eastAsia="zh-CN"/>
              </w:rPr>
              <w:t>合计</w:t>
            </w:r>
          </w:p>
        </w:tc>
        <w:tc>
          <w:tcPr>
            <w:tcW w:w="1343" w:type="dxa"/>
            <w:tcBorders>
              <w:top w:val="single" w:color="auto" w:sz="4" w:space="0"/>
              <w:left w:val="single" w:color="auto" w:sz="4" w:space="0"/>
              <w:bottom w:val="single" w:color="auto" w:sz="4" w:space="0"/>
              <w:right w:val="single" w:color="auto" w:sz="4" w:space="0"/>
            </w:tcBorders>
            <w:vAlign w:val="center"/>
          </w:tcPr>
          <w:p w14:paraId="1C1F77D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备注</w:t>
            </w:r>
          </w:p>
        </w:tc>
      </w:tr>
      <w:tr w14:paraId="024AD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14:paraId="51EA098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bCs/>
                <w:color w:val="auto"/>
                <w:sz w:val="24"/>
                <w:szCs w:val="24"/>
                <w:lang w:val="zh-CN"/>
              </w:rPr>
            </w:pPr>
          </w:p>
        </w:tc>
        <w:tc>
          <w:tcPr>
            <w:tcW w:w="1946" w:type="dxa"/>
            <w:tcBorders>
              <w:top w:val="single" w:color="auto" w:sz="4" w:space="0"/>
              <w:left w:val="single" w:color="auto" w:sz="4" w:space="0"/>
              <w:bottom w:val="single" w:color="auto" w:sz="4" w:space="0"/>
              <w:right w:val="single" w:color="auto" w:sz="4" w:space="0"/>
            </w:tcBorders>
            <w:vAlign w:val="center"/>
          </w:tcPr>
          <w:p w14:paraId="46F8684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bCs/>
                <w:color w:val="auto"/>
                <w:sz w:val="24"/>
                <w:szCs w:val="24"/>
                <w:lang w:val="zh-CN"/>
              </w:rPr>
            </w:pPr>
          </w:p>
        </w:tc>
        <w:tc>
          <w:tcPr>
            <w:tcW w:w="1436" w:type="dxa"/>
            <w:tcBorders>
              <w:top w:val="single" w:color="auto" w:sz="4" w:space="0"/>
              <w:left w:val="single" w:color="auto" w:sz="4" w:space="0"/>
              <w:bottom w:val="single" w:color="auto" w:sz="4" w:space="0"/>
              <w:right w:val="single" w:color="auto" w:sz="4" w:space="0"/>
            </w:tcBorders>
            <w:vAlign w:val="center"/>
          </w:tcPr>
          <w:p w14:paraId="65A0FC9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bCs/>
                <w:color w:val="auto"/>
                <w:sz w:val="24"/>
                <w:szCs w:val="24"/>
                <w:lang w:val="zh-CN"/>
              </w:rPr>
            </w:pPr>
          </w:p>
        </w:tc>
        <w:tc>
          <w:tcPr>
            <w:tcW w:w="1279" w:type="dxa"/>
            <w:tcBorders>
              <w:top w:val="single" w:color="auto" w:sz="4" w:space="0"/>
              <w:left w:val="single" w:color="auto" w:sz="4" w:space="0"/>
              <w:bottom w:val="single" w:color="auto" w:sz="4" w:space="0"/>
              <w:right w:val="single" w:color="auto" w:sz="4" w:space="0"/>
            </w:tcBorders>
            <w:vAlign w:val="center"/>
          </w:tcPr>
          <w:p w14:paraId="7E7214A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bCs/>
                <w:color w:val="auto"/>
                <w:sz w:val="24"/>
                <w:szCs w:val="24"/>
                <w:lang w:val="zh-CN"/>
              </w:rPr>
            </w:pPr>
          </w:p>
        </w:tc>
        <w:tc>
          <w:tcPr>
            <w:tcW w:w="1151" w:type="dxa"/>
            <w:tcBorders>
              <w:top w:val="single" w:color="auto" w:sz="4" w:space="0"/>
              <w:left w:val="single" w:color="auto" w:sz="4" w:space="0"/>
              <w:bottom w:val="single" w:color="auto" w:sz="4" w:space="0"/>
              <w:right w:val="single" w:color="auto" w:sz="4" w:space="0"/>
            </w:tcBorders>
            <w:vAlign w:val="center"/>
          </w:tcPr>
          <w:p w14:paraId="36DB16E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bCs/>
                <w:color w:val="auto"/>
                <w:sz w:val="24"/>
                <w:szCs w:val="24"/>
                <w:lang w:val="zh-CN"/>
              </w:rPr>
            </w:pPr>
          </w:p>
        </w:tc>
        <w:tc>
          <w:tcPr>
            <w:tcW w:w="1151" w:type="dxa"/>
            <w:tcBorders>
              <w:top w:val="single" w:color="auto" w:sz="4" w:space="0"/>
              <w:left w:val="single" w:color="auto" w:sz="4" w:space="0"/>
              <w:bottom w:val="single" w:color="auto" w:sz="4" w:space="0"/>
              <w:right w:val="single" w:color="auto" w:sz="4" w:space="0"/>
            </w:tcBorders>
            <w:vAlign w:val="center"/>
          </w:tcPr>
          <w:p w14:paraId="67FB026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bCs/>
                <w:color w:val="auto"/>
                <w:sz w:val="24"/>
                <w:szCs w:val="24"/>
                <w:lang w:val="zh-CN"/>
              </w:rPr>
            </w:pPr>
          </w:p>
        </w:tc>
        <w:tc>
          <w:tcPr>
            <w:tcW w:w="1149" w:type="dxa"/>
            <w:tcBorders>
              <w:top w:val="single" w:color="auto" w:sz="4" w:space="0"/>
              <w:left w:val="single" w:color="auto" w:sz="4" w:space="0"/>
              <w:bottom w:val="single" w:color="auto" w:sz="4" w:space="0"/>
              <w:right w:val="single" w:color="auto" w:sz="4" w:space="0"/>
            </w:tcBorders>
            <w:vAlign w:val="center"/>
          </w:tcPr>
          <w:p w14:paraId="77D4FFC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bCs/>
                <w:color w:val="auto"/>
                <w:sz w:val="24"/>
                <w:szCs w:val="24"/>
                <w:lang w:val="zh-CN"/>
              </w:rPr>
            </w:pPr>
          </w:p>
        </w:tc>
        <w:tc>
          <w:tcPr>
            <w:tcW w:w="1343" w:type="dxa"/>
            <w:tcBorders>
              <w:top w:val="single" w:color="auto" w:sz="4" w:space="0"/>
              <w:left w:val="single" w:color="auto" w:sz="4" w:space="0"/>
              <w:bottom w:val="single" w:color="auto" w:sz="4" w:space="0"/>
              <w:right w:val="single" w:color="auto" w:sz="4" w:space="0"/>
            </w:tcBorders>
            <w:vAlign w:val="center"/>
          </w:tcPr>
          <w:p w14:paraId="4A59285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bCs/>
                <w:color w:val="auto"/>
                <w:sz w:val="24"/>
                <w:szCs w:val="24"/>
                <w:lang w:val="zh-CN"/>
              </w:rPr>
            </w:pPr>
          </w:p>
        </w:tc>
      </w:tr>
      <w:tr w14:paraId="32A54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14:paraId="0D73102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bCs/>
                <w:color w:val="auto"/>
                <w:sz w:val="24"/>
                <w:szCs w:val="24"/>
                <w:lang w:val="zh-CN"/>
              </w:rPr>
            </w:pPr>
          </w:p>
        </w:tc>
        <w:tc>
          <w:tcPr>
            <w:tcW w:w="1946" w:type="dxa"/>
            <w:tcBorders>
              <w:top w:val="single" w:color="auto" w:sz="4" w:space="0"/>
              <w:left w:val="single" w:color="auto" w:sz="4" w:space="0"/>
              <w:bottom w:val="single" w:color="auto" w:sz="4" w:space="0"/>
              <w:right w:val="single" w:color="auto" w:sz="4" w:space="0"/>
            </w:tcBorders>
            <w:vAlign w:val="center"/>
          </w:tcPr>
          <w:p w14:paraId="715E655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bCs/>
                <w:color w:val="auto"/>
                <w:sz w:val="24"/>
                <w:szCs w:val="24"/>
                <w:lang w:val="zh-CN"/>
              </w:rPr>
            </w:pPr>
          </w:p>
        </w:tc>
        <w:tc>
          <w:tcPr>
            <w:tcW w:w="1436" w:type="dxa"/>
            <w:tcBorders>
              <w:top w:val="single" w:color="auto" w:sz="4" w:space="0"/>
              <w:left w:val="single" w:color="auto" w:sz="4" w:space="0"/>
              <w:bottom w:val="single" w:color="auto" w:sz="4" w:space="0"/>
              <w:right w:val="single" w:color="auto" w:sz="4" w:space="0"/>
            </w:tcBorders>
            <w:vAlign w:val="center"/>
          </w:tcPr>
          <w:p w14:paraId="74E0F05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bCs/>
                <w:color w:val="auto"/>
                <w:sz w:val="24"/>
                <w:szCs w:val="24"/>
                <w:lang w:val="zh-CN"/>
              </w:rPr>
            </w:pPr>
          </w:p>
        </w:tc>
        <w:tc>
          <w:tcPr>
            <w:tcW w:w="1279" w:type="dxa"/>
            <w:tcBorders>
              <w:top w:val="single" w:color="auto" w:sz="4" w:space="0"/>
              <w:left w:val="single" w:color="auto" w:sz="4" w:space="0"/>
              <w:bottom w:val="single" w:color="auto" w:sz="4" w:space="0"/>
              <w:right w:val="single" w:color="auto" w:sz="4" w:space="0"/>
            </w:tcBorders>
            <w:vAlign w:val="center"/>
          </w:tcPr>
          <w:p w14:paraId="2385D93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bCs/>
                <w:color w:val="auto"/>
                <w:sz w:val="24"/>
                <w:szCs w:val="24"/>
                <w:lang w:val="zh-CN"/>
              </w:rPr>
            </w:pPr>
          </w:p>
        </w:tc>
        <w:tc>
          <w:tcPr>
            <w:tcW w:w="1151" w:type="dxa"/>
            <w:tcBorders>
              <w:top w:val="single" w:color="auto" w:sz="4" w:space="0"/>
              <w:left w:val="single" w:color="auto" w:sz="4" w:space="0"/>
              <w:bottom w:val="single" w:color="auto" w:sz="4" w:space="0"/>
              <w:right w:val="single" w:color="auto" w:sz="4" w:space="0"/>
            </w:tcBorders>
            <w:vAlign w:val="center"/>
          </w:tcPr>
          <w:p w14:paraId="6D061C8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bCs/>
                <w:color w:val="auto"/>
                <w:sz w:val="24"/>
                <w:szCs w:val="24"/>
                <w:lang w:val="zh-CN"/>
              </w:rPr>
            </w:pPr>
          </w:p>
        </w:tc>
        <w:tc>
          <w:tcPr>
            <w:tcW w:w="1151" w:type="dxa"/>
            <w:tcBorders>
              <w:top w:val="single" w:color="auto" w:sz="4" w:space="0"/>
              <w:left w:val="single" w:color="auto" w:sz="4" w:space="0"/>
              <w:bottom w:val="single" w:color="auto" w:sz="4" w:space="0"/>
              <w:right w:val="single" w:color="auto" w:sz="4" w:space="0"/>
            </w:tcBorders>
            <w:vAlign w:val="center"/>
          </w:tcPr>
          <w:p w14:paraId="5B911B2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bCs/>
                <w:color w:val="auto"/>
                <w:sz w:val="24"/>
                <w:szCs w:val="24"/>
                <w:lang w:val="zh-CN"/>
              </w:rPr>
            </w:pPr>
          </w:p>
        </w:tc>
        <w:tc>
          <w:tcPr>
            <w:tcW w:w="1149" w:type="dxa"/>
            <w:tcBorders>
              <w:top w:val="single" w:color="auto" w:sz="4" w:space="0"/>
              <w:left w:val="single" w:color="auto" w:sz="4" w:space="0"/>
              <w:bottom w:val="single" w:color="auto" w:sz="4" w:space="0"/>
              <w:right w:val="single" w:color="auto" w:sz="4" w:space="0"/>
            </w:tcBorders>
            <w:vAlign w:val="center"/>
          </w:tcPr>
          <w:p w14:paraId="28D2BC2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bCs/>
                <w:color w:val="auto"/>
                <w:sz w:val="24"/>
                <w:szCs w:val="24"/>
                <w:lang w:val="zh-CN"/>
              </w:rPr>
            </w:pPr>
          </w:p>
        </w:tc>
        <w:tc>
          <w:tcPr>
            <w:tcW w:w="1343" w:type="dxa"/>
            <w:tcBorders>
              <w:top w:val="single" w:color="auto" w:sz="4" w:space="0"/>
              <w:left w:val="single" w:color="auto" w:sz="4" w:space="0"/>
              <w:bottom w:val="single" w:color="auto" w:sz="4" w:space="0"/>
              <w:right w:val="single" w:color="auto" w:sz="4" w:space="0"/>
            </w:tcBorders>
            <w:vAlign w:val="center"/>
          </w:tcPr>
          <w:p w14:paraId="1D437C8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bCs/>
                <w:color w:val="auto"/>
                <w:sz w:val="24"/>
                <w:szCs w:val="24"/>
                <w:lang w:val="zh-CN"/>
              </w:rPr>
            </w:pPr>
          </w:p>
        </w:tc>
      </w:tr>
    </w:tbl>
    <w:p w14:paraId="63CB3F1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根据上述政府采购合同文件要求，本政府采购合同的总金额为人民币</w:t>
      </w:r>
      <w:r>
        <w:rPr>
          <w:rFonts w:hint="eastAsia" w:ascii="宋体" w:hAnsi="宋体" w:eastAsia="宋体" w:cs="宋体"/>
          <w:bCs/>
          <w:color w:val="auto"/>
          <w:sz w:val="24"/>
          <w:szCs w:val="24"/>
          <w:u w:val="single"/>
          <w:lang w:val="en-US" w:eastAsia="zh-CN"/>
        </w:rPr>
        <w:t xml:space="preserve">  </w:t>
      </w:r>
      <w:r>
        <w:rPr>
          <w:rFonts w:hint="eastAsia" w:ascii="宋体" w:hAnsi="宋体" w:eastAsia="宋体" w:cs="宋体"/>
          <w:bCs/>
          <w:color w:val="auto"/>
          <w:sz w:val="24"/>
          <w:szCs w:val="24"/>
          <w:lang w:val="zh-CN"/>
        </w:rPr>
        <w:t>（大写）</w:t>
      </w:r>
      <w:r>
        <w:rPr>
          <w:rFonts w:hint="eastAsia" w:ascii="宋体" w:hAnsi="宋体" w:eastAsia="宋体" w:cs="宋体"/>
          <w:bCs/>
          <w:color w:val="auto"/>
          <w:sz w:val="24"/>
          <w:szCs w:val="24"/>
          <w:u w:val="single"/>
          <w:lang w:val="en-US" w:eastAsia="zh-CN"/>
        </w:rPr>
        <w:t xml:space="preserve"> </w:t>
      </w:r>
      <w:r>
        <w:rPr>
          <w:rFonts w:hint="eastAsia" w:ascii="宋体" w:hAnsi="宋体" w:eastAsia="宋体" w:cs="宋体"/>
          <w:bCs/>
          <w:color w:val="auto"/>
          <w:sz w:val="24"/>
          <w:szCs w:val="24"/>
          <w:u w:val="single"/>
          <w:lang w:val="zh-CN"/>
        </w:rPr>
        <w:t xml:space="preserve">  </w:t>
      </w:r>
      <w:r>
        <w:rPr>
          <w:rFonts w:hint="eastAsia" w:ascii="宋体" w:hAnsi="宋体" w:eastAsia="宋体" w:cs="宋体"/>
          <w:bCs/>
          <w:color w:val="auto"/>
          <w:sz w:val="24"/>
          <w:szCs w:val="24"/>
          <w:lang w:val="zh-CN"/>
        </w:rPr>
        <w:t>元。</w:t>
      </w:r>
    </w:p>
    <w:p w14:paraId="270864A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lang w:val="zh-CN"/>
        </w:rPr>
        <w:t>本合同以人民币进行结算，合同总价包括：</w:t>
      </w:r>
      <w:r>
        <w:rPr>
          <w:rFonts w:hint="eastAsia" w:ascii="宋体" w:hAnsi="宋体" w:eastAsia="宋体" w:cs="宋体"/>
          <w:color w:val="auto"/>
          <w:sz w:val="24"/>
          <w:szCs w:val="24"/>
          <w:lang w:val="zh-CN"/>
        </w:rPr>
        <w:t>车辆费、运输费、保险费、检验费、手续费、售后服务费、招标代理费、税金及其他不可预见费等全部费用。</w:t>
      </w:r>
    </w:p>
    <w:p w14:paraId="3B6FEB71">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val="0"/>
          <w:color w:val="auto"/>
          <w:sz w:val="24"/>
          <w:szCs w:val="24"/>
        </w:rPr>
      </w:pPr>
      <w:bookmarkStart w:id="563" w:name="_Toc28888_WPSOffice_Level1"/>
      <w:bookmarkStart w:id="564" w:name="_Toc6168_WPSOffice_Level1"/>
      <w:bookmarkStart w:id="565" w:name="_Toc23899_WPSOffice_Level1"/>
      <w:bookmarkStart w:id="566" w:name="_Toc20423_WPSOffice_Level1"/>
      <w:bookmarkStart w:id="567" w:name="_Toc7098_WPSOffice_Level1"/>
      <w:bookmarkStart w:id="568" w:name="_Toc22537_WPSOffice_Level1"/>
      <w:r>
        <w:rPr>
          <w:rFonts w:hint="eastAsia" w:ascii="宋体" w:hAnsi="宋体" w:eastAsia="宋体" w:cs="宋体"/>
          <w:b/>
          <w:bCs w:val="0"/>
          <w:color w:val="auto"/>
          <w:sz w:val="24"/>
          <w:szCs w:val="24"/>
          <w:lang w:val="zh-CN"/>
        </w:rPr>
        <w:t>三、</w:t>
      </w:r>
      <w:bookmarkEnd w:id="563"/>
      <w:bookmarkEnd w:id="564"/>
      <w:bookmarkEnd w:id="565"/>
      <w:bookmarkEnd w:id="566"/>
      <w:bookmarkEnd w:id="567"/>
      <w:bookmarkEnd w:id="568"/>
      <w:r>
        <w:rPr>
          <w:rFonts w:hint="eastAsia" w:ascii="宋体" w:hAnsi="宋体" w:eastAsia="宋体" w:cs="宋体"/>
          <w:b/>
          <w:bCs w:val="0"/>
          <w:color w:val="auto"/>
          <w:sz w:val="24"/>
          <w:szCs w:val="24"/>
          <w:lang w:val="zh-CN"/>
        </w:rPr>
        <w:t>交货时间、地点和要求</w:t>
      </w:r>
    </w:p>
    <w:p w14:paraId="0B92D6F2">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1.交货时间</w:t>
      </w:r>
      <w:r>
        <w:rPr>
          <w:rFonts w:hint="eastAsia" w:ascii="宋体" w:hAnsi="宋体" w:eastAsia="宋体" w:cs="宋体"/>
          <w:color w:val="auto"/>
          <w:sz w:val="24"/>
          <w:szCs w:val="24"/>
          <w:lang w:val="zh-CN"/>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交货</w:t>
      </w:r>
      <w:r>
        <w:rPr>
          <w:rFonts w:hint="eastAsia" w:ascii="宋体" w:hAnsi="宋体" w:eastAsia="宋体" w:cs="宋体"/>
          <w:color w:val="auto"/>
          <w:sz w:val="24"/>
          <w:szCs w:val="24"/>
          <w:lang w:val="zh-CN"/>
        </w:rPr>
        <w:t>地点：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lang w:val="zh-CN"/>
        </w:rPr>
        <w:t>。</w:t>
      </w:r>
    </w:p>
    <w:p w14:paraId="1F0AE5F3">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乙方提供不符合磋商文件、响应文件和本合同规定的产品，甲方有权拒绝接受。</w:t>
      </w:r>
    </w:p>
    <w:p w14:paraId="4A22153A">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乙方应将提供产品的装箱清单、用户手册、原厂保修卡、随机资料、工具和备品、备件等交付给甲方，如有缺失应及时补齐，否则视为逾期交货。</w:t>
      </w:r>
    </w:p>
    <w:p w14:paraId="66829066">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val="zh-CN"/>
        </w:rPr>
        <w:t>甲方应当在到货后</w:t>
      </w:r>
      <w:r>
        <w:rPr>
          <w:rFonts w:hint="eastAsia" w:ascii="宋体" w:hAnsi="宋体" w:eastAsia="宋体" w:cs="宋体"/>
          <w:color w:val="auto"/>
          <w:sz w:val="24"/>
          <w:szCs w:val="24"/>
          <w:u w:val="single"/>
        </w:rPr>
        <w:t>7</w:t>
      </w:r>
      <w:r>
        <w:rPr>
          <w:rFonts w:hint="eastAsia" w:ascii="宋体" w:hAnsi="宋体" w:eastAsia="宋体" w:cs="宋体"/>
          <w:color w:val="auto"/>
          <w:sz w:val="24"/>
          <w:szCs w:val="24"/>
          <w:lang w:val="zh-CN"/>
        </w:rPr>
        <w:t>个工作日内进行验收，逾期不验收的，乙方可视为验收合格。验收合格后，由甲乙双方签署产品验收单并加盖采购人公章，甲乙双方各执一份。</w:t>
      </w:r>
    </w:p>
    <w:p w14:paraId="43286B2E">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甲方在验收过程中发现乙方有违约问题，可按磋商文件、响应文件的规定要求乙方及时予以解决。</w:t>
      </w:r>
    </w:p>
    <w:p w14:paraId="27DC418C">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val="zh-CN"/>
        </w:rPr>
        <w:t>乙方向甲方提供产品相关完税销售发票。</w:t>
      </w:r>
    </w:p>
    <w:p w14:paraId="6E640FC3">
      <w:pPr>
        <w:autoSpaceDE w:val="0"/>
        <w:autoSpaceDN w:val="0"/>
        <w:spacing w:line="360" w:lineRule="auto"/>
        <w:ind w:firstLine="0" w:firstLineChars="0"/>
        <w:rPr>
          <w:rFonts w:hint="eastAsia" w:ascii="宋体" w:hAnsi="宋体" w:eastAsia="宋体" w:cs="宋体"/>
          <w:b/>
          <w:bCs/>
          <w:color w:val="auto"/>
          <w:sz w:val="24"/>
          <w:szCs w:val="24"/>
        </w:rPr>
      </w:pPr>
      <w:r>
        <w:rPr>
          <w:rFonts w:hint="eastAsia" w:ascii="宋体" w:hAnsi="宋体" w:eastAsia="宋体" w:cs="宋体"/>
          <w:b/>
          <w:bCs/>
          <w:color w:val="auto"/>
          <w:sz w:val="24"/>
          <w:szCs w:val="24"/>
          <w:lang w:val="zh-CN"/>
        </w:rPr>
        <w:t>四、付款方式</w:t>
      </w:r>
    </w:p>
    <w:p w14:paraId="383E2527">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合同签订前，乙方向甲方交纳合同金额的</w:t>
      </w:r>
      <w:r>
        <w:rPr>
          <w:rFonts w:hint="eastAsia" w:ascii="宋体" w:hAnsi="宋体" w:eastAsia="宋体" w:cs="宋体"/>
          <w:b/>
          <w:bCs/>
          <w:color w:val="auto"/>
          <w:sz w:val="24"/>
          <w:szCs w:val="24"/>
          <w:lang w:val="en-US" w:eastAsia="zh-CN"/>
        </w:rPr>
        <w:t>5</w:t>
      </w:r>
      <w:r>
        <w:rPr>
          <w:rFonts w:hint="eastAsia" w:ascii="宋体" w:hAnsi="宋体" w:eastAsia="宋体" w:cs="宋体"/>
          <w:b/>
          <w:bCs/>
          <w:color w:val="auto"/>
          <w:sz w:val="24"/>
          <w:szCs w:val="24"/>
        </w:rPr>
        <w:t>%作为履约保证金，即人民币（大写）</w:t>
      </w:r>
      <w:r>
        <w:rPr>
          <w:rFonts w:hint="eastAsia" w:ascii="宋体" w:hAnsi="宋体" w:eastAsia="宋体" w:cs="宋体"/>
          <w:b/>
          <w:bCs/>
          <w:color w:val="auto"/>
          <w:sz w:val="24"/>
          <w:szCs w:val="24"/>
          <w:u w:val="single"/>
        </w:rPr>
        <w:t xml:space="preserve">   </w:t>
      </w:r>
      <w:r>
        <w:rPr>
          <w:rFonts w:hint="eastAsia" w:ascii="宋体" w:hAnsi="宋体" w:eastAsia="宋体" w:cs="宋体"/>
          <w:b/>
          <w:bCs/>
          <w:color w:val="auto"/>
          <w:sz w:val="24"/>
          <w:szCs w:val="24"/>
        </w:rPr>
        <w:t>元；项目验收合格后转为质量保证金，待免费质保期</w:t>
      </w:r>
      <w:r>
        <w:rPr>
          <w:rFonts w:hint="eastAsia" w:ascii="宋体" w:hAnsi="宋体" w:eastAsia="宋体" w:cs="宋体"/>
          <w:b/>
          <w:bCs/>
          <w:color w:val="auto"/>
          <w:sz w:val="24"/>
          <w:szCs w:val="24"/>
          <w:u w:val="single"/>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b/>
          <w:bCs/>
          <w:color w:val="auto"/>
          <w:sz w:val="24"/>
          <w:szCs w:val="24"/>
        </w:rPr>
        <w:t>满且产品无质量问题后，由乙方提出书面申请，甲方以转账方式予以无息退还。</w:t>
      </w:r>
    </w:p>
    <w:p w14:paraId="346E1864">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合同签订后，甲方向乙方支付合同总价款的30%，</w:t>
      </w:r>
      <w:r>
        <w:rPr>
          <w:rFonts w:hint="eastAsia" w:ascii="宋体" w:hAnsi="宋体" w:eastAsia="宋体" w:cs="宋体"/>
          <w:b/>
          <w:bCs/>
          <w:color w:val="auto"/>
          <w:sz w:val="24"/>
          <w:szCs w:val="24"/>
        </w:rPr>
        <w:t>即人民币（大写）</w:t>
      </w:r>
      <w:r>
        <w:rPr>
          <w:rFonts w:hint="eastAsia" w:ascii="宋体" w:hAnsi="宋体" w:eastAsia="宋体" w:cs="宋体"/>
          <w:b/>
          <w:bCs/>
          <w:color w:val="auto"/>
          <w:sz w:val="24"/>
          <w:szCs w:val="24"/>
          <w:u w:val="single"/>
        </w:rPr>
        <w:t xml:space="preserve">      </w:t>
      </w:r>
      <w:r>
        <w:rPr>
          <w:rFonts w:hint="eastAsia" w:ascii="宋体" w:hAnsi="宋体" w:eastAsia="宋体" w:cs="宋体"/>
          <w:b/>
          <w:bCs/>
          <w:color w:val="auto"/>
          <w:sz w:val="24"/>
          <w:szCs w:val="24"/>
        </w:rPr>
        <w:t>元</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乙方所交付的产品由甲方验收，验收合格后由甲方按合同金额向乙方支付合同总价款的</w:t>
      </w:r>
      <w:r>
        <w:rPr>
          <w:rFonts w:hint="eastAsia" w:ascii="宋体" w:hAnsi="宋体" w:eastAsia="宋体" w:cs="宋体"/>
          <w:b/>
          <w:bCs/>
          <w:color w:val="auto"/>
          <w:sz w:val="24"/>
          <w:szCs w:val="24"/>
          <w:lang w:val="en-US" w:eastAsia="zh-CN"/>
        </w:rPr>
        <w:t>70</w:t>
      </w:r>
      <w:r>
        <w:rPr>
          <w:rFonts w:hint="eastAsia" w:ascii="宋体" w:hAnsi="宋体" w:eastAsia="宋体" w:cs="宋体"/>
          <w:b/>
          <w:bCs/>
          <w:color w:val="auto"/>
          <w:sz w:val="24"/>
          <w:szCs w:val="24"/>
        </w:rPr>
        <w:t>%，即人民币（大写）</w:t>
      </w:r>
      <w:r>
        <w:rPr>
          <w:rFonts w:hint="eastAsia" w:ascii="宋体" w:hAnsi="宋体" w:eastAsia="宋体" w:cs="宋体"/>
          <w:b/>
          <w:bCs/>
          <w:color w:val="auto"/>
          <w:sz w:val="24"/>
          <w:szCs w:val="24"/>
          <w:u w:val="single"/>
        </w:rPr>
        <w:t xml:space="preserve">      </w:t>
      </w:r>
      <w:r>
        <w:rPr>
          <w:rFonts w:hint="eastAsia" w:ascii="宋体" w:hAnsi="宋体" w:eastAsia="宋体" w:cs="宋体"/>
          <w:b/>
          <w:bCs/>
          <w:color w:val="auto"/>
          <w:sz w:val="24"/>
          <w:szCs w:val="24"/>
        </w:rPr>
        <w:t>元。</w:t>
      </w:r>
    </w:p>
    <w:p w14:paraId="16410E23">
      <w:pPr>
        <w:autoSpaceDE w:val="0"/>
        <w:autoSpaceDN w:val="0"/>
        <w:spacing w:line="360" w:lineRule="auto"/>
        <w:ind w:firstLine="0" w:firstLineChars="0"/>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eastAsia="zh-CN"/>
        </w:rPr>
        <w:t>五、</w:t>
      </w:r>
      <w:r>
        <w:rPr>
          <w:rFonts w:hint="eastAsia" w:ascii="宋体" w:hAnsi="宋体" w:eastAsia="宋体" w:cs="宋体"/>
          <w:b/>
          <w:bCs/>
          <w:color w:val="auto"/>
          <w:sz w:val="24"/>
          <w:szCs w:val="24"/>
          <w:lang w:val="zh-CN"/>
        </w:rPr>
        <w:t>甲方的权利和义务</w:t>
      </w:r>
    </w:p>
    <w:p w14:paraId="44C9B635">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1.签署合同后，甲方应确定项目负责人（或项目联系人），负责与本合同有关的事务。甲方有权对乙方的履约行为进行检查，并及时确认乙方提交的事项。甲方应当配合乙方完成相关项目实施工作。</w:t>
      </w:r>
    </w:p>
    <w:p w14:paraId="4BC74F9B">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2.甲方有权要求乙方按时提交各阶段有关安排计划，并有权定期核对乙方提供货物数量、规格、质量等内容。甲方有权督促乙方工作并要求乙方更换不符合要求的货物。</w:t>
      </w:r>
    </w:p>
    <w:p w14:paraId="05ED470D">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3.甲方有权要求乙方对缺陷部分予以修复，并按合同约定享有货物保修及其他合同约定的权利。</w:t>
      </w:r>
    </w:p>
    <w:p w14:paraId="5FBC53A9">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4.甲方应当按照合同约定及时对交付的货物进行验收，未在约定的期限内对乙方履约提出任何异议或者向乙方作出任何说明的，视为验收通过。</w:t>
      </w:r>
    </w:p>
    <w:p w14:paraId="75E19A1A">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5.甲方应当根据合同约定及时向乙方支付合同价款，不得以内部人员变更、履行内部付款流程等为由，拒绝或迟延支付。</w:t>
      </w:r>
    </w:p>
    <w:p w14:paraId="26BBDAF4">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eastAsia="zh-CN"/>
        </w:rPr>
        <w:t>6.国家法律法规规定及合同约定应由甲方承担的其他义务和责任。</w:t>
      </w:r>
    </w:p>
    <w:p w14:paraId="34D1A294">
      <w:pPr>
        <w:autoSpaceDE w:val="0"/>
        <w:autoSpaceDN w:val="0"/>
        <w:spacing w:line="360" w:lineRule="auto"/>
        <w:ind w:firstLine="0" w:firstLineChars="0"/>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eastAsia="zh-CN"/>
        </w:rPr>
        <w:t>六、</w:t>
      </w:r>
      <w:r>
        <w:rPr>
          <w:rFonts w:hint="eastAsia" w:ascii="宋体" w:hAnsi="宋体" w:eastAsia="宋体" w:cs="宋体"/>
          <w:b/>
          <w:bCs/>
          <w:color w:val="auto"/>
          <w:sz w:val="24"/>
          <w:szCs w:val="24"/>
          <w:lang w:val="zh-CN"/>
        </w:rPr>
        <w:t>乙方的权利和义务</w:t>
      </w:r>
    </w:p>
    <w:p w14:paraId="1077CC64">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eastAsia="zh-CN"/>
        </w:rPr>
        <w:t>1.</w:t>
      </w:r>
      <w:r>
        <w:rPr>
          <w:rFonts w:hint="eastAsia" w:ascii="宋体" w:hAnsi="宋体" w:eastAsia="宋体" w:cs="宋体"/>
          <w:color w:val="auto"/>
          <w:sz w:val="24"/>
          <w:szCs w:val="24"/>
          <w:lang w:val="zh-CN"/>
        </w:rPr>
        <w:t>签署合同后，乙方</w:t>
      </w:r>
      <w:r>
        <w:rPr>
          <w:rFonts w:hint="eastAsia" w:ascii="宋体" w:hAnsi="宋体" w:eastAsia="宋体" w:cs="宋体"/>
          <w:color w:val="auto"/>
          <w:sz w:val="24"/>
          <w:szCs w:val="24"/>
          <w:lang w:val="zh-CN" w:eastAsia="zh-CN"/>
        </w:rPr>
        <w:t>应</w:t>
      </w:r>
      <w:r>
        <w:rPr>
          <w:rFonts w:hint="eastAsia" w:ascii="宋体" w:hAnsi="宋体" w:eastAsia="宋体" w:cs="宋体"/>
          <w:color w:val="auto"/>
          <w:sz w:val="24"/>
          <w:szCs w:val="24"/>
          <w:lang w:val="zh-CN"/>
        </w:rPr>
        <w:t>确定</w:t>
      </w:r>
      <w:r>
        <w:rPr>
          <w:rFonts w:hint="eastAsia" w:ascii="宋体" w:hAnsi="宋体" w:eastAsia="宋体" w:cs="宋体"/>
          <w:color w:val="auto"/>
          <w:sz w:val="24"/>
          <w:szCs w:val="24"/>
          <w:lang w:val="zh-CN" w:eastAsia="zh-CN"/>
        </w:rPr>
        <w:t>项目负责人（或项目联系人）</w:t>
      </w:r>
      <w:r>
        <w:rPr>
          <w:rFonts w:hint="eastAsia" w:ascii="宋体" w:hAnsi="宋体" w:eastAsia="宋体" w:cs="宋体"/>
          <w:color w:val="auto"/>
          <w:sz w:val="24"/>
          <w:szCs w:val="24"/>
          <w:lang w:val="zh-CN"/>
        </w:rPr>
        <w:t>，负责与本合同有关的事务。</w:t>
      </w:r>
    </w:p>
    <w:p w14:paraId="6338F9CE">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eastAsia="zh-CN"/>
        </w:rPr>
        <w:t>2.</w:t>
      </w:r>
      <w:r>
        <w:rPr>
          <w:rFonts w:hint="eastAsia" w:ascii="宋体" w:hAnsi="宋体" w:eastAsia="宋体" w:cs="宋体"/>
          <w:color w:val="auto"/>
          <w:sz w:val="24"/>
          <w:szCs w:val="24"/>
          <w:lang w:val="zh-CN"/>
        </w:rPr>
        <w:t>乙方应按照合同要求履约，充分合理安排，确保提供的货物</w:t>
      </w:r>
      <w:r>
        <w:rPr>
          <w:rFonts w:hint="eastAsia" w:ascii="宋体" w:hAnsi="宋体" w:eastAsia="宋体" w:cs="宋体"/>
          <w:color w:val="auto"/>
          <w:sz w:val="24"/>
          <w:szCs w:val="24"/>
          <w:lang w:val="zh-CN" w:eastAsia="zh-CN"/>
        </w:rPr>
        <w:t>及相关</w:t>
      </w:r>
      <w:r>
        <w:rPr>
          <w:rFonts w:hint="eastAsia" w:ascii="宋体" w:hAnsi="宋体" w:eastAsia="宋体" w:cs="宋体"/>
          <w:color w:val="auto"/>
          <w:sz w:val="24"/>
          <w:szCs w:val="24"/>
          <w:lang w:val="zh-CN"/>
        </w:rPr>
        <w:t>服务符合合同</w:t>
      </w:r>
      <w:r>
        <w:rPr>
          <w:rFonts w:hint="eastAsia" w:ascii="宋体" w:hAnsi="宋体" w:eastAsia="宋体" w:cs="宋体"/>
          <w:color w:val="auto"/>
          <w:sz w:val="24"/>
          <w:szCs w:val="24"/>
          <w:lang w:val="zh-CN" w:eastAsia="zh-CN"/>
        </w:rPr>
        <w:t>有关</w:t>
      </w:r>
      <w:r>
        <w:rPr>
          <w:rFonts w:hint="eastAsia" w:ascii="宋体" w:hAnsi="宋体" w:eastAsia="宋体" w:cs="宋体"/>
          <w:color w:val="auto"/>
          <w:sz w:val="24"/>
          <w:szCs w:val="24"/>
          <w:lang w:val="zh-CN"/>
        </w:rPr>
        <w:t>要求。接受项目行业管理部门及政府有关部门的指导，配合甲方的履约检查</w:t>
      </w:r>
      <w:r>
        <w:rPr>
          <w:rFonts w:hint="eastAsia" w:ascii="宋体" w:hAnsi="宋体" w:eastAsia="宋体" w:cs="宋体"/>
          <w:color w:val="auto"/>
          <w:sz w:val="24"/>
          <w:szCs w:val="24"/>
          <w:lang w:val="zh-CN" w:eastAsia="zh-CN"/>
        </w:rPr>
        <w:t>及验收</w:t>
      </w:r>
      <w:r>
        <w:rPr>
          <w:rFonts w:hint="eastAsia" w:ascii="宋体" w:hAnsi="宋体" w:eastAsia="宋体" w:cs="宋体"/>
          <w:color w:val="auto"/>
          <w:sz w:val="24"/>
          <w:szCs w:val="24"/>
          <w:lang w:val="zh-CN"/>
        </w:rPr>
        <w:t>，并负责项目实施过程中的所有协调工作。</w:t>
      </w:r>
    </w:p>
    <w:p w14:paraId="1DF2CD9D">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eastAsia="zh-CN"/>
        </w:rPr>
        <w:t>3.</w:t>
      </w:r>
      <w:r>
        <w:rPr>
          <w:rFonts w:hint="eastAsia" w:ascii="宋体" w:hAnsi="宋体" w:eastAsia="宋体" w:cs="宋体"/>
          <w:color w:val="auto"/>
          <w:sz w:val="24"/>
          <w:szCs w:val="24"/>
          <w:lang w:val="zh-CN"/>
        </w:rPr>
        <w:t>乙方有权根据合同约定向甲方收取</w:t>
      </w:r>
      <w:r>
        <w:rPr>
          <w:rFonts w:hint="eastAsia" w:ascii="宋体" w:hAnsi="宋体" w:eastAsia="宋体" w:cs="宋体"/>
          <w:color w:val="auto"/>
          <w:sz w:val="24"/>
          <w:szCs w:val="24"/>
          <w:lang w:val="zh-CN" w:eastAsia="zh-CN"/>
        </w:rPr>
        <w:t>合同价款</w:t>
      </w:r>
      <w:r>
        <w:rPr>
          <w:rFonts w:hint="eastAsia" w:ascii="宋体" w:hAnsi="宋体" w:eastAsia="宋体" w:cs="宋体"/>
          <w:color w:val="auto"/>
          <w:sz w:val="24"/>
          <w:szCs w:val="24"/>
          <w:lang w:val="zh-CN"/>
        </w:rPr>
        <w:t>。</w:t>
      </w:r>
    </w:p>
    <w:p w14:paraId="1DF32EF1">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4.</w:t>
      </w:r>
      <w:r>
        <w:rPr>
          <w:rFonts w:hint="eastAsia" w:ascii="宋体" w:hAnsi="宋体" w:eastAsia="宋体" w:cs="宋体"/>
          <w:color w:val="auto"/>
          <w:sz w:val="24"/>
          <w:szCs w:val="24"/>
          <w:lang w:val="zh-CN"/>
        </w:rPr>
        <w:t>国家法律法规规定</w:t>
      </w:r>
      <w:r>
        <w:rPr>
          <w:rFonts w:hint="eastAsia" w:ascii="宋体" w:hAnsi="宋体" w:eastAsia="宋体" w:cs="宋体"/>
          <w:color w:val="auto"/>
          <w:sz w:val="24"/>
          <w:szCs w:val="24"/>
          <w:lang w:val="zh-CN" w:eastAsia="zh-CN"/>
        </w:rPr>
        <w:t>及合同约定应</w:t>
      </w:r>
      <w:r>
        <w:rPr>
          <w:rFonts w:hint="eastAsia" w:ascii="宋体" w:hAnsi="宋体" w:eastAsia="宋体" w:cs="宋体"/>
          <w:color w:val="auto"/>
          <w:sz w:val="24"/>
          <w:szCs w:val="24"/>
          <w:lang w:val="zh-CN"/>
        </w:rPr>
        <w:t>由乙方承担的其他义务和责任。</w:t>
      </w:r>
    </w:p>
    <w:p w14:paraId="4167EBE2">
      <w:pPr>
        <w:autoSpaceDE w:val="0"/>
        <w:autoSpaceDN w:val="0"/>
        <w:spacing w:line="360" w:lineRule="auto"/>
        <w:ind w:firstLine="0" w:firstLineChars="0"/>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eastAsia="zh-CN"/>
        </w:rPr>
        <w:t>七</w:t>
      </w:r>
      <w:r>
        <w:rPr>
          <w:rFonts w:hint="eastAsia" w:ascii="宋体" w:hAnsi="宋体" w:eastAsia="宋体" w:cs="宋体"/>
          <w:b/>
          <w:bCs/>
          <w:color w:val="auto"/>
          <w:sz w:val="24"/>
          <w:szCs w:val="24"/>
          <w:lang w:val="zh-CN"/>
        </w:rPr>
        <w:t>、合同的变更、终止与转让</w:t>
      </w:r>
    </w:p>
    <w:p w14:paraId="5BF86A24">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1.除《中华人民共和国政府采购法》第50条规定的情形外，本合同一经签订，甲乙双方不得擅自变更、中止或终止。</w:t>
      </w:r>
    </w:p>
    <w:p w14:paraId="21DC00DD">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2.乙方不得擅自转让其应履行的合同义务。</w:t>
      </w:r>
    </w:p>
    <w:p w14:paraId="1EEAE6B1">
      <w:pPr>
        <w:autoSpaceDE w:val="0"/>
        <w:autoSpaceDN w:val="0"/>
        <w:spacing w:line="360" w:lineRule="auto"/>
        <w:ind w:firstLine="0" w:firstLineChars="0"/>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eastAsia="zh-CN"/>
        </w:rPr>
        <w:t>八</w:t>
      </w:r>
      <w:r>
        <w:rPr>
          <w:rFonts w:hint="eastAsia" w:ascii="宋体" w:hAnsi="宋体" w:eastAsia="宋体" w:cs="宋体"/>
          <w:b/>
          <w:bCs/>
          <w:color w:val="auto"/>
          <w:sz w:val="24"/>
          <w:szCs w:val="24"/>
          <w:lang w:val="zh-CN"/>
        </w:rPr>
        <w:t>、违约责任</w:t>
      </w:r>
    </w:p>
    <w:p w14:paraId="33FAF1BF">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1.乙方所提供的产品规格、技术标准、材料等质量不合格的，应及时更换；更换不及时的，按逾期交货处罚；因质量问题甲方不同意接收的，质保金全额扣除，并由乙方赔偿由此引起的甲方的一切经济损失。</w:t>
      </w:r>
    </w:p>
    <w:p w14:paraId="3DB71B8D">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2.乙方提供的货物如侵犯了第三方权益而引发纠纷或诉讼的，均由乙方负责交涉并承担全部责任。</w:t>
      </w:r>
    </w:p>
    <w:p w14:paraId="2C9E522E">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3.因包装、运输引起的货物损坏，按质量不合格处罚。</w:t>
      </w:r>
    </w:p>
    <w:p w14:paraId="68FE3A4C">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4.甲方无故延期接受货物和乙方逾期交货的，每天应向对方偿付未交货物的货款3‰的违约金，但违约金累计不得超过违约货款的5%，超过    天对方有权解除合同，违约方承担因此给对方造成的经济损失。</w:t>
      </w:r>
    </w:p>
    <w:p w14:paraId="31787420">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5.乙方未按本合同和投标文件中规定的服务承诺提供售后服务的，乙方应按本合同合计金额的5%向甲方支付违约金。</w:t>
      </w:r>
    </w:p>
    <w:p w14:paraId="529CFDD3">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6.乙方提供的货物在质量保证期内，因设计、工艺或材料的缺陷和其它质量原因造成的问题，由乙方负责，费用从履约保证金中扣除，不足另补。</w:t>
      </w:r>
    </w:p>
    <w:p w14:paraId="608CAFAB">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7.其它违约行为按违约货款额5%收取违约金并赔偿经济损失。</w:t>
      </w:r>
    </w:p>
    <w:p w14:paraId="4888DD13">
      <w:pPr>
        <w:autoSpaceDE w:val="0"/>
        <w:autoSpaceDN w:val="0"/>
        <w:spacing w:line="360" w:lineRule="auto"/>
        <w:ind w:firstLine="0" w:firstLineChars="0"/>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eastAsia="zh-CN"/>
        </w:rPr>
        <w:t>九</w:t>
      </w:r>
      <w:r>
        <w:rPr>
          <w:rFonts w:hint="eastAsia" w:ascii="宋体" w:hAnsi="宋体" w:eastAsia="宋体" w:cs="宋体"/>
          <w:b/>
          <w:bCs/>
          <w:color w:val="auto"/>
          <w:sz w:val="24"/>
          <w:szCs w:val="24"/>
          <w:lang w:val="zh-CN"/>
        </w:rPr>
        <w:t>、不可抗力</w:t>
      </w:r>
    </w:p>
    <w:p w14:paraId="4EB0E7E8">
      <w:pPr>
        <w:autoSpaceDE w:val="0"/>
        <w:autoSpaceDN w:val="0"/>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不可抗力使合同的某些内容有变更必要的，双方应通过协商在</w:t>
      </w: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lang w:val="zh-CN"/>
        </w:rPr>
        <w:t>天内达成进一步履行合同的协议，因不可抗力致使合同不能履行的，合同终止。</w:t>
      </w:r>
    </w:p>
    <w:p w14:paraId="320D7C60">
      <w:pPr>
        <w:autoSpaceDE w:val="0"/>
        <w:autoSpaceDN w:val="0"/>
        <w:spacing w:line="360" w:lineRule="auto"/>
        <w:ind w:firstLine="0" w:firstLineChars="0"/>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eastAsia="zh-CN"/>
        </w:rPr>
        <w:t>十</w:t>
      </w:r>
      <w:r>
        <w:rPr>
          <w:rFonts w:hint="eastAsia" w:ascii="宋体" w:hAnsi="宋体" w:eastAsia="宋体" w:cs="宋体"/>
          <w:b/>
          <w:bCs/>
          <w:color w:val="auto"/>
          <w:sz w:val="24"/>
          <w:szCs w:val="24"/>
          <w:lang w:val="zh-CN"/>
        </w:rPr>
        <w:t>、知识产权：详见合同通用条款</w:t>
      </w:r>
    </w:p>
    <w:p w14:paraId="64967877">
      <w:pPr>
        <w:autoSpaceDE w:val="0"/>
        <w:autoSpaceDN w:val="0"/>
        <w:spacing w:line="360" w:lineRule="auto"/>
        <w:ind w:firstLine="0" w:firstLineChars="0"/>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eastAsia="zh-CN"/>
        </w:rPr>
        <w:t>十一</w:t>
      </w:r>
      <w:r>
        <w:rPr>
          <w:rFonts w:hint="eastAsia" w:ascii="宋体" w:hAnsi="宋体" w:eastAsia="宋体" w:cs="宋体"/>
          <w:b/>
          <w:bCs/>
          <w:color w:val="auto"/>
          <w:sz w:val="24"/>
          <w:szCs w:val="24"/>
          <w:lang w:val="zh-CN"/>
        </w:rPr>
        <w:t>、其他约定：</w:t>
      </w:r>
    </w:p>
    <w:p w14:paraId="57EB329E">
      <w:pPr>
        <w:autoSpaceDE w:val="0"/>
        <w:autoSpaceDN w:val="0"/>
        <w:spacing w:line="360" w:lineRule="auto"/>
        <w:ind w:firstLine="0" w:firstLineChars="0"/>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十</w:t>
      </w:r>
      <w:r>
        <w:rPr>
          <w:rFonts w:hint="eastAsia" w:ascii="宋体" w:hAnsi="宋体" w:eastAsia="宋体" w:cs="宋体"/>
          <w:b/>
          <w:bCs/>
          <w:color w:val="auto"/>
          <w:sz w:val="24"/>
          <w:szCs w:val="24"/>
          <w:lang w:val="zh-CN" w:eastAsia="zh-CN"/>
        </w:rPr>
        <w:t>二</w:t>
      </w:r>
      <w:r>
        <w:rPr>
          <w:rFonts w:hint="eastAsia" w:ascii="宋体" w:hAnsi="宋体" w:eastAsia="宋体" w:cs="宋体"/>
          <w:b/>
          <w:bCs/>
          <w:color w:val="auto"/>
          <w:sz w:val="24"/>
          <w:szCs w:val="24"/>
          <w:lang w:val="zh-CN"/>
        </w:rPr>
        <w:t>、合同争议解决</w:t>
      </w:r>
    </w:p>
    <w:p w14:paraId="6989DE19">
      <w:pPr>
        <w:autoSpaceDE w:val="0"/>
        <w:autoSpaceDN w:val="0"/>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1.因产品质量问题发生争议的，应邀请国家认可的质量检测机构进行鉴定。产品符合标准的，鉴定费由甲方承担；产品不符合标准的，鉴定费由乙方承担。</w:t>
      </w:r>
    </w:p>
    <w:p w14:paraId="571A5936">
      <w:pPr>
        <w:autoSpaceDE w:val="0"/>
        <w:autoSpaceDN w:val="0"/>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2.因履行本合同引起的或与本合同有关的争议，甲乙双方应首先通过友好协商解决，如果协商不能解决，可向甲方所在地仲裁委员会申请仲裁或向甲方所在地人民法院提起诉讼。</w:t>
      </w:r>
    </w:p>
    <w:p w14:paraId="38B74907">
      <w:pPr>
        <w:autoSpaceDE w:val="0"/>
        <w:autoSpaceDN w:val="0"/>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3.诉讼期间，本合同继续履行。</w:t>
      </w:r>
    </w:p>
    <w:p w14:paraId="0D66CF33">
      <w:pPr>
        <w:autoSpaceDE w:val="0"/>
        <w:autoSpaceDN w:val="0"/>
        <w:spacing w:line="360" w:lineRule="auto"/>
        <w:ind w:firstLine="0" w:firstLineChars="0"/>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十</w:t>
      </w:r>
      <w:r>
        <w:rPr>
          <w:rFonts w:hint="eastAsia" w:ascii="宋体" w:hAnsi="宋体" w:eastAsia="宋体" w:cs="宋体"/>
          <w:b/>
          <w:bCs/>
          <w:color w:val="auto"/>
          <w:sz w:val="24"/>
          <w:szCs w:val="24"/>
          <w:lang w:val="zh-CN" w:eastAsia="zh-CN"/>
        </w:rPr>
        <w:t>三</w:t>
      </w:r>
      <w:r>
        <w:rPr>
          <w:rFonts w:hint="eastAsia" w:ascii="宋体" w:hAnsi="宋体" w:eastAsia="宋体" w:cs="宋体"/>
          <w:b/>
          <w:bCs/>
          <w:color w:val="auto"/>
          <w:sz w:val="24"/>
          <w:szCs w:val="24"/>
          <w:lang w:val="zh-CN"/>
        </w:rPr>
        <w:t>、合同生效及其它：</w:t>
      </w:r>
    </w:p>
    <w:p w14:paraId="18F39112">
      <w:pPr>
        <w:autoSpaceDE w:val="0"/>
        <w:autoSpaceDN w:val="0"/>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1.本合同一式</w:t>
      </w: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lang w:val="zh-CN"/>
        </w:rPr>
        <w:t>份，经双方签字，并加盖公章即为生效。</w:t>
      </w:r>
    </w:p>
    <w:p w14:paraId="673B255C">
      <w:pPr>
        <w:autoSpaceDE w:val="0"/>
        <w:autoSpaceDN w:val="0"/>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2.本合同未尽事宜，按民法典有关规定处理。</w:t>
      </w:r>
    </w:p>
    <w:p w14:paraId="5BE13CC2">
      <w:pPr>
        <w:autoSpaceDE w:val="0"/>
        <w:autoSpaceDN w:val="0"/>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3.本合同的组成包含《合同通用条款》。</w:t>
      </w:r>
    </w:p>
    <w:p w14:paraId="502DF444">
      <w:pPr>
        <w:autoSpaceDE w:val="0"/>
        <w:autoSpaceDN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甲方（盖章）：                         乙方（盖章）：</w:t>
      </w:r>
    </w:p>
    <w:p w14:paraId="4310B907">
      <w:pPr>
        <w:autoSpaceDE w:val="0"/>
        <w:autoSpaceDN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法定代表人或委托代理人：               法定代表人或委托代理人：</w:t>
      </w:r>
    </w:p>
    <w:p w14:paraId="07B3BE35">
      <w:pPr>
        <w:autoSpaceDE w:val="0"/>
        <w:autoSpaceDN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开户银行：</w:t>
      </w:r>
    </w:p>
    <w:p w14:paraId="1CC4959C">
      <w:pPr>
        <w:autoSpaceDE w:val="0"/>
        <w:autoSpaceDN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账号：</w:t>
      </w:r>
    </w:p>
    <w:p w14:paraId="380B87A9">
      <w:pPr>
        <w:autoSpaceDE w:val="0"/>
        <w:autoSpaceDN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地址：                                 地址：</w:t>
      </w:r>
    </w:p>
    <w:p w14:paraId="4469BDAB">
      <w:pPr>
        <w:autoSpaceDE w:val="0"/>
        <w:autoSpaceDN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联系电话：                             联系电话：</w:t>
      </w:r>
    </w:p>
    <w:p w14:paraId="63423AAF">
      <w:pPr>
        <w:autoSpaceDE w:val="0"/>
        <w:autoSpaceDN w:val="0"/>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签约时间：    年    月    日</w:t>
      </w:r>
    </w:p>
    <w:p w14:paraId="284BCA3D">
      <w:pPr>
        <w:autoSpaceDE w:val="0"/>
        <w:autoSpaceDN w:val="0"/>
        <w:spacing w:line="360" w:lineRule="auto"/>
        <w:ind w:firstLine="0" w:firstLineChars="0"/>
        <w:rPr>
          <w:rFonts w:hint="eastAsia" w:ascii="宋体" w:hAnsi="宋体" w:eastAsia="宋体" w:cs="宋体"/>
          <w:color w:val="auto"/>
          <w:sz w:val="24"/>
          <w:szCs w:val="24"/>
          <w:lang w:val="zh-CN"/>
        </w:rPr>
      </w:pPr>
    </w:p>
    <w:p w14:paraId="29CB4740">
      <w:pPr>
        <w:autoSpaceDE w:val="0"/>
        <w:autoSpaceDN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采购代理机构：青海鼎钊招标代理有限公司</w:t>
      </w:r>
    </w:p>
    <w:p w14:paraId="3E2BE4B2">
      <w:pPr>
        <w:autoSpaceDE w:val="0"/>
        <w:autoSpaceDN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负责人或经办人：</w:t>
      </w:r>
    </w:p>
    <w:p w14:paraId="3E5A2C4B">
      <w:pPr>
        <w:autoSpaceDE w:val="0"/>
        <w:autoSpaceDN w:val="0"/>
        <w:spacing w:line="360" w:lineRule="auto"/>
        <w:ind w:firstLine="960" w:firstLineChars="4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时间：    年    月    日</w:t>
      </w:r>
    </w:p>
    <w:p w14:paraId="643368D7">
      <w:pPr>
        <w:keepNext/>
        <w:pageBreakBefore/>
        <w:autoSpaceDE w:val="0"/>
        <w:autoSpaceDN w:val="0"/>
        <w:adjustRightInd w:val="0"/>
        <w:spacing w:line="360" w:lineRule="auto"/>
        <w:ind w:firstLine="0" w:firstLineChars="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lang w:val="zh-CN"/>
        </w:rPr>
        <w:t>合同通用条款</w:t>
      </w:r>
    </w:p>
    <w:p w14:paraId="73D9C9C4">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根据《中华人民共和国民法典》、《中华人民共和国政府采购法》的规定，合同双方经协商达成一致，自愿订立本合同，遵循公平原则明确双方的权利、义务，确保双方诚实守信地履行合同。</w:t>
      </w:r>
    </w:p>
    <w:p w14:paraId="6E7232C7">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val="zh-CN"/>
        </w:rPr>
        <w:t>定义</w:t>
      </w:r>
    </w:p>
    <w:p w14:paraId="3CD68B96">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本合同中的下列术语应解释为：</w:t>
      </w:r>
    </w:p>
    <w:p w14:paraId="6BD2EFCD">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1.1</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“合同”指甲乙双方签署的、载明的甲乙双方权利义务的协议，包括所有的附件、附录和上述文件所提到的构成合同的所有文件。</w:t>
      </w:r>
    </w:p>
    <w:p w14:paraId="330192BB">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1.2</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“合同金额”指根据合同规定，乙方在正确地完全履行合同义务后甲方应付给乙方的价款。</w:t>
      </w:r>
    </w:p>
    <w:p w14:paraId="3A62E67B">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1.3</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“合同条款”指本合同条款。</w:t>
      </w:r>
    </w:p>
    <w:p w14:paraId="1B7D6EA3">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“货物”指乙方根据合同约定须向甲方提供的一切产品、设备、机械、仪表、备件等，包括辅助工具、使用手册等相关资料。</w:t>
      </w:r>
    </w:p>
    <w:p w14:paraId="6B6DCDCA">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1.5 </w:t>
      </w:r>
      <w:r>
        <w:rPr>
          <w:rFonts w:hint="eastAsia" w:ascii="宋体" w:hAnsi="宋体" w:eastAsia="宋体" w:cs="宋体"/>
          <w:color w:val="auto"/>
          <w:sz w:val="24"/>
          <w:szCs w:val="24"/>
          <w:lang w:val="zh-CN"/>
        </w:rPr>
        <w:t>“服务”指根据本合同规定乙方承担与供货有关的辅助服务，如运输、保险及安装、调试、提供技术援助、培训和合同中规定乙方应承担的其它义务。</w:t>
      </w:r>
    </w:p>
    <w:p w14:paraId="2B239A80">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1.6</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“甲方”指购买货物和服务的单位。</w:t>
      </w:r>
    </w:p>
    <w:p w14:paraId="3835B406">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1.7</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“乙方”指提供本合同条款下货物和服务的公司或其他实体。</w:t>
      </w:r>
    </w:p>
    <w:p w14:paraId="5C1BF60B">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1.8</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“现场”指合同规定货物将要运至和安装的地点。</w:t>
      </w:r>
    </w:p>
    <w:p w14:paraId="7339DC24">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1.9</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“验收”指合同双方依据强制性的国家技术质量规范和合同约定，确认合同条款下的货物符合合同规定的活动。</w:t>
      </w:r>
    </w:p>
    <w:p w14:paraId="19F4073A">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1.10</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原厂商：产品制造商或其在中国境内设立的办事或技术服务机构。除另有说明外，本合同文件所述的制造商、产品制造商、制造厂家、产品制造厂家均为原厂商。</w:t>
      </w:r>
    </w:p>
    <w:p w14:paraId="7B1784B5">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1.11</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原产地：指产品的生产地，或提供服务的来源地。</w:t>
      </w:r>
    </w:p>
    <w:p w14:paraId="2EF4475B">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1.12</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“工作日”指国家法定工作日，“天”指日历天数。</w:t>
      </w:r>
    </w:p>
    <w:p w14:paraId="41941EA2">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w:t>
      </w:r>
      <w:r>
        <w:rPr>
          <w:rFonts w:hint="eastAsia" w:ascii="宋体" w:hAnsi="宋体" w:eastAsia="宋体" w:cs="宋体"/>
          <w:b/>
          <w:bCs/>
          <w:color w:val="auto"/>
          <w:sz w:val="24"/>
          <w:szCs w:val="24"/>
          <w:lang w:val="zh-CN"/>
        </w:rPr>
        <w:t>技术规格要求</w:t>
      </w:r>
    </w:p>
    <w:p w14:paraId="3CA8F910">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2.1</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本合同条款下提交货物的技术规格要求应等于或优于磋商文件、响应文件技术规格要求。若技术规格要求中无相应规定，则应符合相应的国家有关部门最新颁布的相应正式标准。</w:t>
      </w:r>
    </w:p>
    <w:p w14:paraId="30723FE6">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2.2</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乙方应向甲方提供货物及服务有关的标准的中文文本。</w:t>
      </w:r>
    </w:p>
    <w:p w14:paraId="53C5B6E7">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2.3</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除非技术规范中另有规定，计量单位均采用中华人民共和国法定计量单位。</w:t>
      </w:r>
    </w:p>
    <w:p w14:paraId="10CA2938">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3.</w:t>
      </w:r>
      <w:r>
        <w:rPr>
          <w:rFonts w:hint="eastAsia" w:ascii="宋体" w:hAnsi="宋体" w:eastAsia="宋体" w:cs="宋体"/>
          <w:b/>
          <w:bCs/>
          <w:color w:val="auto"/>
          <w:sz w:val="24"/>
          <w:szCs w:val="24"/>
          <w:lang w:val="zh-CN"/>
        </w:rPr>
        <w:t>合同范围</w:t>
      </w:r>
    </w:p>
    <w:p w14:paraId="02C86263">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3.1 </w:t>
      </w:r>
      <w:r>
        <w:rPr>
          <w:rFonts w:hint="eastAsia" w:ascii="宋体" w:hAnsi="宋体" w:eastAsia="宋体" w:cs="宋体"/>
          <w:color w:val="auto"/>
          <w:sz w:val="24"/>
          <w:szCs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17439D04">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3.2 </w:t>
      </w:r>
      <w:r>
        <w:rPr>
          <w:rFonts w:hint="eastAsia" w:ascii="宋体" w:hAnsi="宋体" w:eastAsia="宋体" w:cs="宋体"/>
          <w:color w:val="auto"/>
          <w:sz w:val="24"/>
          <w:szCs w:val="24"/>
          <w:lang w:val="zh-CN"/>
        </w:rPr>
        <w:t>乙方应负责培训甲方的技术人员。</w:t>
      </w:r>
    </w:p>
    <w:p w14:paraId="175B3517">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3.3 </w:t>
      </w:r>
      <w:r>
        <w:rPr>
          <w:rFonts w:hint="eastAsia" w:ascii="宋体" w:hAnsi="宋体" w:eastAsia="宋体" w:cs="宋体"/>
          <w:color w:val="auto"/>
          <w:sz w:val="24"/>
          <w:szCs w:val="24"/>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226DCB51">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4.</w:t>
      </w:r>
      <w:r>
        <w:rPr>
          <w:rFonts w:hint="eastAsia" w:ascii="宋体" w:hAnsi="宋体" w:eastAsia="宋体" w:cs="宋体"/>
          <w:b/>
          <w:bCs/>
          <w:color w:val="auto"/>
          <w:sz w:val="24"/>
          <w:szCs w:val="24"/>
          <w:lang w:val="zh-CN"/>
        </w:rPr>
        <w:t>合同文件和资料</w:t>
      </w:r>
    </w:p>
    <w:p w14:paraId="653B12B6">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4.1</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乙方在提供仪器设备时应同时提供中文版相关的技术资料，如目录索引、图纸、操作手册、使用指南、维修指南、服务手册等。</w:t>
      </w:r>
    </w:p>
    <w:p w14:paraId="0CFD1187">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4.2</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4BFA3BD9">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5.</w:t>
      </w:r>
      <w:r>
        <w:rPr>
          <w:rFonts w:hint="eastAsia" w:ascii="宋体" w:hAnsi="宋体" w:eastAsia="宋体" w:cs="宋体"/>
          <w:b/>
          <w:bCs/>
          <w:color w:val="auto"/>
          <w:sz w:val="24"/>
          <w:szCs w:val="24"/>
          <w:lang w:val="zh-CN"/>
        </w:rPr>
        <w:t>知识产权</w:t>
      </w:r>
    </w:p>
    <w:p w14:paraId="6B42E8A1">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5.1</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乙方应保证甲方在使用该货物或其任何一部分时不受第三方提出的侵犯专利权、著作权、商标权和工业设计权等的起诉。</w:t>
      </w:r>
    </w:p>
    <w:p w14:paraId="1430C7B5">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5.2</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任何第三方提出侵权指控，乙方须与第三方交涉并承担由此产生的一切责任、费用和经济赔偿。</w:t>
      </w:r>
    </w:p>
    <w:p w14:paraId="5D75C3EE">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5.3</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双方应共同遵守国家有关版权、专利、商标等知识产权方面的法律规定，相互尊重对方的知识产权，对本合同内容、对方的技术秘密和商业秘密负有保密责任。如有违反，违约方负相关法律责任。</w:t>
      </w:r>
    </w:p>
    <w:p w14:paraId="2067ED53">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5.4</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在本合同生效时已经存在并为各方合法拥有或使用的所有技术、资料和信息的知识产权，仍应属于其各自的原权利人所有或享有，另有约定的除外。</w:t>
      </w:r>
    </w:p>
    <w:p w14:paraId="52180D41">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5.5</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123CCC06">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6.</w:t>
      </w:r>
      <w:r>
        <w:rPr>
          <w:rFonts w:hint="eastAsia" w:ascii="宋体" w:hAnsi="宋体" w:eastAsia="宋体" w:cs="宋体"/>
          <w:b/>
          <w:bCs/>
          <w:color w:val="auto"/>
          <w:sz w:val="24"/>
          <w:szCs w:val="24"/>
          <w:lang w:val="zh-CN"/>
        </w:rPr>
        <w:t>保密</w:t>
      </w:r>
    </w:p>
    <w:p w14:paraId="1B50C67F">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6.1</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5C18579B">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6.2</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保密信息指任何一方因履行本合同所知悉的任何以口头、书面、图表或电子形式存在的对方信息，具体包括：</w:t>
      </w:r>
    </w:p>
    <w:p w14:paraId="6DBF7159">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6.2.1</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任何涉及对方过去、现在或将来的商业计划、规章制度、操作规程、处理手段、财务信息；</w:t>
      </w:r>
    </w:p>
    <w:p w14:paraId="3AA218B8">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6.2.2</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任何对方的技术措施、技术方案、软件应用及开发，硬件设备的品种、质量、数量、品牌等；</w:t>
      </w:r>
    </w:p>
    <w:p w14:paraId="75F9A18F">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6.2.3</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任何对方的技术秘密或专有知识、文件、报告、数据、客户软件、流程图、数据库、发明、知识、贸易秘密。</w:t>
      </w:r>
    </w:p>
    <w:p w14:paraId="3367D2D5">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6.3</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乙方应根据甲方的要求签署相应的保密协议，保密协议与本条款存在不一致的，以保密协议为准。</w:t>
      </w:r>
    </w:p>
    <w:p w14:paraId="19337517">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7.</w:t>
      </w:r>
      <w:r>
        <w:rPr>
          <w:rFonts w:hint="eastAsia" w:ascii="宋体" w:hAnsi="宋体" w:eastAsia="宋体" w:cs="宋体"/>
          <w:b/>
          <w:bCs/>
          <w:color w:val="auto"/>
          <w:sz w:val="24"/>
          <w:szCs w:val="24"/>
          <w:lang w:val="zh-CN"/>
        </w:rPr>
        <w:t>质量保证</w:t>
      </w:r>
    </w:p>
    <w:p w14:paraId="50661098">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7.1</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货物质量保证</w:t>
      </w:r>
    </w:p>
    <w:p w14:paraId="45B731F0">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7.1.1</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乙方必须保证货物是全新、未使用过的，并完全符合强制性的国家技术质量规范和合同规定的质量、规格、性能和技术规范等的要求。</w:t>
      </w:r>
    </w:p>
    <w:p w14:paraId="4190AF85">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7.1.2</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77340A6F">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7.1.3</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6AA811B9">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7.1.4</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4466EF76">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7.1.5 </w:t>
      </w:r>
      <w:r>
        <w:rPr>
          <w:rFonts w:hint="eastAsia" w:ascii="宋体" w:hAnsi="宋体" w:eastAsia="宋体" w:cs="宋体"/>
          <w:color w:val="auto"/>
          <w:sz w:val="24"/>
          <w:szCs w:val="24"/>
          <w:lang w:val="zh-CN"/>
        </w:rPr>
        <w:t>合同条款下货物的质量保证期自货物通过最终验收起算，合同另行规定除外。</w:t>
      </w:r>
    </w:p>
    <w:p w14:paraId="6F2A77C6">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7.2</w:t>
      </w:r>
      <w:r>
        <w:rPr>
          <w:rFonts w:hint="eastAsia" w:ascii="宋体" w:hAnsi="宋体" w:eastAsia="宋体" w:cs="宋体"/>
          <w:color w:val="auto"/>
          <w:sz w:val="24"/>
          <w:szCs w:val="24"/>
          <w:lang w:val="zh-CN"/>
        </w:rPr>
        <w:t>辅助服务质量保证</w:t>
      </w:r>
    </w:p>
    <w:p w14:paraId="42E22542">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7.2.1</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4A6FDE6D">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7.2.2</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乙方应保证合同条款下所提供的服务包括培训、安装指导、单机调试、系统联调和试验等，按合同规定方式进行，并保证不存在因乙方工作人员的过失、错误或疏忽而产生的缺陷。</w:t>
      </w:r>
    </w:p>
    <w:p w14:paraId="7DE9274D">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8.</w:t>
      </w:r>
      <w:r>
        <w:rPr>
          <w:rFonts w:hint="eastAsia" w:ascii="宋体" w:hAnsi="宋体" w:eastAsia="宋体" w:cs="宋体"/>
          <w:b/>
          <w:bCs/>
          <w:color w:val="auto"/>
          <w:sz w:val="24"/>
          <w:szCs w:val="24"/>
          <w:lang w:val="zh-CN"/>
        </w:rPr>
        <w:t>包装要求</w:t>
      </w:r>
    </w:p>
    <w:p w14:paraId="4A160203">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8.1 </w:t>
      </w:r>
      <w:r>
        <w:rPr>
          <w:rFonts w:hint="eastAsia" w:ascii="宋体" w:hAnsi="宋体" w:eastAsia="宋体" w:cs="宋体"/>
          <w:color w:val="auto"/>
          <w:sz w:val="24"/>
          <w:szCs w:val="24"/>
          <w:lang w:val="zh-CN"/>
        </w:rPr>
        <w:t>除合同另有约定外</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乙方提供的全部货物</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均应采用本行业通用的方式进行包装，且该包装应符合国家有关包装的法律、法规的规定。</w:t>
      </w:r>
    </w:p>
    <w:p w14:paraId="38FD9013">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8.2 </w:t>
      </w:r>
      <w:r>
        <w:rPr>
          <w:rFonts w:hint="eastAsia" w:ascii="宋体" w:hAnsi="宋体" w:eastAsia="宋体" w:cs="宋体"/>
          <w:color w:val="auto"/>
          <w:sz w:val="24"/>
          <w:szCs w:val="24"/>
          <w:lang w:val="zh-CN"/>
        </w:rPr>
        <w:t>包装应适应于远距离运输，并有良好的防潮、防震、防锈和防粗暴装卸等保护措施，以确保货物安全运抵现场。由于包装不善所引起的货物锈蚀、损坏和损失均由乙方承担。</w:t>
      </w:r>
    </w:p>
    <w:p w14:paraId="437016D1">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乙方应提供货物运至合同规定的最终目的地所需要的包装，以防止货物在转运中损坏或变质。</w:t>
      </w:r>
    </w:p>
    <w:p w14:paraId="72EF9151">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8.3 </w:t>
      </w:r>
      <w:r>
        <w:rPr>
          <w:rFonts w:hint="eastAsia" w:ascii="宋体" w:hAnsi="宋体" w:eastAsia="宋体" w:cs="宋体"/>
          <w:color w:val="auto"/>
          <w:sz w:val="24"/>
          <w:szCs w:val="24"/>
          <w:lang w:val="zh-CN"/>
        </w:rPr>
        <w:t>乙方所提供的货物包装均为出厂时原包装。</w:t>
      </w:r>
    </w:p>
    <w:p w14:paraId="35534B65">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8.4 </w:t>
      </w:r>
      <w:r>
        <w:rPr>
          <w:rFonts w:hint="eastAsia" w:ascii="宋体" w:hAnsi="宋体" w:eastAsia="宋体" w:cs="宋体"/>
          <w:color w:val="auto"/>
          <w:sz w:val="24"/>
          <w:szCs w:val="24"/>
          <w:lang w:val="zh-CN"/>
        </w:rPr>
        <w:t>乙方所提供货物必须附有质量合格证，装箱清单，主机、附件、各种零部件和消耗品，有清楚的与装箱单相对应的名称和编号。</w:t>
      </w:r>
    </w:p>
    <w:p w14:paraId="4EEA5324">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8.5 </w:t>
      </w:r>
      <w:r>
        <w:rPr>
          <w:rFonts w:hint="eastAsia" w:ascii="宋体" w:hAnsi="宋体" w:eastAsia="宋体" w:cs="宋体"/>
          <w:color w:val="auto"/>
          <w:sz w:val="24"/>
          <w:szCs w:val="24"/>
          <w:lang w:val="zh-CN"/>
        </w:rPr>
        <w:t>货物运输中的运输费用和保险费用均由乙方承担。运输过程中的一切损失、损坏均由乙方负责。</w:t>
      </w:r>
    </w:p>
    <w:p w14:paraId="2772E81C">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9.</w:t>
      </w:r>
      <w:r>
        <w:rPr>
          <w:rFonts w:hint="eastAsia" w:ascii="宋体" w:hAnsi="宋体" w:eastAsia="宋体" w:cs="宋体"/>
          <w:b/>
          <w:bCs/>
          <w:color w:val="auto"/>
          <w:sz w:val="24"/>
          <w:szCs w:val="24"/>
          <w:lang w:val="zh-CN"/>
        </w:rPr>
        <w:t>价格</w:t>
      </w:r>
    </w:p>
    <w:p w14:paraId="35C05529">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9.1 </w:t>
      </w:r>
      <w:r>
        <w:rPr>
          <w:rFonts w:hint="eastAsia" w:ascii="宋体" w:hAnsi="宋体" w:eastAsia="宋体" w:cs="宋体"/>
          <w:color w:val="auto"/>
          <w:sz w:val="24"/>
          <w:szCs w:val="24"/>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01444812">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9.2 </w:t>
      </w:r>
      <w:r>
        <w:rPr>
          <w:rFonts w:hint="eastAsia" w:ascii="宋体" w:hAnsi="宋体" w:eastAsia="宋体" w:cs="宋体"/>
          <w:color w:val="auto"/>
          <w:sz w:val="24"/>
          <w:szCs w:val="24"/>
          <w:lang w:val="zh-CN"/>
        </w:rPr>
        <w:t>本合同价格为固定价格，包括了乙方履行合同全过程产生的所有成本和费用以及乙方应承担的一切税费。</w:t>
      </w:r>
    </w:p>
    <w:p w14:paraId="1ECF0F00">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9.3</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检验费用</w:t>
      </w:r>
    </w:p>
    <w:p w14:paraId="60D69153">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9.3.1 </w:t>
      </w:r>
      <w:r>
        <w:rPr>
          <w:rFonts w:hint="eastAsia" w:ascii="宋体" w:hAnsi="宋体" w:eastAsia="宋体" w:cs="宋体"/>
          <w:color w:val="auto"/>
          <w:sz w:val="24"/>
          <w:szCs w:val="24"/>
          <w:lang w:val="zh-CN"/>
        </w:rPr>
        <w:t>乙方必须负担本条款下属于乙方负责的检验、测试、调试、试运行和验收的所有费用，并负责乙方派往买方组织的检验、测试和验收人员的所有费用。</w:t>
      </w:r>
    </w:p>
    <w:p w14:paraId="573E9F6E">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9.3.2 </w:t>
      </w:r>
      <w:r>
        <w:rPr>
          <w:rFonts w:hint="eastAsia" w:ascii="宋体" w:hAnsi="宋体" w:eastAsia="宋体" w:cs="宋体"/>
          <w:color w:val="auto"/>
          <w:sz w:val="24"/>
          <w:szCs w:val="24"/>
          <w:lang w:val="zh-CN"/>
        </w:rPr>
        <w:t>甲方按合同计划参加在乙方工厂所在地检验、测试和验收的费用全部由乙方负责并已包含在合同总价中。</w:t>
      </w:r>
    </w:p>
    <w:p w14:paraId="4F2ACB16">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9.3.3</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甲方检验人员已到卖方所在地，测试无法依照合同进行，而引起甲方人员延长逗留时间，所有由此产生的包括甲方人员在内的直接费用及成本由乙方承担。</w:t>
      </w:r>
    </w:p>
    <w:p w14:paraId="4B7CE5FA">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10.</w:t>
      </w:r>
      <w:r>
        <w:rPr>
          <w:rFonts w:hint="eastAsia" w:ascii="宋体" w:hAnsi="宋体" w:eastAsia="宋体" w:cs="宋体"/>
          <w:b/>
          <w:bCs/>
          <w:color w:val="auto"/>
          <w:sz w:val="24"/>
          <w:szCs w:val="24"/>
          <w:lang w:val="zh-CN"/>
        </w:rPr>
        <w:t>交货方式及交货日期</w:t>
      </w:r>
    </w:p>
    <w:p w14:paraId="711F5923">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交货方式：现场交货，乙方负责办理运输和保险，将货物运抵现场。</w:t>
      </w:r>
    </w:p>
    <w:p w14:paraId="73611E9A">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交货时间应根据产品的特点实事求是填写，进口产品90个工作日内，国产产品60个工作日内。特殊产品交货时间需说明。</w:t>
      </w:r>
    </w:p>
    <w:p w14:paraId="63EB747D">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交货日期：所有货物运抵现场并经双方开箱验收合格之日。</w:t>
      </w:r>
    </w:p>
    <w:p w14:paraId="5E56ACC5">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11.检验和验收</w:t>
      </w:r>
    </w:p>
    <w:p w14:paraId="5D500A2D">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11.1</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开箱验收</w:t>
      </w:r>
    </w:p>
    <w:p w14:paraId="36F25065">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11.1.1</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货物运抵现场后，双方应及时开箱验收，并制作验收记录，以确认与本合同约定的数量、型号等是否一致。</w:t>
      </w:r>
    </w:p>
    <w:p w14:paraId="5E8818B7">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11.1.2 </w:t>
      </w:r>
      <w:r>
        <w:rPr>
          <w:rFonts w:hint="eastAsia" w:ascii="宋体" w:hAnsi="宋体" w:eastAsia="宋体" w:cs="宋体"/>
          <w:color w:val="auto"/>
          <w:sz w:val="24"/>
          <w:szCs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7C512EE5">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11.1.3 </w:t>
      </w:r>
      <w:r>
        <w:rPr>
          <w:rFonts w:hint="eastAsia" w:ascii="宋体" w:hAnsi="宋体" w:eastAsia="宋体" w:cs="宋体"/>
          <w:color w:val="auto"/>
          <w:sz w:val="24"/>
          <w:szCs w:val="24"/>
          <w:lang w:val="zh-CN"/>
        </w:rPr>
        <w:t>开箱验收中如发现货物的数量、规格与合同约定不符，甲方有权拒收货物，乙方应及时按甲方要求免费对拒收货物采取更换或其他必要的补救措施，直至开箱验收合格，方视为乙方完成交货。</w:t>
      </w:r>
    </w:p>
    <w:p w14:paraId="72D5615F">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 </w:t>
      </w:r>
      <w:r>
        <w:rPr>
          <w:rFonts w:hint="eastAsia" w:ascii="宋体" w:hAnsi="宋体" w:eastAsia="宋体" w:cs="宋体"/>
          <w:color w:val="auto"/>
          <w:sz w:val="24"/>
          <w:szCs w:val="24"/>
          <w:lang w:val="zh-CN"/>
        </w:rPr>
        <w:t>检验验收</w:t>
      </w:r>
    </w:p>
    <w:p w14:paraId="057E19AD">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11.2.1 </w:t>
      </w:r>
      <w:r>
        <w:rPr>
          <w:rFonts w:hint="eastAsia" w:ascii="宋体" w:hAnsi="宋体" w:eastAsia="宋体" w:cs="宋体"/>
          <w:color w:val="auto"/>
          <w:sz w:val="24"/>
          <w:szCs w:val="24"/>
          <w:lang w:val="zh-CN"/>
        </w:rPr>
        <w:t>交货完成后，乙方应及时组装、调试、试运行，按照合同专用条款规定的试运行完成后，双方及时组织对货物检验验收。合同双方均须派人参加合同要求双方参加的试验、检验。</w:t>
      </w:r>
    </w:p>
    <w:p w14:paraId="419932FC">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11.2.2 </w:t>
      </w:r>
      <w:r>
        <w:rPr>
          <w:rFonts w:hint="eastAsia" w:ascii="宋体" w:hAnsi="宋体" w:eastAsia="宋体" w:cs="宋体"/>
          <w:color w:val="auto"/>
          <w:sz w:val="24"/>
          <w:szCs w:val="24"/>
          <w:lang w:val="zh-CN"/>
        </w:rPr>
        <w:t>在具体实施合同规定的检验验收之前，乙方需提前提交相应的测试计划（包括测试程序、测试内容和检验标准、试验时间安排等）供甲方确认。</w:t>
      </w:r>
    </w:p>
    <w:p w14:paraId="32FBE6A0">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11.2.3  </w:t>
      </w:r>
      <w:r>
        <w:rPr>
          <w:rFonts w:hint="eastAsia" w:ascii="宋体" w:hAnsi="宋体" w:eastAsia="宋体" w:cs="宋体"/>
          <w:color w:val="auto"/>
          <w:sz w:val="24"/>
          <w:szCs w:val="24"/>
          <w:lang w:val="zh-CN"/>
        </w:rPr>
        <w:t>除需甲方确认的试验验收外，乙方还应对所有检验验收测试的结果、步骤、原始数据等作妥善记录。如甲方要求，乙方应提供这些记录给买方。</w:t>
      </w:r>
    </w:p>
    <w:p w14:paraId="1A7D7F0E">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11.2.4 </w:t>
      </w:r>
      <w:r>
        <w:rPr>
          <w:rFonts w:hint="eastAsia" w:ascii="宋体" w:hAnsi="宋体" w:eastAsia="宋体" w:cs="宋体"/>
          <w:color w:val="auto"/>
          <w:sz w:val="24"/>
          <w:szCs w:val="24"/>
          <w:lang w:val="zh-CN"/>
        </w:rPr>
        <w:t>检验测试出现全部或部分未达到本合同所约定的技术指标，甲方有权选择下列任一处理方式：</w:t>
      </w:r>
    </w:p>
    <w:p w14:paraId="4C8AF39D">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a.</w:t>
      </w:r>
      <w:r>
        <w:rPr>
          <w:rFonts w:hint="eastAsia" w:ascii="宋体" w:hAnsi="宋体" w:eastAsia="宋体" w:cs="宋体"/>
          <w:color w:val="auto"/>
          <w:sz w:val="24"/>
          <w:szCs w:val="24"/>
          <w:lang w:val="zh-CN"/>
        </w:rPr>
        <w:t>重新测试直至合格为止；</w:t>
      </w:r>
    </w:p>
    <w:p w14:paraId="4CC3100F">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b.</w:t>
      </w:r>
      <w:r>
        <w:rPr>
          <w:rFonts w:hint="eastAsia" w:ascii="宋体" w:hAnsi="宋体" w:eastAsia="宋体" w:cs="宋体"/>
          <w:color w:val="auto"/>
          <w:sz w:val="24"/>
          <w:szCs w:val="24"/>
          <w:lang w:val="zh-CN"/>
        </w:rPr>
        <w:t>要求乙方对货物进行免费更换，然后重新测试直至合格为止；</w:t>
      </w:r>
    </w:p>
    <w:p w14:paraId="04C0B5C2">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无论选择何种方式，甲方因此而发生的因卖方原因引起的所有费用均由乙方负担。</w:t>
      </w:r>
    </w:p>
    <w:p w14:paraId="4914E7AB">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11.3 </w:t>
      </w:r>
      <w:r>
        <w:rPr>
          <w:rFonts w:hint="eastAsia" w:ascii="宋体" w:hAnsi="宋体" w:eastAsia="宋体" w:cs="宋体"/>
          <w:color w:val="auto"/>
          <w:sz w:val="24"/>
          <w:szCs w:val="24"/>
          <w:lang w:val="zh-CN"/>
        </w:rPr>
        <w:t>使用过程检验</w:t>
      </w:r>
    </w:p>
    <w:p w14:paraId="2324AA9B">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11.3.1</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7B97E02C">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11.3.2</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如果合同双方对乙方提供的上述试验结果报告的解释有分歧，双方须于出现分歧后</w:t>
      </w:r>
      <w:r>
        <w:rPr>
          <w:rFonts w:hint="eastAsia" w:ascii="宋体" w:hAnsi="宋体" w:eastAsia="宋体" w:cs="宋体"/>
          <w:color w:val="auto"/>
          <w:sz w:val="24"/>
          <w:szCs w:val="24"/>
        </w:rPr>
        <w:t>10</w:t>
      </w:r>
      <w:r>
        <w:rPr>
          <w:rFonts w:hint="eastAsia" w:ascii="宋体" w:hAnsi="宋体" w:eastAsia="宋体" w:cs="宋体"/>
          <w:color w:val="auto"/>
          <w:sz w:val="24"/>
          <w:szCs w:val="24"/>
          <w:lang w:val="zh-CN"/>
        </w:rPr>
        <w:t>天内给对方声明，以陈述己方的观点。声明须附有关证据。分歧应通过协商解决。</w:t>
      </w:r>
    </w:p>
    <w:p w14:paraId="64EB93D5">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12.</w:t>
      </w:r>
      <w:r>
        <w:rPr>
          <w:rFonts w:hint="eastAsia" w:ascii="宋体" w:hAnsi="宋体" w:eastAsia="宋体" w:cs="宋体"/>
          <w:b/>
          <w:bCs/>
          <w:color w:val="auto"/>
          <w:sz w:val="24"/>
          <w:szCs w:val="24"/>
          <w:lang w:val="zh-CN"/>
        </w:rPr>
        <w:t>付款条件</w:t>
      </w:r>
    </w:p>
    <w:p w14:paraId="314238D8">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本合同条款下的付款方法和条件在“采购合同书”中具体规定。</w:t>
      </w:r>
    </w:p>
    <w:p w14:paraId="7628A540">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13.</w:t>
      </w:r>
      <w:r>
        <w:rPr>
          <w:rFonts w:hint="eastAsia" w:ascii="宋体" w:hAnsi="宋体" w:eastAsia="宋体" w:cs="宋体"/>
          <w:b/>
          <w:bCs/>
          <w:color w:val="auto"/>
          <w:sz w:val="24"/>
          <w:szCs w:val="24"/>
          <w:lang w:val="zh-CN"/>
        </w:rPr>
        <w:t>履约保证金</w:t>
      </w:r>
    </w:p>
    <w:p w14:paraId="462616EC">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13.1</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乙方应在合同签订前，按磋商文件的约定提交履约保证金。</w:t>
      </w:r>
    </w:p>
    <w:p w14:paraId="0B1BA4F8">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13.2</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履约保证金用于补偿甲方因乙方不能履行其合同义务而蒙受的损失。</w:t>
      </w:r>
    </w:p>
    <w:p w14:paraId="4928A591">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13.3</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履约保证金应使用本合同货币，按下述方式之一提交（磋商文件中另有约定的除外）：</w:t>
      </w:r>
    </w:p>
    <w:p w14:paraId="5A692C99">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13.3.1</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甲方可接受的在中华人民共和国注册和营业的银行出具的履约保函；</w:t>
      </w:r>
    </w:p>
    <w:p w14:paraId="2E376374">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13.3.2 </w:t>
      </w:r>
      <w:r>
        <w:rPr>
          <w:rFonts w:hint="eastAsia" w:ascii="宋体" w:hAnsi="宋体" w:eastAsia="宋体" w:cs="宋体"/>
          <w:color w:val="auto"/>
          <w:sz w:val="24"/>
          <w:szCs w:val="24"/>
          <w:lang w:val="zh-CN"/>
        </w:rPr>
        <w:t>支票或汇票。</w:t>
      </w:r>
    </w:p>
    <w:p w14:paraId="3F81276C">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13.4</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乙方未能按合同规定履行其义务，甲方有权从履约保证金中取得补偿。货物验收合格后，甲方将履约保证金退还乙方或转为质量保证金。</w:t>
      </w:r>
    </w:p>
    <w:p w14:paraId="567719D6">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14.</w:t>
      </w:r>
      <w:r>
        <w:rPr>
          <w:rFonts w:hint="eastAsia" w:ascii="宋体" w:hAnsi="宋体" w:eastAsia="宋体" w:cs="宋体"/>
          <w:b/>
          <w:bCs/>
          <w:color w:val="auto"/>
          <w:sz w:val="24"/>
          <w:szCs w:val="24"/>
          <w:lang w:val="zh-CN"/>
        </w:rPr>
        <w:t>索赔</w:t>
      </w:r>
    </w:p>
    <w:p w14:paraId="63A25644">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14.1</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28D4C8E2">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14.2</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在履约保证期和检验期内，乙方对甲方提出的索赔负有责任，乙方应按照甲方同意的下列一种或多种方式解决索赔事宜：</w:t>
      </w:r>
    </w:p>
    <w:p w14:paraId="281D6A75">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14.2.1</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7CA51AE6">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14.2.2</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根据货物低劣程度、损坏程度以及甲方所遭受损失的数额，经甲乙双方商定降低货物的价格，或由有资质的中介机构评估，以降低后的价格或评估价格为准。</w:t>
      </w:r>
    </w:p>
    <w:p w14:paraId="40B18889">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14.2.3</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0A0A6FEE">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14.3</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乙方收到甲方发出的索赔通知之日起</w:t>
      </w: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个工作日内未作答复的，甲方可从合同款或履约保证金中扣回索赔金额，如金额不足以补偿索赔金额，乙方应补足差额部分。</w:t>
      </w:r>
    </w:p>
    <w:p w14:paraId="14CBCF81">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15.</w:t>
      </w:r>
      <w:r>
        <w:rPr>
          <w:rFonts w:hint="eastAsia" w:ascii="宋体" w:hAnsi="宋体" w:eastAsia="宋体" w:cs="宋体"/>
          <w:b/>
          <w:bCs/>
          <w:color w:val="auto"/>
          <w:sz w:val="24"/>
          <w:szCs w:val="24"/>
          <w:lang w:val="zh-CN"/>
        </w:rPr>
        <w:t>迟延交货</w:t>
      </w:r>
    </w:p>
    <w:p w14:paraId="68067EF9">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15.1 </w:t>
      </w:r>
      <w:r>
        <w:rPr>
          <w:rFonts w:hint="eastAsia" w:ascii="宋体" w:hAnsi="宋体" w:eastAsia="宋体" w:cs="宋体"/>
          <w:color w:val="auto"/>
          <w:sz w:val="24"/>
          <w:szCs w:val="24"/>
          <w:lang w:val="zh-CN"/>
        </w:rPr>
        <w:t>乙方应按照合同约定的时间交货和提供服务。</w:t>
      </w:r>
    </w:p>
    <w:p w14:paraId="7BA2C58D">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15.2 </w:t>
      </w:r>
      <w:r>
        <w:rPr>
          <w:rFonts w:hint="eastAsia" w:ascii="宋体" w:hAnsi="宋体" w:eastAsia="宋体" w:cs="宋体"/>
          <w:color w:val="auto"/>
          <w:sz w:val="24"/>
          <w:szCs w:val="24"/>
          <w:lang w:val="zh-CN"/>
        </w:rPr>
        <w:t>除不可抗力因素外，乙方迟延交货，甲方有权提出违约损失赔偿或解除合同。</w:t>
      </w:r>
    </w:p>
    <w:p w14:paraId="69926BDE">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15.3</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3191660F">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16.</w:t>
      </w:r>
      <w:r>
        <w:rPr>
          <w:rFonts w:hint="eastAsia" w:ascii="宋体" w:hAnsi="宋体" w:eastAsia="宋体" w:cs="宋体"/>
          <w:b/>
          <w:bCs/>
          <w:color w:val="auto"/>
          <w:sz w:val="24"/>
          <w:szCs w:val="24"/>
          <w:lang w:val="zh-CN"/>
        </w:rPr>
        <w:t>违约赔偿</w:t>
      </w:r>
    </w:p>
    <w:p w14:paraId="611407EB">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除不可抗力因素外，乙方没有按照合同规定的时间交货和提供服务，甲方可要求乙方支付违约金。违约金每日按合同总价款的千分之五计收。</w:t>
      </w:r>
    </w:p>
    <w:p w14:paraId="2DDCD111">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17.</w:t>
      </w:r>
      <w:r>
        <w:rPr>
          <w:rFonts w:hint="eastAsia" w:ascii="宋体" w:hAnsi="宋体" w:eastAsia="宋体" w:cs="宋体"/>
          <w:b/>
          <w:bCs/>
          <w:color w:val="auto"/>
          <w:sz w:val="24"/>
          <w:szCs w:val="24"/>
          <w:lang w:val="zh-CN"/>
        </w:rPr>
        <w:t>不可抗力</w:t>
      </w:r>
    </w:p>
    <w:p w14:paraId="79187ADB">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17.1</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双方中任何一方遭遇法律规定的不可抗力，致使合同履行受阻时，履行合同的期限应予延长，延长的期限应相当于不可抗力所影响的时间。</w:t>
      </w:r>
    </w:p>
    <w:p w14:paraId="4840298F">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17.2</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受事故影响的一方应在不可抗力的事故发生后以书面形式通知另一方。</w:t>
      </w:r>
    </w:p>
    <w:p w14:paraId="2F76881C">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17.3</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不可抗力使合同的某些内容有变更必要的，双方应通过协商达成进一步履行合同的协议，因不可抗力致使合同不能履行的，合同终止。</w:t>
      </w:r>
    </w:p>
    <w:p w14:paraId="24FBC5B8">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18.</w:t>
      </w:r>
      <w:r>
        <w:rPr>
          <w:rFonts w:hint="eastAsia" w:ascii="宋体" w:hAnsi="宋体" w:eastAsia="宋体" w:cs="宋体"/>
          <w:b/>
          <w:bCs/>
          <w:color w:val="auto"/>
          <w:sz w:val="24"/>
          <w:szCs w:val="24"/>
          <w:lang w:val="zh-CN"/>
        </w:rPr>
        <w:t>税费</w:t>
      </w:r>
    </w:p>
    <w:p w14:paraId="21F3C494">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与本合同有关的一切税费均由乙方承担。</w:t>
      </w:r>
    </w:p>
    <w:p w14:paraId="6FB8C7B7">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19.</w:t>
      </w:r>
      <w:r>
        <w:rPr>
          <w:rFonts w:hint="eastAsia" w:ascii="宋体" w:hAnsi="宋体" w:eastAsia="宋体" w:cs="宋体"/>
          <w:b/>
          <w:bCs/>
          <w:color w:val="auto"/>
          <w:sz w:val="24"/>
          <w:szCs w:val="24"/>
          <w:lang w:val="zh-CN"/>
        </w:rPr>
        <w:t>合同争议的解决</w:t>
      </w:r>
    </w:p>
    <w:p w14:paraId="2CC753FA">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19.1</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甲方和乙方由于本合同的履行而发生任何争议时，双方可先通过协商解决。</w:t>
      </w:r>
    </w:p>
    <w:p w14:paraId="4AC13123">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19.2</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任何一方不愿通过协商或通过协商仍不能解决争议，则双方中任何一方均应向甲方所在地人民法院起诉。</w:t>
      </w:r>
    </w:p>
    <w:p w14:paraId="09345B64">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20.</w:t>
      </w:r>
      <w:r>
        <w:rPr>
          <w:rFonts w:hint="eastAsia" w:ascii="宋体" w:hAnsi="宋体" w:eastAsia="宋体" w:cs="宋体"/>
          <w:b/>
          <w:bCs/>
          <w:color w:val="auto"/>
          <w:sz w:val="24"/>
          <w:szCs w:val="24"/>
          <w:lang w:val="zh-CN"/>
        </w:rPr>
        <w:t>违约解除合同</w:t>
      </w:r>
    </w:p>
    <w:p w14:paraId="7C49C996">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20.1</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出现下列情形之一的，视为乙方违约。甲方可向乙方发出书面通知，部分或全部终止合同，同时保留向乙方索赔的权利。</w:t>
      </w:r>
    </w:p>
    <w:p w14:paraId="691853FA">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20.1.1</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乙方未能在合同规定的限期或甲方同意延长的限期内，提供全部或部分货物的；</w:t>
      </w:r>
    </w:p>
    <w:p w14:paraId="37C48E6E">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20.1.2</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乙方未能履行合同规定的其它主要义务的；</w:t>
      </w:r>
    </w:p>
    <w:p w14:paraId="5DAAE454">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20.1.3</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乙方在本合同履行过程中有欺诈行为的。</w:t>
      </w:r>
    </w:p>
    <w:p w14:paraId="2983707E">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20.2</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775188BA">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21.</w:t>
      </w:r>
      <w:r>
        <w:rPr>
          <w:rFonts w:hint="eastAsia" w:ascii="宋体" w:hAnsi="宋体" w:eastAsia="宋体" w:cs="宋体"/>
          <w:b/>
          <w:bCs/>
          <w:color w:val="auto"/>
          <w:sz w:val="24"/>
          <w:szCs w:val="24"/>
          <w:lang w:val="zh-CN"/>
        </w:rPr>
        <w:t>破产终止合同</w:t>
      </w:r>
    </w:p>
    <w:p w14:paraId="1EF5C5AF">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乙方破产而无法完全履行本合同义务时，甲方可以书面方式通知乙方终止合同而不给予乙方补偿。该合同的终止将不损害或不影响甲方已经采取或将要采取任何行动或补救措施的权利。</w:t>
      </w:r>
    </w:p>
    <w:p w14:paraId="6EC3A4E6">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22.</w:t>
      </w:r>
      <w:r>
        <w:rPr>
          <w:rFonts w:hint="eastAsia" w:ascii="宋体" w:hAnsi="宋体" w:eastAsia="宋体" w:cs="宋体"/>
          <w:b/>
          <w:bCs/>
          <w:color w:val="auto"/>
          <w:sz w:val="24"/>
          <w:szCs w:val="24"/>
          <w:lang w:val="zh-CN"/>
        </w:rPr>
        <w:t>转让和分包</w:t>
      </w:r>
    </w:p>
    <w:p w14:paraId="1A167506">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22.1</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采购合同不能转让。</w:t>
      </w:r>
    </w:p>
    <w:p w14:paraId="6A2E50FC">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22.2</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438418D7">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23.</w:t>
      </w:r>
      <w:r>
        <w:rPr>
          <w:rFonts w:hint="eastAsia" w:ascii="宋体" w:hAnsi="宋体" w:eastAsia="宋体" w:cs="宋体"/>
          <w:b/>
          <w:bCs/>
          <w:color w:val="auto"/>
          <w:sz w:val="24"/>
          <w:szCs w:val="24"/>
          <w:lang w:val="zh-CN"/>
        </w:rPr>
        <w:t>合同修改</w:t>
      </w:r>
    </w:p>
    <w:p w14:paraId="0E3E27CD">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甲方和乙方都不得擅自变更本合同，但合同继续履行将损害国家和社会公共利益的除外。如必须对合同条款进行改动时，当事人双方须共同签署书面文件，做为合同的补充。</w:t>
      </w:r>
    </w:p>
    <w:p w14:paraId="3B2B2C78">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24.</w:t>
      </w:r>
      <w:r>
        <w:rPr>
          <w:rFonts w:hint="eastAsia" w:ascii="宋体" w:hAnsi="宋体" w:eastAsia="宋体" w:cs="宋体"/>
          <w:b/>
          <w:bCs/>
          <w:color w:val="auto"/>
          <w:sz w:val="24"/>
          <w:szCs w:val="24"/>
          <w:lang w:val="zh-CN"/>
        </w:rPr>
        <w:t>通知</w:t>
      </w:r>
    </w:p>
    <w:p w14:paraId="3555D68B">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本合同任何一方给另一方的通知，都应以书面形式发送，而另一方也应以书面形式确认并发送到对方明确的地址。</w:t>
      </w:r>
    </w:p>
    <w:p w14:paraId="051D4D8D">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25.</w:t>
      </w:r>
      <w:r>
        <w:rPr>
          <w:rFonts w:hint="eastAsia" w:ascii="宋体" w:hAnsi="宋体" w:eastAsia="宋体" w:cs="宋体"/>
          <w:b/>
          <w:bCs/>
          <w:color w:val="auto"/>
          <w:sz w:val="24"/>
          <w:szCs w:val="24"/>
          <w:lang w:val="zh-CN"/>
        </w:rPr>
        <w:t>计量单位</w:t>
      </w:r>
    </w:p>
    <w:p w14:paraId="4BF419AD">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除技术规范中另有规定外</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计量单位均使用国家法定计量单位。</w:t>
      </w:r>
    </w:p>
    <w:p w14:paraId="4CAC97D5">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26.</w:t>
      </w:r>
      <w:r>
        <w:rPr>
          <w:rFonts w:hint="eastAsia" w:ascii="宋体" w:hAnsi="宋体" w:eastAsia="宋体" w:cs="宋体"/>
          <w:b/>
          <w:bCs/>
          <w:color w:val="auto"/>
          <w:sz w:val="24"/>
          <w:szCs w:val="24"/>
          <w:lang w:val="zh-CN"/>
        </w:rPr>
        <w:t>适用法律</w:t>
      </w:r>
    </w:p>
    <w:p w14:paraId="463202B4">
      <w:pPr>
        <w:autoSpaceDE w:val="0"/>
        <w:autoSpaceDN w:val="0"/>
        <w:spacing w:line="360" w:lineRule="auto"/>
        <w:ind w:firstLine="480"/>
        <w:rPr>
          <w:rFonts w:hint="eastAsia" w:ascii="宋体" w:hAnsi="宋体" w:eastAsia="宋体" w:cs="宋体"/>
          <w:b/>
          <w:color w:val="auto"/>
          <w:sz w:val="24"/>
          <w:szCs w:val="24"/>
        </w:rPr>
      </w:pPr>
      <w:r>
        <w:rPr>
          <w:rFonts w:hint="eastAsia" w:ascii="宋体" w:hAnsi="宋体" w:eastAsia="宋体" w:cs="宋体"/>
          <w:color w:val="auto"/>
          <w:sz w:val="24"/>
          <w:szCs w:val="24"/>
          <w:lang w:val="zh-CN"/>
        </w:rPr>
        <w:t>本合同按照中华人民共和国的相关法律进行解释。</w:t>
      </w:r>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0" w:num="1"/>
      <w:rtlGutter w:val="0"/>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仿宋体">
    <w:altName w:val="宋体"/>
    <w:panose1 w:val="00000000000000000000"/>
    <w:charset w:val="86"/>
    <w:family w:val="roman"/>
    <w:pitch w:val="default"/>
    <w:sig w:usb0="00000000" w:usb1="00000000" w:usb2="00000010" w:usb3="00000000" w:csb0="00040000"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5F1BB">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55E73B">
                          <w:pPr>
                            <w:pStyle w:val="11"/>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67</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1455E73B">
                    <w:pPr>
                      <w:pStyle w:val="11"/>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67</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8B68E">
    <w:pPr>
      <w:pStyle w:val="12"/>
      <w:jc w:val="center"/>
      <w:rPr>
        <w:rFonts w:hint="default" w:eastAsia="宋体"/>
        <w:lang w:val="en-US" w:eastAsia="zh-CN"/>
      </w:rPr>
    </w:pPr>
    <w:r>
      <w:rPr>
        <w:rFonts w:hint="eastAsia" w:ascii="宋体" w:hAnsi="宋体" w:eastAsia="宋体" w:cs="宋体"/>
        <w:lang w:val="zh-CN"/>
      </w:rPr>
      <w:t>青海鼎钊招标代理有限公司</w:t>
    </w:r>
    <w:r>
      <w:rPr>
        <w:rFonts w:hint="eastAsia" w:ascii="宋体" w:hAnsi="宋体" w:eastAsia="宋体" w:cs="宋体"/>
        <w:lang w:val="en-US" w:eastAsia="zh-CN"/>
      </w:rPr>
      <w:t xml:space="preserve">                                    </w:t>
    </w:r>
    <w:r>
      <w:rPr>
        <w:rFonts w:hint="eastAsia" w:ascii="宋体" w:hAnsi="宋体" w:cs="宋体"/>
        <w:lang w:val="en-US" w:eastAsia="zh-CN"/>
      </w:rPr>
      <w:t>青海鼎钊竞谈（货物）2024-037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C64F27"/>
    <w:multiLevelType w:val="singleLevel"/>
    <w:tmpl w:val="5EC64F2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bordersDoNotSurroundHeader w:val="0"/>
  <w:bordersDoNotSurroundFooter w:val="0"/>
  <w:documentProtection w:enforcement="0"/>
  <w:defaultTabStop w:val="420"/>
  <w:drawingGridVerticalSpacing w:val="16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jYTkzMTk0NmI0ODFjNGUxMGVmYTUwNmZkODlkMzcifQ=="/>
  </w:docVars>
  <w:rsids>
    <w:rsidRoot w:val="7D9B5E16"/>
    <w:rsid w:val="00411CA3"/>
    <w:rsid w:val="00490B57"/>
    <w:rsid w:val="00535E7A"/>
    <w:rsid w:val="00661709"/>
    <w:rsid w:val="007D6E67"/>
    <w:rsid w:val="007E0A21"/>
    <w:rsid w:val="00863B59"/>
    <w:rsid w:val="00975D66"/>
    <w:rsid w:val="00A40483"/>
    <w:rsid w:val="00A45AE6"/>
    <w:rsid w:val="00A77BFD"/>
    <w:rsid w:val="00AA4C39"/>
    <w:rsid w:val="00AC446D"/>
    <w:rsid w:val="01097CE8"/>
    <w:rsid w:val="011E3D92"/>
    <w:rsid w:val="01211B1D"/>
    <w:rsid w:val="01360BD1"/>
    <w:rsid w:val="0147778C"/>
    <w:rsid w:val="01565C22"/>
    <w:rsid w:val="01715306"/>
    <w:rsid w:val="01826A17"/>
    <w:rsid w:val="01C42B8B"/>
    <w:rsid w:val="01D152A8"/>
    <w:rsid w:val="01EE19B6"/>
    <w:rsid w:val="02377457"/>
    <w:rsid w:val="02637B1D"/>
    <w:rsid w:val="02664A99"/>
    <w:rsid w:val="02757C38"/>
    <w:rsid w:val="027C5214"/>
    <w:rsid w:val="02A9297E"/>
    <w:rsid w:val="02CB7F49"/>
    <w:rsid w:val="02DE7C7D"/>
    <w:rsid w:val="02EF1E8A"/>
    <w:rsid w:val="02F4124E"/>
    <w:rsid w:val="03062D2F"/>
    <w:rsid w:val="032558AB"/>
    <w:rsid w:val="03287C8E"/>
    <w:rsid w:val="03304250"/>
    <w:rsid w:val="03435D32"/>
    <w:rsid w:val="03442F30"/>
    <w:rsid w:val="034C16B5"/>
    <w:rsid w:val="034E0176"/>
    <w:rsid w:val="03553B11"/>
    <w:rsid w:val="036C1D15"/>
    <w:rsid w:val="03950013"/>
    <w:rsid w:val="03A34D06"/>
    <w:rsid w:val="03E53D21"/>
    <w:rsid w:val="03F1316B"/>
    <w:rsid w:val="040000C7"/>
    <w:rsid w:val="042167B5"/>
    <w:rsid w:val="04387860"/>
    <w:rsid w:val="04474517"/>
    <w:rsid w:val="044807EB"/>
    <w:rsid w:val="04770945"/>
    <w:rsid w:val="04C9670A"/>
    <w:rsid w:val="04CE5ACF"/>
    <w:rsid w:val="04DE17B1"/>
    <w:rsid w:val="04EC3613"/>
    <w:rsid w:val="04F70BD1"/>
    <w:rsid w:val="05157BA2"/>
    <w:rsid w:val="05210BC9"/>
    <w:rsid w:val="052E5261"/>
    <w:rsid w:val="053D1DE9"/>
    <w:rsid w:val="05563495"/>
    <w:rsid w:val="055D0822"/>
    <w:rsid w:val="056913B5"/>
    <w:rsid w:val="05941F13"/>
    <w:rsid w:val="05BE5B43"/>
    <w:rsid w:val="05E12013"/>
    <w:rsid w:val="05FD3580"/>
    <w:rsid w:val="05FD48BE"/>
    <w:rsid w:val="05FE3B9A"/>
    <w:rsid w:val="06057AFB"/>
    <w:rsid w:val="0624278B"/>
    <w:rsid w:val="063302DF"/>
    <w:rsid w:val="064C75F3"/>
    <w:rsid w:val="069114AA"/>
    <w:rsid w:val="069C28B1"/>
    <w:rsid w:val="06A4021B"/>
    <w:rsid w:val="06DC1152"/>
    <w:rsid w:val="06F2641E"/>
    <w:rsid w:val="07041C7C"/>
    <w:rsid w:val="076B3AA9"/>
    <w:rsid w:val="076D7821"/>
    <w:rsid w:val="07867AF5"/>
    <w:rsid w:val="07CA4C73"/>
    <w:rsid w:val="07DC6755"/>
    <w:rsid w:val="07F615C4"/>
    <w:rsid w:val="081544F8"/>
    <w:rsid w:val="08297BEC"/>
    <w:rsid w:val="08353F26"/>
    <w:rsid w:val="087D7F38"/>
    <w:rsid w:val="08803584"/>
    <w:rsid w:val="0891104C"/>
    <w:rsid w:val="08934557"/>
    <w:rsid w:val="08C01BD2"/>
    <w:rsid w:val="08DF64FD"/>
    <w:rsid w:val="09376339"/>
    <w:rsid w:val="095F763D"/>
    <w:rsid w:val="097D3829"/>
    <w:rsid w:val="09E813E1"/>
    <w:rsid w:val="09F935EE"/>
    <w:rsid w:val="0A536242"/>
    <w:rsid w:val="0A546A76"/>
    <w:rsid w:val="0A61051F"/>
    <w:rsid w:val="0A6A44EC"/>
    <w:rsid w:val="0A801DDE"/>
    <w:rsid w:val="0A910426"/>
    <w:rsid w:val="0ACF434F"/>
    <w:rsid w:val="0AED28F4"/>
    <w:rsid w:val="0B1306DF"/>
    <w:rsid w:val="0B24469B"/>
    <w:rsid w:val="0B2B4C7E"/>
    <w:rsid w:val="0B492B80"/>
    <w:rsid w:val="0B584344"/>
    <w:rsid w:val="0B640F3B"/>
    <w:rsid w:val="0B8B368D"/>
    <w:rsid w:val="0B9F6417"/>
    <w:rsid w:val="0BB54002"/>
    <w:rsid w:val="0BB91287"/>
    <w:rsid w:val="0BBC7B0E"/>
    <w:rsid w:val="0BCF0AAA"/>
    <w:rsid w:val="0BD75BB1"/>
    <w:rsid w:val="0BE8391A"/>
    <w:rsid w:val="0BF23610"/>
    <w:rsid w:val="0BF62499"/>
    <w:rsid w:val="0BF83A12"/>
    <w:rsid w:val="0C076962"/>
    <w:rsid w:val="0C142961"/>
    <w:rsid w:val="0C2C7CAB"/>
    <w:rsid w:val="0C411129"/>
    <w:rsid w:val="0C566AD6"/>
    <w:rsid w:val="0C601702"/>
    <w:rsid w:val="0C661388"/>
    <w:rsid w:val="0C902153"/>
    <w:rsid w:val="0CA710DF"/>
    <w:rsid w:val="0CA87A52"/>
    <w:rsid w:val="0CAD246E"/>
    <w:rsid w:val="0CB657C6"/>
    <w:rsid w:val="0CC51EAD"/>
    <w:rsid w:val="0D256ADD"/>
    <w:rsid w:val="0D38442D"/>
    <w:rsid w:val="0D572EC9"/>
    <w:rsid w:val="0D616E1A"/>
    <w:rsid w:val="0D711167"/>
    <w:rsid w:val="0D933D59"/>
    <w:rsid w:val="0DC739FA"/>
    <w:rsid w:val="0DCF044E"/>
    <w:rsid w:val="0DD56120"/>
    <w:rsid w:val="0DED16BC"/>
    <w:rsid w:val="0E045213"/>
    <w:rsid w:val="0E1A1D85"/>
    <w:rsid w:val="0E1C2E87"/>
    <w:rsid w:val="0E500CAE"/>
    <w:rsid w:val="0E783BEB"/>
    <w:rsid w:val="0E874D29"/>
    <w:rsid w:val="0E900E79"/>
    <w:rsid w:val="0E930373"/>
    <w:rsid w:val="0E9E667F"/>
    <w:rsid w:val="0EB2020F"/>
    <w:rsid w:val="0EB65F51"/>
    <w:rsid w:val="0EB83A78"/>
    <w:rsid w:val="0EE526EA"/>
    <w:rsid w:val="0EF97BEC"/>
    <w:rsid w:val="0F144A26"/>
    <w:rsid w:val="0F166D2F"/>
    <w:rsid w:val="0F305725"/>
    <w:rsid w:val="0F3A0931"/>
    <w:rsid w:val="0F625791"/>
    <w:rsid w:val="0FAB538A"/>
    <w:rsid w:val="10161A44"/>
    <w:rsid w:val="1054157E"/>
    <w:rsid w:val="107734BE"/>
    <w:rsid w:val="10795489"/>
    <w:rsid w:val="109055EB"/>
    <w:rsid w:val="10944070"/>
    <w:rsid w:val="10B95885"/>
    <w:rsid w:val="10BC748A"/>
    <w:rsid w:val="10D47789"/>
    <w:rsid w:val="10D80401"/>
    <w:rsid w:val="10DB1C9F"/>
    <w:rsid w:val="10DE48CA"/>
    <w:rsid w:val="10FE629D"/>
    <w:rsid w:val="11312A9F"/>
    <w:rsid w:val="11670CE3"/>
    <w:rsid w:val="11C10E95"/>
    <w:rsid w:val="11C646FD"/>
    <w:rsid w:val="11CC15E8"/>
    <w:rsid w:val="11FB2BE7"/>
    <w:rsid w:val="12080872"/>
    <w:rsid w:val="120D1F67"/>
    <w:rsid w:val="123C01CE"/>
    <w:rsid w:val="12400F8A"/>
    <w:rsid w:val="12883761"/>
    <w:rsid w:val="1289645E"/>
    <w:rsid w:val="12C64289"/>
    <w:rsid w:val="12DC3AAD"/>
    <w:rsid w:val="130D1EB8"/>
    <w:rsid w:val="132F5B17"/>
    <w:rsid w:val="134C478E"/>
    <w:rsid w:val="1362694F"/>
    <w:rsid w:val="138F127E"/>
    <w:rsid w:val="139B74C4"/>
    <w:rsid w:val="13BC0277"/>
    <w:rsid w:val="13D2255B"/>
    <w:rsid w:val="13E0137B"/>
    <w:rsid w:val="141B23B3"/>
    <w:rsid w:val="14526E5B"/>
    <w:rsid w:val="145853B5"/>
    <w:rsid w:val="14972381"/>
    <w:rsid w:val="14E46C49"/>
    <w:rsid w:val="14E530ED"/>
    <w:rsid w:val="14F96B98"/>
    <w:rsid w:val="151E03AD"/>
    <w:rsid w:val="1532490E"/>
    <w:rsid w:val="155F6B7B"/>
    <w:rsid w:val="15695ACC"/>
    <w:rsid w:val="156C1118"/>
    <w:rsid w:val="15915022"/>
    <w:rsid w:val="159673EF"/>
    <w:rsid w:val="159863B1"/>
    <w:rsid w:val="15A20FDE"/>
    <w:rsid w:val="15D1541F"/>
    <w:rsid w:val="15E94352"/>
    <w:rsid w:val="15F00916"/>
    <w:rsid w:val="15F101D1"/>
    <w:rsid w:val="15F6771B"/>
    <w:rsid w:val="160A7634"/>
    <w:rsid w:val="161617D4"/>
    <w:rsid w:val="161C1F83"/>
    <w:rsid w:val="16224EA1"/>
    <w:rsid w:val="163D0D06"/>
    <w:rsid w:val="168C1346"/>
    <w:rsid w:val="16932406"/>
    <w:rsid w:val="16AB5CFC"/>
    <w:rsid w:val="16DC051F"/>
    <w:rsid w:val="16FE0496"/>
    <w:rsid w:val="17365E81"/>
    <w:rsid w:val="17B514B3"/>
    <w:rsid w:val="17C76AD9"/>
    <w:rsid w:val="1802614F"/>
    <w:rsid w:val="181531AE"/>
    <w:rsid w:val="181C1040"/>
    <w:rsid w:val="183A72AB"/>
    <w:rsid w:val="18420856"/>
    <w:rsid w:val="184B4CB4"/>
    <w:rsid w:val="18512847"/>
    <w:rsid w:val="185A675A"/>
    <w:rsid w:val="18631644"/>
    <w:rsid w:val="18AF5EEB"/>
    <w:rsid w:val="18C211CC"/>
    <w:rsid w:val="18CA0F64"/>
    <w:rsid w:val="18DA0A8E"/>
    <w:rsid w:val="18F70083"/>
    <w:rsid w:val="18F71640"/>
    <w:rsid w:val="18FF04F5"/>
    <w:rsid w:val="191D4CB5"/>
    <w:rsid w:val="19212A44"/>
    <w:rsid w:val="19227628"/>
    <w:rsid w:val="192946A2"/>
    <w:rsid w:val="195039F5"/>
    <w:rsid w:val="196071E6"/>
    <w:rsid w:val="19AC242B"/>
    <w:rsid w:val="19AC5F87"/>
    <w:rsid w:val="19CF1C75"/>
    <w:rsid w:val="19D11E91"/>
    <w:rsid w:val="19D454DE"/>
    <w:rsid w:val="19E10B40"/>
    <w:rsid w:val="19FE255B"/>
    <w:rsid w:val="1A1A1D9C"/>
    <w:rsid w:val="1A345F7C"/>
    <w:rsid w:val="1A4408B5"/>
    <w:rsid w:val="1A472154"/>
    <w:rsid w:val="1A472CA9"/>
    <w:rsid w:val="1A6F02EB"/>
    <w:rsid w:val="1A78230D"/>
    <w:rsid w:val="1A977682"/>
    <w:rsid w:val="1A9A6727"/>
    <w:rsid w:val="1A9D6217"/>
    <w:rsid w:val="1ACC3E1B"/>
    <w:rsid w:val="1AD11780"/>
    <w:rsid w:val="1AE469B6"/>
    <w:rsid w:val="1AEF3DAC"/>
    <w:rsid w:val="1AF8515B"/>
    <w:rsid w:val="1B213295"/>
    <w:rsid w:val="1B612829"/>
    <w:rsid w:val="1B662DBF"/>
    <w:rsid w:val="1B6D7998"/>
    <w:rsid w:val="1B7B0307"/>
    <w:rsid w:val="1B866CAC"/>
    <w:rsid w:val="1B99253B"/>
    <w:rsid w:val="1B9DB910"/>
    <w:rsid w:val="1BAF7FB0"/>
    <w:rsid w:val="1BD04F77"/>
    <w:rsid w:val="1BE428CB"/>
    <w:rsid w:val="1C0363DF"/>
    <w:rsid w:val="1C166281"/>
    <w:rsid w:val="1C1C46B8"/>
    <w:rsid w:val="1C200EAE"/>
    <w:rsid w:val="1C2F5B31"/>
    <w:rsid w:val="1C625023"/>
    <w:rsid w:val="1C676ADD"/>
    <w:rsid w:val="1CC01D49"/>
    <w:rsid w:val="1D2B351D"/>
    <w:rsid w:val="1D4D5CD3"/>
    <w:rsid w:val="1D7542D0"/>
    <w:rsid w:val="1D903E12"/>
    <w:rsid w:val="1D9A4A78"/>
    <w:rsid w:val="1DF93765"/>
    <w:rsid w:val="1E1C4D5D"/>
    <w:rsid w:val="1E1E4F79"/>
    <w:rsid w:val="1E2F4669"/>
    <w:rsid w:val="1E3429EF"/>
    <w:rsid w:val="1E37603B"/>
    <w:rsid w:val="1E662D79"/>
    <w:rsid w:val="1E682698"/>
    <w:rsid w:val="1E756FFB"/>
    <w:rsid w:val="1E780B2E"/>
    <w:rsid w:val="1ED74A41"/>
    <w:rsid w:val="1EED3CFC"/>
    <w:rsid w:val="1EF220FA"/>
    <w:rsid w:val="1EF36406"/>
    <w:rsid w:val="1EF65831"/>
    <w:rsid w:val="1F1220B1"/>
    <w:rsid w:val="1F132C50"/>
    <w:rsid w:val="1F1D4355"/>
    <w:rsid w:val="1F525822"/>
    <w:rsid w:val="2019175E"/>
    <w:rsid w:val="201B4CE7"/>
    <w:rsid w:val="20525060"/>
    <w:rsid w:val="20684BD2"/>
    <w:rsid w:val="207B2B57"/>
    <w:rsid w:val="207F0C88"/>
    <w:rsid w:val="2080016D"/>
    <w:rsid w:val="20875058"/>
    <w:rsid w:val="20983709"/>
    <w:rsid w:val="20E34258"/>
    <w:rsid w:val="20ED75FE"/>
    <w:rsid w:val="214F6B44"/>
    <w:rsid w:val="215A6C10"/>
    <w:rsid w:val="216C24A0"/>
    <w:rsid w:val="21983295"/>
    <w:rsid w:val="219A0747"/>
    <w:rsid w:val="21B634AE"/>
    <w:rsid w:val="21C422F5"/>
    <w:rsid w:val="21C83B7A"/>
    <w:rsid w:val="22203F2D"/>
    <w:rsid w:val="22497BDD"/>
    <w:rsid w:val="224D22D1"/>
    <w:rsid w:val="226C6BFB"/>
    <w:rsid w:val="2272669E"/>
    <w:rsid w:val="227F4D71"/>
    <w:rsid w:val="2280389A"/>
    <w:rsid w:val="229121BE"/>
    <w:rsid w:val="22C31AFD"/>
    <w:rsid w:val="22D569A0"/>
    <w:rsid w:val="231A452F"/>
    <w:rsid w:val="23386ADD"/>
    <w:rsid w:val="23461B9F"/>
    <w:rsid w:val="235D02F2"/>
    <w:rsid w:val="23A0431E"/>
    <w:rsid w:val="23A777BF"/>
    <w:rsid w:val="23C40371"/>
    <w:rsid w:val="23CC4733"/>
    <w:rsid w:val="23DC0222"/>
    <w:rsid w:val="23F549CE"/>
    <w:rsid w:val="23FC7CA6"/>
    <w:rsid w:val="241223D6"/>
    <w:rsid w:val="2435126F"/>
    <w:rsid w:val="244F40DF"/>
    <w:rsid w:val="24763D61"/>
    <w:rsid w:val="24782AD4"/>
    <w:rsid w:val="247C2A7C"/>
    <w:rsid w:val="249441E7"/>
    <w:rsid w:val="24C90335"/>
    <w:rsid w:val="24E63832"/>
    <w:rsid w:val="24E76A0D"/>
    <w:rsid w:val="24FD76C4"/>
    <w:rsid w:val="25070E5D"/>
    <w:rsid w:val="25075E28"/>
    <w:rsid w:val="25076767"/>
    <w:rsid w:val="255045B2"/>
    <w:rsid w:val="25537BFE"/>
    <w:rsid w:val="25657932"/>
    <w:rsid w:val="25733194"/>
    <w:rsid w:val="25956469"/>
    <w:rsid w:val="25A60401"/>
    <w:rsid w:val="25BA7C7E"/>
    <w:rsid w:val="25C718A8"/>
    <w:rsid w:val="25CB1E8B"/>
    <w:rsid w:val="25D845A8"/>
    <w:rsid w:val="26072B40"/>
    <w:rsid w:val="26084E8D"/>
    <w:rsid w:val="26151358"/>
    <w:rsid w:val="26153106"/>
    <w:rsid w:val="261C26E6"/>
    <w:rsid w:val="261F5D33"/>
    <w:rsid w:val="26215F4F"/>
    <w:rsid w:val="26282E39"/>
    <w:rsid w:val="26722306"/>
    <w:rsid w:val="2677349D"/>
    <w:rsid w:val="2677791D"/>
    <w:rsid w:val="26806F3F"/>
    <w:rsid w:val="26856E0D"/>
    <w:rsid w:val="26A76454"/>
    <w:rsid w:val="26B0198D"/>
    <w:rsid w:val="26B80661"/>
    <w:rsid w:val="26DE174A"/>
    <w:rsid w:val="26F45411"/>
    <w:rsid w:val="26F929A0"/>
    <w:rsid w:val="26FB67A0"/>
    <w:rsid w:val="270F7B55"/>
    <w:rsid w:val="27165D37"/>
    <w:rsid w:val="272C4BAB"/>
    <w:rsid w:val="27480DF9"/>
    <w:rsid w:val="274A7F66"/>
    <w:rsid w:val="278F5CF9"/>
    <w:rsid w:val="279F35CF"/>
    <w:rsid w:val="27A72484"/>
    <w:rsid w:val="27B32BD6"/>
    <w:rsid w:val="28246CCB"/>
    <w:rsid w:val="282D0BDB"/>
    <w:rsid w:val="282D2989"/>
    <w:rsid w:val="283850E7"/>
    <w:rsid w:val="284F6DA3"/>
    <w:rsid w:val="28553C8E"/>
    <w:rsid w:val="28585AA1"/>
    <w:rsid w:val="286F2FA1"/>
    <w:rsid w:val="28773DCD"/>
    <w:rsid w:val="28812CD5"/>
    <w:rsid w:val="28D15A0A"/>
    <w:rsid w:val="28D93D8C"/>
    <w:rsid w:val="28ED597C"/>
    <w:rsid w:val="291B0A33"/>
    <w:rsid w:val="29422464"/>
    <w:rsid w:val="295C2DFA"/>
    <w:rsid w:val="295E3016"/>
    <w:rsid w:val="29712103"/>
    <w:rsid w:val="298B4E72"/>
    <w:rsid w:val="29907531"/>
    <w:rsid w:val="29946A38"/>
    <w:rsid w:val="29DA067B"/>
    <w:rsid w:val="29DD218D"/>
    <w:rsid w:val="2A2658E2"/>
    <w:rsid w:val="2A353D77"/>
    <w:rsid w:val="2A3C3357"/>
    <w:rsid w:val="2A4B3200"/>
    <w:rsid w:val="2A64465C"/>
    <w:rsid w:val="2A6C5B33"/>
    <w:rsid w:val="2A8C0A2C"/>
    <w:rsid w:val="2AAE58D7"/>
    <w:rsid w:val="2AB16E2B"/>
    <w:rsid w:val="2ABB6B22"/>
    <w:rsid w:val="2AD8222D"/>
    <w:rsid w:val="2ADE5E46"/>
    <w:rsid w:val="2B116592"/>
    <w:rsid w:val="2B5D3585"/>
    <w:rsid w:val="2B78699C"/>
    <w:rsid w:val="2B794137"/>
    <w:rsid w:val="2B8534D0"/>
    <w:rsid w:val="2B861E09"/>
    <w:rsid w:val="2B924EA7"/>
    <w:rsid w:val="2B967B5D"/>
    <w:rsid w:val="2B9D1BD3"/>
    <w:rsid w:val="2BC25ADE"/>
    <w:rsid w:val="2BDB094E"/>
    <w:rsid w:val="2BE912BD"/>
    <w:rsid w:val="2BFB4B4C"/>
    <w:rsid w:val="2C2E0A7D"/>
    <w:rsid w:val="2C2E5CBB"/>
    <w:rsid w:val="2C3047F6"/>
    <w:rsid w:val="2C3D5164"/>
    <w:rsid w:val="2C4D184B"/>
    <w:rsid w:val="2C6E17C2"/>
    <w:rsid w:val="2C83526D"/>
    <w:rsid w:val="2C9638AE"/>
    <w:rsid w:val="2CA23219"/>
    <w:rsid w:val="2CC30608"/>
    <w:rsid w:val="2CC55886"/>
    <w:rsid w:val="2CD30EEF"/>
    <w:rsid w:val="2CEB4BC0"/>
    <w:rsid w:val="2D154D7E"/>
    <w:rsid w:val="2D1C7470"/>
    <w:rsid w:val="2D202ABC"/>
    <w:rsid w:val="2D5B3AF4"/>
    <w:rsid w:val="2D5B7F98"/>
    <w:rsid w:val="2D6D2063"/>
    <w:rsid w:val="2D7503AA"/>
    <w:rsid w:val="2D957F46"/>
    <w:rsid w:val="2DA27975"/>
    <w:rsid w:val="2DDD275B"/>
    <w:rsid w:val="2DEA131C"/>
    <w:rsid w:val="2E19750B"/>
    <w:rsid w:val="2E3D769E"/>
    <w:rsid w:val="2E6E3CFB"/>
    <w:rsid w:val="2E996D68"/>
    <w:rsid w:val="2EB54D10"/>
    <w:rsid w:val="2EC25066"/>
    <w:rsid w:val="2ED31DB0"/>
    <w:rsid w:val="2EE67D35"/>
    <w:rsid w:val="2EFC30B5"/>
    <w:rsid w:val="2F173B14"/>
    <w:rsid w:val="2F3A5686"/>
    <w:rsid w:val="2F3F2FA2"/>
    <w:rsid w:val="2F6125CE"/>
    <w:rsid w:val="2F7A1819"/>
    <w:rsid w:val="2F7B1CC0"/>
    <w:rsid w:val="2FB219C5"/>
    <w:rsid w:val="2FCF2953"/>
    <w:rsid w:val="2FD600FB"/>
    <w:rsid w:val="2FD74D0A"/>
    <w:rsid w:val="2FDB53C0"/>
    <w:rsid w:val="2FF87D20"/>
    <w:rsid w:val="302428C3"/>
    <w:rsid w:val="30466CDD"/>
    <w:rsid w:val="307C6D0A"/>
    <w:rsid w:val="307F505D"/>
    <w:rsid w:val="30997731"/>
    <w:rsid w:val="30A12166"/>
    <w:rsid w:val="30B46ED7"/>
    <w:rsid w:val="30D84A6D"/>
    <w:rsid w:val="31216E03"/>
    <w:rsid w:val="31496359"/>
    <w:rsid w:val="31865B3F"/>
    <w:rsid w:val="319375DC"/>
    <w:rsid w:val="31C970ED"/>
    <w:rsid w:val="31CA1248"/>
    <w:rsid w:val="31CD6FAF"/>
    <w:rsid w:val="31F167D5"/>
    <w:rsid w:val="32081D71"/>
    <w:rsid w:val="325A3A2B"/>
    <w:rsid w:val="325B00F2"/>
    <w:rsid w:val="32764F2C"/>
    <w:rsid w:val="3279344C"/>
    <w:rsid w:val="328B4E7C"/>
    <w:rsid w:val="32B43807"/>
    <w:rsid w:val="32B85545"/>
    <w:rsid w:val="32C57C62"/>
    <w:rsid w:val="3304078A"/>
    <w:rsid w:val="33182487"/>
    <w:rsid w:val="333853AE"/>
    <w:rsid w:val="333E1EEE"/>
    <w:rsid w:val="33784BF7"/>
    <w:rsid w:val="337E053C"/>
    <w:rsid w:val="338A1C5E"/>
    <w:rsid w:val="338A5133"/>
    <w:rsid w:val="33BA52ED"/>
    <w:rsid w:val="33D12D62"/>
    <w:rsid w:val="33D44600"/>
    <w:rsid w:val="33D97E69"/>
    <w:rsid w:val="33DB598F"/>
    <w:rsid w:val="33E04D53"/>
    <w:rsid w:val="33F24A86"/>
    <w:rsid w:val="34034EE6"/>
    <w:rsid w:val="34050C5E"/>
    <w:rsid w:val="34184F37"/>
    <w:rsid w:val="342873FA"/>
    <w:rsid w:val="343155AF"/>
    <w:rsid w:val="345614B9"/>
    <w:rsid w:val="348875DC"/>
    <w:rsid w:val="34C74165"/>
    <w:rsid w:val="35061DD1"/>
    <w:rsid w:val="351554C0"/>
    <w:rsid w:val="35433124"/>
    <w:rsid w:val="354E03E2"/>
    <w:rsid w:val="356B65D3"/>
    <w:rsid w:val="356C2617"/>
    <w:rsid w:val="35904557"/>
    <w:rsid w:val="35A3456B"/>
    <w:rsid w:val="35B446E9"/>
    <w:rsid w:val="35CD4C0A"/>
    <w:rsid w:val="35F05BDE"/>
    <w:rsid w:val="35F1149A"/>
    <w:rsid w:val="361D0D1B"/>
    <w:rsid w:val="36297806"/>
    <w:rsid w:val="36352607"/>
    <w:rsid w:val="364B0521"/>
    <w:rsid w:val="366003CD"/>
    <w:rsid w:val="36940077"/>
    <w:rsid w:val="36987B67"/>
    <w:rsid w:val="36A71B58"/>
    <w:rsid w:val="36AA1648"/>
    <w:rsid w:val="36AC3612"/>
    <w:rsid w:val="36C3270A"/>
    <w:rsid w:val="36E52470"/>
    <w:rsid w:val="37321D6A"/>
    <w:rsid w:val="3747333B"/>
    <w:rsid w:val="3751610B"/>
    <w:rsid w:val="3786627E"/>
    <w:rsid w:val="37B31CC9"/>
    <w:rsid w:val="37BF1F63"/>
    <w:rsid w:val="37D526F5"/>
    <w:rsid w:val="37E21BB6"/>
    <w:rsid w:val="37EA0A78"/>
    <w:rsid w:val="37EC3AB6"/>
    <w:rsid w:val="37F708BD"/>
    <w:rsid w:val="381009F4"/>
    <w:rsid w:val="38147538"/>
    <w:rsid w:val="38177AC2"/>
    <w:rsid w:val="382D2531"/>
    <w:rsid w:val="38330237"/>
    <w:rsid w:val="385828C1"/>
    <w:rsid w:val="387463B2"/>
    <w:rsid w:val="38795776"/>
    <w:rsid w:val="38925C27"/>
    <w:rsid w:val="38AA3B82"/>
    <w:rsid w:val="38D8249D"/>
    <w:rsid w:val="38F80D91"/>
    <w:rsid w:val="39052016"/>
    <w:rsid w:val="39194863"/>
    <w:rsid w:val="391B4A7F"/>
    <w:rsid w:val="39224FD0"/>
    <w:rsid w:val="392456E2"/>
    <w:rsid w:val="39292CF8"/>
    <w:rsid w:val="392A540E"/>
    <w:rsid w:val="39333B77"/>
    <w:rsid w:val="39365415"/>
    <w:rsid w:val="39472B23"/>
    <w:rsid w:val="39513AD4"/>
    <w:rsid w:val="39777F08"/>
    <w:rsid w:val="3986014B"/>
    <w:rsid w:val="398E34A3"/>
    <w:rsid w:val="39E61C93"/>
    <w:rsid w:val="39F747FF"/>
    <w:rsid w:val="39FA28E7"/>
    <w:rsid w:val="3A1C285D"/>
    <w:rsid w:val="3A396F6B"/>
    <w:rsid w:val="3A712BA9"/>
    <w:rsid w:val="3A754535"/>
    <w:rsid w:val="3A9C74FA"/>
    <w:rsid w:val="3AD61226"/>
    <w:rsid w:val="3AE50EA1"/>
    <w:rsid w:val="3AE96BE3"/>
    <w:rsid w:val="3AF96301"/>
    <w:rsid w:val="3B2319C9"/>
    <w:rsid w:val="3B762441"/>
    <w:rsid w:val="3B7A3CDF"/>
    <w:rsid w:val="3B9A38FD"/>
    <w:rsid w:val="3B9D5E5A"/>
    <w:rsid w:val="3BA0301A"/>
    <w:rsid w:val="3BB70A8F"/>
    <w:rsid w:val="3BD51E28"/>
    <w:rsid w:val="3C0E6A8C"/>
    <w:rsid w:val="3C126A18"/>
    <w:rsid w:val="3C1E0B0E"/>
    <w:rsid w:val="3C236125"/>
    <w:rsid w:val="3C30439E"/>
    <w:rsid w:val="3C355E58"/>
    <w:rsid w:val="3C575D49"/>
    <w:rsid w:val="3C6329C5"/>
    <w:rsid w:val="3C687FDC"/>
    <w:rsid w:val="3C805325"/>
    <w:rsid w:val="3CA1529C"/>
    <w:rsid w:val="3CAF79B9"/>
    <w:rsid w:val="3CDA061D"/>
    <w:rsid w:val="3CFB2BFE"/>
    <w:rsid w:val="3D0B0176"/>
    <w:rsid w:val="3D4C7081"/>
    <w:rsid w:val="3D532A3A"/>
    <w:rsid w:val="3D5440BC"/>
    <w:rsid w:val="3D9F3525"/>
    <w:rsid w:val="3DCC1178"/>
    <w:rsid w:val="3DCF0187"/>
    <w:rsid w:val="3DE23DBE"/>
    <w:rsid w:val="3E004C98"/>
    <w:rsid w:val="3E104487"/>
    <w:rsid w:val="3E174EC3"/>
    <w:rsid w:val="3E2117F6"/>
    <w:rsid w:val="3E304B29"/>
    <w:rsid w:val="3E3B0987"/>
    <w:rsid w:val="3E6D498B"/>
    <w:rsid w:val="3E6E73FF"/>
    <w:rsid w:val="3E6F1C2A"/>
    <w:rsid w:val="3E8135D7"/>
    <w:rsid w:val="3E8B153F"/>
    <w:rsid w:val="3E8B6203"/>
    <w:rsid w:val="3E9D5040"/>
    <w:rsid w:val="3EC9196F"/>
    <w:rsid w:val="3EDE6333"/>
    <w:rsid w:val="3EE020AB"/>
    <w:rsid w:val="3EEA117C"/>
    <w:rsid w:val="3F000963"/>
    <w:rsid w:val="3F140CE0"/>
    <w:rsid w:val="3F204B9E"/>
    <w:rsid w:val="3F235948"/>
    <w:rsid w:val="3F2521B4"/>
    <w:rsid w:val="3F6251B6"/>
    <w:rsid w:val="3F7647BE"/>
    <w:rsid w:val="3F9D61EE"/>
    <w:rsid w:val="3FA56E51"/>
    <w:rsid w:val="3FBE7F13"/>
    <w:rsid w:val="3FC62645"/>
    <w:rsid w:val="3FCC1BB2"/>
    <w:rsid w:val="3FD55988"/>
    <w:rsid w:val="3FFA1B0C"/>
    <w:rsid w:val="40185875"/>
    <w:rsid w:val="402A0AE0"/>
    <w:rsid w:val="403D352D"/>
    <w:rsid w:val="408E5B37"/>
    <w:rsid w:val="409018AF"/>
    <w:rsid w:val="40A77C4E"/>
    <w:rsid w:val="40AA0BC3"/>
    <w:rsid w:val="40B97554"/>
    <w:rsid w:val="40E13EB9"/>
    <w:rsid w:val="40E83499"/>
    <w:rsid w:val="411B386E"/>
    <w:rsid w:val="41276809"/>
    <w:rsid w:val="415A0F9A"/>
    <w:rsid w:val="416A0352"/>
    <w:rsid w:val="419453CF"/>
    <w:rsid w:val="41C17B42"/>
    <w:rsid w:val="41C73BAC"/>
    <w:rsid w:val="41CB6863"/>
    <w:rsid w:val="4205007B"/>
    <w:rsid w:val="421A1A4F"/>
    <w:rsid w:val="42204EB5"/>
    <w:rsid w:val="42295B17"/>
    <w:rsid w:val="423170C2"/>
    <w:rsid w:val="42642FF3"/>
    <w:rsid w:val="42650575"/>
    <w:rsid w:val="429F4CCE"/>
    <w:rsid w:val="42B05AFD"/>
    <w:rsid w:val="42B775C7"/>
    <w:rsid w:val="42E1293B"/>
    <w:rsid w:val="42E934F8"/>
    <w:rsid w:val="42EA1B91"/>
    <w:rsid w:val="42EA799C"/>
    <w:rsid w:val="42EE0B0F"/>
    <w:rsid w:val="430640AA"/>
    <w:rsid w:val="43137493"/>
    <w:rsid w:val="43486471"/>
    <w:rsid w:val="437152C3"/>
    <w:rsid w:val="43803F8D"/>
    <w:rsid w:val="43815049"/>
    <w:rsid w:val="439367F3"/>
    <w:rsid w:val="439A7D10"/>
    <w:rsid w:val="43A22025"/>
    <w:rsid w:val="43E30CD8"/>
    <w:rsid w:val="440A5A5D"/>
    <w:rsid w:val="44107D9B"/>
    <w:rsid w:val="441F3676"/>
    <w:rsid w:val="44307631"/>
    <w:rsid w:val="443F7874"/>
    <w:rsid w:val="444B7008"/>
    <w:rsid w:val="4453331F"/>
    <w:rsid w:val="448C05DF"/>
    <w:rsid w:val="44915BF6"/>
    <w:rsid w:val="44B87626"/>
    <w:rsid w:val="44D44EB9"/>
    <w:rsid w:val="44D577C1"/>
    <w:rsid w:val="44D63F79"/>
    <w:rsid w:val="44ED4569"/>
    <w:rsid w:val="44F41C55"/>
    <w:rsid w:val="44F80CBF"/>
    <w:rsid w:val="451B412B"/>
    <w:rsid w:val="4597548E"/>
    <w:rsid w:val="45B222C8"/>
    <w:rsid w:val="45C67B21"/>
    <w:rsid w:val="45EE208A"/>
    <w:rsid w:val="45FE72BB"/>
    <w:rsid w:val="460515BC"/>
    <w:rsid w:val="46A105A3"/>
    <w:rsid w:val="46DA7D28"/>
    <w:rsid w:val="46E25A83"/>
    <w:rsid w:val="46EA71D0"/>
    <w:rsid w:val="47084895"/>
    <w:rsid w:val="470E3181"/>
    <w:rsid w:val="47176167"/>
    <w:rsid w:val="471D1690"/>
    <w:rsid w:val="473A2575"/>
    <w:rsid w:val="475C073D"/>
    <w:rsid w:val="479E0D55"/>
    <w:rsid w:val="479E2B03"/>
    <w:rsid w:val="47AD0F98"/>
    <w:rsid w:val="47B6609F"/>
    <w:rsid w:val="47BE75C1"/>
    <w:rsid w:val="47C462E6"/>
    <w:rsid w:val="47CF0B1D"/>
    <w:rsid w:val="47D429C9"/>
    <w:rsid w:val="47DA59EE"/>
    <w:rsid w:val="47E23378"/>
    <w:rsid w:val="47F22E4F"/>
    <w:rsid w:val="482A25E9"/>
    <w:rsid w:val="48627FD5"/>
    <w:rsid w:val="486378A9"/>
    <w:rsid w:val="48E215C3"/>
    <w:rsid w:val="48F350D1"/>
    <w:rsid w:val="49221512"/>
    <w:rsid w:val="492A3696"/>
    <w:rsid w:val="49437E06"/>
    <w:rsid w:val="494B2460"/>
    <w:rsid w:val="495C7CDB"/>
    <w:rsid w:val="4968786D"/>
    <w:rsid w:val="49956188"/>
    <w:rsid w:val="49A2349F"/>
    <w:rsid w:val="49B900C8"/>
    <w:rsid w:val="49BD7227"/>
    <w:rsid w:val="4A0D491F"/>
    <w:rsid w:val="4A426816"/>
    <w:rsid w:val="4AC62A9D"/>
    <w:rsid w:val="4ACC5BD9"/>
    <w:rsid w:val="4AD87F7A"/>
    <w:rsid w:val="4ADC6818"/>
    <w:rsid w:val="4AF21F89"/>
    <w:rsid w:val="4B0D0700"/>
    <w:rsid w:val="4B1C50F9"/>
    <w:rsid w:val="4B1F3F5B"/>
    <w:rsid w:val="4B3519D1"/>
    <w:rsid w:val="4B5736F5"/>
    <w:rsid w:val="4B603D34"/>
    <w:rsid w:val="4B702A09"/>
    <w:rsid w:val="4B7778F3"/>
    <w:rsid w:val="4B885FA4"/>
    <w:rsid w:val="4B9F2679"/>
    <w:rsid w:val="4BA97CC9"/>
    <w:rsid w:val="4BC93EC7"/>
    <w:rsid w:val="4C193AAC"/>
    <w:rsid w:val="4C8B1B64"/>
    <w:rsid w:val="4C8D39F2"/>
    <w:rsid w:val="4C940979"/>
    <w:rsid w:val="4C9576B7"/>
    <w:rsid w:val="4C995F8F"/>
    <w:rsid w:val="4CA74208"/>
    <w:rsid w:val="4CB10ACF"/>
    <w:rsid w:val="4CB24246"/>
    <w:rsid w:val="4CB42DC9"/>
    <w:rsid w:val="4CC01E86"/>
    <w:rsid w:val="4CC2180F"/>
    <w:rsid w:val="4CEC2563"/>
    <w:rsid w:val="4D2717ED"/>
    <w:rsid w:val="4D2B7562"/>
    <w:rsid w:val="4D6A2CF5"/>
    <w:rsid w:val="4D8046B5"/>
    <w:rsid w:val="4D907A56"/>
    <w:rsid w:val="4DB03590"/>
    <w:rsid w:val="4DBF37D4"/>
    <w:rsid w:val="4DDA23BB"/>
    <w:rsid w:val="4DDB03B5"/>
    <w:rsid w:val="4DED4A76"/>
    <w:rsid w:val="4E035DB6"/>
    <w:rsid w:val="4E0631B0"/>
    <w:rsid w:val="4E2A1318"/>
    <w:rsid w:val="4E3C454D"/>
    <w:rsid w:val="4E52289A"/>
    <w:rsid w:val="4E9C58C3"/>
    <w:rsid w:val="4EAB5A6E"/>
    <w:rsid w:val="4EB578C5"/>
    <w:rsid w:val="4ED72EBD"/>
    <w:rsid w:val="4EDE5EDB"/>
    <w:rsid w:val="4EE202E0"/>
    <w:rsid w:val="4EE5726A"/>
    <w:rsid w:val="4F0E4A13"/>
    <w:rsid w:val="4F18763F"/>
    <w:rsid w:val="4F5C1D7A"/>
    <w:rsid w:val="4F754A92"/>
    <w:rsid w:val="4F776199"/>
    <w:rsid w:val="4F7D2F66"/>
    <w:rsid w:val="4F950C90"/>
    <w:rsid w:val="50045AFA"/>
    <w:rsid w:val="50546F19"/>
    <w:rsid w:val="5074015B"/>
    <w:rsid w:val="50874A7C"/>
    <w:rsid w:val="50B82E88"/>
    <w:rsid w:val="512178AF"/>
    <w:rsid w:val="51271052"/>
    <w:rsid w:val="51581F75"/>
    <w:rsid w:val="5176769E"/>
    <w:rsid w:val="517F39A6"/>
    <w:rsid w:val="519017FF"/>
    <w:rsid w:val="519A258E"/>
    <w:rsid w:val="51B03B5F"/>
    <w:rsid w:val="51B22AB2"/>
    <w:rsid w:val="51B43FDF"/>
    <w:rsid w:val="51BD2EC4"/>
    <w:rsid w:val="51BF3DA2"/>
    <w:rsid w:val="51C30881"/>
    <w:rsid w:val="51FE4E47"/>
    <w:rsid w:val="51FE73D1"/>
    <w:rsid w:val="521C7446"/>
    <w:rsid w:val="52456432"/>
    <w:rsid w:val="526037D7"/>
    <w:rsid w:val="52756B57"/>
    <w:rsid w:val="529D29BD"/>
    <w:rsid w:val="52A511EA"/>
    <w:rsid w:val="52CC2C1B"/>
    <w:rsid w:val="53057EDB"/>
    <w:rsid w:val="533E33EC"/>
    <w:rsid w:val="534A1D91"/>
    <w:rsid w:val="534D3630"/>
    <w:rsid w:val="53534733"/>
    <w:rsid w:val="535B4140"/>
    <w:rsid w:val="53A2777C"/>
    <w:rsid w:val="53B41740"/>
    <w:rsid w:val="53BA0A12"/>
    <w:rsid w:val="53E43F94"/>
    <w:rsid w:val="53E9079A"/>
    <w:rsid w:val="53EB3BE6"/>
    <w:rsid w:val="53F43369"/>
    <w:rsid w:val="54085ED4"/>
    <w:rsid w:val="547C241E"/>
    <w:rsid w:val="54882B71"/>
    <w:rsid w:val="54966C7E"/>
    <w:rsid w:val="549707FA"/>
    <w:rsid w:val="54AB36A4"/>
    <w:rsid w:val="54B41BB8"/>
    <w:rsid w:val="54BE47E5"/>
    <w:rsid w:val="54EA03CE"/>
    <w:rsid w:val="551045B4"/>
    <w:rsid w:val="552A59D6"/>
    <w:rsid w:val="55627866"/>
    <w:rsid w:val="5563713A"/>
    <w:rsid w:val="5571016F"/>
    <w:rsid w:val="557F61CB"/>
    <w:rsid w:val="55A87547"/>
    <w:rsid w:val="55B04C26"/>
    <w:rsid w:val="55C1045E"/>
    <w:rsid w:val="55D911AB"/>
    <w:rsid w:val="55E055C2"/>
    <w:rsid w:val="55EF09CE"/>
    <w:rsid w:val="55F51E57"/>
    <w:rsid w:val="560E354A"/>
    <w:rsid w:val="561072C2"/>
    <w:rsid w:val="56290384"/>
    <w:rsid w:val="564156AD"/>
    <w:rsid w:val="565D002E"/>
    <w:rsid w:val="56690780"/>
    <w:rsid w:val="5682736F"/>
    <w:rsid w:val="569972B8"/>
    <w:rsid w:val="56A47A0A"/>
    <w:rsid w:val="56B45E9F"/>
    <w:rsid w:val="56CE1471"/>
    <w:rsid w:val="56FB2B1E"/>
    <w:rsid w:val="572F19CA"/>
    <w:rsid w:val="574C257C"/>
    <w:rsid w:val="57512862"/>
    <w:rsid w:val="57582859"/>
    <w:rsid w:val="57757B5A"/>
    <w:rsid w:val="578A30A4"/>
    <w:rsid w:val="57A368C3"/>
    <w:rsid w:val="57A9177C"/>
    <w:rsid w:val="57B35D3A"/>
    <w:rsid w:val="57B41ECF"/>
    <w:rsid w:val="57C31664"/>
    <w:rsid w:val="57D91936"/>
    <w:rsid w:val="57EE718F"/>
    <w:rsid w:val="57F27B11"/>
    <w:rsid w:val="58012C2D"/>
    <w:rsid w:val="58122FAA"/>
    <w:rsid w:val="58584F50"/>
    <w:rsid w:val="58627B7D"/>
    <w:rsid w:val="586478ED"/>
    <w:rsid w:val="587D00AE"/>
    <w:rsid w:val="587F072F"/>
    <w:rsid w:val="588E44CE"/>
    <w:rsid w:val="589A7317"/>
    <w:rsid w:val="589E1D6D"/>
    <w:rsid w:val="58C123C1"/>
    <w:rsid w:val="58CE0D6F"/>
    <w:rsid w:val="58E757E0"/>
    <w:rsid w:val="58F63137"/>
    <w:rsid w:val="591B0458"/>
    <w:rsid w:val="59361F1D"/>
    <w:rsid w:val="593C03CE"/>
    <w:rsid w:val="593C3F2A"/>
    <w:rsid w:val="59725B9E"/>
    <w:rsid w:val="59785D57"/>
    <w:rsid w:val="59875AED"/>
    <w:rsid w:val="59A26483"/>
    <w:rsid w:val="59D24C95"/>
    <w:rsid w:val="59E44CEE"/>
    <w:rsid w:val="5A034045"/>
    <w:rsid w:val="5A1B7FE4"/>
    <w:rsid w:val="5A28422F"/>
    <w:rsid w:val="5A64644D"/>
    <w:rsid w:val="5A8E77E6"/>
    <w:rsid w:val="5AA26202"/>
    <w:rsid w:val="5AA93841"/>
    <w:rsid w:val="5AB3646E"/>
    <w:rsid w:val="5AB50438"/>
    <w:rsid w:val="5ACD57F6"/>
    <w:rsid w:val="5ADF3707"/>
    <w:rsid w:val="5AEF00AC"/>
    <w:rsid w:val="5B0B0058"/>
    <w:rsid w:val="5B2B24A8"/>
    <w:rsid w:val="5B451187"/>
    <w:rsid w:val="5B4B66A7"/>
    <w:rsid w:val="5B530396"/>
    <w:rsid w:val="5B5B5B3E"/>
    <w:rsid w:val="5B6D0D13"/>
    <w:rsid w:val="5B834092"/>
    <w:rsid w:val="5B85605C"/>
    <w:rsid w:val="5B86741A"/>
    <w:rsid w:val="5BB22BCA"/>
    <w:rsid w:val="5BB478E2"/>
    <w:rsid w:val="5BC14BBB"/>
    <w:rsid w:val="5BD91F04"/>
    <w:rsid w:val="5BFA2163"/>
    <w:rsid w:val="5C007491"/>
    <w:rsid w:val="5C1949F7"/>
    <w:rsid w:val="5C1D0043"/>
    <w:rsid w:val="5C5B6DBD"/>
    <w:rsid w:val="5C7D6D34"/>
    <w:rsid w:val="5CB36BF9"/>
    <w:rsid w:val="5CC26747"/>
    <w:rsid w:val="5CC84CFD"/>
    <w:rsid w:val="5CD34BA6"/>
    <w:rsid w:val="5CEE7C31"/>
    <w:rsid w:val="5D057DF3"/>
    <w:rsid w:val="5D1A0A26"/>
    <w:rsid w:val="5D2C4642"/>
    <w:rsid w:val="5D30024A"/>
    <w:rsid w:val="5D347D3A"/>
    <w:rsid w:val="5D46181B"/>
    <w:rsid w:val="5D4A3A21"/>
    <w:rsid w:val="5D6408DE"/>
    <w:rsid w:val="5D902BE3"/>
    <w:rsid w:val="5DDE3802"/>
    <w:rsid w:val="5DE74DAC"/>
    <w:rsid w:val="5E652175"/>
    <w:rsid w:val="5E814705"/>
    <w:rsid w:val="5EA06FBA"/>
    <w:rsid w:val="5EEB0B5D"/>
    <w:rsid w:val="5EFD415C"/>
    <w:rsid w:val="5F13572D"/>
    <w:rsid w:val="5F200A95"/>
    <w:rsid w:val="5F223BC2"/>
    <w:rsid w:val="5F2B2A77"/>
    <w:rsid w:val="5F3F4774"/>
    <w:rsid w:val="5F6146EB"/>
    <w:rsid w:val="5F683B20"/>
    <w:rsid w:val="5F8038FF"/>
    <w:rsid w:val="5F9D1C73"/>
    <w:rsid w:val="5FCE7A0F"/>
    <w:rsid w:val="5FEC2A61"/>
    <w:rsid w:val="5FF82CFA"/>
    <w:rsid w:val="5FFC654F"/>
    <w:rsid w:val="60194FC5"/>
    <w:rsid w:val="60296692"/>
    <w:rsid w:val="607E751E"/>
    <w:rsid w:val="609B2D54"/>
    <w:rsid w:val="60A32AE1"/>
    <w:rsid w:val="60AE2DC5"/>
    <w:rsid w:val="60D86C2E"/>
    <w:rsid w:val="60F25329"/>
    <w:rsid w:val="60F82E2D"/>
    <w:rsid w:val="615F4C5A"/>
    <w:rsid w:val="618B1EF3"/>
    <w:rsid w:val="61B96A60"/>
    <w:rsid w:val="61F16A83"/>
    <w:rsid w:val="61FF0CA7"/>
    <w:rsid w:val="62031A89"/>
    <w:rsid w:val="622765CB"/>
    <w:rsid w:val="62397BA1"/>
    <w:rsid w:val="62426A55"/>
    <w:rsid w:val="62593D9F"/>
    <w:rsid w:val="625D388F"/>
    <w:rsid w:val="62775FD3"/>
    <w:rsid w:val="627E55B4"/>
    <w:rsid w:val="62C51434"/>
    <w:rsid w:val="62CA07F9"/>
    <w:rsid w:val="62CF4061"/>
    <w:rsid w:val="62EF64B1"/>
    <w:rsid w:val="63212B0F"/>
    <w:rsid w:val="632919C3"/>
    <w:rsid w:val="632B573B"/>
    <w:rsid w:val="63407655"/>
    <w:rsid w:val="634E142A"/>
    <w:rsid w:val="635051A2"/>
    <w:rsid w:val="63585E05"/>
    <w:rsid w:val="635F3637"/>
    <w:rsid w:val="635F7193"/>
    <w:rsid w:val="63601EFC"/>
    <w:rsid w:val="63640C4D"/>
    <w:rsid w:val="6377272F"/>
    <w:rsid w:val="63892462"/>
    <w:rsid w:val="639302F4"/>
    <w:rsid w:val="639B3FA6"/>
    <w:rsid w:val="63AD4FAE"/>
    <w:rsid w:val="63CF2C49"/>
    <w:rsid w:val="63E36016"/>
    <w:rsid w:val="63EE0517"/>
    <w:rsid w:val="63F05A25"/>
    <w:rsid w:val="644654DC"/>
    <w:rsid w:val="64520AA6"/>
    <w:rsid w:val="647A412F"/>
    <w:rsid w:val="64897C1D"/>
    <w:rsid w:val="64A13896"/>
    <w:rsid w:val="64A31301"/>
    <w:rsid w:val="64A37553"/>
    <w:rsid w:val="64B13A1E"/>
    <w:rsid w:val="64C056AD"/>
    <w:rsid w:val="64CC2606"/>
    <w:rsid w:val="64F61D79"/>
    <w:rsid w:val="650807B8"/>
    <w:rsid w:val="650A694C"/>
    <w:rsid w:val="651D4188"/>
    <w:rsid w:val="652E102B"/>
    <w:rsid w:val="654C1999"/>
    <w:rsid w:val="655232BF"/>
    <w:rsid w:val="655820EC"/>
    <w:rsid w:val="656C203B"/>
    <w:rsid w:val="656E5DB3"/>
    <w:rsid w:val="65962C14"/>
    <w:rsid w:val="65B17A4E"/>
    <w:rsid w:val="65B37C6A"/>
    <w:rsid w:val="65C9123C"/>
    <w:rsid w:val="66141BCD"/>
    <w:rsid w:val="661E127D"/>
    <w:rsid w:val="661E1616"/>
    <w:rsid w:val="6628294C"/>
    <w:rsid w:val="664D3C1B"/>
    <w:rsid w:val="6658601C"/>
    <w:rsid w:val="666E6D57"/>
    <w:rsid w:val="668C4743"/>
    <w:rsid w:val="668C6B1C"/>
    <w:rsid w:val="66A00B1A"/>
    <w:rsid w:val="66AB0941"/>
    <w:rsid w:val="66B07D06"/>
    <w:rsid w:val="66DF6D75"/>
    <w:rsid w:val="66E1441D"/>
    <w:rsid w:val="67281F92"/>
    <w:rsid w:val="672C0C6D"/>
    <w:rsid w:val="67466E44"/>
    <w:rsid w:val="677961F6"/>
    <w:rsid w:val="67B101D9"/>
    <w:rsid w:val="67D11C12"/>
    <w:rsid w:val="68322BB5"/>
    <w:rsid w:val="683F7593"/>
    <w:rsid w:val="68464DC5"/>
    <w:rsid w:val="685D5724"/>
    <w:rsid w:val="689B5C8E"/>
    <w:rsid w:val="68DB72BC"/>
    <w:rsid w:val="68E02B24"/>
    <w:rsid w:val="68FE11FC"/>
    <w:rsid w:val="69000A2F"/>
    <w:rsid w:val="69034A64"/>
    <w:rsid w:val="690B56C7"/>
    <w:rsid w:val="6917406C"/>
    <w:rsid w:val="69203458"/>
    <w:rsid w:val="6922138F"/>
    <w:rsid w:val="693E5EAC"/>
    <w:rsid w:val="695D23C7"/>
    <w:rsid w:val="6966360B"/>
    <w:rsid w:val="69886D18"/>
    <w:rsid w:val="698B6C53"/>
    <w:rsid w:val="69A30E1A"/>
    <w:rsid w:val="69B0699A"/>
    <w:rsid w:val="69B61B05"/>
    <w:rsid w:val="69E91EAC"/>
    <w:rsid w:val="69FB05A1"/>
    <w:rsid w:val="6A082C8B"/>
    <w:rsid w:val="6A265D97"/>
    <w:rsid w:val="6A4C56A7"/>
    <w:rsid w:val="6A4D243B"/>
    <w:rsid w:val="6A611A43"/>
    <w:rsid w:val="6A7259FE"/>
    <w:rsid w:val="6A7318D2"/>
    <w:rsid w:val="6A8B3798"/>
    <w:rsid w:val="6ABE0EF6"/>
    <w:rsid w:val="6AC11213"/>
    <w:rsid w:val="6ACE538B"/>
    <w:rsid w:val="6AD95A7D"/>
    <w:rsid w:val="6B144D07"/>
    <w:rsid w:val="6B1704BF"/>
    <w:rsid w:val="6B3453A9"/>
    <w:rsid w:val="6B43739A"/>
    <w:rsid w:val="6B560E7C"/>
    <w:rsid w:val="6B8C2AEF"/>
    <w:rsid w:val="6B8F25DF"/>
    <w:rsid w:val="6B9E07C2"/>
    <w:rsid w:val="6BB169FA"/>
    <w:rsid w:val="6BB6488D"/>
    <w:rsid w:val="6BC0391C"/>
    <w:rsid w:val="6BC524A5"/>
    <w:rsid w:val="6BF07522"/>
    <w:rsid w:val="6BFD1C3F"/>
    <w:rsid w:val="6C711CE5"/>
    <w:rsid w:val="6C77554D"/>
    <w:rsid w:val="6C7D068A"/>
    <w:rsid w:val="6CB51DAA"/>
    <w:rsid w:val="6D1301DD"/>
    <w:rsid w:val="6D305867"/>
    <w:rsid w:val="6D3D723E"/>
    <w:rsid w:val="6D401191"/>
    <w:rsid w:val="6D484EC2"/>
    <w:rsid w:val="6DA07B3F"/>
    <w:rsid w:val="6E02353D"/>
    <w:rsid w:val="6E0E3C8F"/>
    <w:rsid w:val="6E0E5729"/>
    <w:rsid w:val="6E3B6A4F"/>
    <w:rsid w:val="6E501734"/>
    <w:rsid w:val="6E526272"/>
    <w:rsid w:val="6E5755DA"/>
    <w:rsid w:val="6E587601"/>
    <w:rsid w:val="6E672B2B"/>
    <w:rsid w:val="6E91041D"/>
    <w:rsid w:val="6EA840E4"/>
    <w:rsid w:val="6EB62D12"/>
    <w:rsid w:val="6EBC7B8F"/>
    <w:rsid w:val="6EC86534"/>
    <w:rsid w:val="6ED00F45"/>
    <w:rsid w:val="6F0155A2"/>
    <w:rsid w:val="6F1C062E"/>
    <w:rsid w:val="6F40256E"/>
    <w:rsid w:val="6F443BEB"/>
    <w:rsid w:val="6F5002D8"/>
    <w:rsid w:val="6F675D4D"/>
    <w:rsid w:val="6F72024E"/>
    <w:rsid w:val="6F77220A"/>
    <w:rsid w:val="6F7922B4"/>
    <w:rsid w:val="6F8166E3"/>
    <w:rsid w:val="6F9B79AD"/>
    <w:rsid w:val="6FAA79E8"/>
    <w:rsid w:val="6FB2689C"/>
    <w:rsid w:val="6FB27730"/>
    <w:rsid w:val="6FB824BF"/>
    <w:rsid w:val="702459EC"/>
    <w:rsid w:val="702F4391"/>
    <w:rsid w:val="703D09CF"/>
    <w:rsid w:val="70455963"/>
    <w:rsid w:val="705A19BC"/>
    <w:rsid w:val="70683D6E"/>
    <w:rsid w:val="713E2ADE"/>
    <w:rsid w:val="714656D3"/>
    <w:rsid w:val="7148570A"/>
    <w:rsid w:val="71494FDF"/>
    <w:rsid w:val="714C1AB3"/>
    <w:rsid w:val="715A71EC"/>
    <w:rsid w:val="717C53B4"/>
    <w:rsid w:val="719646C8"/>
    <w:rsid w:val="71970FEB"/>
    <w:rsid w:val="71B11502"/>
    <w:rsid w:val="71B903B6"/>
    <w:rsid w:val="71DF2252"/>
    <w:rsid w:val="71E271F8"/>
    <w:rsid w:val="71E64DF1"/>
    <w:rsid w:val="7202096F"/>
    <w:rsid w:val="720A0C12"/>
    <w:rsid w:val="721C357F"/>
    <w:rsid w:val="72247F25"/>
    <w:rsid w:val="726063F0"/>
    <w:rsid w:val="729F75AC"/>
    <w:rsid w:val="72BD7A32"/>
    <w:rsid w:val="72E96A79"/>
    <w:rsid w:val="72EE408F"/>
    <w:rsid w:val="72F0558E"/>
    <w:rsid w:val="7309711B"/>
    <w:rsid w:val="7320390F"/>
    <w:rsid w:val="73337CF4"/>
    <w:rsid w:val="736B313E"/>
    <w:rsid w:val="736B3932"/>
    <w:rsid w:val="738B2556"/>
    <w:rsid w:val="73972F2B"/>
    <w:rsid w:val="73AD01CF"/>
    <w:rsid w:val="73BE7F06"/>
    <w:rsid w:val="73C44DF0"/>
    <w:rsid w:val="73D634A1"/>
    <w:rsid w:val="73E221E3"/>
    <w:rsid w:val="74116287"/>
    <w:rsid w:val="74387CB8"/>
    <w:rsid w:val="74435D47"/>
    <w:rsid w:val="746F7452"/>
    <w:rsid w:val="7490269B"/>
    <w:rsid w:val="74D6302D"/>
    <w:rsid w:val="75053FA4"/>
    <w:rsid w:val="75092374"/>
    <w:rsid w:val="75181898"/>
    <w:rsid w:val="75501031"/>
    <w:rsid w:val="757F7E3A"/>
    <w:rsid w:val="75894543"/>
    <w:rsid w:val="75BE3D92"/>
    <w:rsid w:val="75BF7F65"/>
    <w:rsid w:val="75C55D9A"/>
    <w:rsid w:val="75C612F4"/>
    <w:rsid w:val="75ED4AD2"/>
    <w:rsid w:val="760C079B"/>
    <w:rsid w:val="761F0029"/>
    <w:rsid w:val="76275612"/>
    <w:rsid w:val="762F50EB"/>
    <w:rsid w:val="763B583E"/>
    <w:rsid w:val="76473B85"/>
    <w:rsid w:val="76852F5D"/>
    <w:rsid w:val="76BD6253"/>
    <w:rsid w:val="76FE6E62"/>
    <w:rsid w:val="772C162A"/>
    <w:rsid w:val="773D297D"/>
    <w:rsid w:val="77543075"/>
    <w:rsid w:val="77701517"/>
    <w:rsid w:val="77864563"/>
    <w:rsid w:val="77BA69B4"/>
    <w:rsid w:val="77C41863"/>
    <w:rsid w:val="77C57C4A"/>
    <w:rsid w:val="77E31CE9"/>
    <w:rsid w:val="77F42148"/>
    <w:rsid w:val="77FF15D9"/>
    <w:rsid w:val="78397B5B"/>
    <w:rsid w:val="785724B6"/>
    <w:rsid w:val="78796757"/>
    <w:rsid w:val="788435CF"/>
    <w:rsid w:val="789B0816"/>
    <w:rsid w:val="789F6743"/>
    <w:rsid w:val="78AE02B8"/>
    <w:rsid w:val="78CC4E73"/>
    <w:rsid w:val="78DF4BA6"/>
    <w:rsid w:val="78F671A8"/>
    <w:rsid w:val="79181E66"/>
    <w:rsid w:val="79344461"/>
    <w:rsid w:val="794013BD"/>
    <w:rsid w:val="79465555"/>
    <w:rsid w:val="79592BB3"/>
    <w:rsid w:val="79892A5F"/>
    <w:rsid w:val="798E578B"/>
    <w:rsid w:val="79CD4BFB"/>
    <w:rsid w:val="79E461EC"/>
    <w:rsid w:val="79F7BD84"/>
    <w:rsid w:val="79F91C98"/>
    <w:rsid w:val="7A1A39BC"/>
    <w:rsid w:val="7A1C5986"/>
    <w:rsid w:val="7A1C7734"/>
    <w:rsid w:val="7A230AC3"/>
    <w:rsid w:val="7A8552D9"/>
    <w:rsid w:val="7A9E142F"/>
    <w:rsid w:val="7AB931D5"/>
    <w:rsid w:val="7ACA3634"/>
    <w:rsid w:val="7AF83CFD"/>
    <w:rsid w:val="7B205002"/>
    <w:rsid w:val="7B2E5971"/>
    <w:rsid w:val="7B454A69"/>
    <w:rsid w:val="7B66335D"/>
    <w:rsid w:val="7B75534E"/>
    <w:rsid w:val="7B837EAD"/>
    <w:rsid w:val="7B9C6D7F"/>
    <w:rsid w:val="7BBF01B6"/>
    <w:rsid w:val="7BCE0F02"/>
    <w:rsid w:val="7BF64461"/>
    <w:rsid w:val="7BFF10BB"/>
    <w:rsid w:val="7C224876"/>
    <w:rsid w:val="7C355CCF"/>
    <w:rsid w:val="7C4453CC"/>
    <w:rsid w:val="7C4F3DF1"/>
    <w:rsid w:val="7C5C4760"/>
    <w:rsid w:val="7C5E2286"/>
    <w:rsid w:val="7CA51C63"/>
    <w:rsid w:val="7CAD14C7"/>
    <w:rsid w:val="7CB71996"/>
    <w:rsid w:val="7CE02C9B"/>
    <w:rsid w:val="7CE5560B"/>
    <w:rsid w:val="7CEA3B1A"/>
    <w:rsid w:val="7CF229CE"/>
    <w:rsid w:val="7D146DE8"/>
    <w:rsid w:val="7D38495C"/>
    <w:rsid w:val="7D4476CE"/>
    <w:rsid w:val="7D7B40BC"/>
    <w:rsid w:val="7D7D2BE0"/>
    <w:rsid w:val="7D9A72EE"/>
    <w:rsid w:val="7D9B5E16"/>
    <w:rsid w:val="7DA0067C"/>
    <w:rsid w:val="7DDC7906"/>
    <w:rsid w:val="7DE26685"/>
    <w:rsid w:val="7E0B1F99"/>
    <w:rsid w:val="7E143686"/>
    <w:rsid w:val="7E4D4360"/>
    <w:rsid w:val="7E5A55AC"/>
    <w:rsid w:val="7E7F7D0E"/>
    <w:rsid w:val="7E8F1AE4"/>
    <w:rsid w:val="7EC42148"/>
    <w:rsid w:val="7EE73E3D"/>
    <w:rsid w:val="7F264BB1"/>
    <w:rsid w:val="7F57F5BB"/>
    <w:rsid w:val="7F7D6EC7"/>
    <w:rsid w:val="7F9B559F"/>
    <w:rsid w:val="7FBC7F56"/>
    <w:rsid w:val="7FC00AF9"/>
    <w:rsid w:val="7FCA19E0"/>
    <w:rsid w:val="7FCC39AA"/>
    <w:rsid w:val="7FDC1E3F"/>
    <w:rsid w:val="7FEB2083"/>
    <w:rsid w:val="7FF55E62"/>
    <w:rsid w:val="7FF627D5"/>
    <w:rsid w:val="FF7DCE0C"/>
    <w:rsid w:val="FFF303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1"/>
    <w:qFormat/>
    <w:uiPriority w:val="0"/>
    <w:pPr>
      <w:keepNext/>
      <w:jc w:val="center"/>
      <w:outlineLvl w:val="0"/>
    </w:pPr>
    <w:rPr>
      <w:b/>
      <w:bCs/>
      <w:sz w:val="24"/>
      <w:szCs w:val="20"/>
    </w:rPr>
  </w:style>
  <w:style w:type="paragraph" w:styleId="4">
    <w:name w:val="heading 2"/>
    <w:basedOn w:val="1"/>
    <w:next w:val="1"/>
    <w:qFormat/>
    <w:uiPriority w:val="0"/>
    <w:pPr>
      <w:keepNext/>
      <w:keepLines/>
      <w:spacing w:line="360" w:lineRule="auto"/>
      <w:outlineLvl w:val="1"/>
    </w:pPr>
    <w:rPr>
      <w:rFonts w:ascii="Arial" w:hAnsi="Arial"/>
      <w:b/>
      <w:bCs/>
      <w:sz w:val="24"/>
      <w:szCs w:val="32"/>
    </w:rPr>
  </w:style>
  <w:style w:type="paragraph" w:styleId="5">
    <w:name w:val="heading 3"/>
    <w:basedOn w:val="1"/>
    <w:next w:val="1"/>
    <w:link w:val="42"/>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7">
    <w:name w:val="annotation text"/>
    <w:basedOn w:val="1"/>
    <w:qFormat/>
    <w:uiPriority w:val="0"/>
    <w:pPr>
      <w:jc w:val="left"/>
    </w:pPr>
  </w:style>
  <w:style w:type="paragraph" w:styleId="8">
    <w:name w:val="Body Text"/>
    <w:basedOn w:val="1"/>
    <w:unhideWhenUsed/>
    <w:qFormat/>
    <w:uiPriority w:val="0"/>
    <w:pPr>
      <w:widowControl/>
      <w:spacing w:line="360" w:lineRule="auto"/>
      <w:jc w:val="left"/>
    </w:pPr>
    <w:rPr>
      <w:rFonts w:ascii="仿宋体" w:hAnsi="Times New Roman" w:eastAsia="仿宋体"/>
      <w:kern w:val="0"/>
      <w:sz w:val="24"/>
      <w:szCs w:val="20"/>
    </w:rPr>
  </w:style>
  <w:style w:type="paragraph" w:styleId="9">
    <w:name w:val="toc 3"/>
    <w:basedOn w:val="1"/>
    <w:next w:val="1"/>
    <w:qFormat/>
    <w:uiPriority w:val="0"/>
    <w:pPr>
      <w:ind w:left="840" w:leftChars="400"/>
    </w:pPr>
  </w:style>
  <w:style w:type="paragraph" w:styleId="10">
    <w:name w:val="Plain Text"/>
    <w:basedOn w:val="1"/>
    <w:qFormat/>
    <w:uiPriority w:val="0"/>
    <w:rPr>
      <w:rFonts w:ascii="宋体" w:hAnsi="Courier New" w:cs="Courier New"/>
      <w:szCs w:val="21"/>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style>
  <w:style w:type="paragraph" w:styleId="14">
    <w:name w:val="toc 2"/>
    <w:basedOn w:val="1"/>
    <w:next w:val="1"/>
    <w:qFormat/>
    <w:uiPriority w:val="0"/>
    <w:pPr>
      <w:ind w:left="420" w:leftChars="200"/>
    </w:pPr>
  </w:style>
  <w:style w:type="paragraph" w:styleId="15">
    <w:name w:val="Normal (Web)"/>
    <w:basedOn w:val="1"/>
    <w:qFormat/>
    <w:uiPriority w:val="0"/>
    <w:pPr>
      <w:spacing w:before="100" w:beforeAutospacing="1" w:after="100" w:afterAutospacing="1"/>
      <w:ind w:left="0" w:right="0"/>
      <w:jc w:val="left"/>
    </w:pPr>
    <w:rPr>
      <w:kern w:val="0"/>
      <w:sz w:val="24"/>
      <w:lang w:val="en-US" w:eastAsia="zh-CN"/>
    </w:rPr>
  </w:style>
  <w:style w:type="paragraph" w:styleId="16">
    <w:name w:val="Title"/>
    <w:basedOn w:val="1"/>
    <w:next w:val="1"/>
    <w:qFormat/>
    <w:uiPriority w:val="0"/>
    <w:pPr>
      <w:spacing w:before="240" w:after="60"/>
      <w:jc w:val="center"/>
      <w:outlineLvl w:val="0"/>
    </w:pPr>
    <w:rPr>
      <w:rFonts w:ascii="Cambria" w:hAnsi="Cambria"/>
      <w:b/>
      <w:bCs/>
      <w:sz w:val="36"/>
      <w:szCs w:val="32"/>
    </w:rPr>
  </w:style>
  <w:style w:type="paragraph" w:styleId="17">
    <w:name w:val="Body Text First Indent"/>
    <w:basedOn w:val="8"/>
    <w:unhideWhenUsed/>
    <w:qFormat/>
    <w:uiPriority w:val="99"/>
    <w:pPr>
      <w:widowControl w:val="0"/>
      <w:spacing w:line="360" w:lineRule="auto"/>
      <w:ind w:firstLine="200" w:firstLineChars="200"/>
      <w:jc w:val="both"/>
    </w:pPr>
    <w:rPr>
      <w:rFonts w:ascii="Calibri" w:hAnsi="Calibri" w:eastAsia="宋体" w:cs="Times New Roman"/>
      <w:kern w:val="2"/>
      <w:sz w:val="21"/>
      <w:szCs w:val="24"/>
      <w:lang w:val="en-US" w:eastAsia="zh-CN" w:bidi="ar-SA"/>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rPr>
  </w:style>
  <w:style w:type="character" w:styleId="22">
    <w:name w:val="page number"/>
    <w:basedOn w:val="20"/>
    <w:qFormat/>
    <w:uiPriority w:val="0"/>
  </w:style>
  <w:style w:type="character" w:styleId="23">
    <w:name w:val="FollowedHyperlink"/>
    <w:basedOn w:val="20"/>
    <w:qFormat/>
    <w:uiPriority w:val="0"/>
    <w:rPr>
      <w:rFonts w:hint="eastAsia" w:ascii="微软雅黑" w:hAnsi="微软雅黑" w:eastAsia="微软雅黑" w:cs="微软雅黑"/>
      <w:color w:val="02396F"/>
      <w:u w:val="single"/>
    </w:rPr>
  </w:style>
  <w:style w:type="character" w:styleId="24">
    <w:name w:val="Hyperlink"/>
    <w:basedOn w:val="20"/>
    <w:qFormat/>
    <w:uiPriority w:val="0"/>
    <w:rPr>
      <w:rFonts w:ascii="微软雅黑" w:hAnsi="微软雅黑" w:eastAsia="微软雅黑" w:cs="微软雅黑"/>
      <w:color w:val="02396F"/>
      <w:u w:val="single"/>
    </w:rPr>
  </w:style>
  <w:style w:type="paragraph" w:customStyle="1" w:styleId="25">
    <w:name w:val="Default"/>
    <w:next w:val="26"/>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27">
    <w:name w:val="No Spacing"/>
    <w:qFormat/>
    <w:uiPriority w:val="99"/>
    <w:pPr>
      <w:widowControl w:val="0"/>
      <w:jc w:val="both"/>
    </w:pPr>
    <w:rPr>
      <w:rFonts w:ascii="Times New Roman" w:hAnsi="Times New Roman" w:eastAsia="宋体" w:cs="Times New Roman"/>
      <w:color w:val="000000"/>
      <w:kern w:val="2"/>
      <w:sz w:val="21"/>
      <w:szCs w:val="24"/>
      <w:lang w:val="en-US" w:eastAsia="zh-CN" w:bidi="ar-SA"/>
    </w:rPr>
  </w:style>
  <w:style w:type="paragraph" w:customStyle="1" w:styleId="28">
    <w:name w:val="trs_edito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9">
    <w:name w:val="WPSOffice手动目录 1"/>
    <w:qFormat/>
    <w:uiPriority w:val="0"/>
    <w:pPr>
      <w:ind w:leftChars="0"/>
    </w:pPr>
    <w:rPr>
      <w:rFonts w:ascii="Times New Roman" w:hAnsi="Times New Roman" w:eastAsia="宋体" w:cs="Times New Roman"/>
      <w:sz w:val="20"/>
      <w:szCs w:val="20"/>
      <w:lang w:val="en-US" w:eastAsia="zh-CN" w:bidi="ar-SA"/>
    </w:rPr>
  </w:style>
  <w:style w:type="paragraph" w:customStyle="1" w:styleId="30">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31">
    <w:name w:val="p0"/>
    <w:basedOn w:val="1"/>
    <w:qFormat/>
    <w:uiPriority w:val="0"/>
    <w:pPr>
      <w:widowControl/>
    </w:pPr>
    <w:rPr>
      <w:kern w:val="0"/>
      <w:szCs w:val="21"/>
    </w:rPr>
  </w:style>
  <w:style w:type="paragraph" w:customStyle="1" w:styleId="32">
    <w:name w:val="文章正文"/>
    <w:basedOn w:val="1"/>
    <w:qFormat/>
    <w:uiPriority w:val="0"/>
    <w:pPr>
      <w:adjustRightInd w:val="0"/>
      <w:snapToGrid w:val="0"/>
      <w:spacing w:beforeLines="100" w:line="360" w:lineRule="auto"/>
      <w:ind w:firstLine="200" w:firstLineChars="200"/>
    </w:pPr>
    <w:rPr>
      <w:sz w:val="24"/>
      <w:szCs w:val="22"/>
    </w:rPr>
  </w:style>
  <w:style w:type="paragraph" w:customStyle="1" w:styleId="33">
    <w:name w:val="WPSOffice手动目录 2"/>
    <w:qFormat/>
    <w:uiPriority w:val="0"/>
    <w:pPr>
      <w:ind w:leftChars="200"/>
    </w:pPr>
    <w:rPr>
      <w:rFonts w:ascii="Times New Roman" w:hAnsi="Times New Roman" w:eastAsia="宋体" w:cs="Times New Roman"/>
      <w:sz w:val="20"/>
      <w:szCs w:val="20"/>
      <w:lang w:val="en-US" w:eastAsia="zh-CN" w:bidi="ar-SA"/>
    </w:rPr>
  </w:style>
  <w:style w:type="paragraph" w:customStyle="1" w:styleId="34">
    <w:name w:val="WPSOffice手动目录 3"/>
    <w:qFormat/>
    <w:uiPriority w:val="0"/>
    <w:pPr>
      <w:ind w:leftChars="400"/>
    </w:pPr>
    <w:rPr>
      <w:rFonts w:ascii="Times New Roman" w:hAnsi="Times New Roman" w:eastAsia="宋体" w:cs="Times New Roman"/>
      <w:sz w:val="20"/>
      <w:szCs w:val="20"/>
      <w:lang w:val="en-US" w:eastAsia="zh-CN" w:bidi="ar-SA"/>
    </w:rPr>
  </w:style>
  <w:style w:type="character" w:customStyle="1" w:styleId="35">
    <w:name w:val="gjfg"/>
    <w:basedOn w:val="20"/>
    <w:qFormat/>
    <w:uiPriority w:val="0"/>
  </w:style>
  <w:style w:type="character" w:customStyle="1" w:styleId="36">
    <w:name w:val="displayarti"/>
    <w:basedOn w:val="20"/>
    <w:qFormat/>
    <w:uiPriority w:val="0"/>
    <w:rPr>
      <w:color w:val="FFFFFF"/>
      <w:shd w:val="clear" w:color="010000" w:fill="A00000"/>
    </w:rPr>
  </w:style>
  <w:style w:type="character" w:customStyle="1" w:styleId="37">
    <w:name w:val="redfilefwwh"/>
    <w:basedOn w:val="20"/>
    <w:qFormat/>
    <w:uiPriority w:val="0"/>
    <w:rPr>
      <w:color w:val="BA2636"/>
      <w:sz w:val="14"/>
      <w:szCs w:val="14"/>
    </w:rPr>
  </w:style>
  <w:style w:type="character" w:customStyle="1" w:styleId="38">
    <w:name w:val="redfilenumber"/>
    <w:basedOn w:val="20"/>
    <w:qFormat/>
    <w:uiPriority w:val="0"/>
    <w:rPr>
      <w:color w:val="BA2636"/>
      <w:sz w:val="14"/>
      <w:szCs w:val="14"/>
    </w:rPr>
  </w:style>
  <w:style w:type="character" w:customStyle="1" w:styleId="39">
    <w:name w:val="qxdate"/>
    <w:basedOn w:val="20"/>
    <w:qFormat/>
    <w:uiPriority w:val="0"/>
    <w:rPr>
      <w:color w:val="333333"/>
      <w:sz w:val="14"/>
      <w:szCs w:val="14"/>
    </w:rPr>
  </w:style>
  <w:style w:type="character" w:customStyle="1" w:styleId="40">
    <w:name w:val="cfdate"/>
    <w:basedOn w:val="20"/>
    <w:qFormat/>
    <w:uiPriority w:val="0"/>
    <w:rPr>
      <w:color w:val="333333"/>
      <w:sz w:val="14"/>
      <w:szCs w:val="14"/>
    </w:rPr>
  </w:style>
  <w:style w:type="character" w:customStyle="1" w:styleId="41">
    <w:name w:val="标题 1 Char"/>
    <w:link w:val="3"/>
    <w:qFormat/>
    <w:uiPriority w:val="0"/>
    <w:rPr>
      <w:b/>
      <w:bCs/>
      <w:sz w:val="24"/>
      <w:szCs w:val="20"/>
    </w:rPr>
  </w:style>
  <w:style w:type="character" w:customStyle="1" w:styleId="42">
    <w:name w:val="标题 3 Char"/>
    <w:link w:val="5"/>
    <w:qFormat/>
    <w:uiPriority w:val="0"/>
    <w:rPr>
      <w:b/>
      <w:bCs/>
      <w:sz w:val="32"/>
      <w:szCs w:val="32"/>
    </w:rPr>
  </w:style>
  <w:style w:type="paragraph" w:customStyle="1" w:styleId="43">
    <w:name w:val="样式 标题 3 + 首行缩进:  2 字符"/>
    <w:basedOn w:val="5"/>
    <w:qFormat/>
    <w:uiPriority w:val="0"/>
    <w:pPr>
      <w:tabs>
        <w:tab w:val="left" w:pos="0"/>
      </w:tabs>
      <w:spacing w:before="0" w:after="0" w:line="480" w:lineRule="exact"/>
    </w:pPr>
    <w:rPr>
      <w:sz w:val="28"/>
      <w:szCs w:val="28"/>
      <w:lang w:bidi="ar-DZ"/>
    </w:rPr>
  </w:style>
  <w:style w:type="paragraph" w:customStyle="1" w:styleId="44">
    <w:name w:val="正文（首行缩进2字符）211"/>
    <w:basedOn w:val="1"/>
    <w:qFormat/>
    <w:uiPriority w:val="99"/>
    <w:pPr>
      <w:ind w:firstLine="480"/>
    </w:pPr>
    <w:rPr>
      <w:rFonts w:ascii="Times New Roman" w:hAnsi="Times New Roman" w:cs="Times New Roman"/>
    </w:rPr>
  </w:style>
  <w:style w:type="character" w:customStyle="1" w:styleId="45">
    <w:name w:val="15_10"/>
    <w:qFormat/>
    <w:uiPriority w:val="0"/>
    <w:rPr>
      <w:rFonts w:hint="default" w:ascii="Times New Roman" w:hAnsi="Times New Roman" w:cs="Times New Roman"/>
    </w:rPr>
  </w:style>
  <w:style w:type="character" w:customStyle="1" w:styleId="46">
    <w:name w:val="15_6"/>
    <w:qFormat/>
    <w:uiPriority w:val="0"/>
    <w:rPr>
      <w:rFonts w:hint="default" w:ascii="Times New Roman" w:hAnsi="Times New Roman" w:cs="Times New Roman"/>
    </w:rPr>
  </w:style>
  <w:style w:type="character" w:customStyle="1" w:styleId="47">
    <w:name w:val="15_7"/>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61</Pages>
  <Words>27854</Words>
  <Characters>29805</Characters>
  <Lines>0</Lines>
  <Paragraphs>0</Paragraphs>
  <TotalTime>15</TotalTime>
  <ScaleCrop>false</ScaleCrop>
  <LinksUpToDate>false</LinksUpToDate>
  <CharactersWithSpaces>31419</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2020-04-01T16:51:00Z</dcterms:created>
  <dc:creator>Administrator</dc:creator>
  <cp:lastModifiedBy>雯曦</cp:lastModifiedBy>
  <cp:lastPrinted>2022-06-08T17:17:00Z</cp:lastPrinted>
  <dcterms:modified xsi:type="dcterms:W3CDTF">2024-09-13T06:34:54Z</dcterms:modified>
  <dc:title>政府采购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7FBCEFC1F35444CABF682CFAA9ACD9BE_13</vt:lpwstr>
  </property>
</Properties>
</file>