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07CC0">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p>
    <w:p w14:paraId="06559C92">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14:paraId="2F91C8A7">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14:paraId="09AECC81">
      <w:pPr>
        <w:adjustRightInd w:val="0"/>
        <w:spacing w:line="720" w:lineRule="auto"/>
        <w:ind w:firstLine="0" w:firstLineChars="0"/>
        <w:textAlignment w:val="baseline"/>
        <w:rPr>
          <w:rFonts w:hint="eastAsia" w:ascii="宋体" w:hAnsi="宋体" w:eastAsia="宋体" w:cs="宋体"/>
          <w:b/>
          <w:color w:val="auto"/>
          <w:sz w:val="24"/>
          <w:szCs w:val="24"/>
        </w:rPr>
      </w:pPr>
    </w:p>
    <w:p w14:paraId="08AC5F49">
      <w:pPr>
        <w:adjustRightInd w:val="0"/>
        <w:spacing w:line="720" w:lineRule="auto"/>
        <w:ind w:firstLine="0" w:firstLineChars="0"/>
        <w:textAlignment w:val="baseline"/>
        <w:rPr>
          <w:rFonts w:hint="eastAsia" w:ascii="宋体" w:hAnsi="宋体" w:eastAsia="宋体" w:cs="宋体"/>
          <w:b/>
          <w:color w:val="auto"/>
          <w:sz w:val="24"/>
          <w:szCs w:val="24"/>
        </w:rPr>
      </w:pPr>
    </w:p>
    <w:p w14:paraId="21F6A03B">
      <w:pPr>
        <w:adjustRightInd w:val="0"/>
        <w:spacing w:line="720" w:lineRule="auto"/>
        <w:ind w:firstLine="0" w:firstLineChars="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青海鼎钊竞磋（服务）</w:t>
      </w:r>
      <w:r>
        <w:rPr>
          <w:rFonts w:hint="eastAsia" w:ascii="宋体" w:hAnsi="宋体" w:eastAsia="宋体" w:cs="宋体"/>
          <w:b/>
          <w:color w:val="auto"/>
          <w:sz w:val="36"/>
          <w:szCs w:val="36"/>
          <w:lang w:eastAsia="zh-CN"/>
        </w:rPr>
        <w:t>2024-047</w:t>
      </w:r>
    </w:p>
    <w:p w14:paraId="372709DA">
      <w:pPr>
        <w:adjustRightInd w:val="0"/>
        <w:spacing w:line="720" w:lineRule="auto"/>
        <w:ind w:left="2530" w:right="420" w:rightChars="200" w:hanging="2530" w:hangingChars="700"/>
        <w:textAlignment w:val="baseline"/>
        <w:rPr>
          <w:rFonts w:hint="eastAsia" w:ascii="宋体" w:hAnsi="宋体" w:eastAsia="宋体" w:cs="宋体"/>
          <w:b/>
          <w:color w:val="auto"/>
          <w:sz w:val="36"/>
          <w:szCs w:val="36"/>
          <w:lang w:val="en-US"/>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val="en-US" w:eastAsia="zh-CN"/>
        </w:rPr>
        <w:t>海东市第二人民医院医疗设备维保服务采购项目</w:t>
      </w:r>
    </w:p>
    <w:p w14:paraId="2EAFEF86">
      <w:pPr>
        <w:adjustRightInd w:val="0"/>
        <w:spacing w:line="720" w:lineRule="auto"/>
        <w:ind w:left="2530" w:hanging="2530" w:hangingChars="700"/>
        <w:textAlignment w:val="baseline"/>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海东市第二人民医院</w:t>
      </w:r>
    </w:p>
    <w:p w14:paraId="4CA6EE45">
      <w:pPr>
        <w:spacing w:line="720" w:lineRule="auto"/>
        <w:ind w:firstLine="0" w:firstLineChars="0"/>
        <w:rPr>
          <w:rFonts w:hint="eastAsia" w:ascii="宋体" w:hAnsi="宋体" w:eastAsia="宋体" w:cs="宋体"/>
          <w:b/>
          <w:color w:val="auto"/>
          <w:sz w:val="36"/>
          <w:szCs w:val="36"/>
          <w:lang w:eastAsia="zh-CN"/>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青海鼎钊招标代理有限公司</w:t>
      </w:r>
    </w:p>
    <w:p w14:paraId="4BB63BA8">
      <w:pPr>
        <w:spacing w:line="720" w:lineRule="auto"/>
        <w:ind w:firstLine="0" w:firstLineChars="0"/>
        <w:rPr>
          <w:rFonts w:hint="eastAsia" w:ascii="宋体" w:hAnsi="宋体" w:eastAsia="宋体" w:cs="宋体"/>
          <w:b/>
          <w:bCs/>
          <w:color w:val="auto"/>
          <w:sz w:val="24"/>
          <w:szCs w:val="24"/>
        </w:rPr>
      </w:pPr>
    </w:p>
    <w:p w14:paraId="30F71149">
      <w:pPr>
        <w:spacing w:line="720" w:lineRule="auto"/>
        <w:ind w:firstLine="0" w:firstLineChars="0"/>
        <w:rPr>
          <w:rFonts w:hint="eastAsia" w:ascii="宋体" w:hAnsi="宋体" w:eastAsia="宋体" w:cs="宋体"/>
          <w:b/>
          <w:bCs/>
          <w:color w:val="auto"/>
          <w:sz w:val="24"/>
          <w:szCs w:val="24"/>
        </w:rPr>
      </w:pPr>
    </w:p>
    <w:p w14:paraId="6102CEBE">
      <w:pPr>
        <w:spacing w:line="720" w:lineRule="auto"/>
        <w:ind w:firstLine="0" w:firstLineChars="0"/>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11</w:t>
      </w:r>
      <w:r>
        <w:rPr>
          <w:rFonts w:hint="eastAsia" w:ascii="宋体" w:hAnsi="宋体" w:eastAsia="宋体" w:cs="宋体"/>
          <w:b/>
          <w:bCs/>
          <w:color w:val="auto"/>
          <w:sz w:val="36"/>
          <w:szCs w:val="36"/>
          <w:lang w:eastAsia="zh-CN"/>
        </w:rPr>
        <w:t>月</w:t>
      </w:r>
    </w:p>
    <w:p w14:paraId="20D79521">
      <w:pPr>
        <w:ind w:firstLine="723"/>
        <w:jc w:val="center"/>
        <w:rPr>
          <w:rFonts w:hint="eastAsia" w:ascii="宋体" w:hAnsi="宋体" w:eastAsia="宋体" w:cs="宋体"/>
          <w:b/>
          <w:bCs/>
          <w:color w:val="auto"/>
          <w:sz w:val="36"/>
          <w:szCs w:val="36"/>
        </w:rPr>
      </w:pPr>
    </w:p>
    <w:p w14:paraId="770468C2">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0B77D276">
      <w:pPr>
        <w:keepNext/>
        <w:pageBreakBefore/>
        <w:adjustRightInd w:val="0"/>
        <w:spacing w:line="720" w:lineRule="auto"/>
        <w:ind w:firstLine="0" w:firstLineChars="0"/>
        <w:jc w:val="center"/>
        <w:textAlignment w:val="baseline"/>
        <w:rPr>
          <w:rFonts w:hint="eastAsia" w:ascii="宋体" w:hAnsi="宋体" w:eastAsia="宋体" w:cs="宋体"/>
          <w:bCs/>
          <w:color w:val="auto"/>
          <w:sz w:val="24"/>
          <w:szCs w:val="24"/>
        </w:rPr>
      </w:pPr>
      <w:r>
        <w:rPr>
          <w:rFonts w:hint="eastAsia" w:ascii="宋体" w:hAnsi="宋体" w:eastAsia="宋体" w:cs="宋体"/>
          <w:b/>
          <w:color w:val="auto"/>
          <w:sz w:val="40"/>
          <w:szCs w:val="30"/>
        </w:rPr>
        <w:t>目  录</w:t>
      </w:r>
    </w:p>
    <w:p w14:paraId="711A2998">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 w:val="0"/>
          <w:bCs/>
          <w:i w:val="0"/>
          <w:iCs w:val="0"/>
          <w:color w:val="auto"/>
          <w:sz w:val="24"/>
          <w:szCs w:val="24"/>
          <w:lang w:val="zh-CN"/>
        </w:rPr>
        <w:fldChar w:fldCharType="begin"/>
      </w:r>
      <w:r>
        <w:rPr>
          <w:rStyle w:val="27"/>
          <w:rFonts w:hint="eastAsia" w:ascii="宋体" w:hAnsi="宋体" w:eastAsia="宋体" w:cs="宋体"/>
          <w:b w:val="0"/>
          <w:bCs/>
          <w:i w:val="0"/>
          <w:iCs w:val="0"/>
          <w:color w:val="auto"/>
          <w:sz w:val="24"/>
          <w:szCs w:val="24"/>
          <w:lang w:val="zh-CN"/>
        </w:rPr>
        <w:instrText xml:space="preserve"> TOC \o "1-3" \h \z \u </w:instrText>
      </w:r>
      <w:r>
        <w:rPr>
          <w:rFonts w:hint="eastAsia" w:ascii="宋体" w:hAnsi="宋体" w:eastAsia="宋体" w:cs="宋体"/>
          <w:b w:val="0"/>
          <w:bCs/>
          <w:i w:val="0"/>
          <w:iCs w:val="0"/>
          <w:color w:val="auto"/>
          <w:sz w:val="24"/>
          <w:szCs w:val="24"/>
          <w:lang w:val="zh-CN"/>
        </w:rPr>
        <w:fldChar w:fldCharType="separate"/>
      </w: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第一部分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投标邀请</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8714BF7">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_Toc3449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zh-CN"/>
        </w:rPr>
        <w:t>第二部分</w:t>
      </w:r>
      <w:r>
        <w:rPr>
          <w:rFonts w:hint="eastAsia" w:ascii="宋体" w:hAnsi="宋体" w:eastAsia="宋体" w:cs="宋体"/>
          <w:i w:val="0"/>
          <w:iCs w:val="0"/>
          <w:color w:val="auto"/>
          <w:sz w:val="24"/>
          <w:szCs w:val="24"/>
          <w:lang w:val="en-US" w:eastAsia="zh-CN"/>
        </w:rPr>
        <w:t xml:space="preserve">  </w:t>
      </w:r>
      <w:r>
        <w:rPr>
          <w:rFonts w:hint="eastAsia" w:ascii="宋体" w:hAnsi="宋体" w:eastAsia="宋体" w:cs="宋体"/>
          <w:i w:val="0"/>
          <w:iCs w:val="0"/>
          <w:color w:val="auto"/>
          <w:sz w:val="24"/>
          <w:szCs w:val="24"/>
          <w:lang w:val="zh-CN"/>
        </w:rPr>
        <w:t>供应商须知前附表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_Toc3449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96AC1E0">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_Toc14339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第三部分  供应商须知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_Toc14339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FA83657">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_Toc54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一、说  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_Toc54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12F7F5D">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_Toc4182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1.适用范围</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_Toc4182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CA30129">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_Toc9532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2.采购方式、合格的供应商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_Toc9532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B12ED17">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_Toc22634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3.磋商费用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_Toc22634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41861F5">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_Toc25643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二、磋商文件说明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_Toc25643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4E8F792">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_Toc8251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4.磋商文件的构成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_Toc8251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6E98803">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_Toc8325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5.</w:t>
      </w:r>
      <w:r>
        <w:rPr>
          <w:rFonts w:hint="eastAsia" w:ascii="宋体" w:hAnsi="宋体" w:eastAsia="宋体" w:cs="宋体"/>
          <w:bCs/>
          <w:i w:val="0"/>
          <w:iCs w:val="0"/>
          <w:color w:val="auto"/>
          <w:sz w:val="24"/>
          <w:szCs w:val="24"/>
          <w:lang w:val="en-US" w:eastAsia="zh-CN"/>
        </w:rPr>
        <w:t>磋商</w:t>
      </w:r>
      <w:r>
        <w:rPr>
          <w:rFonts w:hint="eastAsia" w:ascii="宋体" w:hAnsi="宋体" w:eastAsia="宋体" w:cs="宋体"/>
          <w:bCs/>
          <w:i w:val="0"/>
          <w:iCs w:val="0"/>
          <w:color w:val="auto"/>
          <w:sz w:val="24"/>
          <w:szCs w:val="24"/>
          <w:lang w:val="zh-CN"/>
        </w:rPr>
        <w:t>文件、采购活动和</w:t>
      </w:r>
      <w:r>
        <w:rPr>
          <w:rFonts w:hint="eastAsia" w:ascii="宋体" w:hAnsi="宋体" w:eastAsia="宋体" w:cs="宋体"/>
          <w:bCs/>
          <w:i w:val="0"/>
          <w:iCs w:val="0"/>
          <w:color w:val="auto"/>
          <w:sz w:val="24"/>
          <w:szCs w:val="24"/>
          <w:lang w:val="en-US" w:eastAsia="zh-CN"/>
        </w:rPr>
        <w:t>成交</w:t>
      </w:r>
      <w:r>
        <w:rPr>
          <w:rFonts w:hint="eastAsia" w:ascii="宋体" w:hAnsi="宋体" w:eastAsia="宋体" w:cs="宋体"/>
          <w:bCs/>
          <w:i w:val="0"/>
          <w:iCs w:val="0"/>
          <w:color w:val="auto"/>
          <w:sz w:val="24"/>
          <w:szCs w:val="24"/>
          <w:lang w:val="zh-CN"/>
        </w:rPr>
        <w:t>结果的质疑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_Toc8325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21D67E1">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_Toc19176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6.磋商文件的澄清、修改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_Toc19176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5557354">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_Toc12269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三、响应文件的编制</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_Toc12269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7722264">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_Toc25219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7.响应文件的语言及度量衡单位</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_Toc25219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E031409">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_Toc15166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8.磋商保证金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_Toc15166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4F162E7">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_Toc24392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9.磋商有效期</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_Toc24392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F91B47B">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_Toc10599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10.响应文件构成</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_Toc10599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701309D">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_Toc9604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11.响应文件编印和签署</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_Toc9604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E9BC06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_Toc27190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四、响应文件的递交</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_Toc27190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A0A63BD">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_Toc22448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12.响应文件的密封和标记</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_Toc22448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CF95AE7">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_Toc26749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13.提交响应文件截止时间、地点</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_Toc26749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BC603FE">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_Toc18075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五、磋商过程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_Toc18075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4FD482B">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_Toc26149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14.磋商过程</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_Toc26149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7B02FD7">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_Toc22412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六、磋商程序及方法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_Toc22412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D4F8793">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_Toc23095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15.磋商小组</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_Toc23095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F08ACBB">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_Toc14530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16.磋商程序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_Toc14530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BF2CDBE">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_Toc26602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17.评审办法</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_Toc26602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F43E28F">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_Toc16072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七、确定成交供应商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_Toc16072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31E8063">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_Toc32546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18.推荐并确定成交供应商</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_Toc32546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8276E54">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_Toc22885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19.成交通知</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_Toc22885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A219F35">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_Toc31254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八、授予合同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_Toc31254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CFA0C13">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_Toc17730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20.签订合同</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_Toc17730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6E2D730">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_Toc26867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九、磋商活动终止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_Toc26867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9DD6526">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_Toc1906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21.终止情形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_Toc1906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48FA47F">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_Toc942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十、处罚</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_Toc942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8437784">
      <w:pPr>
        <w:pStyle w:val="11"/>
        <w:keepNext w:val="0"/>
        <w:keepLines w:val="0"/>
        <w:pageBreakBefore w:val="0"/>
        <w:widowControl w:val="0"/>
        <w:tabs>
          <w:tab w:val="right" w:leader="dot" w:pos="8306"/>
          <w:tab w:val="clear" w:pos="8777"/>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_Toc27263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22.处罚情形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_Toc27263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0425A5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_Toc15214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bCs/>
          <w:i w:val="0"/>
          <w:iCs w:val="0"/>
          <w:color w:val="auto"/>
          <w:sz w:val="24"/>
          <w:szCs w:val="24"/>
        </w:rPr>
        <w:t>十一、其他</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_Toc15214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B56AE16">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_Toc12464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第四部分  采购项目合同书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_Toc12464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18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1CD225B">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_Toc28717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第五部分  响应文件格式</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_Toc28717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737F6B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_Toc3485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附件1：响应文件封面</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_Toc3485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8E35D8E">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_Toc13446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附件2：磋商函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_Toc13446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19B7FB7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_Toc18769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附件3</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：投标报价一览表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_Toc18769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7BE5C36A">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_Toc6345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4</w:t>
      </w:r>
      <w:r>
        <w:rPr>
          <w:rFonts w:hint="eastAsia" w:ascii="宋体" w:hAnsi="宋体" w:eastAsia="宋体" w:cs="宋体"/>
          <w:i w:val="0"/>
          <w:iCs w:val="0"/>
          <w:color w:val="auto"/>
          <w:sz w:val="24"/>
          <w:szCs w:val="24"/>
        </w:rPr>
        <w:t>：法定代表人证明书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_Toc6345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36</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B6A5CFF">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_Toc16776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5</w:t>
      </w:r>
      <w:r>
        <w:rPr>
          <w:rFonts w:hint="eastAsia" w:ascii="宋体" w:hAnsi="宋体" w:eastAsia="宋体" w:cs="宋体"/>
          <w:i w:val="0"/>
          <w:iCs w:val="0"/>
          <w:color w:val="auto"/>
          <w:sz w:val="24"/>
          <w:szCs w:val="24"/>
        </w:rPr>
        <w:t>：法定代表人授权书</w:t>
      </w:r>
      <w:bookmarkStart w:id="233" w:name="_GoBack"/>
      <w:bookmarkEnd w:id="233"/>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_Toc16776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DC384AE">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_Toc32710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rPr>
        <w:t>：供应商承诺函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_Toc32710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38</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2AF115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_Toc25034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7</w:t>
      </w:r>
      <w:r>
        <w:rPr>
          <w:rFonts w:hint="eastAsia" w:ascii="宋体" w:hAnsi="宋体" w:eastAsia="宋体" w:cs="宋体"/>
          <w:i w:val="0"/>
          <w:iCs w:val="0"/>
          <w:color w:val="auto"/>
          <w:sz w:val="24"/>
          <w:szCs w:val="24"/>
        </w:rPr>
        <w:t>：供应商诚信承诺书</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_Toc25034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39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935F653">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_Toc21239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8</w:t>
      </w:r>
      <w:r>
        <w:rPr>
          <w:rFonts w:hint="eastAsia" w:ascii="宋体" w:hAnsi="宋体" w:eastAsia="宋体" w:cs="宋体"/>
          <w:i w:val="0"/>
          <w:iCs w:val="0"/>
          <w:color w:val="auto"/>
          <w:sz w:val="24"/>
          <w:szCs w:val="24"/>
        </w:rPr>
        <w:t>：资格证明材料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_Toc21239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62D2DEA">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_Toc12657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w:t>
      </w:r>
      <w:r>
        <w:rPr>
          <w:rFonts w:hint="eastAsia" w:ascii="宋体" w:hAnsi="宋体" w:eastAsia="宋体" w:cs="宋体"/>
          <w:i w:val="0"/>
          <w:iCs w:val="0"/>
          <w:color w:val="auto"/>
          <w:sz w:val="24"/>
          <w:szCs w:val="24"/>
          <w:lang w:val="en-US" w:eastAsia="zh-CN"/>
        </w:rPr>
        <w:t>9</w:t>
      </w:r>
      <w:r>
        <w:rPr>
          <w:rFonts w:hint="eastAsia" w:ascii="宋体" w:hAnsi="宋体" w:eastAsia="宋体" w:cs="宋体"/>
          <w:i w:val="0"/>
          <w:iCs w:val="0"/>
          <w:color w:val="auto"/>
          <w:sz w:val="24"/>
          <w:szCs w:val="24"/>
        </w:rPr>
        <w:t>：财务状况证明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_Toc12657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0A872BB">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_Toc22767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0</w:t>
      </w:r>
      <w:r>
        <w:rPr>
          <w:rFonts w:hint="eastAsia" w:ascii="宋体" w:hAnsi="宋体" w:eastAsia="宋体" w:cs="宋体"/>
          <w:i w:val="0"/>
          <w:iCs w:val="0"/>
          <w:color w:val="auto"/>
          <w:sz w:val="24"/>
          <w:szCs w:val="24"/>
        </w:rPr>
        <w:t>：具备履行合同所必须的设备和专业技术能力证明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_Toc22767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42</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E6D3E3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_Toc20194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1</w:t>
      </w:r>
      <w:r>
        <w:rPr>
          <w:rFonts w:hint="eastAsia" w:ascii="宋体" w:hAnsi="宋体" w:eastAsia="宋体" w:cs="宋体"/>
          <w:i w:val="0"/>
          <w:iCs w:val="0"/>
          <w:color w:val="auto"/>
          <w:sz w:val="24"/>
          <w:szCs w:val="24"/>
        </w:rPr>
        <w:t>：无重大违法记录声明</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_Toc20194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43</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C6C1DA1">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_Toc18481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2</w:t>
      </w:r>
      <w:r>
        <w:rPr>
          <w:rFonts w:hint="eastAsia" w:ascii="宋体" w:hAnsi="宋体" w:eastAsia="宋体" w:cs="宋体"/>
          <w:i w:val="0"/>
          <w:iCs w:val="0"/>
          <w:color w:val="auto"/>
          <w:sz w:val="24"/>
          <w:szCs w:val="24"/>
        </w:rPr>
        <w:t>：磋商保证金</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_Toc18481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44</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61E1E149">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_Toc10620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3</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中小企业声明函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_Toc10620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45</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5EB7017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_Toc16867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附件14：</w:t>
      </w:r>
      <w:r>
        <w:rPr>
          <w:rFonts w:hint="eastAsia" w:ascii="宋体" w:hAnsi="宋体" w:eastAsia="宋体" w:cs="宋体"/>
          <w:i w:val="0"/>
          <w:iCs w:val="0"/>
          <w:color w:val="auto"/>
          <w:sz w:val="24"/>
          <w:szCs w:val="24"/>
          <w:lang w:val="zh-CN" w:eastAsia="zh-CN" w:bidi="ar-SA"/>
        </w:rPr>
        <w:t>残疾人</w:t>
      </w:r>
      <w:r>
        <w:rPr>
          <w:rFonts w:hint="eastAsia" w:ascii="宋体" w:hAnsi="宋体" w:eastAsia="宋体" w:cs="宋体"/>
          <w:i w:val="0"/>
          <w:iCs w:val="0"/>
          <w:color w:val="auto"/>
          <w:sz w:val="24"/>
          <w:szCs w:val="24"/>
          <w:lang w:val="en-US" w:eastAsia="zh-CN" w:bidi="ar-SA"/>
        </w:rPr>
        <w:t>福利性单位声明函</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_Toc16867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47</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42383E28">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_Toc6153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lang w:val="en-US" w:eastAsia="zh-CN" w:bidi="ar-SA"/>
        </w:rPr>
        <w:t>附件15：监狱企业证明材料</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_Toc6153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49</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0AA95C46">
      <w:pPr>
        <w:pStyle w:val="18"/>
        <w:keepNext w:val="0"/>
        <w:keepLines w:val="0"/>
        <w:pageBreakBefore w:val="0"/>
        <w:widowControl w:val="0"/>
        <w:tabs>
          <w:tab w:val="right" w:leader="dot" w:pos="8306"/>
        </w:tabs>
        <w:kinsoku/>
        <w:wordWrap/>
        <w:overflowPunct/>
        <w:topLinePunct w:val="0"/>
        <w:autoSpaceDE/>
        <w:autoSpaceDN/>
        <w:bidi w:val="0"/>
        <w:adjustRightInd/>
        <w:snapToGrid/>
        <w:spacing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_Toc31479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sz w:val="24"/>
          <w:szCs w:val="24"/>
        </w:rPr>
        <w:t>附件1</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rPr>
        <w:t>：供应商最后报价表</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_Toc31479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50</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34E05DC4">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i w:val="0"/>
          <w:iCs w:val="0"/>
          <w:color w:val="auto"/>
          <w:sz w:val="24"/>
          <w:szCs w:val="24"/>
        </w:rPr>
      </w:pPr>
      <w:r>
        <w:rPr>
          <w:rFonts w:hint="eastAsia" w:ascii="宋体" w:hAnsi="宋体" w:eastAsia="宋体" w:cs="宋体"/>
          <w:bCs/>
          <w:i w:val="0"/>
          <w:iCs w:val="0"/>
          <w:color w:val="auto"/>
          <w:sz w:val="24"/>
          <w:szCs w:val="24"/>
          <w:lang w:val="zh-CN"/>
        </w:rPr>
        <w:fldChar w:fldCharType="begin"/>
      </w:r>
      <w:r>
        <w:rPr>
          <w:rFonts w:hint="eastAsia" w:ascii="宋体" w:hAnsi="宋体" w:eastAsia="宋体" w:cs="宋体"/>
          <w:bCs/>
          <w:i w:val="0"/>
          <w:iCs w:val="0"/>
          <w:color w:val="auto"/>
          <w:sz w:val="24"/>
          <w:szCs w:val="24"/>
          <w:lang w:val="zh-CN"/>
        </w:rPr>
        <w:instrText xml:space="preserve"> HYPERLINK \l _Toc6073 </w:instrText>
      </w:r>
      <w:r>
        <w:rPr>
          <w:rFonts w:hint="eastAsia" w:ascii="宋体" w:hAnsi="宋体" w:eastAsia="宋体" w:cs="宋体"/>
          <w:bCs/>
          <w:i w:val="0"/>
          <w:iCs w:val="0"/>
          <w:color w:val="auto"/>
          <w:sz w:val="24"/>
          <w:szCs w:val="24"/>
          <w:lang w:val="zh-CN"/>
        </w:rPr>
        <w:fldChar w:fldCharType="separate"/>
      </w:r>
      <w:r>
        <w:rPr>
          <w:rFonts w:hint="eastAsia" w:ascii="宋体" w:hAnsi="宋体" w:eastAsia="宋体" w:cs="宋体"/>
          <w:i w:val="0"/>
          <w:iCs w:val="0"/>
          <w:color w:val="auto"/>
          <w:kern w:val="28"/>
          <w:sz w:val="24"/>
          <w:szCs w:val="24"/>
        </w:rPr>
        <w:t xml:space="preserve">第六部分  </w:t>
      </w:r>
      <w:r>
        <w:rPr>
          <w:rFonts w:hint="eastAsia" w:ascii="宋体" w:hAnsi="宋体" w:eastAsia="宋体" w:cs="宋体"/>
          <w:i w:val="0"/>
          <w:iCs w:val="0"/>
          <w:color w:val="auto"/>
          <w:kern w:val="28"/>
          <w:sz w:val="24"/>
          <w:szCs w:val="24"/>
          <w:lang w:eastAsia="zh-CN"/>
        </w:rPr>
        <w:t>采购项目要求</w:t>
      </w:r>
      <w:r>
        <w:rPr>
          <w:rFonts w:hint="eastAsia" w:ascii="宋体" w:hAnsi="宋体" w:eastAsia="宋体" w:cs="宋体"/>
          <w:i w:val="0"/>
          <w:iCs w:val="0"/>
          <w:color w:val="auto"/>
          <w:sz w:val="24"/>
          <w:szCs w:val="24"/>
        </w:rPr>
        <w:tab/>
      </w:r>
      <w:r>
        <w:rPr>
          <w:rFonts w:hint="eastAsia" w:ascii="宋体" w:hAnsi="宋体" w:eastAsia="宋体" w:cs="宋体"/>
          <w:i w:val="0"/>
          <w:iCs w:val="0"/>
          <w:color w:val="auto"/>
          <w:sz w:val="24"/>
          <w:szCs w:val="24"/>
        </w:rPr>
        <w:fldChar w:fldCharType="begin"/>
      </w:r>
      <w:r>
        <w:rPr>
          <w:rFonts w:hint="eastAsia" w:ascii="宋体" w:hAnsi="宋体" w:eastAsia="宋体" w:cs="宋体"/>
          <w:i w:val="0"/>
          <w:iCs w:val="0"/>
          <w:color w:val="auto"/>
          <w:sz w:val="24"/>
          <w:szCs w:val="24"/>
        </w:rPr>
        <w:instrText xml:space="preserve"> PAGEREF _Toc6073 \h </w:instrText>
      </w:r>
      <w:r>
        <w:rPr>
          <w:rFonts w:hint="eastAsia" w:ascii="宋体" w:hAnsi="宋体" w:eastAsia="宋体" w:cs="宋体"/>
          <w:i w:val="0"/>
          <w:iCs w:val="0"/>
          <w:color w:val="auto"/>
          <w:sz w:val="24"/>
          <w:szCs w:val="24"/>
        </w:rPr>
        <w:fldChar w:fldCharType="separate"/>
      </w:r>
      <w:r>
        <w:rPr>
          <w:rFonts w:hint="eastAsia" w:ascii="宋体" w:hAnsi="宋体" w:eastAsia="宋体" w:cs="宋体"/>
          <w:i w:val="0"/>
          <w:iCs w:val="0"/>
          <w:color w:val="auto"/>
          <w:sz w:val="24"/>
          <w:szCs w:val="24"/>
        </w:rPr>
        <w:t>51</w:t>
      </w:r>
      <w:r>
        <w:rPr>
          <w:rFonts w:hint="eastAsia" w:ascii="宋体" w:hAnsi="宋体" w:eastAsia="宋体" w:cs="宋体"/>
          <w:i w:val="0"/>
          <w:iCs w:val="0"/>
          <w:color w:val="auto"/>
          <w:sz w:val="24"/>
          <w:szCs w:val="24"/>
        </w:rPr>
        <w:fldChar w:fldCharType="end"/>
      </w:r>
      <w:r>
        <w:rPr>
          <w:rFonts w:hint="eastAsia" w:ascii="宋体" w:hAnsi="宋体" w:eastAsia="宋体" w:cs="宋体"/>
          <w:bCs/>
          <w:i w:val="0"/>
          <w:iCs w:val="0"/>
          <w:color w:val="auto"/>
          <w:sz w:val="24"/>
          <w:szCs w:val="24"/>
          <w:lang w:val="zh-CN"/>
        </w:rPr>
        <w:fldChar w:fldCharType="end"/>
      </w:r>
    </w:p>
    <w:p w14:paraId="2985FF26">
      <w:pPr>
        <w:pStyle w:val="16"/>
        <w:keepNext w:val="0"/>
        <w:keepLines w:val="0"/>
        <w:pageBreakBefore w:val="0"/>
        <w:widowControl w:val="0"/>
        <w:tabs>
          <w:tab w:val="right" w:leader="dot" w:pos="8306"/>
        </w:tabs>
        <w:kinsoku/>
        <w:wordWrap/>
        <w:overflowPunct/>
        <w:topLinePunct w:val="0"/>
        <w:autoSpaceDE/>
        <w:autoSpaceDN/>
        <w:bidi w:val="0"/>
        <w:adjustRightInd/>
        <w:snapToGrid/>
        <w:spacing w:before="0" w:after="0" w:line="348" w:lineRule="auto"/>
        <w:ind w:left="0" w:leftChars="0" w:firstLine="0" w:firstLineChars="0"/>
        <w:textAlignment w:val="auto"/>
        <w:rPr>
          <w:rFonts w:hint="eastAsia" w:ascii="宋体" w:hAnsi="宋体" w:eastAsia="宋体" w:cs="宋体"/>
          <w:color w:val="auto"/>
          <w:sz w:val="24"/>
          <w:szCs w:val="24"/>
        </w:rPr>
      </w:pPr>
    </w:p>
    <w:p w14:paraId="30FACD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color w:val="auto"/>
          <w:szCs w:val="24"/>
          <w:lang w:val="zh-CN"/>
        </w:rPr>
      </w:pPr>
      <w:r>
        <w:rPr>
          <w:rFonts w:hint="eastAsia" w:ascii="宋体" w:hAnsi="宋体" w:eastAsia="宋体" w:cs="宋体"/>
          <w:bCs/>
          <w:i w:val="0"/>
          <w:iCs w:val="0"/>
          <w:color w:val="auto"/>
          <w:szCs w:val="24"/>
          <w:lang w:val="zh-CN"/>
        </w:rPr>
        <w:fldChar w:fldCharType="end"/>
      </w:r>
      <w:r>
        <w:rPr>
          <w:rFonts w:hint="eastAsia" w:ascii="宋体" w:hAnsi="宋体" w:eastAsia="宋体" w:cs="宋体"/>
          <w:bCs/>
          <w:color w:val="auto"/>
          <w:szCs w:val="24"/>
          <w:lang w:val="zh-CN"/>
        </w:rPr>
        <w:br w:type="page"/>
      </w:r>
    </w:p>
    <w:p w14:paraId="3F25F3FA">
      <w:pPr>
        <w:pStyle w:val="20"/>
        <w:spacing w:before="0" w:after="0" w:line="360" w:lineRule="auto"/>
        <w:ind w:firstLine="0" w:firstLineChars="0"/>
        <w:rPr>
          <w:rFonts w:hint="eastAsia" w:ascii="宋体" w:hAnsi="宋体" w:eastAsia="宋体" w:cs="宋体"/>
          <w:color w:val="auto"/>
          <w:szCs w:val="36"/>
        </w:rPr>
      </w:pPr>
      <w:bookmarkStart w:id="0" w:name="_Toc1842"/>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lang w:val="en-US" w:eastAsia="zh-CN"/>
        </w:rPr>
        <w:t xml:space="preserve">  </w:t>
      </w:r>
      <w:r>
        <w:rPr>
          <w:rFonts w:hint="eastAsia" w:ascii="宋体" w:hAnsi="宋体" w:eastAsia="宋体" w:cs="宋体"/>
          <w:color w:val="auto"/>
          <w:szCs w:val="36"/>
          <w:lang w:val="zh-CN"/>
        </w:rPr>
        <w:t>投标邀请</w:t>
      </w:r>
      <w:bookmarkEnd w:id="0"/>
      <w:bookmarkEnd w:id="1"/>
    </w:p>
    <w:p w14:paraId="64686141">
      <w:pPr>
        <w:pStyle w:val="34"/>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青海鼎钊招标代理有限公司（以下均简称“采购代理机构”）受海东市第二人民医院（以下均简称“采购人”）委托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海东市第二人民医院医疗设备维保服务采购项目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22"/>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14:paraId="1E493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F33662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2C197EB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青海鼎钊竞磋（服务）2024-047</w:t>
            </w:r>
          </w:p>
        </w:tc>
      </w:tr>
      <w:tr w14:paraId="39CB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19050D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14:paraId="1A1389D5">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海东市第二人民医院医疗设备维保服务采购项目</w:t>
            </w:r>
          </w:p>
        </w:tc>
      </w:tr>
      <w:tr w14:paraId="4071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C1DC2F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4A5DAC2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14:paraId="0F345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5EC193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采购预算额度</w:t>
            </w:r>
          </w:p>
        </w:tc>
        <w:tc>
          <w:tcPr>
            <w:tcW w:w="7637" w:type="dxa"/>
            <w:tcBorders>
              <w:top w:val="single" w:color="000000" w:sz="4" w:space="0"/>
              <w:left w:val="single" w:color="000000" w:sz="4" w:space="0"/>
              <w:bottom w:val="single" w:color="000000" w:sz="4" w:space="0"/>
              <w:right w:val="single" w:color="000000" w:sz="4" w:space="0"/>
            </w:tcBorders>
            <w:vAlign w:val="center"/>
          </w:tcPr>
          <w:p w14:paraId="2BE49FC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80万元/年</w:t>
            </w:r>
          </w:p>
        </w:tc>
      </w:tr>
      <w:tr w14:paraId="709A9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85051F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14:paraId="4557DF6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14:paraId="4E304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F0CA7A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14:paraId="0A7C96D4">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磋商内容：</w:t>
            </w:r>
            <w:r>
              <w:rPr>
                <w:rFonts w:hint="eastAsia" w:ascii="宋体" w:hAnsi="宋体" w:eastAsia="宋体" w:cs="宋体"/>
                <w:color w:val="auto"/>
                <w:sz w:val="24"/>
                <w:szCs w:val="24"/>
                <w:lang w:val="zh-CN"/>
              </w:rPr>
              <w:t>医疗设备维保服务，</w:t>
            </w:r>
            <w:r>
              <w:rPr>
                <w:rFonts w:hint="eastAsia" w:ascii="宋体" w:hAnsi="宋体" w:eastAsia="宋体" w:cs="宋体"/>
                <w:color w:val="auto"/>
                <w:sz w:val="24"/>
                <w:szCs w:val="24"/>
                <w:lang w:val="en-US" w:eastAsia="zh-CN"/>
              </w:rPr>
              <w:t>具体内容</w:t>
            </w:r>
            <w:r>
              <w:rPr>
                <w:rFonts w:hint="eastAsia" w:ascii="宋体" w:hAnsi="宋体" w:eastAsia="宋体" w:cs="宋体"/>
                <w:color w:val="auto"/>
                <w:sz w:val="24"/>
                <w:szCs w:val="24"/>
                <w:lang w:val="zh-CN"/>
              </w:rPr>
              <w:t>详见《磋商文件》。</w:t>
            </w:r>
          </w:p>
        </w:tc>
      </w:tr>
      <w:tr w14:paraId="74CA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DB5CBC8">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14:paraId="5D46A8F2">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符合《政府采购法》第22条条件，并提供下列材料：</w:t>
            </w:r>
          </w:p>
          <w:p w14:paraId="3E6B72FF">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的营业执照等证明文件，自然人的身份证明。</w:t>
            </w:r>
          </w:p>
          <w:p w14:paraId="35FE2362">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）财务状况报告，依法缴纳税收和社会保障资金的相关材料。</w:t>
            </w:r>
          </w:p>
          <w:p w14:paraId="44D7A378">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）具备履行合同所必需的设备和专业技术能力的证明材料。</w:t>
            </w:r>
          </w:p>
          <w:p w14:paraId="5B2E4B3E">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）参加政府采购活动前3年内在经营活动中没有重大违法记录的书面声明。</w:t>
            </w:r>
          </w:p>
          <w:p w14:paraId="0765732B">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）具备法律、行政法规规定的其他条件的证明材料。</w:t>
            </w:r>
          </w:p>
          <w:p w14:paraId="1AA35947">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kern w:val="0"/>
                <w:sz w:val="24"/>
                <w:szCs w:val="24"/>
                <w:lang w:val="zh-CN" w:eastAsia="zh-CN" w:bidi="ar-SA"/>
              </w:rPr>
              <w:t>落实政府采购政策需满足的资格要求：本项目为专门面向中小企业采购，供应商须提供《中小企业声明函》或《残疾人福利性单位声明函》或《监狱企业证明材料》，本项目采购标的所属行业为</w:t>
            </w:r>
            <w:r>
              <w:rPr>
                <w:rFonts w:hint="eastAsia" w:ascii="宋体" w:hAnsi="宋体" w:eastAsia="宋体" w:cs="宋体"/>
                <w:color w:val="auto"/>
                <w:kern w:val="0"/>
                <w:sz w:val="24"/>
                <w:szCs w:val="24"/>
                <w:lang w:val="zh-CN" w:eastAsia="zh-CN" w:bidi="ar-SA"/>
              </w:rPr>
              <w:t>租赁和商务服务业；</w:t>
            </w:r>
          </w:p>
          <w:p w14:paraId="621A8A1D">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经信用中国（www.creditchina.gov.cn）、中国政府采购网（www.ccgp.gov.cn）等渠道查询后，列入失信被执行人、重大税收违法案件当事人名单、政府采购严重违法失信行为记录名单的，取消投标资格；</w:t>
            </w:r>
          </w:p>
          <w:p w14:paraId="3A7FE35F">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单位负责人为同一人或者存在直接控股、管理关系的不同</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，不得参加同一合同项下的政府采购活动。否则，皆取消投标资格；</w:t>
            </w:r>
          </w:p>
          <w:p w14:paraId="034B6E9E">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为本采购项目提供整体设计、规范编制或者项目管理、监理、检测等服务的</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，不得再参加该采购项目的其他采购活动；</w:t>
            </w:r>
          </w:p>
          <w:p w14:paraId="2C04B270">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6.供应商须具备有效的《医疗器械经营许可证》；</w:t>
            </w:r>
          </w:p>
          <w:p w14:paraId="2F85C0A5">
            <w:pPr>
              <w:pStyle w:val="34"/>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本项目不接受</w:t>
            </w:r>
            <w:r>
              <w:rPr>
                <w:rFonts w:hint="eastAsia" w:ascii="宋体" w:hAnsi="宋体" w:eastAsia="宋体" w:cs="宋体"/>
                <w:color w:val="auto"/>
                <w:sz w:val="24"/>
                <w:szCs w:val="24"/>
              </w:rPr>
              <w:t>供应商</w:t>
            </w:r>
            <w:r>
              <w:rPr>
                <w:rFonts w:hint="eastAsia" w:ascii="宋体" w:hAnsi="宋体" w:eastAsia="宋体" w:cs="宋体"/>
                <w:color w:val="auto"/>
                <w:sz w:val="24"/>
                <w:szCs w:val="24"/>
                <w:lang w:val="zh-CN"/>
              </w:rPr>
              <w:t>以联合体方式进行投标。</w:t>
            </w:r>
          </w:p>
        </w:tc>
      </w:tr>
      <w:tr w14:paraId="5D6CE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2E26B7F0">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65D3997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日</w:t>
            </w:r>
          </w:p>
        </w:tc>
      </w:tr>
      <w:tr w14:paraId="0DFE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ED1426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25DF089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lang w:val="zh-CN"/>
              </w:rPr>
              <w:t>日</w:t>
            </w:r>
          </w:p>
        </w:tc>
      </w:tr>
      <w:tr w14:paraId="4AE20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7B8E207B">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14:paraId="037599E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登录政采云平台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在线申请获取采购文件（进入“项目采购”应用，在获取采购文件菜单中选择项目，申请获取采购文件）</w:t>
            </w:r>
          </w:p>
        </w:tc>
      </w:tr>
      <w:tr w14:paraId="29C50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C34B6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14:paraId="05AC7E2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0</w:t>
            </w:r>
          </w:p>
        </w:tc>
      </w:tr>
      <w:tr w14:paraId="5320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0CB30D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60BBC0C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3DD5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52A4AB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1D2CC1E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2024年12月03日上午09：30（北京时间）</w:t>
            </w:r>
          </w:p>
        </w:tc>
      </w:tr>
      <w:tr w14:paraId="5B50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3110312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14:paraId="4101C60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2024年12月03日上午09：30（北京时间）</w:t>
            </w:r>
          </w:p>
        </w:tc>
      </w:tr>
      <w:tr w14:paraId="2BC6D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5D042B3">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14:paraId="04F132C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34899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58900B2D">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77A1923">
            <w:pPr>
              <w:keepNext w:val="0"/>
              <w:keepLines w:val="0"/>
              <w:pageBreakBefore w:val="0"/>
              <w:widowControl w:val="0"/>
              <w:kinsoku/>
              <w:wordWrap/>
              <w:overflowPunct/>
              <w:topLinePunct w:val="0"/>
              <w:autoSpaceDE w:val="0"/>
              <w:autoSpaceDN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r>
              <w:rPr>
                <w:rFonts w:hint="eastAsia" w:ascii="宋体" w:hAnsi="宋体" w:eastAsia="宋体" w:cs="宋体"/>
                <w:color w:val="auto"/>
                <w:sz w:val="24"/>
                <w:szCs w:val="24"/>
                <w:lang w:val="zh-CN"/>
              </w:rPr>
              <w:t>海东市第二人民医院</w:t>
            </w:r>
          </w:p>
          <w:p w14:paraId="7C7D275F">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李老师</w:t>
            </w:r>
          </w:p>
          <w:p w14:paraId="4B463B9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0972-8653731</w:t>
            </w:r>
          </w:p>
          <w:p w14:paraId="59233529">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zh-CN"/>
              </w:rPr>
              <w:t>海东市乐都区碾伯街道乐康路5号</w:t>
            </w:r>
          </w:p>
        </w:tc>
      </w:tr>
      <w:tr w14:paraId="6209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498725E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2D5D81C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采购代理机构：青海鼎钊招标代理有限公司</w:t>
            </w:r>
          </w:p>
          <w:p w14:paraId="76C3907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马女士、王先生</w:t>
            </w:r>
          </w:p>
          <w:p w14:paraId="1E83993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0971-8179517</w:t>
            </w:r>
          </w:p>
          <w:p w14:paraId="3A8AA98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zh-CN"/>
              </w:rPr>
              <w:t>联系地址：西宁市东川工业园区金桥路39号1号楼2楼（新力景瑞新城）</w:t>
            </w:r>
          </w:p>
        </w:tc>
      </w:tr>
      <w:tr w14:paraId="5ABBC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F12B466">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14:paraId="2EFC540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上海浦东发展银行股份有限公司西宁城东支行</w:t>
            </w:r>
          </w:p>
        </w:tc>
      </w:tr>
      <w:tr w14:paraId="1DDB1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66CB39C1">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14:paraId="177CE10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青海鼎钊招标代理有限公司</w:t>
            </w:r>
          </w:p>
        </w:tc>
      </w:tr>
      <w:tr w14:paraId="429C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BF461D4">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14:paraId="1610E124">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35030078801500000377</w:t>
            </w:r>
          </w:p>
        </w:tc>
      </w:tr>
      <w:tr w14:paraId="6F2CA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11DD7693">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14:paraId="0BDFD147">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公告发布</w:t>
            </w:r>
            <w:r>
              <w:rPr>
                <w:rFonts w:hint="eastAsia" w:ascii="宋体" w:hAnsi="宋体" w:eastAsia="宋体" w:cs="宋体"/>
                <w:color w:val="auto"/>
                <w:sz w:val="24"/>
                <w:szCs w:val="24"/>
                <w:lang w:val="en-US" w:eastAsia="zh-CN"/>
              </w:rPr>
              <w:t>网站</w:t>
            </w:r>
            <w:r>
              <w:rPr>
                <w:rFonts w:hint="eastAsia" w:ascii="宋体" w:hAnsi="宋体" w:eastAsia="宋体" w:cs="宋体"/>
                <w:color w:val="auto"/>
                <w:sz w:val="24"/>
                <w:szCs w:val="24"/>
                <w:lang w:val="zh-CN" w:eastAsia="zh-CN"/>
              </w:rPr>
              <w:t>：《青海政府采购网》、《青海省电子招标投标公共服务平台》、《青海项目信息网》，公告内容以《青海政府采购网》发布的为准。</w:t>
            </w:r>
          </w:p>
          <w:p w14:paraId="1DA70821">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highlight w:val="none"/>
                <w:lang w:val="en-US" w:eastAsia="zh-CN"/>
              </w:rPr>
              <w:t>本次采购采用线上提交电子响应文件的方式进行，电子响应文件须在提交响应文件截止时间前上传。</w:t>
            </w:r>
          </w:p>
          <w:p w14:paraId="1C30BF16">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highlight w:val="none"/>
                <w:lang w:val="en-US" w:eastAsia="zh-CN"/>
              </w:rPr>
              <w:t>若对项目采购电子交易系统操作有疑问，可登录</w:t>
            </w:r>
            <w:r>
              <w:rPr>
                <w:rFonts w:hint="eastAsia" w:ascii="宋体" w:hAnsi="宋体" w:eastAsia="宋体" w:cs="宋体"/>
                <w:color w:val="auto"/>
                <w:sz w:val="24"/>
                <w:szCs w:val="24"/>
                <w:highlight w:val="none"/>
                <w:lang w:val="zh-CN"/>
              </w:rPr>
              <w:t>政采云平台</w:t>
            </w:r>
            <w:r>
              <w:rPr>
                <w:rFonts w:hint="eastAsia" w:ascii="宋体" w:hAnsi="宋体" w:eastAsia="宋体" w:cs="宋体"/>
                <w:color w:val="auto"/>
                <w:sz w:val="24"/>
                <w:szCs w:val="24"/>
                <w:highlight w:val="none"/>
                <w:lang w:val="en-US" w:eastAsia="zh-CN"/>
              </w:rPr>
              <w:t>点击右侧咨询小采或拨打政采云服务热线95763。</w:t>
            </w:r>
          </w:p>
        </w:tc>
      </w:tr>
      <w:tr w14:paraId="04D0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14:paraId="0CCDFC5B">
            <w:pPr>
              <w:keepNext w:val="0"/>
              <w:keepLines w:val="0"/>
              <w:pageBreakBefore w:val="0"/>
              <w:widowControl w:val="0"/>
              <w:kinsoku/>
              <w:wordWrap/>
              <w:overflowPunct/>
              <w:topLinePunct w:val="0"/>
              <w:bidi w:val="0"/>
              <w:adjustRightInd/>
              <w:snapToGrid/>
              <w:spacing w:line="36" w:lineRule="atLeast"/>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14:paraId="01E12B82">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监督单位：海东市财政局</w:t>
            </w:r>
          </w:p>
          <w:p w14:paraId="149463CC">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联系电话：0972-8612053</w:t>
            </w:r>
          </w:p>
        </w:tc>
      </w:tr>
    </w:tbl>
    <w:p w14:paraId="3A0CCEA1">
      <w:pPr>
        <w:spacing w:line="360" w:lineRule="auto"/>
        <w:ind w:firstLine="0" w:firstLineChars="0"/>
        <w:jc w:val="right"/>
        <w:rPr>
          <w:rFonts w:hint="eastAsia" w:ascii="宋体" w:hAnsi="宋体" w:eastAsia="宋体" w:cs="宋体"/>
          <w:color w:val="auto"/>
          <w:sz w:val="24"/>
          <w:szCs w:val="24"/>
          <w:lang w:eastAsia="zh-CN"/>
        </w:rPr>
      </w:pPr>
    </w:p>
    <w:p w14:paraId="776A6C18">
      <w:pPr>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青海鼎钊招标代理有限公司</w:t>
      </w:r>
    </w:p>
    <w:p w14:paraId="771CDDB1">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2024年</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en-US" w:eastAsia="zh-CN"/>
        </w:rPr>
        <w:t xml:space="preserve">   </w:t>
      </w:r>
    </w:p>
    <w:p w14:paraId="4725F71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6935E4A">
      <w:pPr>
        <w:pStyle w:val="20"/>
        <w:spacing w:before="0" w:after="0" w:line="360" w:lineRule="auto"/>
        <w:ind w:firstLine="0" w:firstLineChars="0"/>
        <w:rPr>
          <w:rFonts w:hint="eastAsia" w:ascii="宋体" w:hAnsi="宋体" w:eastAsia="宋体" w:cs="宋体"/>
          <w:color w:val="auto"/>
          <w:lang w:val="zh-CN"/>
        </w:rPr>
      </w:pPr>
      <w:bookmarkStart w:id="2" w:name="_Toc3449"/>
      <w:bookmarkStart w:id="3" w:name="_Toc3201"/>
      <w:r>
        <w:rPr>
          <w:rFonts w:hint="eastAsia" w:ascii="宋体" w:hAnsi="宋体" w:eastAsia="宋体" w:cs="宋体"/>
          <w:color w:val="auto"/>
          <w:lang w:val="zh-CN"/>
        </w:rPr>
        <w:t>第二部分</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供应商须知前附表</w:t>
      </w:r>
      <w:bookmarkEnd w:id="2"/>
      <w:bookmarkEnd w:id="3"/>
    </w:p>
    <w:p w14:paraId="64297E46">
      <w:pPr>
        <w:spacing w:line="360" w:lineRule="auto"/>
        <w:ind w:firstLine="0" w:firstLineChars="0"/>
        <w:rPr>
          <w:rFonts w:hint="eastAsia" w:ascii="宋体" w:hAnsi="宋体" w:eastAsia="宋体" w:cs="宋体"/>
          <w:color w:val="auto"/>
          <w:sz w:val="24"/>
          <w:szCs w:val="24"/>
          <w:lang w:val="zh-CN"/>
        </w:rPr>
      </w:pPr>
    </w:p>
    <w:tbl>
      <w:tblPr>
        <w:tblStyle w:val="22"/>
        <w:tblW w:w="10205" w:type="dxa"/>
        <w:jc w:val="center"/>
        <w:tblLayout w:type="fixed"/>
        <w:tblCellMar>
          <w:top w:w="0" w:type="dxa"/>
          <w:left w:w="57" w:type="dxa"/>
          <w:bottom w:w="0" w:type="dxa"/>
          <w:right w:w="57" w:type="dxa"/>
        </w:tblCellMar>
      </w:tblPr>
      <w:tblGrid>
        <w:gridCol w:w="653"/>
        <w:gridCol w:w="2530"/>
        <w:gridCol w:w="7022"/>
      </w:tblGrid>
      <w:tr w14:paraId="5F71E21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915B1">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CE863EB">
            <w:pPr>
              <w:autoSpaceDE w:val="0"/>
              <w:autoSpaceDN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内容</w:t>
            </w:r>
          </w:p>
        </w:tc>
      </w:tr>
      <w:tr w14:paraId="7539CCD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FF643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55ED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DF2D9F2">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青海鼎钊竞磋（服务）2024-047</w:t>
            </w:r>
          </w:p>
        </w:tc>
      </w:tr>
      <w:tr w14:paraId="7241844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161FD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D00C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5C90209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海东市第二人民医院医疗设备维保服务采购项目</w:t>
            </w:r>
          </w:p>
        </w:tc>
      </w:tr>
      <w:tr w14:paraId="28A05BF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FD2D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0BA7F4">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804029C">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海东市第二人民医院</w:t>
            </w:r>
          </w:p>
        </w:tc>
      </w:tr>
      <w:tr w14:paraId="4BFC18B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C0203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D4A2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FC0F24D">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青海鼎钊招标代理有限公司</w:t>
            </w:r>
          </w:p>
        </w:tc>
      </w:tr>
      <w:tr w14:paraId="1276D15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95FA2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30A0B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7528677">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65075F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0674D">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5089B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3F4BD35">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0D095FC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DA005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933DA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采购预算额度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5725">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lang w:val="en-US" w:eastAsia="zh-CN"/>
              </w:rPr>
              <w:t>80万元/年</w:t>
            </w:r>
          </w:p>
        </w:tc>
      </w:tr>
      <w:tr w14:paraId="222FE8F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7678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CBA7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E98DEE">
            <w:pPr>
              <w:keepNext w:val="0"/>
              <w:keepLines w:val="0"/>
              <w:pageBreakBefore w:val="0"/>
              <w:widowControl w:val="0"/>
              <w:kinsoku/>
              <w:wordWrap/>
              <w:overflowPunct/>
              <w:topLinePunct w:val="0"/>
              <w:bidi w:val="0"/>
              <w:adjustRightInd/>
              <w:snapToGrid/>
              <w:spacing w:line="36" w:lineRule="atLeas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无</w:t>
            </w:r>
          </w:p>
        </w:tc>
      </w:tr>
      <w:tr w14:paraId="194BC7D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78E3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BD0927">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05DE7C">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详见磋商文件第六部分</w:t>
            </w:r>
          </w:p>
        </w:tc>
      </w:tr>
      <w:tr w14:paraId="1B3EC8B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C10F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3C6493">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7E7100F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详见第一部分投标邀请中“各包供应商资格条件”的规定</w:t>
            </w:r>
          </w:p>
        </w:tc>
      </w:tr>
      <w:tr w14:paraId="01F15B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877C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D2F8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2C95D7C">
            <w:pPr>
              <w:autoSpaceDE w:val="0"/>
              <w:autoSpaceDN w:val="0"/>
              <w:spacing w:line="360" w:lineRule="auto"/>
              <w:ind w:firstLine="0" w:firstLineChars="0"/>
              <w:jc w:val="left"/>
              <w:rPr>
                <w:rFonts w:hint="eastAsia" w:ascii="宋体" w:hAnsi="宋体" w:eastAsia="宋体" w:cs="宋体"/>
                <w:b/>
                <w:bCs/>
                <w:color w:val="auto"/>
                <w:sz w:val="24"/>
                <w:szCs w:val="24"/>
                <w:lang w:val="en-US"/>
              </w:rPr>
            </w:pPr>
            <w:r>
              <w:rPr>
                <w:rFonts w:hint="eastAsia" w:ascii="宋体" w:hAnsi="宋体" w:eastAsia="宋体" w:cs="宋体"/>
                <w:color w:val="auto"/>
                <w:sz w:val="24"/>
                <w:szCs w:val="24"/>
                <w:lang w:val="zh-CN"/>
              </w:rPr>
              <w:t>磋商保证金金额：</w:t>
            </w:r>
            <w:r>
              <w:rPr>
                <w:rFonts w:hint="eastAsia" w:ascii="宋体" w:hAnsi="宋体" w:eastAsia="宋体" w:cs="宋体"/>
                <w:b/>
                <w:bCs/>
                <w:color w:val="auto"/>
                <w:sz w:val="24"/>
                <w:szCs w:val="24"/>
                <w:lang w:val="en-US" w:eastAsia="zh-CN"/>
              </w:rPr>
              <w:t>1.6万</w:t>
            </w:r>
            <w:r>
              <w:rPr>
                <w:rFonts w:hint="eastAsia" w:ascii="宋体" w:hAnsi="宋体" w:eastAsia="宋体" w:cs="宋体"/>
                <w:b/>
                <w:bCs/>
                <w:color w:val="auto"/>
                <w:sz w:val="24"/>
                <w:szCs w:val="24"/>
                <w:u w:val="none"/>
                <w:lang w:val="en-US" w:eastAsia="zh-CN"/>
              </w:rPr>
              <w:t>元</w:t>
            </w:r>
          </w:p>
          <w:p w14:paraId="040671CE">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收款单位：</w:t>
            </w:r>
            <w:r>
              <w:rPr>
                <w:rFonts w:hint="eastAsia" w:ascii="宋体" w:hAnsi="宋体" w:eastAsia="宋体" w:cs="宋体"/>
                <w:color w:val="auto"/>
                <w:sz w:val="24"/>
                <w:szCs w:val="24"/>
                <w:lang w:eastAsia="zh-CN"/>
              </w:rPr>
              <w:t>青海鼎钊招标代理有限公司</w:t>
            </w:r>
          </w:p>
          <w:p w14:paraId="4960F930">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开 户 行：</w:t>
            </w:r>
            <w:r>
              <w:rPr>
                <w:rFonts w:hint="eastAsia" w:ascii="宋体" w:hAnsi="宋体" w:eastAsia="宋体" w:cs="宋体"/>
                <w:color w:val="auto"/>
                <w:sz w:val="24"/>
                <w:szCs w:val="24"/>
                <w:lang w:eastAsia="zh-CN"/>
              </w:rPr>
              <w:t>上海浦东发展银行股份有限公司西宁城东支行</w:t>
            </w:r>
          </w:p>
          <w:p w14:paraId="4052A624">
            <w:pPr>
              <w:autoSpaceDE w:val="0"/>
              <w:autoSpaceDN w:val="0"/>
              <w:spacing w:line="360" w:lineRule="auto"/>
              <w:ind w:firstLine="0" w:firstLineChars="0"/>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银行账号：</w:t>
            </w:r>
            <w:r>
              <w:rPr>
                <w:rFonts w:hint="eastAsia" w:ascii="宋体" w:hAnsi="宋体" w:eastAsia="宋体" w:cs="宋体"/>
                <w:color w:val="auto"/>
                <w:sz w:val="24"/>
                <w:szCs w:val="24"/>
                <w:lang w:eastAsia="zh-CN"/>
              </w:rPr>
              <w:t>35030078801500000377</w:t>
            </w:r>
          </w:p>
          <w:p w14:paraId="5EC89847">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缴费时间：</w:t>
            </w:r>
            <w:r>
              <w:rPr>
                <w:rFonts w:hint="eastAsia" w:ascii="宋体" w:hAnsi="宋体" w:eastAsia="宋体" w:cs="宋体"/>
                <w:b/>
                <w:bCs/>
                <w:color w:val="auto"/>
                <w:sz w:val="24"/>
                <w:szCs w:val="24"/>
              </w:rPr>
              <w:t>提交响应文件截止时间</w:t>
            </w:r>
            <w:r>
              <w:rPr>
                <w:rFonts w:hint="eastAsia" w:ascii="宋体" w:hAnsi="宋体" w:eastAsia="宋体" w:cs="宋体"/>
                <w:b/>
                <w:bCs/>
                <w:color w:val="auto"/>
                <w:sz w:val="24"/>
                <w:szCs w:val="24"/>
                <w:lang w:val="zh-CN"/>
              </w:rPr>
              <w:t>前，以银行到账时间为准。</w:t>
            </w:r>
          </w:p>
        </w:tc>
      </w:tr>
      <w:tr w14:paraId="0859628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DB5017">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75D11">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662F30">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缴费方式：磋商保证金应当以支票、汇票、本票或者金融机构、担保机构出具的保函等非现金形式提交。供应商未按照磋商文件要求提交磋商保证金的，投标无效。</w:t>
            </w:r>
          </w:p>
        </w:tc>
      </w:tr>
      <w:tr w14:paraId="6E30370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D73BF">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4E244D">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0167C8C1">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14:paraId="47A6468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8B72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9448F">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0E1FE1">
            <w:pPr>
              <w:autoSpaceDE w:val="0"/>
              <w:autoSpaceDN w:val="0"/>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政采云平台提交</w:t>
            </w:r>
          </w:p>
        </w:tc>
      </w:tr>
      <w:tr w14:paraId="523C8D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2A7A6">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66D75A">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6DAE0F">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2024年12月03日上午09：30（北京时间）</w:t>
            </w:r>
          </w:p>
        </w:tc>
      </w:tr>
      <w:tr w14:paraId="0782EC0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BDD5C">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52B517">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692685">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2024年12月03日上午09：30（北京时间）</w:t>
            </w:r>
          </w:p>
        </w:tc>
      </w:tr>
      <w:tr w14:paraId="2CCE666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7451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41D675">
            <w:pPr>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61A3D">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政采云平台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https://www.zcygov.cn/</w:t>
            </w:r>
            <w:r>
              <w:rPr>
                <w:rFonts w:hint="eastAsia" w:ascii="宋体" w:hAnsi="宋体" w:eastAsia="宋体" w:cs="宋体"/>
                <w:color w:val="auto"/>
                <w:sz w:val="24"/>
                <w:szCs w:val="24"/>
                <w:lang w:eastAsia="zh-CN"/>
              </w:rPr>
              <w:t>）</w:t>
            </w:r>
          </w:p>
        </w:tc>
      </w:tr>
      <w:tr w14:paraId="5487002E">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456BA">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B06F2">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20278F0">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线上</w:t>
            </w:r>
            <w:r>
              <w:rPr>
                <w:rFonts w:hint="eastAsia" w:ascii="宋体" w:hAnsi="宋体" w:eastAsia="宋体" w:cs="宋体"/>
                <w:color w:val="auto"/>
                <w:sz w:val="24"/>
                <w:szCs w:val="24"/>
                <w:lang w:val="zh-CN"/>
              </w:rPr>
              <w:t>答疑</w:t>
            </w:r>
          </w:p>
        </w:tc>
      </w:tr>
      <w:tr w14:paraId="19A4794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1C87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367C9">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208F30DB">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收取对象：</w:t>
            </w:r>
            <w:r>
              <w:rPr>
                <w:rFonts w:hint="eastAsia" w:ascii="宋体" w:hAnsi="宋体" w:eastAsia="宋体" w:cs="宋体"/>
                <w:b/>
                <w:bCs/>
                <w:color w:val="auto"/>
                <w:sz w:val="24"/>
                <w:szCs w:val="24"/>
                <w:lang w:val="zh-CN"/>
              </w:rPr>
              <w:t>成交供应商</w:t>
            </w:r>
          </w:p>
          <w:p w14:paraId="42EA0E53">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收费金额：</w:t>
            </w:r>
            <w:r>
              <w:rPr>
                <w:rFonts w:hint="eastAsia" w:ascii="宋体" w:hAnsi="宋体" w:eastAsia="宋体" w:cs="宋体"/>
                <w:b/>
                <w:bCs/>
                <w:color w:val="auto"/>
                <w:sz w:val="24"/>
                <w:szCs w:val="24"/>
                <w:lang w:val="en-US" w:eastAsia="zh-CN"/>
              </w:rPr>
              <w:t>15900.00元</w:t>
            </w:r>
          </w:p>
          <w:p w14:paraId="31335CFF">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收款单位：青海鼎钊招标代理有限公司</w:t>
            </w:r>
          </w:p>
          <w:p w14:paraId="56E86AE4">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 户 行：中国农业银行股份有限公司西宁城东经济技术开发区支行</w:t>
            </w:r>
          </w:p>
          <w:p w14:paraId="7AE3B394">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银行账号：2801 2001 0400 0229 1</w:t>
            </w:r>
          </w:p>
        </w:tc>
      </w:tr>
      <w:tr w14:paraId="40387DB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D768D4">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551639">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66F7ED3B">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w:t>
            </w:r>
            <w:r>
              <w:rPr>
                <w:rFonts w:hint="eastAsia" w:ascii="宋体" w:hAnsi="宋体" w:eastAsia="宋体" w:cs="宋体"/>
                <w:color w:val="auto"/>
                <w:sz w:val="24"/>
                <w:szCs w:val="24"/>
              </w:rPr>
              <w:t>30</w:t>
            </w:r>
            <w:r>
              <w:rPr>
                <w:rFonts w:hint="eastAsia" w:ascii="宋体" w:hAnsi="宋体" w:eastAsia="宋体" w:cs="宋体"/>
                <w:color w:val="auto"/>
                <w:sz w:val="24"/>
                <w:szCs w:val="24"/>
                <w:lang w:val="zh-CN"/>
              </w:rPr>
              <w:t>日内与采购人签订采购合同</w:t>
            </w:r>
          </w:p>
        </w:tc>
      </w:tr>
      <w:tr w14:paraId="2B77B81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AE2D0">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0B254A">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4C7B092A">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采购合同全数返回采购代理机构鉴证，盖章。</w:t>
            </w:r>
          </w:p>
          <w:p w14:paraId="3397B156">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val="zh-CN"/>
              </w:rPr>
              <w:t>份原件备案。</w:t>
            </w:r>
          </w:p>
        </w:tc>
      </w:tr>
      <w:tr w14:paraId="2078D5E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C5DA2">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770B3E">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3A5687CE">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tc>
      </w:tr>
      <w:tr w14:paraId="6CA9FE9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C82334">
            <w:pPr>
              <w:numPr>
                <w:ilvl w:val="0"/>
                <w:numId w:val="2"/>
              </w:numPr>
              <w:autoSpaceDE w:val="0"/>
              <w:autoSpaceDN w:val="0"/>
              <w:spacing w:line="360" w:lineRule="auto"/>
              <w:ind w:firstLineChars="0"/>
              <w:jc w:val="center"/>
              <w:rPr>
                <w:rFonts w:hint="eastAsia" w:ascii="宋体" w:hAnsi="宋体" w:eastAsia="宋体" w:cs="宋体"/>
                <w:b/>
                <w:bCs/>
                <w:color w:val="auto"/>
                <w:sz w:val="24"/>
                <w:szCs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B94EEC">
            <w:pPr>
              <w:autoSpaceDE w:val="0"/>
              <w:autoSpaceDN w:val="0"/>
              <w:spacing w:line="360" w:lineRule="auto"/>
              <w:ind w:firstLine="0" w:firstLineChars="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14:paraId="179F1504">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0776B5F1">
      <w:pPr>
        <w:wordWrap w:val="0"/>
        <w:spacing w:line="360" w:lineRule="auto"/>
        <w:ind w:firstLine="0" w:firstLineChars="0"/>
        <w:rPr>
          <w:rFonts w:hint="eastAsia" w:ascii="宋体" w:hAnsi="宋体" w:eastAsia="宋体" w:cs="宋体"/>
          <w:color w:val="auto"/>
          <w:sz w:val="24"/>
          <w:szCs w:val="24"/>
          <w:lang w:val="zh-CN"/>
        </w:rPr>
      </w:pPr>
    </w:p>
    <w:p w14:paraId="6FE46C3F">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601D37BE">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14339"/>
      <w:bookmarkStart w:id="5" w:name="_Toc325725997"/>
      <w:r>
        <w:rPr>
          <w:rFonts w:hint="eastAsia" w:ascii="宋体" w:hAnsi="宋体" w:eastAsia="宋体" w:cs="宋体"/>
          <w:b/>
          <w:color w:val="auto"/>
          <w:kern w:val="28"/>
          <w:sz w:val="36"/>
          <w:szCs w:val="20"/>
        </w:rPr>
        <w:t>第三部分  供应商须知</w:t>
      </w:r>
      <w:bookmarkEnd w:id="4"/>
    </w:p>
    <w:p w14:paraId="5F327CAB">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14943"/>
      <w:bookmarkStart w:id="8" w:name="_Toc376936728"/>
      <w:bookmarkStart w:id="9" w:name="_Toc54"/>
      <w:r>
        <w:rPr>
          <w:rFonts w:hint="eastAsia" w:ascii="宋体" w:hAnsi="宋体" w:eastAsia="宋体" w:cs="宋体"/>
          <w:b/>
          <w:bCs/>
          <w:color w:val="auto"/>
          <w:sz w:val="24"/>
          <w:szCs w:val="24"/>
        </w:rPr>
        <w:t>一、说  明</w:t>
      </w:r>
      <w:bookmarkEnd w:id="5"/>
      <w:bookmarkEnd w:id="6"/>
      <w:bookmarkEnd w:id="7"/>
      <w:bookmarkEnd w:id="8"/>
      <w:bookmarkEnd w:id="9"/>
    </w:p>
    <w:p w14:paraId="3B01CECD">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76936729"/>
      <w:bookmarkStart w:id="11" w:name="_Toc4182"/>
      <w:bookmarkStart w:id="12" w:name="_Toc26944"/>
      <w:bookmarkStart w:id="13" w:name="_Toc9770"/>
      <w:bookmarkStart w:id="14" w:name="_Toc325725998"/>
      <w:r>
        <w:rPr>
          <w:rFonts w:hint="eastAsia" w:ascii="宋体" w:hAnsi="宋体" w:eastAsia="宋体" w:cs="宋体"/>
          <w:b/>
          <w:bCs/>
          <w:color w:val="auto"/>
          <w:sz w:val="24"/>
          <w:szCs w:val="24"/>
        </w:rPr>
        <w:t>1.适用范围</w:t>
      </w:r>
      <w:bookmarkEnd w:id="10"/>
      <w:bookmarkEnd w:id="11"/>
      <w:bookmarkEnd w:id="12"/>
      <w:bookmarkEnd w:id="13"/>
      <w:bookmarkEnd w:id="14"/>
    </w:p>
    <w:p w14:paraId="2E988114">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本次采购依据采购人的采购计划，仅适用于本磋商文件中所叙述的项目。</w:t>
      </w:r>
    </w:p>
    <w:p w14:paraId="20EFE43A">
      <w:pPr>
        <w:widowControl/>
        <w:spacing w:line="360" w:lineRule="auto"/>
        <w:ind w:firstLine="0" w:firstLineChars="0"/>
        <w:jc w:val="left"/>
        <w:outlineLvl w:val="2"/>
        <w:rPr>
          <w:rFonts w:hint="eastAsia" w:ascii="宋体" w:hAnsi="宋体" w:eastAsia="宋体" w:cs="宋体"/>
          <w:b/>
          <w:bCs/>
          <w:color w:val="auto"/>
          <w:sz w:val="24"/>
          <w:szCs w:val="24"/>
        </w:rPr>
      </w:pPr>
      <w:bookmarkStart w:id="15" w:name="_Toc325725999"/>
      <w:bookmarkStart w:id="16" w:name="_Toc21998"/>
      <w:bookmarkStart w:id="17" w:name="_Toc376936730"/>
      <w:bookmarkStart w:id="18" w:name="_Toc9532"/>
      <w:bookmarkStart w:id="19" w:name="_Toc31556"/>
      <w:r>
        <w:rPr>
          <w:rFonts w:hint="eastAsia" w:ascii="宋体" w:hAnsi="宋体" w:eastAsia="宋体" w:cs="宋体"/>
          <w:b/>
          <w:bCs/>
          <w:color w:val="auto"/>
          <w:sz w:val="24"/>
          <w:szCs w:val="24"/>
        </w:rPr>
        <w:t>2.采购方式、合格的</w:t>
      </w:r>
      <w:bookmarkEnd w:id="15"/>
      <w:bookmarkEnd w:id="16"/>
      <w:bookmarkEnd w:id="17"/>
      <w:r>
        <w:rPr>
          <w:rFonts w:hint="eastAsia" w:ascii="宋体" w:hAnsi="宋体" w:eastAsia="宋体" w:cs="宋体"/>
          <w:b/>
          <w:bCs/>
          <w:color w:val="auto"/>
          <w:sz w:val="24"/>
          <w:szCs w:val="24"/>
        </w:rPr>
        <w:t>供应商</w:t>
      </w:r>
      <w:bookmarkEnd w:id="18"/>
      <w:bookmarkEnd w:id="19"/>
    </w:p>
    <w:p w14:paraId="10CBC435">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69BC0309">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r>
        <w:rPr>
          <w:rFonts w:hint="eastAsia" w:ascii="宋体" w:hAnsi="宋体" w:eastAsia="宋体" w:cs="宋体"/>
          <w:color w:val="auto"/>
          <w:sz w:val="24"/>
          <w:szCs w:val="24"/>
          <w:lang w:val="zh-CN"/>
        </w:rPr>
        <w:t>详见第一部分投标邀请中“各包供应商资格条件”的规定</w:t>
      </w:r>
    </w:p>
    <w:p w14:paraId="4E80D9F7">
      <w:pPr>
        <w:widowControl/>
        <w:spacing w:line="360" w:lineRule="auto"/>
        <w:ind w:firstLine="0" w:firstLineChars="0"/>
        <w:jc w:val="left"/>
        <w:outlineLvl w:val="2"/>
        <w:rPr>
          <w:rFonts w:hint="eastAsia" w:ascii="宋体" w:hAnsi="宋体" w:eastAsia="宋体" w:cs="宋体"/>
          <w:b/>
          <w:bCs/>
          <w:color w:val="auto"/>
          <w:sz w:val="24"/>
          <w:szCs w:val="24"/>
        </w:rPr>
      </w:pPr>
      <w:bookmarkStart w:id="20" w:name="_Toc8805"/>
      <w:bookmarkStart w:id="21" w:name="_Toc22634"/>
      <w:bookmarkStart w:id="22" w:name="_Toc325726000"/>
      <w:bookmarkStart w:id="23" w:name="_Toc8820"/>
      <w:bookmarkStart w:id="24" w:name="_Toc376936731"/>
      <w:r>
        <w:rPr>
          <w:rFonts w:hint="eastAsia" w:ascii="宋体" w:hAnsi="宋体" w:eastAsia="宋体" w:cs="宋体"/>
          <w:b/>
          <w:bCs/>
          <w:color w:val="auto"/>
          <w:sz w:val="24"/>
          <w:szCs w:val="24"/>
        </w:rPr>
        <w:t>3.磋商费用</w:t>
      </w:r>
      <w:bookmarkEnd w:id="20"/>
      <w:bookmarkEnd w:id="21"/>
      <w:bookmarkEnd w:id="22"/>
      <w:bookmarkEnd w:id="23"/>
      <w:bookmarkEnd w:id="24"/>
    </w:p>
    <w:p w14:paraId="2F7159B5">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5" w:name="_Toc325726001"/>
      <w:bookmarkStart w:id="26" w:name="_Toc376936732"/>
      <w:bookmarkStart w:id="27" w:name="_Toc18155"/>
    </w:p>
    <w:p w14:paraId="22C8D378">
      <w:pPr>
        <w:widowControl/>
        <w:spacing w:line="360" w:lineRule="auto"/>
        <w:ind w:firstLine="0" w:firstLineChars="0"/>
        <w:jc w:val="center"/>
        <w:outlineLvl w:val="1"/>
        <w:rPr>
          <w:rFonts w:hint="eastAsia" w:ascii="宋体" w:hAnsi="宋体" w:eastAsia="宋体" w:cs="宋体"/>
          <w:b/>
          <w:bCs/>
          <w:color w:val="auto"/>
          <w:sz w:val="24"/>
          <w:szCs w:val="24"/>
        </w:rPr>
      </w:pPr>
      <w:bookmarkStart w:id="28" w:name="_Toc25643"/>
      <w:r>
        <w:rPr>
          <w:rFonts w:hint="eastAsia" w:ascii="宋体" w:hAnsi="宋体" w:eastAsia="宋体" w:cs="宋体"/>
          <w:b/>
          <w:bCs/>
          <w:color w:val="auto"/>
          <w:sz w:val="24"/>
          <w:szCs w:val="24"/>
        </w:rPr>
        <w:t>二、磋商文件说明</w:t>
      </w:r>
      <w:bookmarkEnd w:id="25"/>
      <w:bookmarkEnd w:id="26"/>
      <w:bookmarkEnd w:id="27"/>
      <w:bookmarkEnd w:id="28"/>
    </w:p>
    <w:p w14:paraId="55C388F0">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25726002"/>
      <w:bookmarkStart w:id="30" w:name="_Toc8251"/>
      <w:bookmarkStart w:id="31" w:name="_Toc10649"/>
      <w:bookmarkStart w:id="32" w:name="_Toc14153"/>
      <w:bookmarkStart w:id="33" w:name="_Toc376936733"/>
      <w:r>
        <w:rPr>
          <w:rFonts w:hint="eastAsia" w:ascii="宋体" w:hAnsi="宋体" w:eastAsia="宋体" w:cs="宋体"/>
          <w:b/>
          <w:bCs/>
          <w:color w:val="auto"/>
          <w:sz w:val="24"/>
          <w:szCs w:val="24"/>
        </w:rPr>
        <w:t>4.磋商文件的构成</w:t>
      </w:r>
      <w:bookmarkEnd w:id="29"/>
      <w:bookmarkEnd w:id="30"/>
      <w:bookmarkEnd w:id="31"/>
      <w:bookmarkEnd w:id="32"/>
      <w:bookmarkEnd w:id="33"/>
    </w:p>
    <w:p w14:paraId="73F51FF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BA56BD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5056537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27D5D17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14:paraId="0F07A5D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CD80A6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0A52464F">
      <w:pPr>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w:t>
      </w:r>
    </w:p>
    <w:p w14:paraId="137F355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2476DCB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14:paraId="6D226C5E">
      <w:pPr>
        <w:widowControl/>
        <w:spacing w:line="360" w:lineRule="auto"/>
        <w:ind w:firstLine="0" w:firstLineChars="0"/>
        <w:jc w:val="left"/>
        <w:outlineLvl w:val="2"/>
        <w:rPr>
          <w:rFonts w:hint="eastAsia" w:ascii="宋体" w:hAnsi="宋体" w:eastAsia="宋体" w:cs="宋体"/>
          <w:b/>
          <w:bCs/>
          <w:color w:val="auto"/>
          <w:sz w:val="24"/>
          <w:szCs w:val="24"/>
        </w:rPr>
      </w:pPr>
      <w:bookmarkStart w:id="34" w:name="_Toc6482"/>
      <w:bookmarkStart w:id="35" w:name="_Toc3451"/>
      <w:bookmarkStart w:id="36" w:name="_Toc325726003"/>
      <w:bookmarkStart w:id="37" w:name="_Toc376936734"/>
      <w:bookmarkStart w:id="38" w:name="_Toc8325"/>
      <w:r>
        <w:rPr>
          <w:rFonts w:hint="eastAsia" w:ascii="宋体" w:hAnsi="宋体" w:eastAsia="宋体" w:cs="宋体"/>
          <w:b/>
          <w:bCs/>
          <w:color w:val="auto"/>
          <w:sz w:val="24"/>
          <w:szCs w:val="24"/>
        </w:rPr>
        <w:t>5.</w:t>
      </w:r>
      <w:bookmarkEnd w:id="34"/>
      <w:bookmarkEnd w:id="35"/>
      <w:bookmarkEnd w:id="36"/>
      <w:bookmarkEnd w:id="37"/>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文件、采购活动和</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lang w:val="zh-CN"/>
        </w:rPr>
        <w:t>结果的质疑</w:t>
      </w:r>
      <w:bookmarkEnd w:id="38"/>
    </w:p>
    <w:p w14:paraId="47ABC31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认为</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文件、采购过程和</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3DDE8D0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2C94391E">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val="zh-CN"/>
        </w:rPr>
        <w:t>应知其权益受到损害之日，是指：</w:t>
      </w:r>
    </w:p>
    <w:p w14:paraId="749C1F1D">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文件公告期限届满之日；</w:t>
      </w:r>
    </w:p>
    <w:p w14:paraId="2F8B20A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3320520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结果提出质疑的，为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lang w:val="zh-CN"/>
        </w:rPr>
        <w:t>结果公告期限届满之日。</w:t>
      </w:r>
    </w:p>
    <w:p w14:paraId="78EEB0A6">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26515"/>
      <w:bookmarkStart w:id="40" w:name="_Toc13050"/>
      <w:bookmarkStart w:id="41" w:name="_Toc325726004"/>
      <w:bookmarkStart w:id="42" w:name="_Toc376936735"/>
      <w:bookmarkStart w:id="43" w:name="_Toc19176"/>
      <w:r>
        <w:rPr>
          <w:rFonts w:hint="eastAsia" w:ascii="宋体" w:hAnsi="宋体" w:eastAsia="宋体" w:cs="宋体"/>
          <w:b/>
          <w:bCs/>
          <w:color w:val="auto"/>
          <w:sz w:val="24"/>
          <w:szCs w:val="24"/>
        </w:rPr>
        <w:t>6.磋商文件的澄清、修改</w:t>
      </w:r>
      <w:bookmarkEnd w:id="39"/>
      <w:bookmarkEnd w:id="40"/>
      <w:bookmarkEnd w:id="41"/>
      <w:bookmarkEnd w:id="42"/>
      <w:bookmarkEnd w:id="43"/>
    </w:p>
    <w:p w14:paraId="2C93F2A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1B6540F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6.2在提交响应文件截止时间前，采购代理机构可以视采购具体情况，延长提交响应文件截止时间和开启时间，并将变更公告发布在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上。</w:t>
      </w:r>
      <w:bookmarkStart w:id="44" w:name="_Toc376936736"/>
      <w:bookmarkStart w:id="45" w:name="_Toc325726005"/>
      <w:bookmarkStart w:id="46" w:name="_Toc23340"/>
    </w:p>
    <w:p w14:paraId="7D84E747">
      <w:pPr>
        <w:widowControl/>
        <w:spacing w:line="360" w:lineRule="auto"/>
        <w:ind w:firstLine="0" w:firstLineChars="0"/>
        <w:jc w:val="center"/>
        <w:outlineLvl w:val="1"/>
        <w:rPr>
          <w:rFonts w:hint="eastAsia" w:ascii="宋体" w:hAnsi="宋体" w:eastAsia="宋体" w:cs="宋体"/>
          <w:b/>
          <w:bCs/>
          <w:color w:val="auto"/>
          <w:sz w:val="24"/>
          <w:szCs w:val="24"/>
        </w:rPr>
      </w:pPr>
      <w:bookmarkStart w:id="47" w:name="_Toc12269"/>
      <w:r>
        <w:rPr>
          <w:rFonts w:hint="eastAsia" w:ascii="宋体" w:hAnsi="宋体" w:eastAsia="宋体" w:cs="宋体"/>
          <w:b/>
          <w:bCs/>
          <w:color w:val="auto"/>
          <w:sz w:val="24"/>
          <w:szCs w:val="24"/>
        </w:rPr>
        <w:t>三、响应文件的编制</w:t>
      </w:r>
      <w:bookmarkEnd w:id="44"/>
      <w:bookmarkEnd w:id="45"/>
      <w:bookmarkEnd w:id="46"/>
      <w:bookmarkEnd w:id="47"/>
    </w:p>
    <w:p w14:paraId="592C7FF2">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9674"/>
      <w:bookmarkStart w:id="49" w:name="_Toc376936737"/>
      <w:bookmarkStart w:id="50" w:name="_Toc25219"/>
      <w:bookmarkStart w:id="51" w:name="_Toc325726006"/>
      <w:bookmarkStart w:id="52" w:name="_Toc13057"/>
      <w:r>
        <w:rPr>
          <w:rFonts w:hint="eastAsia" w:ascii="宋体" w:hAnsi="宋体" w:eastAsia="宋体" w:cs="宋体"/>
          <w:b/>
          <w:bCs/>
          <w:color w:val="auto"/>
          <w:sz w:val="24"/>
          <w:szCs w:val="24"/>
        </w:rPr>
        <w:t>7.响应文件的语言及度量衡单位</w:t>
      </w:r>
      <w:bookmarkEnd w:id="48"/>
      <w:bookmarkEnd w:id="49"/>
      <w:bookmarkEnd w:id="50"/>
      <w:bookmarkEnd w:id="51"/>
      <w:bookmarkEnd w:id="52"/>
    </w:p>
    <w:p w14:paraId="60AEE05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14:paraId="706311C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58856E5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14:paraId="6FB4648B">
      <w:pPr>
        <w:widowControl/>
        <w:spacing w:line="360" w:lineRule="auto"/>
        <w:ind w:firstLine="0" w:firstLineChars="0"/>
        <w:jc w:val="left"/>
        <w:outlineLvl w:val="2"/>
        <w:rPr>
          <w:rFonts w:hint="eastAsia" w:ascii="宋体" w:hAnsi="宋体" w:eastAsia="宋体" w:cs="宋体"/>
          <w:b/>
          <w:bCs/>
          <w:color w:val="auto"/>
          <w:sz w:val="24"/>
          <w:szCs w:val="24"/>
        </w:rPr>
      </w:pPr>
      <w:bookmarkStart w:id="53" w:name="_Toc376936743"/>
      <w:bookmarkStart w:id="54" w:name="_Toc17093"/>
      <w:bookmarkStart w:id="55" w:name="_Toc21569"/>
      <w:bookmarkStart w:id="56" w:name="_Toc15166"/>
      <w:bookmarkStart w:id="57" w:name="_Toc325726012"/>
      <w:r>
        <w:rPr>
          <w:rFonts w:hint="eastAsia" w:ascii="宋体" w:hAnsi="宋体" w:eastAsia="宋体" w:cs="宋体"/>
          <w:b/>
          <w:bCs/>
          <w:color w:val="auto"/>
          <w:sz w:val="24"/>
          <w:szCs w:val="24"/>
        </w:rPr>
        <w:t>8.磋商保证金</w:t>
      </w:r>
      <w:bookmarkEnd w:id="53"/>
      <w:bookmarkEnd w:id="54"/>
      <w:bookmarkEnd w:id="55"/>
      <w:bookmarkEnd w:id="56"/>
      <w:bookmarkEnd w:id="57"/>
    </w:p>
    <w:p w14:paraId="40CDC7E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14:paraId="35F434F4">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磋商保证金由供应商以转款方式直接缴入“青海鼎钊招标代理有限公司”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14:paraId="7D9D7B8E">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 xml:space="preserve">.3 </w:t>
      </w:r>
      <w:r>
        <w:rPr>
          <w:rFonts w:hint="eastAsia" w:ascii="宋体" w:hAnsi="宋体" w:eastAsia="宋体" w:cs="宋体"/>
          <w:color w:val="auto"/>
          <w:sz w:val="24"/>
          <w:szCs w:val="24"/>
        </w:rPr>
        <w:t>有下列情形之一的，磋商保证金不予退还：</w:t>
      </w:r>
    </w:p>
    <w:p w14:paraId="50B6F00B">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14:paraId="07C774D1">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14:paraId="409103C5">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14:paraId="31D7D837">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14:paraId="4C5B4191">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14:paraId="0623077C">
      <w:pPr>
        <w:widowControl/>
        <w:spacing w:line="360" w:lineRule="auto"/>
        <w:ind w:firstLine="0" w:firstLineChars="0"/>
        <w:jc w:val="left"/>
        <w:outlineLvl w:val="2"/>
        <w:rPr>
          <w:rFonts w:hint="eastAsia" w:ascii="宋体" w:hAnsi="宋体" w:eastAsia="宋体" w:cs="宋体"/>
          <w:b/>
          <w:bCs/>
          <w:color w:val="auto"/>
          <w:sz w:val="24"/>
          <w:szCs w:val="24"/>
        </w:rPr>
      </w:pPr>
      <w:bookmarkStart w:id="58" w:name="_Toc325726013"/>
      <w:bookmarkStart w:id="59" w:name="_Toc376936744"/>
      <w:bookmarkStart w:id="60" w:name="_Toc24392"/>
      <w:bookmarkStart w:id="61" w:name="_Toc32704"/>
      <w:bookmarkStart w:id="62" w:name="_Toc22044"/>
      <w:r>
        <w:rPr>
          <w:rFonts w:hint="eastAsia" w:ascii="宋体" w:hAnsi="宋体" w:eastAsia="宋体" w:cs="宋体"/>
          <w:b/>
          <w:bCs/>
          <w:color w:val="auto"/>
          <w:sz w:val="24"/>
          <w:szCs w:val="24"/>
        </w:rPr>
        <w:t>9.磋商有效期</w:t>
      </w:r>
      <w:bookmarkEnd w:id="58"/>
      <w:bookmarkEnd w:id="59"/>
      <w:bookmarkEnd w:id="60"/>
      <w:bookmarkEnd w:id="61"/>
      <w:bookmarkEnd w:id="62"/>
    </w:p>
    <w:p w14:paraId="0630E29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磋商有效期为自磋商开始之日起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个日历日</w:t>
      </w:r>
    </w:p>
    <w:p w14:paraId="3064DAE8">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6936739"/>
      <w:bookmarkStart w:id="64" w:name="_Toc325726008"/>
      <w:bookmarkStart w:id="65" w:name="_Toc10599"/>
      <w:bookmarkStart w:id="66" w:name="_Toc31915"/>
      <w:bookmarkStart w:id="67" w:name="_Toc16445"/>
      <w:r>
        <w:rPr>
          <w:rFonts w:hint="eastAsia" w:ascii="宋体" w:hAnsi="宋体" w:eastAsia="宋体" w:cs="宋体"/>
          <w:b/>
          <w:bCs/>
          <w:color w:val="auto"/>
          <w:sz w:val="24"/>
          <w:szCs w:val="24"/>
        </w:rPr>
        <w:t>10.响应文件构成</w:t>
      </w:r>
      <w:bookmarkEnd w:id="63"/>
      <w:bookmarkEnd w:id="64"/>
      <w:bookmarkEnd w:id="65"/>
      <w:bookmarkEnd w:id="66"/>
      <w:bookmarkEnd w:id="67"/>
    </w:p>
    <w:p w14:paraId="0E111E9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14:paraId="0B5FE6B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33267CC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0548AB58">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r>
        <w:rPr>
          <w:rFonts w:hint="eastAsia" w:ascii="宋体" w:hAnsi="宋体" w:eastAsia="宋体" w:cs="宋体"/>
          <w:color w:val="auto"/>
          <w:sz w:val="24"/>
          <w:szCs w:val="24"/>
          <w:lang w:val="en-US" w:eastAsia="zh-CN"/>
        </w:rPr>
        <w:t>及分项报价表</w:t>
      </w:r>
    </w:p>
    <w:p w14:paraId="2FBA041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法定代表人证明书</w:t>
      </w:r>
    </w:p>
    <w:p w14:paraId="5A5F1A0C">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）法定代表人授权书</w:t>
      </w:r>
    </w:p>
    <w:p w14:paraId="28B0DF9F">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）供应商承诺函</w:t>
      </w:r>
    </w:p>
    <w:p w14:paraId="7CC29F2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）供应商诚信承诺书</w:t>
      </w:r>
    </w:p>
    <w:p w14:paraId="2F603489">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）资格证明材料</w:t>
      </w:r>
    </w:p>
    <w:p w14:paraId="48512A8B">
      <w:pPr>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）财务状况</w:t>
      </w:r>
      <w:r>
        <w:rPr>
          <w:rFonts w:hint="eastAsia" w:ascii="宋体" w:hAnsi="宋体" w:eastAsia="宋体" w:cs="宋体"/>
          <w:color w:val="auto"/>
          <w:sz w:val="24"/>
          <w:szCs w:val="24"/>
          <w:lang w:val="en-US" w:eastAsia="zh-CN"/>
        </w:rPr>
        <w:t>证明</w:t>
      </w:r>
    </w:p>
    <w:p w14:paraId="053D851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）具备履行合同所必须的设备和专业技术能力证明</w:t>
      </w:r>
    </w:p>
    <w:p w14:paraId="3110C906">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14:paraId="1E89E7B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14:paraId="2574C701">
      <w:pPr>
        <w:pStyle w:val="21"/>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中小企业声明函</w:t>
      </w:r>
    </w:p>
    <w:p w14:paraId="4AF8D9FF">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残疾人</w:t>
      </w:r>
      <w:r>
        <w:rPr>
          <w:rFonts w:hint="eastAsia" w:ascii="宋体" w:hAnsi="宋体" w:eastAsia="宋体" w:cs="宋体"/>
          <w:color w:val="auto"/>
          <w:sz w:val="24"/>
          <w:szCs w:val="24"/>
          <w:lang w:val="en-US" w:eastAsia="zh-CN"/>
        </w:rPr>
        <w:t>福利性单位声明函</w:t>
      </w:r>
    </w:p>
    <w:p w14:paraId="191682E9">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监狱企业证明材料</w:t>
      </w:r>
    </w:p>
    <w:p w14:paraId="44A2CCD8">
      <w:pPr>
        <w:pStyle w:val="21"/>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（16）供应商认为在其他方面有必要说明的事项</w:t>
      </w:r>
    </w:p>
    <w:p w14:paraId="6350361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1D46E424">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16453"/>
      <w:bookmarkStart w:id="69" w:name="_Toc412617729"/>
      <w:bookmarkStart w:id="70" w:name="_Toc373392580"/>
      <w:bookmarkStart w:id="71" w:name="_Toc11377"/>
      <w:bookmarkStart w:id="72" w:name="_Toc9604"/>
      <w:r>
        <w:rPr>
          <w:rFonts w:hint="eastAsia" w:ascii="宋体" w:hAnsi="宋体" w:eastAsia="宋体" w:cs="宋体"/>
          <w:b/>
          <w:bCs/>
          <w:color w:val="auto"/>
          <w:sz w:val="24"/>
          <w:szCs w:val="24"/>
        </w:rPr>
        <w:t>11.响应文件编印和签署</w:t>
      </w:r>
      <w:bookmarkEnd w:id="68"/>
      <w:bookmarkEnd w:id="69"/>
      <w:bookmarkEnd w:id="70"/>
      <w:bookmarkEnd w:id="71"/>
      <w:bookmarkEnd w:id="72"/>
    </w:p>
    <w:p w14:paraId="412C0775">
      <w:pPr>
        <w:pStyle w:val="12"/>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11.1 供应商须提交</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电子</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并由供应商的法定代表人或委托代理人按</w:t>
      </w:r>
      <w:r>
        <w:rPr>
          <w:rFonts w:hint="eastAsia" w:ascii="宋体" w:hAnsi="宋体" w:eastAsia="宋体" w:cs="宋体"/>
          <w:color w:val="auto"/>
          <w:sz w:val="24"/>
          <w:szCs w:val="24"/>
          <w:lang w:val="en-US" w:eastAsia="zh-CN"/>
        </w:rPr>
        <w:t>磋商文件</w:t>
      </w:r>
      <w:r>
        <w:rPr>
          <w:rFonts w:hint="eastAsia" w:ascii="宋体" w:hAnsi="宋体" w:eastAsia="宋体" w:cs="宋体"/>
          <w:color w:val="auto"/>
          <w:sz w:val="24"/>
          <w:szCs w:val="24"/>
        </w:rPr>
        <w:t>要求签字、盖章</w:t>
      </w:r>
      <w:r>
        <w:rPr>
          <w:rFonts w:hint="eastAsia" w:ascii="宋体" w:hAnsi="宋体" w:eastAsia="宋体" w:cs="宋体"/>
          <w:color w:val="auto"/>
          <w:sz w:val="24"/>
          <w:szCs w:val="24"/>
          <w:lang w:val="en-US" w:eastAsia="zh-CN"/>
        </w:rPr>
        <w:t>后扫描上传</w:t>
      </w:r>
      <w:r>
        <w:rPr>
          <w:rFonts w:hint="eastAsia" w:ascii="宋体" w:hAnsi="宋体" w:eastAsia="宋体" w:cs="宋体"/>
          <w:color w:val="auto"/>
          <w:sz w:val="24"/>
          <w:szCs w:val="24"/>
        </w:rPr>
        <w:t>。</w:t>
      </w:r>
    </w:p>
    <w:p w14:paraId="6577C75C">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响应文件中不得行间插字、涂改或增删，如有修改错漏处，须由供应商法定代表人或其委托代理人签字和盖章。</w:t>
      </w:r>
      <w:bookmarkStart w:id="73" w:name="_Toc15102"/>
      <w:bookmarkStart w:id="74" w:name="_Toc412617730"/>
      <w:bookmarkStart w:id="75" w:name="_Toc371090029"/>
      <w:bookmarkStart w:id="76" w:name="_Toc376936748"/>
    </w:p>
    <w:p w14:paraId="06102ABD">
      <w:pPr>
        <w:widowControl/>
        <w:spacing w:line="360" w:lineRule="auto"/>
        <w:ind w:firstLine="0" w:firstLineChars="0"/>
        <w:jc w:val="center"/>
        <w:outlineLvl w:val="1"/>
        <w:rPr>
          <w:rFonts w:hint="eastAsia" w:ascii="宋体" w:hAnsi="宋体" w:eastAsia="宋体" w:cs="宋体"/>
          <w:b/>
          <w:bCs/>
          <w:color w:val="auto"/>
          <w:sz w:val="24"/>
          <w:szCs w:val="24"/>
        </w:rPr>
      </w:pPr>
      <w:bookmarkStart w:id="77" w:name="_Toc27190"/>
      <w:r>
        <w:rPr>
          <w:rFonts w:hint="eastAsia" w:ascii="宋体" w:hAnsi="宋体" w:eastAsia="宋体" w:cs="宋体"/>
          <w:b/>
          <w:bCs/>
          <w:color w:val="auto"/>
          <w:sz w:val="24"/>
          <w:szCs w:val="24"/>
        </w:rPr>
        <w:t>四、响应文件的递交</w:t>
      </w:r>
      <w:bookmarkEnd w:id="73"/>
      <w:bookmarkEnd w:id="74"/>
      <w:bookmarkEnd w:id="77"/>
    </w:p>
    <w:p w14:paraId="788B0037">
      <w:pPr>
        <w:widowControl/>
        <w:spacing w:line="360" w:lineRule="auto"/>
        <w:ind w:firstLine="0" w:firstLineChars="0"/>
        <w:jc w:val="left"/>
        <w:outlineLvl w:val="2"/>
        <w:rPr>
          <w:rFonts w:hint="eastAsia" w:ascii="宋体" w:hAnsi="宋体" w:eastAsia="宋体" w:cs="宋体"/>
          <w:b/>
          <w:bCs/>
          <w:color w:val="auto"/>
          <w:sz w:val="24"/>
          <w:szCs w:val="24"/>
        </w:rPr>
      </w:pPr>
      <w:bookmarkStart w:id="78" w:name="_Toc325726016"/>
      <w:bookmarkStart w:id="79" w:name="_Toc1176"/>
      <w:bookmarkStart w:id="80" w:name="_Toc373392582"/>
      <w:bookmarkStart w:id="81" w:name="_Toc412617731"/>
      <w:bookmarkStart w:id="82" w:name="_Toc22448"/>
      <w:bookmarkStart w:id="83" w:name="_Toc23823"/>
      <w:r>
        <w:rPr>
          <w:rFonts w:hint="eastAsia" w:ascii="宋体" w:hAnsi="宋体" w:eastAsia="宋体" w:cs="宋体"/>
          <w:b/>
          <w:bCs/>
          <w:color w:val="auto"/>
          <w:sz w:val="24"/>
          <w:szCs w:val="24"/>
        </w:rPr>
        <w:t>12.响应文件的密封和标记</w:t>
      </w:r>
      <w:bookmarkEnd w:id="78"/>
      <w:bookmarkEnd w:id="79"/>
      <w:bookmarkEnd w:id="80"/>
      <w:bookmarkEnd w:id="81"/>
      <w:bookmarkEnd w:id="82"/>
      <w:bookmarkEnd w:id="83"/>
    </w:p>
    <w:p w14:paraId="6FDD7FD8">
      <w:pPr>
        <w:pStyle w:val="12"/>
        <w:spacing w:line="360" w:lineRule="auto"/>
        <w:ind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w:t>
      </w:r>
    </w:p>
    <w:bookmarkEnd w:id="75"/>
    <w:bookmarkEnd w:id="76"/>
    <w:p w14:paraId="764F009B">
      <w:pPr>
        <w:widowControl/>
        <w:spacing w:line="360" w:lineRule="auto"/>
        <w:ind w:firstLine="0" w:firstLineChars="0"/>
        <w:jc w:val="left"/>
        <w:outlineLvl w:val="2"/>
        <w:rPr>
          <w:rFonts w:hint="eastAsia" w:ascii="宋体" w:hAnsi="宋体" w:eastAsia="宋体" w:cs="宋体"/>
          <w:b/>
          <w:bCs/>
          <w:color w:val="auto"/>
          <w:sz w:val="24"/>
          <w:szCs w:val="24"/>
        </w:rPr>
      </w:pPr>
      <w:bookmarkStart w:id="84" w:name="_Toc325726017"/>
      <w:bookmarkStart w:id="85" w:name="_Toc4009"/>
      <w:bookmarkStart w:id="86" w:name="_Toc30756"/>
      <w:bookmarkStart w:id="87" w:name="_Toc373392583"/>
      <w:bookmarkStart w:id="88" w:name="_Toc412617732"/>
      <w:bookmarkStart w:id="89" w:name="_Toc26749"/>
      <w:bookmarkStart w:id="90" w:name="_Toc371090030"/>
      <w:bookmarkStart w:id="91" w:name="_Toc376936749"/>
      <w:r>
        <w:rPr>
          <w:rFonts w:hint="eastAsia" w:ascii="宋体" w:hAnsi="宋体" w:eastAsia="宋体" w:cs="宋体"/>
          <w:b/>
          <w:bCs/>
          <w:color w:val="auto"/>
          <w:sz w:val="24"/>
          <w:szCs w:val="24"/>
        </w:rPr>
        <w:t>13.</w:t>
      </w:r>
      <w:bookmarkEnd w:id="84"/>
      <w:bookmarkEnd w:id="85"/>
      <w:bookmarkEnd w:id="86"/>
      <w:bookmarkEnd w:id="87"/>
      <w:bookmarkEnd w:id="88"/>
      <w:r>
        <w:rPr>
          <w:rFonts w:hint="eastAsia" w:ascii="宋体" w:hAnsi="宋体" w:eastAsia="宋体" w:cs="宋体"/>
          <w:b/>
          <w:bCs/>
          <w:color w:val="auto"/>
          <w:sz w:val="24"/>
          <w:szCs w:val="24"/>
        </w:rPr>
        <w:t>提交响应文件截止时间、地点</w:t>
      </w:r>
      <w:bookmarkEnd w:id="89"/>
    </w:p>
    <w:p w14:paraId="59D462AA">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14:paraId="5137A756">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90"/>
      <w:bookmarkEnd w:id="91"/>
      <w:bookmarkStart w:id="92" w:name="_Toc325726019"/>
      <w:bookmarkStart w:id="93" w:name="_Toc376936750"/>
      <w:bookmarkStart w:id="94" w:name="_Toc9147"/>
    </w:p>
    <w:p w14:paraId="040A1561">
      <w:pPr>
        <w:widowControl/>
        <w:spacing w:line="360" w:lineRule="auto"/>
        <w:ind w:firstLine="0" w:firstLineChars="0"/>
        <w:jc w:val="center"/>
        <w:outlineLvl w:val="1"/>
        <w:rPr>
          <w:rFonts w:hint="eastAsia" w:ascii="宋体" w:hAnsi="宋体" w:eastAsia="宋体" w:cs="宋体"/>
          <w:b/>
          <w:bCs/>
          <w:color w:val="auto"/>
          <w:sz w:val="24"/>
          <w:szCs w:val="24"/>
        </w:rPr>
      </w:pPr>
      <w:bookmarkStart w:id="95" w:name="_Toc18075"/>
      <w:bookmarkStart w:id="96" w:name="_Toc5644"/>
      <w:r>
        <w:rPr>
          <w:rFonts w:hint="eastAsia" w:ascii="宋体" w:hAnsi="宋体" w:eastAsia="宋体" w:cs="宋体"/>
          <w:b/>
          <w:bCs/>
          <w:color w:val="auto"/>
          <w:sz w:val="24"/>
          <w:szCs w:val="24"/>
        </w:rPr>
        <w:t>五、</w:t>
      </w:r>
      <w:bookmarkEnd w:id="92"/>
      <w:bookmarkEnd w:id="93"/>
      <w:r>
        <w:rPr>
          <w:rFonts w:hint="eastAsia" w:ascii="宋体" w:hAnsi="宋体" w:eastAsia="宋体" w:cs="宋体"/>
          <w:b/>
          <w:bCs/>
          <w:color w:val="auto"/>
          <w:sz w:val="24"/>
          <w:szCs w:val="24"/>
        </w:rPr>
        <w:t>磋商过程</w:t>
      </w:r>
      <w:bookmarkEnd w:id="94"/>
      <w:bookmarkEnd w:id="95"/>
      <w:bookmarkEnd w:id="96"/>
    </w:p>
    <w:p w14:paraId="2E2A34F6">
      <w:pPr>
        <w:widowControl/>
        <w:spacing w:line="360" w:lineRule="auto"/>
        <w:ind w:firstLine="0" w:firstLineChars="0"/>
        <w:jc w:val="left"/>
        <w:outlineLvl w:val="2"/>
        <w:rPr>
          <w:rFonts w:hint="eastAsia" w:ascii="宋体" w:hAnsi="宋体" w:eastAsia="宋体" w:cs="宋体"/>
          <w:b/>
          <w:bCs/>
          <w:color w:val="auto"/>
          <w:sz w:val="24"/>
          <w:szCs w:val="24"/>
        </w:rPr>
      </w:pPr>
      <w:bookmarkStart w:id="97" w:name="_Toc376936751"/>
      <w:bookmarkStart w:id="98" w:name="_Toc325726020"/>
      <w:bookmarkStart w:id="99" w:name="_Toc15630"/>
      <w:bookmarkStart w:id="100" w:name="_Toc26149"/>
      <w:bookmarkStart w:id="101" w:name="_Toc26723"/>
      <w:r>
        <w:rPr>
          <w:rFonts w:hint="eastAsia" w:ascii="宋体" w:hAnsi="宋体" w:eastAsia="宋体" w:cs="宋体"/>
          <w:b/>
          <w:bCs/>
          <w:color w:val="auto"/>
          <w:sz w:val="24"/>
          <w:szCs w:val="24"/>
        </w:rPr>
        <w:t>14.</w:t>
      </w:r>
      <w:bookmarkEnd w:id="97"/>
      <w:bookmarkEnd w:id="98"/>
      <w:r>
        <w:rPr>
          <w:rFonts w:hint="eastAsia" w:ascii="宋体" w:hAnsi="宋体" w:eastAsia="宋体" w:cs="宋体"/>
          <w:b/>
          <w:bCs/>
          <w:color w:val="auto"/>
          <w:sz w:val="24"/>
          <w:szCs w:val="24"/>
        </w:rPr>
        <w:t>磋商过程</w:t>
      </w:r>
      <w:bookmarkEnd w:id="99"/>
      <w:bookmarkEnd w:id="100"/>
      <w:bookmarkEnd w:id="101"/>
    </w:p>
    <w:p w14:paraId="55CAC8D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14:paraId="754D8F1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14:paraId="7ABA4D4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14:paraId="3566E22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14:paraId="7EEC9A2D">
      <w:pPr>
        <w:widowControl/>
        <w:spacing w:line="360" w:lineRule="auto"/>
        <w:ind w:firstLine="0" w:firstLineChars="0"/>
        <w:jc w:val="center"/>
        <w:outlineLvl w:val="1"/>
        <w:rPr>
          <w:rFonts w:hint="eastAsia" w:ascii="宋体" w:hAnsi="宋体" w:eastAsia="宋体" w:cs="宋体"/>
          <w:b/>
          <w:bCs/>
          <w:color w:val="auto"/>
          <w:sz w:val="24"/>
          <w:szCs w:val="24"/>
        </w:rPr>
      </w:pPr>
      <w:bookmarkStart w:id="102" w:name="_Toc325726021"/>
      <w:bookmarkStart w:id="103" w:name="_Toc19030"/>
      <w:bookmarkStart w:id="104" w:name="_Toc22412"/>
      <w:bookmarkStart w:id="105" w:name="_Toc376936752"/>
      <w:bookmarkStart w:id="106" w:name="_Toc18107"/>
      <w:r>
        <w:rPr>
          <w:rFonts w:hint="eastAsia" w:ascii="宋体" w:hAnsi="宋体" w:eastAsia="宋体" w:cs="宋体"/>
          <w:b/>
          <w:bCs/>
          <w:color w:val="auto"/>
          <w:sz w:val="24"/>
          <w:szCs w:val="24"/>
        </w:rPr>
        <w:t>六、磋商程序及方法</w:t>
      </w:r>
      <w:bookmarkEnd w:id="102"/>
      <w:bookmarkEnd w:id="103"/>
      <w:bookmarkEnd w:id="104"/>
      <w:bookmarkEnd w:id="105"/>
      <w:bookmarkEnd w:id="106"/>
    </w:p>
    <w:p w14:paraId="38342581">
      <w:pPr>
        <w:widowControl/>
        <w:spacing w:line="360" w:lineRule="auto"/>
        <w:ind w:firstLine="0" w:firstLineChars="0"/>
        <w:jc w:val="left"/>
        <w:outlineLvl w:val="2"/>
        <w:rPr>
          <w:rFonts w:hint="eastAsia" w:ascii="宋体" w:hAnsi="宋体" w:eastAsia="宋体" w:cs="宋体"/>
          <w:b/>
          <w:bCs/>
          <w:color w:val="auto"/>
          <w:sz w:val="24"/>
          <w:szCs w:val="24"/>
        </w:rPr>
      </w:pPr>
      <w:bookmarkStart w:id="107" w:name="_Toc16935"/>
      <w:bookmarkStart w:id="108" w:name="_Toc26121"/>
      <w:bookmarkStart w:id="109" w:name="_Toc325726022"/>
      <w:bookmarkStart w:id="110" w:name="_Toc376936753"/>
      <w:bookmarkStart w:id="111" w:name="_Toc23095"/>
      <w:r>
        <w:rPr>
          <w:rFonts w:hint="eastAsia" w:ascii="宋体" w:hAnsi="宋体" w:eastAsia="宋体" w:cs="宋体"/>
          <w:b/>
          <w:bCs/>
          <w:color w:val="auto"/>
          <w:sz w:val="24"/>
          <w:szCs w:val="24"/>
        </w:rPr>
        <w:t>15.磋商小组</w:t>
      </w:r>
      <w:bookmarkEnd w:id="107"/>
      <w:bookmarkEnd w:id="108"/>
      <w:bookmarkEnd w:id="109"/>
      <w:bookmarkEnd w:id="110"/>
      <w:bookmarkEnd w:id="111"/>
    </w:p>
    <w:p w14:paraId="2C710DA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D749B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14:paraId="5B352F7B">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1873D36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14:paraId="48A0B3C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14:paraId="763BB65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14:paraId="215D9736">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14:paraId="3E27CBC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14B8ED3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2AFABE2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4EFF6B7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59CFC43A">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14:paraId="271F9A1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609E9A70">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14:paraId="14865A1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14:paraId="21AE5F14">
      <w:pPr>
        <w:widowControl/>
        <w:spacing w:line="360" w:lineRule="auto"/>
        <w:ind w:firstLine="0" w:firstLineChars="0"/>
        <w:jc w:val="left"/>
        <w:outlineLvl w:val="2"/>
        <w:rPr>
          <w:rFonts w:hint="eastAsia" w:ascii="宋体" w:hAnsi="宋体" w:eastAsia="宋体" w:cs="宋体"/>
          <w:b/>
          <w:bCs/>
          <w:color w:val="auto"/>
          <w:sz w:val="24"/>
          <w:szCs w:val="24"/>
        </w:rPr>
      </w:pPr>
      <w:bookmarkStart w:id="112" w:name="_Toc27086"/>
      <w:bookmarkStart w:id="113" w:name="_Toc376936754"/>
      <w:bookmarkStart w:id="114" w:name="_Toc14530"/>
      <w:bookmarkStart w:id="115" w:name="_Toc325726023"/>
      <w:bookmarkStart w:id="116" w:name="_Toc14694"/>
      <w:r>
        <w:rPr>
          <w:rFonts w:hint="eastAsia" w:ascii="宋体" w:hAnsi="宋体" w:eastAsia="宋体" w:cs="宋体"/>
          <w:b/>
          <w:bCs/>
          <w:color w:val="auto"/>
          <w:sz w:val="24"/>
          <w:szCs w:val="24"/>
        </w:rPr>
        <w:t>16.磋商程序</w:t>
      </w:r>
      <w:bookmarkEnd w:id="112"/>
      <w:bookmarkEnd w:id="113"/>
      <w:bookmarkEnd w:id="114"/>
      <w:bookmarkEnd w:id="115"/>
      <w:bookmarkEnd w:id="116"/>
    </w:p>
    <w:p w14:paraId="3FAC20F3">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74F26F9">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14:paraId="3AB7ED9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14:paraId="2BA051E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304C21CC">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14:paraId="337A16C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14:paraId="633E0B0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14:paraId="53F6FBA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投标报价超过采购预算额度</w:t>
      </w:r>
      <w:r>
        <w:rPr>
          <w:rFonts w:hint="eastAsia" w:ascii="宋体" w:hAnsi="宋体" w:eastAsia="宋体" w:cs="宋体"/>
          <w:color w:val="auto"/>
          <w:sz w:val="24"/>
          <w:szCs w:val="24"/>
          <w:lang w:val="en-US" w:eastAsia="zh-CN"/>
        </w:rPr>
        <w:t>或最高限价</w:t>
      </w:r>
      <w:r>
        <w:rPr>
          <w:rFonts w:hint="eastAsia" w:ascii="宋体" w:hAnsi="宋体" w:eastAsia="宋体" w:cs="宋体"/>
          <w:color w:val="auto"/>
          <w:sz w:val="24"/>
          <w:szCs w:val="24"/>
          <w:lang w:val="zh-CN"/>
        </w:rPr>
        <w:t>的；</w:t>
      </w:r>
    </w:p>
    <w:p w14:paraId="706AA04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（6）响应文件编排混乱，且擅自修改磋商文件规定的格式内容的；</w:t>
      </w:r>
    </w:p>
    <w:p w14:paraId="1E2A24B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期限</w:t>
      </w:r>
      <w:r>
        <w:rPr>
          <w:rFonts w:hint="eastAsia" w:ascii="宋体" w:hAnsi="宋体" w:eastAsia="宋体" w:cs="宋体"/>
          <w:color w:val="auto"/>
          <w:sz w:val="24"/>
          <w:szCs w:val="24"/>
        </w:rPr>
        <w:t>、磋商有效期不能满足磋商文件要求的；</w:t>
      </w:r>
    </w:p>
    <w:p w14:paraId="41EEF5EF">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lang w:val="zh-CN"/>
        </w:rPr>
        <w:t>投标产品的技术规格、技术标准明显不符合采购项目要求的</w:t>
      </w:r>
      <w:r>
        <w:rPr>
          <w:rFonts w:hint="eastAsia" w:ascii="宋体" w:hAnsi="宋体" w:eastAsia="宋体" w:cs="宋体"/>
          <w:color w:val="auto"/>
          <w:sz w:val="24"/>
          <w:szCs w:val="24"/>
        </w:rPr>
        <w:t>；</w:t>
      </w:r>
    </w:p>
    <w:p w14:paraId="2EBB251D">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（9）响应文件中附有采购人不能接受的条件的；</w:t>
      </w:r>
    </w:p>
    <w:p w14:paraId="6BCF9557">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（10）磋商小组认为应按无效响应处理的其他情况；</w:t>
      </w:r>
    </w:p>
    <w:p w14:paraId="5C5A7D4E">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（11）法律、法规规定的其他情形。</w:t>
      </w:r>
    </w:p>
    <w:p w14:paraId="5BF53CAF">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0FDCD4">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00AAC028">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CEF4491">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194016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20FFD7C">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376936755"/>
      <w:bookmarkStart w:id="118" w:name="_Toc26602"/>
      <w:bookmarkStart w:id="119" w:name="_Toc20611"/>
      <w:bookmarkStart w:id="120" w:name="_Toc325726024"/>
      <w:bookmarkStart w:id="121" w:name="_Toc13668"/>
      <w:r>
        <w:rPr>
          <w:rFonts w:hint="eastAsia" w:ascii="宋体" w:hAnsi="宋体" w:eastAsia="宋体" w:cs="宋体"/>
          <w:b/>
          <w:bCs/>
          <w:color w:val="auto"/>
          <w:sz w:val="24"/>
          <w:szCs w:val="24"/>
        </w:rPr>
        <w:t>17.评审办法</w:t>
      </w:r>
      <w:bookmarkEnd w:id="117"/>
      <w:bookmarkEnd w:id="118"/>
      <w:bookmarkEnd w:id="119"/>
      <w:bookmarkEnd w:id="120"/>
      <w:bookmarkEnd w:id="121"/>
    </w:p>
    <w:p w14:paraId="4248ABC5">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14:paraId="1D3927C2">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17.2评审标准和分值分配：</w:t>
      </w:r>
    </w:p>
    <w:tbl>
      <w:tblPr>
        <w:tblStyle w:val="2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87"/>
        <w:gridCol w:w="858"/>
        <w:gridCol w:w="6573"/>
      </w:tblGrid>
      <w:tr w14:paraId="5A41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Align w:val="center"/>
          </w:tcPr>
          <w:p w14:paraId="41C6355A">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评审项目</w:t>
            </w:r>
          </w:p>
        </w:tc>
        <w:tc>
          <w:tcPr>
            <w:tcW w:w="1287" w:type="dxa"/>
            <w:vAlign w:val="center"/>
          </w:tcPr>
          <w:p w14:paraId="6881110E">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评审因素</w:t>
            </w:r>
          </w:p>
        </w:tc>
        <w:tc>
          <w:tcPr>
            <w:tcW w:w="858" w:type="dxa"/>
            <w:vAlign w:val="center"/>
          </w:tcPr>
          <w:p w14:paraId="4EF7A8AE">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分值</w:t>
            </w:r>
          </w:p>
        </w:tc>
        <w:tc>
          <w:tcPr>
            <w:tcW w:w="6573" w:type="dxa"/>
            <w:vAlign w:val="center"/>
          </w:tcPr>
          <w:p w14:paraId="11AC0140">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bCs/>
                <w:color w:val="auto"/>
                <w:kern w:val="2"/>
                <w:sz w:val="24"/>
                <w:szCs w:val="24"/>
                <w:lang w:val="zh-CN"/>
              </w:rPr>
            </w:pPr>
            <w:r>
              <w:rPr>
                <w:rFonts w:hint="eastAsia" w:ascii="宋体" w:hAnsi="宋体" w:eastAsia="宋体" w:cs="宋体"/>
                <w:b/>
                <w:bCs/>
                <w:color w:val="auto"/>
                <w:kern w:val="2"/>
                <w:sz w:val="24"/>
                <w:szCs w:val="24"/>
                <w:lang w:val="zh-CN"/>
              </w:rPr>
              <w:t>评审细则</w:t>
            </w:r>
          </w:p>
        </w:tc>
      </w:tr>
      <w:tr w14:paraId="4E1A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Align w:val="center"/>
          </w:tcPr>
          <w:p w14:paraId="52002B2E">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投标报价（</w:t>
            </w:r>
            <w:r>
              <w:rPr>
                <w:rFonts w:hint="eastAsia" w:ascii="宋体" w:hAnsi="宋体" w:eastAsia="宋体" w:cs="宋体"/>
                <w:b/>
                <w:bCs/>
                <w:color w:val="auto"/>
                <w:kern w:val="2"/>
                <w:sz w:val="24"/>
                <w:szCs w:val="24"/>
                <w:lang w:val="en-US" w:eastAsia="zh-CN"/>
              </w:rPr>
              <w:t>10</w:t>
            </w:r>
            <w:r>
              <w:rPr>
                <w:rFonts w:hint="eastAsia" w:ascii="宋体" w:hAnsi="宋体" w:eastAsia="宋体" w:cs="宋体"/>
                <w:b/>
                <w:bCs/>
                <w:color w:val="auto"/>
                <w:kern w:val="2"/>
                <w:sz w:val="24"/>
                <w:szCs w:val="24"/>
              </w:rPr>
              <w:t>分）</w:t>
            </w:r>
          </w:p>
        </w:tc>
        <w:tc>
          <w:tcPr>
            <w:tcW w:w="1287" w:type="dxa"/>
            <w:vAlign w:val="center"/>
          </w:tcPr>
          <w:p w14:paraId="540239FA">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报价分</w:t>
            </w:r>
          </w:p>
        </w:tc>
        <w:tc>
          <w:tcPr>
            <w:tcW w:w="858" w:type="dxa"/>
            <w:vAlign w:val="center"/>
          </w:tcPr>
          <w:p w14:paraId="556A7318">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10</w:t>
            </w:r>
          </w:p>
        </w:tc>
        <w:tc>
          <w:tcPr>
            <w:tcW w:w="6573" w:type="dxa"/>
          </w:tcPr>
          <w:p w14:paraId="006B4DE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lang w:val="zh-CN"/>
              </w:rPr>
            </w:pPr>
            <w:r>
              <w:rPr>
                <w:rFonts w:hint="eastAsia" w:ascii="宋体" w:hAnsi="宋体" w:eastAsia="宋体" w:cs="宋体"/>
                <w:color w:val="auto"/>
                <w:kern w:val="2"/>
                <w:sz w:val="24"/>
                <w:szCs w:val="24"/>
                <w:lang w:val="zh-CN"/>
              </w:rPr>
              <w:t>满足磋商文件要求且最后报价最低的供应商的价格为磋商基准价，其价格分为满分。其他供应商的价格分统一按照下列公式计算：</w:t>
            </w:r>
          </w:p>
          <w:p w14:paraId="416CF50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zh-CN"/>
              </w:rPr>
              <w:t>磋商报价得分=（磋商基准价/最后磋商报价）×价格分值</w:t>
            </w:r>
          </w:p>
        </w:tc>
      </w:tr>
      <w:tr w14:paraId="5EE5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restart"/>
            <w:vAlign w:val="center"/>
          </w:tcPr>
          <w:p w14:paraId="1C57AF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技术部分（</w:t>
            </w:r>
            <w:r>
              <w:rPr>
                <w:rFonts w:hint="eastAsia" w:ascii="宋体" w:hAnsi="宋体" w:eastAsia="宋体" w:cs="宋体"/>
                <w:b/>
                <w:bCs/>
                <w:color w:val="auto"/>
                <w:kern w:val="2"/>
                <w:sz w:val="24"/>
                <w:szCs w:val="24"/>
                <w:highlight w:val="none"/>
                <w:lang w:val="en-US" w:eastAsia="zh-CN"/>
              </w:rPr>
              <w:t>70</w:t>
            </w:r>
            <w:r>
              <w:rPr>
                <w:rFonts w:hint="eastAsia" w:ascii="宋体" w:hAnsi="宋体" w:eastAsia="宋体" w:cs="宋体"/>
                <w:b/>
                <w:bCs/>
                <w:color w:val="auto"/>
                <w:kern w:val="2"/>
                <w:sz w:val="24"/>
                <w:szCs w:val="24"/>
                <w:highlight w:val="none"/>
              </w:rPr>
              <w:t>分）</w:t>
            </w:r>
          </w:p>
        </w:tc>
        <w:tc>
          <w:tcPr>
            <w:tcW w:w="1287" w:type="dxa"/>
            <w:vAlign w:val="center"/>
          </w:tcPr>
          <w:p w14:paraId="78005D5A">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lang w:val="en-US" w:eastAsia="zh-CN"/>
              </w:rPr>
              <w:t>实施方案</w:t>
            </w:r>
          </w:p>
        </w:tc>
        <w:tc>
          <w:tcPr>
            <w:tcW w:w="858" w:type="dxa"/>
            <w:vAlign w:val="center"/>
          </w:tcPr>
          <w:p w14:paraId="74BB525F">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10</w:t>
            </w:r>
          </w:p>
        </w:tc>
        <w:tc>
          <w:tcPr>
            <w:tcW w:w="6573" w:type="dxa"/>
          </w:tcPr>
          <w:p w14:paraId="232A524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yellow"/>
              </w:rPr>
            </w:pPr>
            <w:r>
              <w:rPr>
                <w:rFonts w:hint="eastAsia" w:ascii="宋体" w:hAnsi="宋体" w:eastAsia="宋体" w:cs="宋体"/>
                <w:color w:val="auto"/>
                <w:kern w:val="2"/>
                <w:sz w:val="24"/>
                <w:szCs w:val="24"/>
                <w:lang w:val="en-US" w:eastAsia="zh-CN"/>
              </w:rPr>
              <w:t>供应商根据本项目采购需求（至少包含维保设备的类型、种类、数量、附件清单等），制定服务计划，提供服务实施方案；方案内容完善、详细、规范、具有可操作性，满足采购需求的得10分；方案内容较完善、详细、基本规范、操作性一般，基本满足采购需求的得5分；方案内容简单、缺乏可操作性，无法满足采购需求的得2分；未提供不得分。</w:t>
            </w:r>
          </w:p>
        </w:tc>
      </w:tr>
      <w:tr w14:paraId="3B0C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continue"/>
            <w:vAlign w:val="center"/>
          </w:tcPr>
          <w:p w14:paraId="07855F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4"/>
                <w:szCs w:val="24"/>
                <w:highlight w:val="yellow"/>
              </w:rPr>
            </w:pPr>
          </w:p>
        </w:tc>
        <w:tc>
          <w:tcPr>
            <w:tcW w:w="1287" w:type="dxa"/>
            <w:vAlign w:val="center"/>
          </w:tcPr>
          <w:p w14:paraId="0152879D">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应急保障方案</w:t>
            </w:r>
          </w:p>
        </w:tc>
        <w:tc>
          <w:tcPr>
            <w:tcW w:w="858" w:type="dxa"/>
            <w:vAlign w:val="center"/>
          </w:tcPr>
          <w:p w14:paraId="74D55057">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15</w:t>
            </w:r>
          </w:p>
        </w:tc>
        <w:tc>
          <w:tcPr>
            <w:tcW w:w="6573" w:type="dxa"/>
          </w:tcPr>
          <w:p w14:paraId="2C29504A">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供应商针对本项目采购需求，提供项目应急保障方案，内容包括但不限于①紧急故障处理②风险管控③应急预案等。</w:t>
            </w:r>
            <w:r>
              <w:rPr>
                <w:rFonts w:hint="eastAsia" w:ascii="宋体" w:hAnsi="宋体" w:eastAsia="宋体" w:cs="宋体"/>
                <w:color w:val="auto"/>
                <w:kern w:val="2"/>
                <w:sz w:val="24"/>
                <w:szCs w:val="24"/>
                <w:lang w:val="en-US" w:eastAsia="zh-CN" w:bidi="ar-SA"/>
              </w:rPr>
              <w:t>评审委员会对以上内容进行评审，满分15分，每缺少一项内容扣5分；所提供的每项内容中每存在一处缺陷或不足的扣1分，每项最多扣5分。</w:t>
            </w:r>
          </w:p>
          <w:p w14:paraId="77D5B26D">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r w14:paraId="3382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continue"/>
            <w:vAlign w:val="center"/>
          </w:tcPr>
          <w:p w14:paraId="1E964E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4"/>
                <w:szCs w:val="24"/>
                <w:highlight w:val="yellow"/>
              </w:rPr>
            </w:pPr>
          </w:p>
        </w:tc>
        <w:tc>
          <w:tcPr>
            <w:tcW w:w="1287" w:type="dxa"/>
            <w:vAlign w:val="center"/>
          </w:tcPr>
          <w:p w14:paraId="485583F7">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技术实力</w:t>
            </w:r>
          </w:p>
        </w:tc>
        <w:tc>
          <w:tcPr>
            <w:tcW w:w="858" w:type="dxa"/>
            <w:vAlign w:val="center"/>
          </w:tcPr>
          <w:p w14:paraId="0E4A9914">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25</w:t>
            </w:r>
          </w:p>
        </w:tc>
        <w:tc>
          <w:tcPr>
            <w:tcW w:w="6573" w:type="dxa"/>
            <w:vAlign w:val="center"/>
          </w:tcPr>
          <w:p w14:paraId="47F88005">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1.供应商拟派本项目服务团队中人员具有初级及以上医疗设备维修工程师证书的，每提供1个得</w:t>
            </w:r>
            <w:r>
              <w:rPr>
                <w:rFonts w:hint="eastAsia" w:ascii="宋体" w:hAnsi="宋体" w:eastAsia="宋体" w:cs="宋体"/>
                <w:b w:val="0"/>
                <w:bCs w:val="0"/>
                <w:color w:val="auto"/>
                <w:kern w:val="2"/>
                <w:sz w:val="24"/>
                <w:szCs w:val="24"/>
                <w:lang w:val="en-US" w:eastAsia="zh-CN"/>
              </w:rPr>
              <w:t>1分</w:t>
            </w:r>
            <w:r>
              <w:rPr>
                <w:rFonts w:hint="eastAsia" w:ascii="宋体" w:hAnsi="宋体" w:eastAsia="宋体" w:cs="宋体"/>
                <w:b w:val="0"/>
                <w:bCs w:val="0"/>
                <w:color w:val="auto"/>
                <w:kern w:val="2"/>
                <w:sz w:val="24"/>
                <w:szCs w:val="24"/>
                <w:lang w:val="en-US" w:eastAsia="zh-CN"/>
              </w:rPr>
              <w:t>，满分</w:t>
            </w:r>
            <w:r>
              <w:rPr>
                <w:rFonts w:hint="eastAsia" w:ascii="宋体" w:hAnsi="宋体" w:eastAsia="宋体" w:cs="宋体"/>
                <w:b w:val="0"/>
                <w:bCs w:val="0"/>
                <w:color w:val="auto"/>
                <w:kern w:val="2"/>
                <w:sz w:val="24"/>
                <w:szCs w:val="24"/>
                <w:lang w:val="en-US" w:eastAsia="zh-CN"/>
              </w:rPr>
              <w:t>4分</w:t>
            </w:r>
            <w:r>
              <w:rPr>
                <w:rFonts w:hint="eastAsia" w:ascii="宋体" w:hAnsi="宋体" w:eastAsia="宋体" w:cs="宋体"/>
                <w:b w:val="0"/>
                <w:bCs w:val="0"/>
                <w:color w:val="auto"/>
                <w:kern w:val="2"/>
                <w:sz w:val="24"/>
                <w:szCs w:val="24"/>
                <w:lang w:val="en-US" w:eastAsia="zh-CN"/>
              </w:rPr>
              <w:t>,未提供不得分。</w:t>
            </w:r>
          </w:p>
          <w:p w14:paraId="4C58643E">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2.供应商拟派本项目服务团队中人员具备中小型设备的维修能力，具有超声、监护、除颤、血透、内镜、特种设备等医疗设备维修工程师证书的，每提供1个类别得</w:t>
            </w:r>
            <w:r>
              <w:rPr>
                <w:rFonts w:hint="eastAsia" w:ascii="宋体" w:hAnsi="宋体" w:eastAsia="宋体" w:cs="宋体"/>
                <w:b w:val="0"/>
                <w:bCs w:val="0"/>
                <w:color w:val="auto"/>
                <w:kern w:val="2"/>
                <w:sz w:val="24"/>
                <w:szCs w:val="24"/>
                <w:lang w:val="en-US" w:eastAsia="zh-CN"/>
              </w:rPr>
              <w:t>2分</w:t>
            </w:r>
            <w:r>
              <w:rPr>
                <w:rFonts w:hint="eastAsia" w:ascii="宋体" w:hAnsi="宋体" w:eastAsia="宋体" w:cs="宋体"/>
                <w:b w:val="0"/>
                <w:bCs w:val="0"/>
                <w:color w:val="auto"/>
                <w:kern w:val="2"/>
                <w:sz w:val="24"/>
                <w:szCs w:val="24"/>
                <w:lang w:val="en-US" w:eastAsia="zh-CN"/>
              </w:rPr>
              <w:t>，满分</w:t>
            </w:r>
            <w:r>
              <w:rPr>
                <w:rFonts w:hint="eastAsia" w:ascii="宋体" w:hAnsi="宋体" w:eastAsia="宋体" w:cs="宋体"/>
                <w:b w:val="0"/>
                <w:bCs w:val="0"/>
                <w:color w:val="auto"/>
                <w:kern w:val="2"/>
                <w:sz w:val="24"/>
                <w:szCs w:val="24"/>
                <w:lang w:val="en-US" w:eastAsia="zh-CN"/>
              </w:rPr>
              <w:t>12分</w:t>
            </w:r>
            <w:r>
              <w:rPr>
                <w:rFonts w:hint="eastAsia" w:ascii="宋体" w:hAnsi="宋体" w:eastAsia="宋体" w:cs="宋体"/>
                <w:b w:val="0"/>
                <w:bCs w:val="0"/>
                <w:color w:val="auto"/>
                <w:kern w:val="2"/>
                <w:sz w:val="24"/>
                <w:szCs w:val="24"/>
                <w:lang w:val="en-US" w:eastAsia="zh-CN"/>
              </w:rPr>
              <w:t>,未提供不得分。</w:t>
            </w:r>
          </w:p>
          <w:p w14:paraId="460B8E19">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3.为保证重点大型影像设备（MRI、DSA、CT）的技术服务能力，供应商拟派本项目服务团队中人员具备相关大型影像设备培训证书的，每提供1个类别得</w:t>
            </w:r>
            <w:r>
              <w:rPr>
                <w:rFonts w:hint="eastAsia" w:ascii="宋体" w:hAnsi="宋体" w:eastAsia="宋体" w:cs="宋体"/>
                <w:b w:val="0"/>
                <w:bCs w:val="0"/>
                <w:color w:val="auto"/>
                <w:kern w:val="2"/>
                <w:sz w:val="24"/>
                <w:szCs w:val="24"/>
                <w:lang w:val="en-US" w:eastAsia="zh-CN"/>
              </w:rPr>
              <w:t>3分</w:t>
            </w:r>
            <w:r>
              <w:rPr>
                <w:rFonts w:hint="eastAsia" w:ascii="宋体" w:hAnsi="宋体" w:eastAsia="宋体" w:cs="宋体"/>
                <w:b w:val="0"/>
                <w:bCs w:val="0"/>
                <w:color w:val="auto"/>
                <w:kern w:val="2"/>
                <w:sz w:val="24"/>
                <w:szCs w:val="24"/>
                <w:lang w:val="en-US" w:eastAsia="zh-CN"/>
              </w:rPr>
              <w:t>，满分</w:t>
            </w:r>
            <w:r>
              <w:rPr>
                <w:rFonts w:hint="eastAsia" w:ascii="宋体" w:hAnsi="宋体" w:eastAsia="宋体" w:cs="宋体"/>
                <w:b w:val="0"/>
                <w:bCs w:val="0"/>
                <w:color w:val="auto"/>
                <w:kern w:val="2"/>
                <w:sz w:val="24"/>
                <w:szCs w:val="24"/>
                <w:lang w:val="en-US" w:eastAsia="zh-CN"/>
              </w:rPr>
              <w:t>9分</w:t>
            </w:r>
            <w:r>
              <w:rPr>
                <w:rFonts w:hint="eastAsia" w:ascii="宋体" w:hAnsi="宋体" w:eastAsia="宋体" w:cs="宋体"/>
                <w:b w:val="0"/>
                <w:bCs w:val="0"/>
                <w:color w:val="auto"/>
                <w:kern w:val="2"/>
                <w:sz w:val="24"/>
                <w:szCs w:val="24"/>
                <w:lang w:val="en-US" w:eastAsia="zh-CN"/>
              </w:rPr>
              <w:t>,未提供不得分。</w:t>
            </w:r>
          </w:p>
        </w:tc>
      </w:tr>
      <w:tr w14:paraId="22B1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continue"/>
            <w:vAlign w:val="center"/>
          </w:tcPr>
          <w:p w14:paraId="22B755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4"/>
                <w:szCs w:val="24"/>
                <w:highlight w:val="yellow"/>
              </w:rPr>
            </w:pPr>
          </w:p>
        </w:tc>
        <w:tc>
          <w:tcPr>
            <w:tcW w:w="1287" w:type="dxa"/>
            <w:vAlign w:val="center"/>
          </w:tcPr>
          <w:p w14:paraId="0AA70663">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质量保证方案</w:t>
            </w:r>
          </w:p>
        </w:tc>
        <w:tc>
          <w:tcPr>
            <w:tcW w:w="858" w:type="dxa"/>
            <w:vAlign w:val="center"/>
          </w:tcPr>
          <w:p w14:paraId="2B6595EE">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center"/>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20</w:t>
            </w:r>
          </w:p>
        </w:tc>
        <w:tc>
          <w:tcPr>
            <w:tcW w:w="6573" w:type="dxa"/>
          </w:tcPr>
          <w:p w14:paraId="766E9868">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供应商针对本项目采购需求，提供项目质量保证方案，内容包括但不限于①质量保证体系②质量保证计划③质量管理制度④质量管理工具⑤质量保证整改及监督等。</w:t>
            </w:r>
            <w:r>
              <w:rPr>
                <w:rFonts w:hint="eastAsia" w:ascii="宋体" w:hAnsi="宋体" w:eastAsia="宋体" w:cs="宋体"/>
                <w:color w:val="auto"/>
                <w:kern w:val="2"/>
                <w:sz w:val="24"/>
                <w:szCs w:val="24"/>
                <w:lang w:val="en-US" w:eastAsia="zh-CN" w:bidi="ar-SA"/>
              </w:rPr>
              <w:t>评审委员会对以上内容进行评审，满分20分，每缺少一项内容扣4分；所提供的每项内容中每存在一处缺陷或不足的扣1分，每项最多扣4分。</w:t>
            </w:r>
          </w:p>
          <w:p w14:paraId="6DA13F55">
            <w:pPr>
              <w:pStyle w:val="19"/>
              <w:keepNext w:val="0"/>
              <w:keepLines w:val="0"/>
              <w:pageBreakBefore w:val="0"/>
              <w:kinsoku/>
              <w:wordWrap/>
              <w:overflowPunct/>
              <w:topLinePunct w:val="0"/>
              <w:autoSpaceDE/>
              <w:autoSpaceDN/>
              <w:bidi w:val="0"/>
              <w:adjustRightInd/>
              <w:snapToGrid/>
              <w:spacing w:before="0" w:beforeAutospacing="0" w:after="0" w:line="240" w:lineRule="auto"/>
              <w:ind w:firstLine="0" w:firstLineChars="0"/>
              <w:jc w:val="left"/>
              <w:textAlignment w:val="auto"/>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r w14:paraId="71E0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restart"/>
            <w:vAlign w:val="center"/>
          </w:tcPr>
          <w:p w14:paraId="7F5A99E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kern w:val="2"/>
                <w:sz w:val="24"/>
                <w:szCs w:val="24"/>
                <w:highlight w:val="yellow"/>
              </w:rPr>
            </w:pPr>
            <w:r>
              <w:rPr>
                <w:rFonts w:hint="eastAsia" w:ascii="宋体" w:hAnsi="宋体" w:eastAsia="宋体" w:cs="宋体"/>
                <w:b/>
                <w:bCs/>
                <w:color w:val="auto"/>
                <w:kern w:val="2"/>
                <w:sz w:val="24"/>
                <w:szCs w:val="24"/>
                <w:highlight w:val="none"/>
              </w:rPr>
              <w:t>商务部分（</w:t>
            </w:r>
            <w:r>
              <w:rPr>
                <w:rFonts w:hint="eastAsia" w:ascii="宋体" w:hAnsi="宋体" w:eastAsia="宋体" w:cs="宋体"/>
                <w:b/>
                <w:bCs/>
                <w:color w:val="auto"/>
                <w:kern w:val="2"/>
                <w:sz w:val="24"/>
                <w:szCs w:val="24"/>
                <w:highlight w:val="none"/>
                <w:lang w:val="en-US" w:eastAsia="zh-CN"/>
              </w:rPr>
              <w:t>20</w:t>
            </w:r>
            <w:r>
              <w:rPr>
                <w:rFonts w:hint="eastAsia" w:ascii="宋体" w:hAnsi="宋体" w:eastAsia="宋体" w:cs="宋体"/>
                <w:b/>
                <w:bCs/>
                <w:color w:val="auto"/>
                <w:kern w:val="2"/>
                <w:sz w:val="24"/>
                <w:szCs w:val="24"/>
                <w:highlight w:val="none"/>
              </w:rPr>
              <w:t>分）</w:t>
            </w:r>
          </w:p>
        </w:tc>
        <w:tc>
          <w:tcPr>
            <w:tcW w:w="1287" w:type="dxa"/>
            <w:vAlign w:val="center"/>
          </w:tcPr>
          <w:p w14:paraId="51BC83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类似业绩</w:t>
            </w:r>
          </w:p>
        </w:tc>
        <w:tc>
          <w:tcPr>
            <w:tcW w:w="858" w:type="dxa"/>
            <w:vAlign w:val="center"/>
          </w:tcPr>
          <w:p w14:paraId="1C90FA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10</w:t>
            </w:r>
          </w:p>
        </w:tc>
        <w:tc>
          <w:tcPr>
            <w:tcW w:w="6573" w:type="dxa"/>
            <w:vAlign w:val="top"/>
          </w:tcPr>
          <w:p w14:paraId="7FC3BEF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提供2021年1月1日至提交响应文件截止时间前供应商的类似业绩证明材料（类似业绩是指与采购项目在产品类型、使用功能、合同规模等方面相同或相近的项目），需提供包含合同首页、标的及金额所在页、合同签字盖章页的扫描件或中标（成交）通知书扫描件，每提供1份得</w:t>
            </w:r>
            <w:r>
              <w:rPr>
                <w:rFonts w:hint="eastAsia" w:ascii="宋体" w:hAnsi="宋体" w:eastAsia="宋体" w:cs="宋体"/>
                <w:color w:val="auto"/>
                <w:kern w:val="2"/>
                <w:sz w:val="24"/>
                <w:szCs w:val="24"/>
                <w:highlight w:val="none"/>
                <w:lang w:val="en-US" w:eastAsia="zh-CN"/>
              </w:rPr>
              <w:t>2分</w:t>
            </w:r>
            <w:r>
              <w:rPr>
                <w:rFonts w:hint="eastAsia" w:ascii="宋体" w:hAnsi="宋体" w:eastAsia="宋体" w:cs="宋体"/>
                <w:color w:val="auto"/>
                <w:kern w:val="2"/>
                <w:sz w:val="24"/>
                <w:szCs w:val="24"/>
                <w:highlight w:val="none"/>
                <w:lang w:val="en-US" w:eastAsia="zh-CN"/>
              </w:rPr>
              <w:t>，满分</w:t>
            </w:r>
            <w:r>
              <w:rPr>
                <w:rFonts w:hint="eastAsia" w:ascii="宋体" w:hAnsi="宋体" w:eastAsia="宋体" w:cs="宋体"/>
                <w:color w:val="auto"/>
                <w:kern w:val="2"/>
                <w:sz w:val="24"/>
                <w:szCs w:val="24"/>
                <w:highlight w:val="none"/>
                <w:lang w:val="en-US" w:eastAsia="zh-CN"/>
              </w:rPr>
              <w:t>10分</w:t>
            </w:r>
            <w:r>
              <w:rPr>
                <w:rFonts w:hint="eastAsia" w:ascii="宋体" w:hAnsi="宋体" w:eastAsia="宋体" w:cs="宋体"/>
                <w:color w:val="auto"/>
                <w:kern w:val="2"/>
                <w:sz w:val="24"/>
                <w:szCs w:val="24"/>
                <w:highlight w:val="none"/>
                <w:lang w:val="en-US" w:eastAsia="zh-CN"/>
              </w:rPr>
              <w:t>；未提供不得分。</w:t>
            </w:r>
          </w:p>
        </w:tc>
      </w:tr>
      <w:tr w14:paraId="15C4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87" w:type="dxa"/>
            <w:vMerge w:val="continue"/>
          </w:tcPr>
          <w:p w14:paraId="2229B63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24"/>
                <w:szCs w:val="24"/>
                <w:highlight w:val="yellow"/>
              </w:rPr>
            </w:pPr>
          </w:p>
        </w:tc>
        <w:tc>
          <w:tcPr>
            <w:tcW w:w="1287" w:type="dxa"/>
            <w:vAlign w:val="center"/>
          </w:tcPr>
          <w:p w14:paraId="3FF4CF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val="en-US" w:eastAsia="zh-CN"/>
              </w:rPr>
              <w:t>培训方案</w:t>
            </w:r>
          </w:p>
        </w:tc>
        <w:tc>
          <w:tcPr>
            <w:tcW w:w="858" w:type="dxa"/>
            <w:vAlign w:val="center"/>
          </w:tcPr>
          <w:p w14:paraId="5A74091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10</w:t>
            </w:r>
          </w:p>
        </w:tc>
        <w:tc>
          <w:tcPr>
            <w:tcW w:w="6573" w:type="dxa"/>
          </w:tcPr>
          <w:p w14:paraId="6E078AA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rPr>
              <w:t>供应商针对本项目采购需求，</w:t>
            </w:r>
            <w:r>
              <w:rPr>
                <w:rFonts w:hint="eastAsia" w:ascii="宋体" w:hAnsi="宋体" w:eastAsia="宋体" w:cs="宋体"/>
                <w:b w:val="0"/>
                <w:bCs w:val="0"/>
                <w:color w:val="auto"/>
                <w:kern w:val="2"/>
                <w:sz w:val="24"/>
                <w:szCs w:val="24"/>
                <w:highlight w:val="none"/>
                <w:lang w:val="en-US" w:eastAsia="zh-CN"/>
              </w:rPr>
              <w:t>提供</w:t>
            </w:r>
            <w:r>
              <w:rPr>
                <w:rFonts w:hint="eastAsia" w:ascii="宋体" w:hAnsi="宋体" w:eastAsia="宋体" w:cs="宋体"/>
                <w:b w:val="0"/>
                <w:bCs w:val="0"/>
                <w:color w:val="auto"/>
                <w:kern w:val="2"/>
                <w:sz w:val="24"/>
                <w:szCs w:val="24"/>
                <w:lang w:val="en-US" w:eastAsia="zh-CN"/>
              </w:rPr>
              <w:t>项目</w:t>
            </w:r>
            <w:r>
              <w:rPr>
                <w:rFonts w:hint="eastAsia" w:ascii="宋体" w:hAnsi="宋体" w:eastAsia="宋体" w:cs="宋体"/>
                <w:b w:val="0"/>
                <w:bCs w:val="0"/>
                <w:color w:val="auto"/>
                <w:kern w:val="2"/>
                <w:sz w:val="24"/>
                <w:szCs w:val="24"/>
                <w:highlight w:val="none"/>
                <w:lang w:val="en-US" w:eastAsia="zh-CN"/>
              </w:rPr>
              <w:t>培训方案，</w:t>
            </w:r>
            <w:r>
              <w:rPr>
                <w:rFonts w:hint="eastAsia" w:ascii="宋体" w:hAnsi="宋体" w:eastAsia="宋体" w:cs="宋体"/>
                <w:b w:val="0"/>
                <w:bCs w:val="0"/>
                <w:color w:val="auto"/>
                <w:kern w:val="2"/>
                <w:sz w:val="24"/>
                <w:szCs w:val="24"/>
                <w:lang w:val="en-US" w:eastAsia="zh-CN"/>
              </w:rPr>
              <w:t>内容包括但不限于</w:t>
            </w:r>
            <w:r>
              <w:rPr>
                <w:rFonts w:hint="eastAsia" w:ascii="宋体" w:hAnsi="宋体" w:eastAsia="宋体" w:cs="宋体"/>
                <w:b w:val="0"/>
                <w:bCs w:val="0"/>
                <w:color w:val="auto"/>
                <w:sz w:val="24"/>
                <w:szCs w:val="24"/>
                <w:lang w:val="en-US" w:eastAsia="zh-CN"/>
              </w:rPr>
              <w:t>①培训内容②培训方式③培训进度与安排④人员配置等相关内容</w:t>
            </w:r>
            <w:r>
              <w:rPr>
                <w:rFonts w:hint="eastAsia" w:ascii="宋体" w:hAnsi="宋体" w:eastAsia="宋体" w:cs="宋体"/>
                <w:b w:val="0"/>
                <w:bCs w:val="0"/>
                <w:color w:val="auto"/>
                <w:kern w:val="2"/>
                <w:sz w:val="24"/>
                <w:szCs w:val="24"/>
                <w:highlight w:val="none"/>
                <w:lang w:val="en-US" w:eastAsia="zh-CN"/>
              </w:rPr>
              <w:t>。</w:t>
            </w:r>
            <w:r>
              <w:rPr>
                <w:rFonts w:hint="eastAsia" w:ascii="宋体" w:hAnsi="宋体" w:eastAsia="宋体" w:cs="宋体"/>
                <w:color w:val="auto"/>
                <w:kern w:val="2"/>
                <w:sz w:val="24"/>
                <w:szCs w:val="24"/>
                <w:lang w:val="en-US" w:eastAsia="zh-CN" w:bidi="ar-SA"/>
              </w:rPr>
              <w:t>评审委员会对以上内容进行评审，满分10分，每缺少一项内容扣2.5分；所提供的每项内容中每存在一处缺陷或不足的扣0.5分，每项最多扣2.5分。</w:t>
            </w:r>
          </w:p>
          <w:p w14:paraId="1C164F9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rPr>
              <w:t>缺陷或不足是指：内容所阐述的项目信息与本项目实际需求信息不一致、内容照抄照搬招标文件且只有方案框架无实质性内容、内容不完整、套用其他项目方案、地点区域错误、内容前后矛盾、涉及的规范及标准错误、不可能实现的情形等任意一种情形。</w:t>
            </w:r>
          </w:p>
        </w:tc>
      </w:tr>
    </w:tbl>
    <w:p w14:paraId="62346490">
      <w:pPr>
        <w:wordWrap w:val="0"/>
        <w:spacing w:line="360" w:lineRule="auto"/>
        <w:ind w:firstLine="0" w:firstLineChars="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14:paraId="57674F38">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325726025"/>
      <w:bookmarkStart w:id="123" w:name="_Toc376936756"/>
      <w:bookmarkStart w:id="124" w:name="_Toc2506"/>
      <w:bookmarkStart w:id="125" w:name="_Toc16072"/>
      <w:bookmarkStart w:id="126" w:name="_Toc6689"/>
      <w:r>
        <w:rPr>
          <w:rFonts w:hint="eastAsia" w:ascii="宋体" w:hAnsi="宋体" w:eastAsia="宋体" w:cs="宋体"/>
          <w:b/>
          <w:bCs/>
          <w:color w:val="auto"/>
          <w:sz w:val="24"/>
          <w:szCs w:val="24"/>
        </w:rPr>
        <w:t>七、</w:t>
      </w:r>
      <w:bookmarkEnd w:id="122"/>
      <w:bookmarkEnd w:id="123"/>
      <w:r>
        <w:rPr>
          <w:rFonts w:hint="eastAsia" w:ascii="宋体" w:hAnsi="宋体" w:eastAsia="宋体" w:cs="宋体"/>
          <w:b/>
          <w:bCs/>
          <w:color w:val="auto"/>
          <w:sz w:val="24"/>
          <w:szCs w:val="24"/>
        </w:rPr>
        <w:t>确定成交供应商</w:t>
      </w:r>
      <w:bookmarkEnd w:id="124"/>
      <w:bookmarkEnd w:id="125"/>
      <w:bookmarkEnd w:id="126"/>
    </w:p>
    <w:p w14:paraId="2865E1AB">
      <w:pPr>
        <w:widowControl/>
        <w:spacing w:line="360" w:lineRule="auto"/>
        <w:ind w:firstLine="0" w:firstLineChars="0"/>
        <w:jc w:val="left"/>
        <w:outlineLvl w:val="2"/>
        <w:rPr>
          <w:rFonts w:hint="eastAsia" w:ascii="宋体" w:hAnsi="宋体" w:eastAsia="宋体" w:cs="宋体"/>
          <w:b/>
          <w:bCs/>
          <w:color w:val="auto"/>
          <w:sz w:val="24"/>
          <w:szCs w:val="24"/>
        </w:rPr>
      </w:pPr>
      <w:bookmarkStart w:id="127" w:name="_Toc376936757"/>
      <w:bookmarkStart w:id="128" w:name="_Toc325726026"/>
      <w:bookmarkStart w:id="129" w:name="_Toc17038"/>
      <w:bookmarkStart w:id="130" w:name="_Toc28889"/>
      <w:bookmarkStart w:id="131" w:name="_Toc32546"/>
      <w:r>
        <w:rPr>
          <w:rFonts w:hint="eastAsia" w:ascii="宋体" w:hAnsi="宋体" w:eastAsia="宋体" w:cs="宋体"/>
          <w:b/>
          <w:bCs/>
          <w:color w:val="auto"/>
          <w:sz w:val="24"/>
          <w:szCs w:val="24"/>
        </w:rPr>
        <w:t>18.推荐并确定成交</w:t>
      </w:r>
      <w:bookmarkEnd w:id="127"/>
      <w:bookmarkEnd w:id="128"/>
      <w:r>
        <w:rPr>
          <w:rFonts w:hint="eastAsia" w:ascii="宋体" w:hAnsi="宋体" w:eastAsia="宋体" w:cs="宋体"/>
          <w:b/>
          <w:bCs/>
          <w:color w:val="auto"/>
          <w:sz w:val="24"/>
          <w:szCs w:val="24"/>
        </w:rPr>
        <w:t>供应商</w:t>
      </w:r>
      <w:bookmarkEnd w:id="129"/>
      <w:bookmarkEnd w:id="130"/>
      <w:bookmarkEnd w:id="131"/>
    </w:p>
    <w:p w14:paraId="449ECF06">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EA96F5">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59"/>
      <w:bookmarkStart w:id="133" w:name="_Toc2346"/>
      <w:bookmarkStart w:id="134" w:name="_Toc325726028"/>
      <w:bookmarkStart w:id="135" w:name="_Toc22885"/>
      <w:bookmarkStart w:id="136" w:name="_Toc2963"/>
      <w:bookmarkStart w:id="137" w:name="_Toc325726027"/>
      <w:r>
        <w:rPr>
          <w:rFonts w:hint="eastAsia" w:ascii="宋体" w:hAnsi="宋体" w:eastAsia="宋体" w:cs="宋体"/>
          <w:b/>
          <w:bCs/>
          <w:color w:val="auto"/>
          <w:sz w:val="24"/>
          <w:szCs w:val="24"/>
        </w:rPr>
        <w:t>19.成交通知</w:t>
      </w:r>
      <w:bookmarkEnd w:id="132"/>
      <w:bookmarkEnd w:id="133"/>
      <w:bookmarkEnd w:id="134"/>
      <w:bookmarkEnd w:id="135"/>
      <w:bookmarkEnd w:id="136"/>
    </w:p>
    <w:p w14:paraId="552906C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14:paraId="181AA28E">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14:paraId="6ABE5541">
      <w:pPr>
        <w:widowControl/>
        <w:spacing w:line="360" w:lineRule="auto"/>
        <w:ind w:firstLine="0" w:firstLineChars="0"/>
        <w:jc w:val="center"/>
        <w:outlineLvl w:val="1"/>
        <w:rPr>
          <w:rFonts w:hint="eastAsia" w:ascii="宋体" w:hAnsi="宋体" w:eastAsia="宋体" w:cs="宋体"/>
          <w:b/>
          <w:bCs/>
          <w:color w:val="auto"/>
          <w:sz w:val="24"/>
          <w:szCs w:val="24"/>
        </w:rPr>
      </w:pPr>
      <w:bookmarkStart w:id="138" w:name="_Toc376936758"/>
      <w:bookmarkStart w:id="139" w:name="_Toc18063"/>
      <w:bookmarkStart w:id="140" w:name="_Toc31254"/>
      <w:bookmarkStart w:id="141" w:name="_Toc5556"/>
      <w:r>
        <w:rPr>
          <w:rFonts w:hint="eastAsia" w:ascii="宋体" w:hAnsi="宋体" w:eastAsia="宋体" w:cs="宋体"/>
          <w:b/>
          <w:bCs/>
          <w:color w:val="auto"/>
          <w:sz w:val="24"/>
          <w:szCs w:val="24"/>
        </w:rPr>
        <w:t>八、授予合同</w:t>
      </w:r>
      <w:bookmarkEnd w:id="137"/>
      <w:bookmarkEnd w:id="138"/>
      <w:bookmarkEnd w:id="139"/>
      <w:bookmarkEnd w:id="140"/>
      <w:bookmarkEnd w:id="141"/>
    </w:p>
    <w:p w14:paraId="5B6E4EF2">
      <w:pPr>
        <w:widowControl/>
        <w:spacing w:line="360" w:lineRule="auto"/>
        <w:ind w:firstLine="0" w:firstLineChars="0"/>
        <w:jc w:val="left"/>
        <w:outlineLvl w:val="2"/>
        <w:rPr>
          <w:rFonts w:hint="eastAsia" w:ascii="宋体" w:hAnsi="宋体" w:eastAsia="宋体" w:cs="宋体"/>
          <w:b/>
          <w:bCs/>
          <w:color w:val="auto"/>
          <w:sz w:val="24"/>
          <w:szCs w:val="24"/>
        </w:rPr>
      </w:pPr>
      <w:bookmarkStart w:id="142" w:name="_Toc325726029"/>
      <w:bookmarkStart w:id="143" w:name="_Toc17730"/>
      <w:bookmarkStart w:id="144" w:name="_Toc28394"/>
      <w:bookmarkStart w:id="145" w:name="_Toc921"/>
      <w:bookmarkStart w:id="146" w:name="_Toc376936760"/>
      <w:r>
        <w:rPr>
          <w:rFonts w:hint="eastAsia" w:ascii="宋体" w:hAnsi="宋体" w:eastAsia="宋体" w:cs="宋体"/>
          <w:b/>
          <w:bCs/>
          <w:color w:val="auto"/>
          <w:sz w:val="24"/>
          <w:szCs w:val="24"/>
        </w:rPr>
        <w:t>20.签订合同</w:t>
      </w:r>
      <w:bookmarkEnd w:id="142"/>
      <w:bookmarkEnd w:id="143"/>
      <w:bookmarkEnd w:id="144"/>
      <w:bookmarkEnd w:id="145"/>
      <w:bookmarkEnd w:id="146"/>
    </w:p>
    <w:p w14:paraId="250CBEDD">
      <w:pPr>
        <w:spacing w:line="360" w:lineRule="auto"/>
        <w:ind w:firstLine="0" w:firstLineChars="0"/>
        <w:jc w:val="left"/>
        <w:rPr>
          <w:rFonts w:hint="eastAsia" w:ascii="宋体" w:hAnsi="宋体" w:eastAsia="宋体" w:cs="宋体"/>
          <w:color w:val="auto"/>
          <w:sz w:val="24"/>
          <w:szCs w:val="24"/>
        </w:rPr>
      </w:pPr>
      <w:bookmarkStart w:id="147" w:name="_Toc325726030"/>
      <w:bookmarkStart w:id="148" w:name="_Toc376936761"/>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14:paraId="4645D3AC">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lang w:val="zh-CN"/>
        </w:rPr>
        <w:t>2</w:t>
      </w:r>
      <w:r>
        <w:rPr>
          <w:rFonts w:hint="eastAsia" w:ascii="宋体" w:hAnsi="宋体" w:eastAsia="宋体" w:cs="宋体"/>
          <w:color w:val="auto"/>
          <w:sz w:val="24"/>
        </w:rPr>
        <w:t>0</w:t>
      </w:r>
      <w:r>
        <w:rPr>
          <w:rFonts w:hint="eastAsia" w:ascii="宋体" w:hAnsi="宋体" w:eastAsia="宋体" w:cs="宋体"/>
          <w:color w:val="auto"/>
          <w:sz w:val="24"/>
          <w:lang w:val="zh-CN"/>
        </w:rPr>
        <w:t>.2签订合同时，成交供应商应当</w:t>
      </w:r>
      <w:r>
        <w:rPr>
          <w:rFonts w:hint="eastAsia" w:ascii="宋体" w:hAnsi="宋体" w:eastAsia="宋体" w:cs="宋体"/>
          <w:color w:val="auto"/>
          <w:sz w:val="24"/>
          <w:lang w:val="zh-CN" w:eastAsia="zh-CN"/>
        </w:rPr>
        <w:t>以支票、汇票、本票或者金融机构、担保机构出具的保函等非现金形式</w:t>
      </w:r>
      <w:r>
        <w:rPr>
          <w:rFonts w:hint="eastAsia" w:ascii="宋体" w:hAnsi="宋体" w:eastAsia="宋体" w:cs="宋体"/>
          <w:color w:val="auto"/>
          <w:sz w:val="24"/>
          <w:lang w:val="zh-CN"/>
        </w:rPr>
        <w:t>向采购人指定的账户交纳履约保证金。</w:t>
      </w:r>
      <w:r>
        <w:rPr>
          <w:rFonts w:hint="eastAsia" w:ascii="宋体" w:hAnsi="宋体" w:eastAsia="宋体" w:cs="宋体"/>
          <w:b/>
          <w:bCs/>
          <w:color w:val="auto"/>
          <w:sz w:val="24"/>
          <w:lang w:val="zh-CN"/>
        </w:rPr>
        <w:t>本项目履约保证金金额为成交金额的</w:t>
      </w:r>
      <w:r>
        <w:rPr>
          <w:rFonts w:hint="eastAsia" w:ascii="宋体" w:hAnsi="宋体" w:eastAsia="宋体" w:cs="宋体"/>
          <w:b/>
          <w:bCs/>
          <w:color w:val="auto"/>
          <w:sz w:val="24"/>
          <w:lang w:val="en-US" w:eastAsia="zh-CN"/>
        </w:rPr>
        <w:t>10</w:t>
      </w:r>
      <w:r>
        <w:rPr>
          <w:rFonts w:hint="eastAsia" w:ascii="宋体" w:hAnsi="宋体" w:eastAsia="宋体" w:cs="宋体"/>
          <w:b/>
          <w:bCs/>
          <w:color w:val="auto"/>
          <w:sz w:val="24"/>
          <w:lang w:val="zh-CN"/>
        </w:rPr>
        <w:t>％</w:t>
      </w:r>
      <w:r>
        <w:rPr>
          <w:rFonts w:hint="eastAsia" w:ascii="宋体" w:hAnsi="宋体" w:eastAsia="宋体" w:cs="宋体"/>
          <w:b/>
          <w:bCs/>
          <w:color w:val="auto"/>
          <w:sz w:val="24"/>
          <w:lang w:val="en-US" w:eastAsia="zh-CN"/>
        </w:rPr>
        <w:t>。</w:t>
      </w:r>
    </w:p>
    <w:p w14:paraId="0422F8BC">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37D32E90">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81C3515">
      <w:pPr>
        <w:widowControl/>
        <w:spacing w:line="360" w:lineRule="auto"/>
        <w:ind w:firstLine="0" w:firstLineChars="0"/>
        <w:jc w:val="center"/>
        <w:outlineLvl w:val="1"/>
        <w:rPr>
          <w:rFonts w:hint="eastAsia" w:ascii="宋体" w:hAnsi="宋体" w:eastAsia="宋体" w:cs="宋体"/>
          <w:b/>
          <w:bCs/>
          <w:color w:val="auto"/>
          <w:sz w:val="24"/>
          <w:szCs w:val="24"/>
        </w:rPr>
      </w:pPr>
      <w:bookmarkStart w:id="149" w:name="_Toc22442"/>
      <w:bookmarkStart w:id="150" w:name="_Toc896"/>
      <w:bookmarkStart w:id="151" w:name="_Toc26867"/>
      <w:r>
        <w:rPr>
          <w:rFonts w:hint="eastAsia" w:ascii="宋体" w:hAnsi="宋体" w:eastAsia="宋体" w:cs="宋体"/>
          <w:b/>
          <w:bCs/>
          <w:color w:val="auto"/>
          <w:sz w:val="24"/>
          <w:szCs w:val="24"/>
        </w:rPr>
        <w:t>九、</w:t>
      </w:r>
      <w:bookmarkEnd w:id="147"/>
      <w:bookmarkEnd w:id="148"/>
      <w:r>
        <w:rPr>
          <w:rFonts w:hint="eastAsia" w:ascii="宋体" w:hAnsi="宋体" w:eastAsia="宋体" w:cs="宋体"/>
          <w:b/>
          <w:bCs/>
          <w:color w:val="auto"/>
          <w:sz w:val="24"/>
          <w:szCs w:val="24"/>
        </w:rPr>
        <w:t>磋商活动终止</w:t>
      </w:r>
      <w:bookmarkEnd w:id="149"/>
      <w:bookmarkEnd w:id="150"/>
      <w:bookmarkEnd w:id="151"/>
    </w:p>
    <w:p w14:paraId="769545D7">
      <w:pPr>
        <w:widowControl/>
        <w:spacing w:line="360" w:lineRule="auto"/>
        <w:ind w:firstLine="0" w:firstLineChars="0"/>
        <w:jc w:val="left"/>
        <w:outlineLvl w:val="2"/>
        <w:rPr>
          <w:rFonts w:hint="eastAsia" w:ascii="宋体" w:hAnsi="宋体" w:eastAsia="宋体" w:cs="宋体"/>
          <w:b/>
          <w:bCs/>
          <w:color w:val="auto"/>
          <w:sz w:val="24"/>
          <w:szCs w:val="24"/>
        </w:rPr>
      </w:pPr>
      <w:bookmarkStart w:id="152" w:name="_Toc11684"/>
      <w:bookmarkStart w:id="153" w:name="_Toc7098"/>
      <w:bookmarkStart w:id="154" w:name="_Toc1906"/>
      <w:bookmarkStart w:id="155" w:name="_Toc325726031"/>
      <w:bookmarkStart w:id="156" w:name="_Toc376936762"/>
      <w:r>
        <w:rPr>
          <w:rFonts w:hint="eastAsia" w:ascii="宋体" w:hAnsi="宋体" w:eastAsia="宋体" w:cs="宋体"/>
          <w:b/>
          <w:bCs/>
          <w:color w:val="auto"/>
          <w:sz w:val="24"/>
          <w:szCs w:val="24"/>
        </w:rPr>
        <w:t>21.终止情形</w:t>
      </w:r>
      <w:bookmarkEnd w:id="152"/>
      <w:bookmarkEnd w:id="153"/>
      <w:bookmarkEnd w:id="154"/>
    </w:p>
    <w:p w14:paraId="7E7F5292">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55"/>
      <w:bookmarkEnd w:id="156"/>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63F18F4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3CEBA0B0">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07161141">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（3）在采购过程中符合要求的供应商或者报价未超过采购预算的供应商不足</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家的。</w:t>
      </w:r>
    </w:p>
    <w:p w14:paraId="43490C0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57" w:name="_Toc325726032"/>
    </w:p>
    <w:p w14:paraId="3AC73247">
      <w:pPr>
        <w:widowControl/>
        <w:spacing w:line="360" w:lineRule="auto"/>
        <w:ind w:firstLine="0" w:firstLineChars="0"/>
        <w:jc w:val="center"/>
        <w:outlineLvl w:val="1"/>
        <w:rPr>
          <w:rFonts w:hint="eastAsia" w:ascii="宋体" w:hAnsi="宋体" w:eastAsia="宋体" w:cs="宋体"/>
          <w:b/>
          <w:bCs/>
          <w:color w:val="auto"/>
          <w:sz w:val="24"/>
          <w:szCs w:val="24"/>
        </w:rPr>
      </w:pPr>
      <w:bookmarkStart w:id="158" w:name="_Toc376936763"/>
      <w:bookmarkStart w:id="159" w:name="_Toc6646"/>
      <w:bookmarkStart w:id="160" w:name="_Toc942"/>
      <w:bookmarkStart w:id="161" w:name="_Toc27950"/>
      <w:r>
        <w:rPr>
          <w:rFonts w:hint="eastAsia" w:ascii="宋体" w:hAnsi="宋体" w:eastAsia="宋体" w:cs="宋体"/>
          <w:b/>
          <w:bCs/>
          <w:color w:val="auto"/>
          <w:sz w:val="24"/>
          <w:szCs w:val="24"/>
        </w:rPr>
        <w:t>十、处罚</w:t>
      </w:r>
      <w:bookmarkEnd w:id="157"/>
      <w:bookmarkEnd w:id="158"/>
      <w:bookmarkEnd w:id="159"/>
      <w:bookmarkEnd w:id="160"/>
      <w:bookmarkEnd w:id="161"/>
    </w:p>
    <w:p w14:paraId="61BD28E6">
      <w:pPr>
        <w:widowControl/>
        <w:spacing w:line="360" w:lineRule="auto"/>
        <w:ind w:firstLine="0" w:firstLineChars="0"/>
        <w:jc w:val="left"/>
        <w:outlineLvl w:val="2"/>
        <w:rPr>
          <w:rFonts w:hint="eastAsia" w:ascii="宋体" w:hAnsi="宋体" w:eastAsia="宋体" w:cs="宋体"/>
          <w:b/>
          <w:bCs/>
          <w:color w:val="auto"/>
          <w:sz w:val="24"/>
          <w:szCs w:val="24"/>
        </w:rPr>
      </w:pPr>
      <w:bookmarkStart w:id="162" w:name="_Toc17567"/>
      <w:bookmarkStart w:id="163" w:name="_Toc27263"/>
      <w:bookmarkStart w:id="164" w:name="_Toc325726033"/>
      <w:bookmarkStart w:id="165" w:name="_Toc376936764"/>
      <w:bookmarkStart w:id="166" w:name="_Toc28018"/>
      <w:r>
        <w:rPr>
          <w:rFonts w:hint="eastAsia" w:ascii="宋体" w:hAnsi="宋体" w:eastAsia="宋体" w:cs="宋体"/>
          <w:b/>
          <w:bCs/>
          <w:color w:val="auto"/>
          <w:sz w:val="24"/>
          <w:szCs w:val="24"/>
        </w:rPr>
        <w:t>22.处罚情形</w:t>
      </w:r>
      <w:bookmarkEnd w:id="162"/>
      <w:bookmarkEnd w:id="163"/>
      <w:bookmarkEnd w:id="164"/>
      <w:bookmarkEnd w:id="165"/>
      <w:bookmarkEnd w:id="166"/>
    </w:p>
    <w:p w14:paraId="4B0E8171">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14:paraId="1489295D">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14:paraId="1E08F812">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14:paraId="3736BFEA">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14:paraId="7215CAF5">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14:paraId="637B7D2F">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14:paraId="3AE9CB7B">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14:paraId="3A60A869">
      <w:pPr>
        <w:widowControl/>
        <w:spacing w:line="360" w:lineRule="auto"/>
        <w:ind w:firstLine="0" w:firstLineChars="0"/>
        <w:jc w:val="center"/>
        <w:outlineLvl w:val="1"/>
        <w:rPr>
          <w:rFonts w:hint="eastAsia" w:ascii="宋体" w:hAnsi="宋体" w:eastAsia="宋体" w:cs="宋体"/>
          <w:b/>
          <w:bCs/>
          <w:color w:val="auto"/>
          <w:sz w:val="24"/>
          <w:szCs w:val="24"/>
        </w:rPr>
      </w:pPr>
      <w:bookmarkStart w:id="167" w:name="_Toc19538"/>
      <w:bookmarkStart w:id="168" w:name="_Toc325726034"/>
      <w:bookmarkStart w:id="169" w:name="_Toc15214"/>
      <w:bookmarkStart w:id="170" w:name="_Toc16406"/>
      <w:bookmarkStart w:id="171" w:name="_Toc376936765"/>
      <w:r>
        <w:rPr>
          <w:rFonts w:hint="eastAsia" w:ascii="宋体" w:hAnsi="宋体" w:eastAsia="宋体" w:cs="宋体"/>
          <w:b/>
          <w:bCs/>
          <w:color w:val="auto"/>
          <w:sz w:val="24"/>
          <w:szCs w:val="24"/>
        </w:rPr>
        <w:t>十一、其他</w:t>
      </w:r>
      <w:bookmarkEnd w:id="167"/>
      <w:bookmarkEnd w:id="168"/>
      <w:bookmarkEnd w:id="169"/>
      <w:bookmarkEnd w:id="170"/>
      <w:bookmarkEnd w:id="171"/>
    </w:p>
    <w:p w14:paraId="2810FC1A">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6B31B6B3">
      <w:pPr>
        <w:wordWrap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4ADD8678">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72" w:name="_Toc12464"/>
      <w:r>
        <w:rPr>
          <w:rFonts w:hint="eastAsia" w:ascii="宋体" w:hAnsi="宋体" w:eastAsia="宋体" w:cs="宋体"/>
          <w:b/>
          <w:color w:val="auto"/>
          <w:kern w:val="28"/>
          <w:sz w:val="36"/>
          <w:szCs w:val="20"/>
        </w:rPr>
        <w:t>第四部分  采购项目合同书</w:t>
      </w:r>
      <w:bookmarkEnd w:id="172"/>
    </w:p>
    <w:p w14:paraId="405F51BE">
      <w:pPr>
        <w:spacing w:line="360" w:lineRule="auto"/>
        <w:ind w:firstLine="0" w:firstLineChars="0"/>
        <w:rPr>
          <w:rFonts w:hint="eastAsia" w:ascii="宋体" w:hAnsi="宋体" w:eastAsia="宋体" w:cs="宋体"/>
          <w:color w:val="auto"/>
          <w:sz w:val="24"/>
          <w:szCs w:val="24"/>
        </w:rPr>
      </w:pPr>
    </w:p>
    <w:p w14:paraId="537F451B">
      <w:pPr>
        <w:spacing w:line="360" w:lineRule="auto"/>
        <w:ind w:firstLine="0" w:firstLineChars="0"/>
        <w:rPr>
          <w:rFonts w:hint="eastAsia" w:ascii="宋体" w:hAnsi="宋体" w:eastAsia="宋体" w:cs="宋体"/>
          <w:color w:val="auto"/>
          <w:sz w:val="24"/>
          <w:szCs w:val="24"/>
        </w:rPr>
      </w:pPr>
    </w:p>
    <w:p w14:paraId="42C88A70">
      <w:pPr>
        <w:spacing w:line="360" w:lineRule="auto"/>
        <w:ind w:firstLine="0" w:firstLineChars="0"/>
        <w:rPr>
          <w:rFonts w:hint="eastAsia" w:ascii="宋体" w:hAnsi="宋体" w:eastAsia="宋体" w:cs="宋体"/>
          <w:color w:val="auto"/>
          <w:sz w:val="24"/>
          <w:szCs w:val="24"/>
        </w:rPr>
      </w:pPr>
    </w:p>
    <w:p w14:paraId="11D81E67">
      <w:pPr>
        <w:spacing w:line="360" w:lineRule="auto"/>
        <w:ind w:firstLine="0" w:firstLineChars="0"/>
        <w:rPr>
          <w:rFonts w:hint="eastAsia" w:ascii="宋体" w:hAnsi="宋体" w:eastAsia="宋体" w:cs="宋体"/>
          <w:color w:val="auto"/>
          <w:sz w:val="24"/>
          <w:szCs w:val="24"/>
        </w:rPr>
      </w:pPr>
    </w:p>
    <w:p w14:paraId="65CEED18">
      <w:pPr>
        <w:autoSpaceDE w:val="0"/>
        <w:autoSpaceDN w:val="0"/>
        <w:spacing w:line="360" w:lineRule="auto"/>
        <w:ind w:firstLine="0" w:firstLineChars="0"/>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lang w:val="zh-CN"/>
        </w:rPr>
        <w:t>青海省政府采购项目合同书</w:t>
      </w:r>
    </w:p>
    <w:p w14:paraId="7224DE51">
      <w:pPr>
        <w:autoSpaceDE w:val="0"/>
        <w:autoSpaceDN w:val="0"/>
        <w:spacing w:line="360" w:lineRule="auto"/>
        <w:ind w:firstLine="0" w:firstLineChars="0"/>
        <w:jc w:val="center"/>
        <w:rPr>
          <w:rFonts w:hint="eastAsia" w:ascii="宋体" w:hAnsi="宋体" w:eastAsia="宋体" w:cs="宋体"/>
          <w:b/>
          <w:bCs/>
          <w:color w:val="auto"/>
          <w:sz w:val="48"/>
          <w:szCs w:val="48"/>
          <w:lang w:val="zh-CN" w:eastAsia="zh-CN"/>
        </w:rPr>
      </w:pPr>
      <w:r>
        <w:rPr>
          <w:rFonts w:hint="eastAsia" w:ascii="宋体" w:hAnsi="宋体" w:eastAsia="宋体" w:cs="宋体"/>
          <w:b/>
          <w:bCs/>
          <w:color w:val="auto"/>
          <w:sz w:val="48"/>
          <w:szCs w:val="48"/>
          <w:lang w:val="zh-CN" w:eastAsia="zh-CN"/>
        </w:rPr>
        <w:t>（</w:t>
      </w:r>
      <w:r>
        <w:rPr>
          <w:rFonts w:hint="eastAsia" w:ascii="宋体" w:hAnsi="宋体" w:eastAsia="宋体" w:cs="宋体"/>
          <w:b/>
          <w:bCs/>
          <w:color w:val="auto"/>
          <w:sz w:val="48"/>
          <w:szCs w:val="48"/>
          <w:lang w:val="en-US" w:eastAsia="zh-CN"/>
        </w:rPr>
        <w:t>参考版</w:t>
      </w:r>
      <w:r>
        <w:rPr>
          <w:rFonts w:hint="eastAsia" w:ascii="宋体" w:hAnsi="宋体" w:eastAsia="宋体" w:cs="宋体"/>
          <w:b/>
          <w:bCs/>
          <w:color w:val="auto"/>
          <w:sz w:val="48"/>
          <w:szCs w:val="48"/>
          <w:lang w:val="zh-CN" w:eastAsia="zh-CN"/>
        </w:rPr>
        <w:t>）</w:t>
      </w:r>
    </w:p>
    <w:p w14:paraId="209CBB4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b/>
          <w:color w:val="auto"/>
          <w:sz w:val="32"/>
          <w:szCs w:val="32"/>
        </w:rPr>
        <w:t>（本合同为中小企业预留合同）</w:t>
      </w:r>
    </w:p>
    <w:p w14:paraId="2AEF2455">
      <w:pPr>
        <w:spacing w:line="360" w:lineRule="auto"/>
        <w:ind w:firstLine="0" w:firstLineChars="0"/>
        <w:rPr>
          <w:rFonts w:hint="eastAsia" w:ascii="宋体" w:hAnsi="宋体" w:eastAsia="宋体" w:cs="宋体"/>
          <w:color w:val="auto"/>
          <w:sz w:val="24"/>
          <w:szCs w:val="24"/>
        </w:rPr>
      </w:pPr>
    </w:p>
    <w:p w14:paraId="16EB7C47">
      <w:pPr>
        <w:spacing w:line="360" w:lineRule="auto"/>
        <w:ind w:firstLine="0" w:firstLineChars="0"/>
        <w:rPr>
          <w:rFonts w:hint="eastAsia" w:ascii="宋体" w:hAnsi="宋体" w:eastAsia="宋体" w:cs="宋体"/>
          <w:color w:val="auto"/>
          <w:sz w:val="24"/>
          <w:szCs w:val="24"/>
        </w:rPr>
      </w:pPr>
    </w:p>
    <w:p w14:paraId="36A5C41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zh-CN"/>
        </w:rPr>
      </w:pPr>
      <w:r>
        <w:rPr>
          <w:rFonts w:hint="eastAsia" w:ascii="宋体" w:hAnsi="宋体" w:eastAsia="宋体" w:cs="宋体"/>
          <w:b/>
          <w:bCs/>
          <w:color w:val="auto"/>
          <w:sz w:val="30"/>
          <w:szCs w:val="30"/>
          <w:lang w:val="zh-CN"/>
        </w:rPr>
        <w:t>采购项目编号：</w:t>
      </w:r>
      <w:r>
        <w:rPr>
          <w:rFonts w:hint="eastAsia" w:ascii="宋体" w:hAnsi="宋体" w:eastAsia="宋体" w:cs="宋体"/>
          <w:b/>
          <w:bCs/>
          <w:color w:val="auto"/>
          <w:sz w:val="30"/>
          <w:szCs w:val="30"/>
          <w:u w:val="single"/>
          <w:lang w:val="zh-CN"/>
        </w:rPr>
        <w:t>青海鼎钊竞磋（服务）2024-047</w:t>
      </w:r>
    </w:p>
    <w:p w14:paraId="7A3B5299">
      <w:pPr>
        <w:pStyle w:val="34"/>
        <w:keepNext w:val="0"/>
        <w:keepLines w:val="0"/>
        <w:pageBreakBefore w:val="0"/>
        <w:widowControl w:val="0"/>
        <w:kinsoku/>
        <w:wordWrap/>
        <w:overflowPunct/>
        <w:topLinePunct w:val="0"/>
        <w:bidi w:val="0"/>
        <w:adjustRightInd/>
        <w:snapToGrid/>
        <w:spacing w:line="360" w:lineRule="auto"/>
        <w:ind w:firstLine="0" w:firstLineChars="0"/>
        <w:jc w:val="left"/>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采购项目名称：</w:t>
      </w:r>
      <w:r>
        <w:rPr>
          <w:rFonts w:hint="eastAsia" w:ascii="宋体" w:hAnsi="宋体" w:eastAsia="宋体" w:cs="宋体"/>
          <w:b/>
          <w:bCs/>
          <w:color w:val="auto"/>
          <w:sz w:val="30"/>
          <w:szCs w:val="30"/>
          <w:u w:val="single"/>
          <w:lang w:val="zh-CN" w:eastAsia="zh-CN" w:bidi="ar-SA"/>
        </w:rPr>
        <w:t>海东市第二人民医院医疗设备维保服务采购项目</w:t>
      </w:r>
    </w:p>
    <w:p w14:paraId="23B75B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zh-CN"/>
        </w:rPr>
        <w:t>采购合同编号：</w:t>
      </w:r>
      <w:r>
        <w:rPr>
          <w:rFonts w:hint="eastAsia" w:ascii="宋体" w:hAnsi="宋体" w:eastAsia="宋体" w:cs="宋体"/>
          <w:b/>
          <w:bCs/>
          <w:color w:val="auto"/>
          <w:sz w:val="30"/>
          <w:szCs w:val="30"/>
          <w:u w:val="single"/>
          <w:lang w:val="zh-CN"/>
        </w:rPr>
        <w:t>QH</w:t>
      </w:r>
      <w:r>
        <w:rPr>
          <w:rFonts w:hint="eastAsia" w:ascii="宋体" w:hAnsi="宋体" w:eastAsia="宋体" w:cs="宋体"/>
          <w:b/>
          <w:bCs/>
          <w:color w:val="auto"/>
          <w:sz w:val="30"/>
          <w:szCs w:val="30"/>
          <w:u w:val="single"/>
          <w:lang w:val="en-US" w:eastAsia="zh-CN"/>
        </w:rPr>
        <w:t>DZ</w:t>
      </w:r>
      <w:r>
        <w:rPr>
          <w:rFonts w:hint="eastAsia" w:ascii="宋体" w:hAnsi="宋体" w:eastAsia="宋体" w:cs="宋体"/>
          <w:b/>
          <w:bCs/>
          <w:color w:val="auto"/>
          <w:sz w:val="30"/>
          <w:szCs w:val="30"/>
          <w:u w:val="single"/>
          <w:lang w:val="zh-CN"/>
        </w:rPr>
        <w:t>-2024-047</w:t>
      </w:r>
    </w:p>
    <w:p w14:paraId="315FFE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合同金额（人民币）：</w:t>
      </w:r>
      <w:r>
        <w:rPr>
          <w:rFonts w:hint="eastAsia" w:ascii="宋体" w:hAnsi="宋体" w:eastAsia="宋体" w:cs="宋体"/>
          <w:b/>
          <w:bCs/>
          <w:color w:val="auto"/>
          <w:sz w:val="30"/>
          <w:szCs w:val="30"/>
          <w:u w:val="single"/>
          <w:lang w:val="en-US" w:eastAsia="zh-CN"/>
        </w:rPr>
        <w:t xml:space="preserve">                      </w:t>
      </w:r>
    </w:p>
    <w:p w14:paraId="565C53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采购人（甲方）：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47BFD5C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供应商（乙方）：</w:t>
      </w:r>
      <w:r>
        <w:rPr>
          <w:rFonts w:hint="eastAsia" w:ascii="宋体" w:hAnsi="宋体" w:eastAsia="宋体" w:cs="宋体"/>
          <w:b/>
          <w:bCs/>
          <w:color w:val="auto"/>
          <w:sz w:val="30"/>
          <w:szCs w:val="30"/>
          <w:u w:val="single"/>
          <w:lang w:val="en-US" w:eastAsia="zh-CN"/>
        </w:rPr>
        <w:t xml:space="preserve">                      </w:t>
      </w:r>
      <w:r>
        <w:rPr>
          <w:rFonts w:hint="eastAsia" w:ascii="宋体" w:hAnsi="宋体" w:eastAsia="宋体" w:cs="宋体"/>
          <w:b/>
          <w:bCs/>
          <w:color w:val="auto"/>
          <w:sz w:val="30"/>
          <w:szCs w:val="30"/>
          <w:u w:val="single"/>
          <w:lang w:val="zh-CN"/>
        </w:rPr>
        <w:t>（盖章）</w:t>
      </w:r>
    </w:p>
    <w:p w14:paraId="389307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30"/>
          <w:szCs w:val="30"/>
          <w:u w:val="single"/>
          <w:lang w:val="en-US" w:eastAsia="zh-CN"/>
        </w:rPr>
      </w:pPr>
      <w:r>
        <w:rPr>
          <w:rFonts w:hint="eastAsia" w:ascii="宋体" w:hAnsi="宋体" w:eastAsia="宋体" w:cs="宋体"/>
          <w:b/>
          <w:bCs/>
          <w:color w:val="auto"/>
          <w:sz w:val="30"/>
          <w:szCs w:val="30"/>
          <w:lang w:val="zh-CN"/>
        </w:rPr>
        <w:t>采购日期：</w:t>
      </w:r>
      <w:r>
        <w:rPr>
          <w:rFonts w:hint="eastAsia" w:ascii="宋体" w:hAnsi="宋体" w:eastAsia="宋体" w:cs="宋体"/>
          <w:b/>
          <w:bCs/>
          <w:color w:val="auto"/>
          <w:sz w:val="30"/>
          <w:szCs w:val="30"/>
          <w:u w:val="single"/>
          <w:lang w:val="en-US" w:eastAsia="zh-CN"/>
        </w:rPr>
        <w:t xml:space="preserve">                             </w:t>
      </w:r>
    </w:p>
    <w:p w14:paraId="10773562">
      <w:pPr>
        <w:spacing w:line="360" w:lineRule="auto"/>
        <w:ind w:left="0" w:leftChars="0" w:firstLine="0" w:firstLineChars="0"/>
        <w:rPr>
          <w:rFonts w:hint="eastAsia" w:ascii="宋体" w:hAnsi="宋体" w:eastAsia="宋体" w:cs="宋体"/>
          <w:color w:val="auto"/>
          <w:sz w:val="24"/>
          <w:szCs w:val="24"/>
        </w:rPr>
      </w:pPr>
    </w:p>
    <w:p w14:paraId="60D8C360">
      <w:pPr>
        <w:spacing w:line="360" w:lineRule="auto"/>
        <w:ind w:left="0" w:leftChars="0" w:firstLine="0" w:firstLineChars="0"/>
        <w:rPr>
          <w:rFonts w:hint="eastAsia" w:ascii="宋体" w:hAnsi="宋体" w:eastAsia="宋体" w:cs="宋体"/>
          <w:color w:val="auto"/>
          <w:sz w:val="24"/>
          <w:szCs w:val="24"/>
        </w:rPr>
      </w:pPr>
    </w:p>
    <w:p w14:paraId="15FAB1C8">
      <w:pPr>
        <w:spacing w:line="360" w:lineRule="auto"/>
        <w:ind w:left="0" w:leftChars="0" w:firstLine="0" w:firstLineChars="0"/>
        <w:rPr>
          <w:rFonts w:hint="eastAsia" w:ascii="宋体" w:hAnsi="宋体" w:eastAsia="宋体" w:cs="宋体"/>
          <w:color w:val="auto"/>
          <w:sz w:val="24"/>
          <w:szCs w:val="24"/>
        </w:rPr>
      </w:pPr>
    </w:p>
    <w:p w14:paraId="437A5A2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br w:type="page"/>
      </w:r>
      <w:r>
        <w:rPr>
          <w:rFonts w:hint="eastAsia" w:ascii="宋体" w:hAnsi="宋体" w:eastAsia="宋体" w:cs="宋体"/>
          <w:b/>
          <w:bCs/>
          <w:color w:val="auto"/>
          <w:sz w:val="28"/>
          <w:szCs w:val="28"/>
          <w:lang w:val="zh-CN"/>
        </w:rPr>
        <w:t>采购人（以下简称甲方）：</w:t>
      </w:r>
    </w:p>
    <w:p w14:paraId="2369A77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val="zh-CN"/>
        </w:rPr>
        <w:t>供应商（以下简称乙方）：</w:t>
      </w:r>
    </w:p>
    <w:p w14:paraId="6A1C2F30">
      <w:pPr>
        <w:pStyle w:val="34"/>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日“海东市第二人民医院医疗设备维保服务采购项目”（项目编号：青海鼎钊竞磋（服务）2024-047）的磋商文件要求和青海鼎钊招标代理有限公司出具的《成交通知书》，并经双方协商一致，签订本合同协议书。</w:t>
      </w:r>
    </w:p>
    <w:p w14:paraId="4CB911D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一、签订本政府采购合同的依据</w:t>
      </w:r>
    </w:p>
    <w:p w14:paraId="7B881B0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212D04A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696E505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0456336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val="zh-CN"/>
        </w:rPr>
        <w:t>提交的响应文件；</w:t>
      </w:r>
    </w:p>
    <w:p w14:paraId="1A8075A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成交通知书；</w:t>
      </w:r>
    </w:p>
    <w:p w14:paraId="33A4D1D3">
      <w:pPr>
        <w:autoSpaceDE w:val="0"/>
        <w:autoSpaceDN w:val="0"/>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5.履约保证金凭证。</w:t>
      </w:r>
    </w:p>
    <w:p w14:paraId="7CC1DC6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
          <w:color w:val="auto"/>
          <w:kern w:val="0"/>
          <w:sz w:val="24"/>
          <w:szCs w:val="24"/>
          <w:lang w:val="en-US" w:eastAsia="zh-CN" w:bidi="ar"/>
        </w:rPr>
        <w:t>二、</w:t>
      </w:r>
      <w:r>
        <w:rPr>
          <w:rFonts w:hint="eastAsia" w:ascii="宋体" w:hAnsi="宋体" w:eastAsia="宋体" w:cs="宋体"/>
          <w:b/>
          <w:bCs/>
          <w:color w:val="auto"/>
          <w:sz w:val="24"/>
          <w:szCs w:val="24"/>
          <w:lang w:val="zh-CN"/>
        </w:rPr>
        <w:t>合同标的及金额</w:t>
      </w:r>
      <w:r>
        <w:rPr>
          <w:rFonts w:hint="eastAsia" w:ascii="宋体" w:hAnsi="宋体" w:eastAsia="宋体" w:cs="宋体"/>
          <w:color w:val="auto"/>
          <w:sz w:val="24"/>
          <w:szCs w:val="24"/>
          <w:lang w:val="zh-CN"/>
        </w:rPr>
        <w:t xml:space="preserve">                                       单位：元</w:t>
      </w:r>
    </w:p>
    <w:tbl>
      <w:tblPr>
        <w:tblStyle w:val="22"/>
        <w:tblW w:w="10394" w:type="dxa"/>
        <w:jc w:val="center"/>
        <w:tblLayout w:type="fixed"/>
        <w:tblCellMar>
          <w:top w:w="0" w:type="dxa"/>
          <w:left w:w="57" w:type="dxa"/>
          <w:bottom w:w="0" w:type="dxa"/>
          <w:right w:w="57" w:type="dxa"/>
        </w:tblCellMar>
      </w:tblPr>
      <w:tblGrid>
        <w:gridCol w:w="641"/>
        <w:gridCol w:w="2877"/>
        <w:gridCol w:w="2527"/>
        <w:gridCol w:w="819"/>
        <w:gridCol w:w="808"/>
        <w:gridCol w:w="946"/>
        <w:gridCol w:w="948"/>
        <w:gridCol w:w="828"/>
      </w:tblGrid>
      <w:tr w14:paraId="4C656624">
        <w:tblPrEx>
          <w:tblCellMar>
            <w:top w:w="0" w:type="dxa"/>
            <w:left w:w="57" w:type="dxa"/>
            <w:bottom w:w="0" w:type="dxa"/>
            <w:right w:w="57" w:type="dxa"/>
          </w:tblCellMar>
        </w:tblPrEx>
        <w:trPr>
          <w:cantSplit/>
          <w:trHeight w:val="2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4DFEB50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2877" w:type="dxa"/>
            <w:tcBorders>
              <w:top w:val="single" w:color="auto" w:sz="4" w:space="0"/>
              <w:left w:val="single" w:color="auto" w:sz="4" w:space="0"/>
              <w:bottom w:val="single" w:color="auto" w:sz="4" w:space="0"/>
              <w:right w:val="single" w:color="auto" w:sz="4" w:space="0"/>
            </w:tcBorders>
            <w:vAlign w:val="center"/>
          </w:tcPr>
          <w:p w14:paraId="0075239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产品名称（服务内容）</w:t>
            </w:r>
          </w:p>
        </w:tc>
        <w:tc>
          <w:tcPr>
            <w:tcW w:w="2527" w:type="dxa"/>
            <w:tcBorders>
              <w:top w:val="single" w:color="auto" w:sz="4" w:space="0"/>
              <w:left w:val="single" w:color="auto" w:sz="4" w:space="0"/>
              <w:bottom w:val="single" w:color="auto" w:sz="4" w:space="0"/>
              <w:right w:val="single" w:color="auto" w:sz="4" w:space="0"/>
            </w:tcBorders>
            <w:vAlign w:val="center"/>
          </w:tcPr>
          <w:p w14:paraId="1883626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规格型号（</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val="zh-CN"/>
              </w:rPr>
              <w:t>）</w:t>
            </w:r>
          </w:p>
        </w:tc>
        <w:tc>
          <w:tcPr>
            <w:tcW w:w="819" w:type="dxa"/>
            <w:tcBorders>
              <w:top w:val="single" w:color="auto" w:sz="4" w:space="0"/>
              <w:left w:val="single" w:color="auto" w:sz="4" w:space="0"/>
              <w:bottom w:val="single" w:color="auto" w:sz="4" w:space="0"/>
              <w:right w:val="single" w:color="auto" w:sz="4" w:space="0"/>
            </w:tcBorders>
            <w:vAlign w:val="center"/>
          </w:tcPr>
          <w:p w14:paraId="0648D27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数量</w:t>
            </w:r>
          </w:p>
        </w:tc>
        <w:tc>
          <w:tcPr>
            <w:tcW w:w="808" w:type="dxa"/>
            <w:tcBorders>
              <w:top w:val="single" w:color="auto" w:sz="4" w:space="0"/>
              <w:left w:val="single" w:color="auto" w:sz="4" w:space="0"/>
              <w:bottom w:val="single" w:color="auto" w:sz="4" w:space="0"/>
              <w:right w:val="single" w:color="auto" w:sz="4" w:space="0"/>
            </w:tcBorders>
            <w:vAlign w:val="center"/>
          </w:tcPr>
          <w:p w14:paraId="3F555CC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946" w:type="dxa"/>
            <w:tcBorders>
              <w:top w:val="single" w:color="auto" w:sz="4" w:space="0"/>
              <w:left w:val="single" w:color="auto" w:sz="4" w:space="0"/>
              <w:bottom w:val="single" w:color="auto" w:sz="4" w:space="0"/>
              <w:right w:val="single" w:color="auto" w:sz="4" w:space="0"/>
            </w:tcBorders>
            <w:vAlign w:val="center"/>
          </w:tcPr>
          <w:p w14:paraId="0B45B1E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单价</w:t>
            </w:r>
          </w:p>
        </w:tc>
        <w:tc>
          <w:tcPr>
            <w:tcW w:w="948" w:type="dxa"/>
            <w:tcBorders>
              <w:top w:val="single" w:color="auto" w:sz="4" w:space="0"/>
              <w:left w:val="single" w:color="auto" w:sz="4" w:space="0"/>
              <w:bottom w:val="single" w:color="auto" w:sz="4" w:space="0"/>
              <w:right w:val="single" w:color="auto" w:sz="4" w:space="0"/>
            </w:tcBorders>
            <w:vAlign w:val="center"/>
          </w:tcPr>
          <w:p w14:paraId="3FC251E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828" w:type="dxa"/>
            <w:tcBorders>
              <w:top w:val="single" w:color="auto" w:sz="4" w:space="0"/>
              <w:left w:val="single" w:color="auto" w:sz="4" w:space="0"/>
              <w:bottom w:val="single" w:color="auto" w:sz="4" w:space="0"/>
              <w:right w:val="single" w:color="auto" w:sz="4" w:space="0"/>
            </w:tcBorders>
            <w:vAlign w:val="center"/>
          </w:tcPr>
          <w:p w14:paraId="759586C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备注</w:t>
            </w:r>
          </w:p>
        </w:tc>
      </w:tr>
      <w:tr w14:paraId="6C0D6030">
        <w:tblPrEx>
          <w:tblCellMar>
            <w:top w:w="0" w:type="dxa"/>
            <w:left w:w="57" w:type="dxa"/>
            <w:bottom w:w="0" w:type="dxa"/>
            <w:right w:w="57" w:type="dxa"/>
          </w:tblCellMar>
        </w:tblPrEx>
        <w:trPr>
          <w:cantSplit/>
          <w:trHeight w:val="2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3D54C9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877" w:type="dxa"/>
            <w:tcBorders>
              <w:top w:val="single" w:color="auto" w:sz="4" w:space="0"/>
              <w:left w:val="single" w:color="auto" w:sz="4" w:space="0"/>
              <w:bottom w:val="single" w:color="auto" w:sz="4" w:space="0"/>
              <w:right w:val="single" w:color="auto" w:sz="4" w:space="0"/>
            </w:tcBorders>
            <w:vAlign w:val="center"/>
          </w:tcPr>
          <w:p w14:paraId="559EAC8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527" w:type="dxa"/>
            <w:tcBorders>
              <w:top w:val="single" w:color="auto" w:sz="4" w:space="0"/>
              <w:left w:val="single" w:color="auto" w:sz="4" w:space="0"/>
              <w:bottom w:val="single" w:color="auto" w:sz="4" w:space="0"/>
              <w:right w:val="single" w:color="auto" w:sz="4" w:space="0"/>
            </w:tcBorders>
            <w:vAlign w:val="center"/>
          </w:tcPr>
          <w:p w14:paraId="7EFA00C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19" w:type="dxa"/>
            <w:tcBorders>
              <w:top w:val="single" w:color="auto" w:sz="4" w:space="0"/>
              <w:left w:val="single" w:color="auto" w:sz="4" w:space="0"/>
              <w:bottom w:val="single" w:color="auto" w:sz="4" w:space="0"/>
              <w:right w:val="single" w:color="auto" w:sz="4" w:space="0"/>
            </w:tcBorders>
            <w:vAlign w:val="center"/>
          </w:tcPr>
          <w:p w14:paraId="293F171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08" w:type="dxa"/>
            <w:tcBorders>
              <w:top w:val="single" w:color="auto" w:sz="4" w:space="0"/>
              <w:left w:val="single" w:color="auto" w:sz="4" w:space="0"/>
              <w:bottom w:val="single" w:color="auto" w:sz="4" w:space="0"/>
              <w:right w:val="single" w:color="auto" w:sz="4" w:space="0"/>
            </w:tcBorders>
            <w:vAlign w:val="center"/>
          </w:tcPr>
          <w:p w14:paraId="11B333F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15E0027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3F21BB7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28" w:type="dxa"/>
            <w:tcBorders>
              <w:top w:val="single" w:color="auto" w:sz="4" w:space="0"/>
              <w:left w:val="single" w:color="auto" w:sz="4" w:space="0"/>
              <w:bottom w:val="single" w:color="auto" w:sz="4" w:space="0"/>
              <w:right w:val="single" w:color="auto" w:sz="4" w:space="0"/>
            </w:tcBorders>
            <w:vAlign w:val="center"/>
          </w:tcPr>
          <w:p w14:paraId="2369770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38DED669">
        <w:tblPrEx>
          <w:tblCellMar>
            <w:top w:w="0" w:type="dxa"/>
            <w:left w:w="57" w:type="dxa"/>
            <w:bottom w:w="0" w:type="dxa"/>
            <w:right w:w="57" w:type="dxa"/>
          </w:tblCellMar>
        </w:tblPrEx>
        <w:trPr>
          <w:cantSplit/>
          <w:trHeight w:val="2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309E7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877" w:type="dxa"/>
            <w:tcBorders>
              <w:top w:val="single" w:color="auto" w:sz="4" w:space="0"/>
              <w:left w:val="single" w:color="auto" w:sz="4" w:space="0"/>
              <w:bottom w:val="single" w:color="auto" w:sz="4" w:space="0"/>
              <w:right w:val="single" w:color="auto" w:sz="4" w:space="0"/>
            </w:tcBorders>
            <w:vAlign w:val="center"/>
          </w:tcPr>
          <w:p w14:paraId="54E901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527" w:type="dxa"/>
            <w:tcBorders>
              <w:top w:val="single" w:color="auto" w:sz="4" w:space="0"/>
              <w:left w:val="single" w:color="auto" w:sz="4" w:space="0"/>
              <w:bottom w:val="single" w:color="auto" w:sz="4" w:space="0"/>
              <w:right w:val="single" w:color="auto" w:sz="4" w:space="0"/>
            </w:tcBorders>
            <w:vAlign w:val="center"/>
          </w:tcPr>
          <w:p w14:paraId="2D1C1CF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19" w:type="dxa"/>
            <w:tcBorders>
              <w:top w:val="single" w:color="auto" w:sz="4" w:space="0"/>
              <w:left w:val="single" w:color="auto" w:sz="4" w:space="0"/>
              <w:bottom w:val="single" w:color="auto" w:sz="4" w:space="0"/>
              <w:right w:val="single" w:color="auto" w:sz="4" w:space="0"/>
            </w:tcBorders>
            <w:vAlign w:val="center"/>
          </w:tcPr>
          <w:p w14:paraId="7906E59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08" w:type="dxa"/>
            <w:tcBorders>
              <w:top w:val="single" w:color="auto" w:sz="4" w:space="0"/>
              <w:left w:val="single" w:color="auto" w:sz="4" w:space="0"/>
              <w:bottom w:val="single" w:color="auto" w:sz="4" w:space="0"/>
              <w:right w:val="single" w:color="auto" w:sz="4" w:space="0"/>
            </w:tcBorders>
            <w:vAlign w:val="center"/>
          </w:tcPr>
          <w:p w14:paraId="104769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5A89D7A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048A22D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28" w:type="dxa"/>
            <w:tcBorders>
              <w:top w:val="single" w:color="auto" w:sz="4" w:space="0"/>
              <w:left w:val="single" w:color="auto" w:sz="4" w:space="0"/>
              <w:bottom w:val="single" w:color="auto" w:sz="4" w:space="0"/>
              <w:right w:val="single" w:color="auto" w:sz="4" w:space="0"/>
            </w:tcBorders>
            <w:vAlign w:val="center"/>
          </w:tcPr>
          <w:p w14:paraId="67A3638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r w14:paraId="05AC0E1F">
        <w:tblPrEx>
          <w:tblCellMar>
            <w:top w:w="0" w:type="dxa"/>
            <w:left w:w="57" w:type="dxa"/>
            <w:bottom w:w="0" w:type="dxa"/>
            <w:right w:w="57" w:type="dxa"/>
          </w:tblCellMar>
        </w:tblPrEx>
        <w:trPr>
          <w:cantSplit/>
          <w:trHeight w:val="2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DFC4E5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877" w:type="dxa"/>
            <w:tcBorders>
              <w:top w:val="single" w:color="auto" w:sz="4" w:space="0"/>
              <w:left w:val="single" w:color="auto" w:sz="4" w:space="0"/>
              <w:bottom w:val="single" w:color="auto" w:sz="4" w:space="0"/>
              <w:right w:val="single" w:color="auto" w:sz="4" w:space="0"/>
            </w:tcBorders>
            <w:vAlign w:val="center"/>
          </w:tcPr>
          <w:p w14:paraId="202953D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2527" w:type="dxa"/>
            <w:tcBorders>
              <w:top w:val="single" w:color="auto" w:sz="4" w:space="0"/>
              <w:left w:val="single" w:color="auto" w:sz="4" w:space="0"/>
              <w:bottom w:val="single" w:color="auto" w:sz="4" w:space="0"/>
              <w:right w:val="single" w:color="auto" w:sz="4" w:space="0"/>
            </w:tcBorders>
            <w:vAlign w:val="center"/>
          </w:tcPr>
          <w:p w14:paraId="7239B4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19" w:type="dxa"/>
            <w:tcBorders>
              <w:top w:val="single" w:color="auto" w:sz="4" w:space="0"/>
              <w:left w:val="single" w:color="auto" w:sz="4" w:space="0"/>
              <w:bottom w:val="single" w:color="auto" w:sz="4" w:space="0"/>
              <w:right w:val="single" w:color="auto" w:sz="4" w:space="0"/>
            </w:tcBorders>
            <w:vAlign w:val="center"/>
          </w:tcPr>
          <w:p w14:paraId="054F667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08" w:type="dxa"/>
            <w:tcBorders>
              <w:top w:val="single" w:color="auto" w:sz="4" w:space="0"/>
              <w:left w:val="single" w:color="auto" w:sz="4" w:space="0"/>
              <w:bottom w:val="single" w:color="auto" w:sz="4" w:space="0"/>
              <w:right w:val="single" w:color="auto" w:sz="4" w:space="0"/>
            </w:tcBorders>
            <w:vAlign w:val="center"/>
          </w:tcPr>
          <w:p w14:paraId="08901AD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6" w:type="dxa"/>
            <w:tcBorders>
              <w:top w:val="single" w:color="auto" w:sz="4" w:space="0"/>
              <w:left w:val="single" w:color="auto" w:sz="4" w:space="0"/>
              <w:bottom w:val="single" w:color="auto" w:sz="4" w:space="0"/>
              <w:right w:val="single" w:color="auto" w:sz="4" w:space="0"/>
            </w:tcBorders>
            <w:vAlign w:val="center"/>
          </w:tcPr>
          <w:p w14:paraId="4A1A1C4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948" w:type="dxa"/>
            <w:tcBorders>
              <w:top w:val="single" w:color="auto" w:sz="4" w:space="0"/>
              <w:left w:val="single" w:color="auto" w:sz="4" w:space="0"/>
              <w:bottom w:val="single" w:color="auto" w:sz="4" w:space="0"/>
              <w:right w:val="single" w:color="auto" w:sz="4" w:space="0"/>
            </w:tcBorders>
            <w:vAlign w:val="center"/>
          </w:tcPr>
          <w:p w14:paraId="35996BD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c>
          <w:tcPr>
            <w:tcW w:w="828" w:type="dxa"/>
            <w:tcBorders>
              <w:top w:val="single" w:color="auto" w:sz="4" w:space="0"/>
              <w:left w:val="single" w:color="auto" w:sz="4" w:space="0"/>
              <w:bottom w:val="single" w:color="auto" w:sz="4" w:space="0"/>
              <w:right w:val="single" w:color="auto" w:sz="4" w:space="0"/>
            </w:tcBorders>
            <w:vAlign w:val="center"/>
          </w:tcPr>
          <w:p w14:paraId="0A0180B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color w:val="auto"/>
                <w:sz w:val="24"/>
                <w:szCs w:val="24"/>
                <w:lang w:val="zh-CN"/>
              </w:rPr>
            </w:pPr>
          </w:p>
        </w:tc>
      </w:tr>
    </w:tbl>
    <w:p w14:paraId="57F4C3C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300207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本合同以人民币进行结算，合同总价包括：</w:t>
      </w:r>
      <w:r>
        <w:rPr>
          <w:rFonts w:hint="eastAsia" w:ascii="宋体" w:hAnsi="宋体" w:eastAsia="宋体" w:cs="宋体"/>
          <w:color w:val="auto"/>
          <w:sz w:val="24"/>
          <w:szCs w:val="24"/>
          <w:lang w:val="zh-CN"/>
        </w:rPr>
        <w:t>产品费、维保费、人员工资、验收费、手续费、安装调试费、培训费、售前、售中、售后服务费、招标代理服务费、税金及不可预见费等全部费用。</w:t>
      </w:r>
    </w:p>
    <w:p w14:paraId="25F872C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服务</w:t>
      </w:r>
      <w:r>
        <w:rPr>
          <w:rFonts w:hint="eastAsia" w:ascii="宋体" w:hAnsi="宋体" w:eastAsia="宋体" w:cs="宋体"/>
          <w:b/>
          <w:bCs/>
          <w:color w:val="auto"/>
          <w:sz w:val="24"/>
          <w:szCs w:val="24"/>
          <w:lang w:val="zh-CN"/>
        </w:rPr>
        <w:t>期限、地点和要求</w:t>
      </w:r>
    </w:p>
    <w:p w14:paraId="1AB4975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期限</w:t>
      </w:r>
      <w:r>
        <w:rPr>
          <w:rFonts w:hint="eastAsia" w:ascii="宋体" w:hAnsi="宋体" w:eastAsia="宋体" w:cs="宋体"/>
          <w:color w:val="auto"/>
          <w:sz w:val="24"/>
          <w:szCs w:val="24"/>
          <w:lang w:val="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；服务地点：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w:t>
      </w:r>
    </w:p>
    <w:p w14:paraId="7BD2602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乙方提供不符合磋商、响应文件和本合同规定的产品（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），甲方有权拒绝接受。</w:t>
      </w:r>
    </w:p>
    <w:p w14:paraId="4DDC4D3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乙方应将提供产品（</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w:t>
      </w:r>
      <w:r>
        <w:rPr>
          <w:rFonts w:hint="eastAsia" w:ascii="宋体" w:hAnsi="宋体" w:eastAsia="宋体" w:cs="宋体"/>
          <w:color w:val="auto"/>
          <w:sz w:val="24"/>
          <w:szCs w:val="24"/>
          <w:lang w:val="en-US" w:eastAsia="zh-CN"/>
        </w:rPr>
        <w:t>所有材料</w:t>
      </w:r>
      <w:r>
        <w:rPr>
          <w:rFonts w:hint="eastAsia" w:ascii="宋体" w:hAnsi="宋体" w:eastAsia="宋体" w:cs="宋体"/>
          <w:color w:val="auto"/>
          <w:sz w:val="24"/>
          <w:szCs w:val="24"/>
          <w:lang w:val="zh-CN"/>
        </w:rPr>
        <w:t>交付给甲方，如有缺失应及时补齐，否则视为逾期交货。</w:t>
      </w:r>
    </w:p>
    <w:p w14:paraId="16D053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甲方应当在</w:t>
      </w:r>
      <w:r>
        <w:rPr>
          <w:rFonts w:hint="eastAsia" w:ascii="宋体" w:hAnsi="宋体" w:eastAsia="宋体" w:cs="宋体"/>
          <w:color w:val="auto"/>
          <w:sz w:val="24"/>
          <w:szCs w:val="24"/>
          <w:lang w:val="en-US" w:eastAsia="zh-CN"/>
        </w:rPr>
        <w:t>项目完成后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个工作日内进行验收，逾期不验收的，乙方可视为验收合格。验收合格后，由甲乙双方签署验收单并加盖采购人公章，甲乙双方各执一份。</w:t>
      </w:r>
    </w:p>
    <w:p w14:paraId="3650E06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甲方应提供该项目验收报告交同级财政监管部门，由财政部门按规定程序抽验后办理资金拨付。</w:t>
      </w:r>
    </w:p>
    <w:p w14:paraId="4DB1682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甲方在验收过程中发现乙方有违约问题，可按磋商、响应文件的规定要求乙方及时予以解决。</w:t>
      </w:r>
    </w:p>
    <w:p w14:paraId="5252BA1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乙方向甲方提供产品相关完税销售发票。</w:t>
      </w:r>
    </w:p>
    <w:p w14:paraId="60E3E69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lang w:val="zh-CN"/>
        </w:rPr>
        <w:t>、付款方式</w:t>
      </w:r>
    </w:p>
    <w:p w14:paraId="27A3655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b/>
          <w:bCs/>
          <w:color w:val="auto"/>
          <w:sz w:val="24"/>
          <w:szCs w:val="24"/>
          <w:lang w:val="en-US" w:eastAsia="zh-CN"/>
        </w:rPr>
        <w:t>签订合同前，</w:t>
      </w:r>
      <w:r>
        <w:rPr>
          <w:rFonts w:hint="eastAsia" w:ascii="宋体" w:hAnsi="宋体" w:eastAsia="宋体" w:cs="宋体"/>
          <w:b/>
          <w:bCs/>
          <w:color w:val="auto"/>
          <w:sz w:val="24"/>
          <w:szCs w:val="24"/>
          <w:lang w:val="zh-CN"/>
        </w:rPr>
        <w:t>乙方向甲方</w:t>
      </w:r>
      <w:r>
        <w:rPr>
          <w:rFonts w:hint="eastAsia" w:ascii="宋体" w:hAnsi="宋体" w:eastAsia="宋体" w:cs="宋体"/>
          <w:b/>
          <w:bCs/>
          <w:color w:val="auto"/>
          <w:sz w:val="24"/>
          <w:szCs w:val="24"/>
          <w:lang w:val="en-US" w:eastAsia="zh-CN"/>
        </w:rPr>
        <w:t>交纳合同金额的10%作为</w:t>
      </w:r>
      <w:r>
        <w:rPr>
          <w:rFonts w:hint="eastAsia" w:ascii="宋体" w:hAnsi="宋体" w:eastAsia="宋体" w:cs="宋体"/>
          <w:b/>
          <w:bCs/>
          <w:color w:val="auto"/>
          <w:sz w:val="24"/>
          <w:szCs w:val="24"/>
          <w:lang w:val="zh-CN"/>
        </w:rPr>
        <w:t>履约保证金，</w:t>
      </w:r>
      <w:r>
        <w:rPr>
          <w:rFonts w:hint="eastAsia" w:ascii="宋体" w:hAnsi="宋体" w:eastAsia="宋体" w:cs="宋体"/>
          <w:b/>
          <w:bCs/>
          <w:color w:val="auto"/>
          <w:sz w:val="24"/>
          <w:szCs w:val="24"/>
          <w:lang w:val="en-US" w:eastAsia="zh-CN"/>
        </w:rPr>
        <w:t>即</w:t>
      </w:r>
      <w:r>
        <w:rPr>
          <w:rFonts w:hint="eastAsia" w:ascii="宋体" w:hAnsi="宋体" w:eastAsia="宋体" w:cs="宋体"/>
          <w:b/>
          <w:bCs/>
          <w:color w:val="auto"/>
          <w:sz w:val="24"/>
          <w:lang w:val="en-US" w:eastAsia="zh-CN"/>
        </w:rPr>
        <w:t>人民币</w:t>
      </w:r>
      <w:r>
        <w:rPr>
          <w:rFonts w:hint="eastAsia" w:ascii="宋体" w:hAnsi="宋体" w:eastAsia="宋体" w:cs="宋体"/>
          <w:b/>
          <w:bCs/>
          <w:color w:val="auto"/>
          <w:sz w:val="24"/>
          <w:szCs w:val="24"/>
          <w:lang w:val="zh-CN"/>
        </w:rPr>
        <w:t>（大写）</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待服务期限</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（年）满且产品无质量问题和系统正常运行，</w:t>
      </w:r>
      <w:r>
        <w:rPr>
          <w:rFonts w:hint="eastAsia" w:ascii="宋体" w:hAnsi="宋体" w:eastAsia="宋体" w:cs="宋体"/>
          <w:b/>
          <w:bCs/>
          <w:color w:val="auto"/>
          <w:sz w:val="24"/>
          <w:szCs w:val="24"/>
          <w:lang w:val="zh-CN"/>
        </w:rPr>
        <w:t>由乙方提出书面申请，甲方以转账方式予以</w:t>
      </w:r>
      <w:r>
        <w:rPr>
          <w:rFonts w:hint="eastAsia" w:ascii="宋体" w:hAnsi="宋体" w:eastAsia="宋体" w:cs="宋体"/>
          <w:b/>
          <w:bCs/>
          <w:color w:val="auto"/>
          <w:sz w:val="24"/>
          <w:szCs w:val="24"/>
          <w:lang w:val="en-US" w:eastAsia="zh-CN"/>
        </w:rPr>
        <w:t>无息</w:t>
      </w:r>
      <w:r>
        <w:rPr>
          <w:rFonts w:hint="eastAsia" w:ascii="宋体" w:hAnsi="宋体" w:eastAsia="宋体" w:cs="宋体"/>
          <w:b/>
          <w:bCs/>
          <w:color w:val="auto"/>
          <w:sz w:val="24"/>
          <w:szCs w:val="24"/>
          <w:lang w:val="zh-CN"/>
        </w:rPr>
        <w:t>退还。</w:t>
      </w:r>
    </w:p>
    <w:p w14:paraId="4B5DCE6A">
      <w:pPr>
        <w:keepNext w:val="0"/>
        <w:keepLines w:val="0"/>
        <w:pageBreakBefore w:val="0"/>
        <w:widowControl w:val="0"/>
        <w:kinsoku/>
        <w:wordWrap/>
        <w:overflowPunct/>
        <w:topLinePunct w:val="0"/>
        <w:autoSpaceDE w:val="0"/>
        <w:autoSpaceDN w:val="0"/>
        <w:bidi w:val="0"/>
        <w:adjustRightInd/>
        <w:snapToGrid/>
        <w:spacing w:line="360" w:lineRule="auto"/>
        <w:ind w:left="479" w:leftChars="228" w:right="0" w:rightChars="0" w:firstLine="0" w:firstLineChars="0"/>
        <w:jc w:val="left"/>
        <w:textAlignment w:val="auto"/>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签订合同后，甲方按季度向乙方支付当年合同金额的25%，即人民币（大写）：</w:t>
      </w:r>
    </w:p>
    <w:p w14:paraId="20D7A5B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元，每季度服务结束后乙方提供服务报告，甲方对服务进行考核，合格后按财务要求支付上季度服务款。</w:t>
      </w:r>
    </w:p>
    <w:p w14:paraId="38DC555D">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五、</w:t>
      </w:r>
      <w:r>
        <w:rPr>
          <w:rFonts w:hint="eastAsia" w:ascii="宋体" w:hAnsi="宋体" w:eastAsia="宋体" w:cs="宋体"/>
          <w:b/>
          <w:bCs/>
          <w:color w:val="auto"/>
          <w:sz w:val="24"/>
          <w:szCs w:val="24"/>
          <w:lang w:val="zh-CN"/>
        </w:rPr>
        <w:t>甲方的权利和义务</w:t>
      </w:r>
    </w:p>
    <w:p w14:paraId="7C59575C">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1.签署合同后，甲方应确定项目负责人（或项目联系人），负责与本合同有关的事务。甲方有权对乙方的履约行为进行检查，并及时确认乙方提交的事项。甲方应当配合乙方完成相关项目实施工作。</w:t>
      </w:r>
    </w:p>
    <w:p w14:paraId="3C0686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2.甲方有权要求乙方按时提交各阶段有关安排计划，并有权定期核对乙方提供货物数量、规格、质量等内容。甲方有权督促乙方工作并要求乙方更换不符合要求的货物。</w:t>
      </w:r>
    </w:p>
    <w:p w14:paraId="6DE7B9AB">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3.甲方有权要求乙方对缺陷部分予以修复，并按合同约定享有货物保修及其他合同约定的权利。</w:t>
      </w:r>
    </w:p>
    <w:p w14:paraId="5C29D7D5">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4.甲方应当按照合同约定及时对交付的货物进行验收，未在约定的期限内对乙方履约提出任何异议或者向乙方作出任何说明的，视为验收通过。</w:t>
      </w:r>
    </w:p>
    <w:p w14:paraId="6CD7E059">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5.甲方应当根据合同约定及时向乙方支付合同价款，不得以内部人员变更、履行内部付款流程等为由，拒绝或迟延支付。</w:t>
      </w:r>
    </w:p>
    <w:p w14:paraId="2899C46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6.国家法律法规规定及合同约定应由甲方承担的其他义务和责任。</w:t>
      </w:r>
    </w:p>
    <w:p w14:paraId="50AD91A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六、</w:t>
      </w:r>
      <w:r>
        <w:rPr>
          <w:rFonts w:hint="eastAsia" w:ascii="宋体" w:hAnsi="宋体" w:eastAsia="宋体" w:cs="宋体"/>
          <w:b/>
          <w:bCs/>
          <w:color w:val="auto"/>
          <w:sz w:val="24"/>
          <w:szCs w:val="24"/>
          <w:lang w:val="zh-CN"/>
        </w:rPr>
        <w:t>乙方的权利和义务</w:t>
      </w:r>
    </w:p>
    <w:p w14:paraId="6430382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zh-CN"/>
        </w:rPr>
        <w:t>签署合同后，乙方</w:t>
      </w:r>
      <w:r>
        <w:rPr>
          <w:rFonts w:hint="eastAsia" w:ascii="宋体" w:hAnsi="宋体" w:eastAsia="宋体" w:cs="宋体"/>
          <w:color w:val="auto"/>
          <w:sz w:val="24"/>
          <w:szCs w:val="24"/>
          <w:lang w:val="zh-CN" w:eastAsia="zh-CN"/>
        </w:rPr>
        <w:t>应</w:t>
      </w:r>
      <w:r>
        <w:rPr>
          <w:rFonts w:hint="eastAsia" w:ascii="宋体" w:hAnsi="宋体" w:eastAsia="宋体" w:cs="宋体"/>
          <w:color w:val="auto"/>
          <w:sz w:val="24"/>
          <w:szCs w:val="24"/>
          <w:lang w:val="zh-CN"/>
        </w:rPr>
        <w:t>确定</w:t>
      </w:r>
      <w:r>
        <w:rPr>
          <w:rFonts w:hint="eastAsia" w:ascii="宋体" w:hAnsi="宋体" w:eastAsia="宋体" w:cs="宋体"/>
          <w:color w:val="auto"/>
          <w:sz w:val="24"/>
          <w:szCs w:val="24"/>
          <w:lang w:val="zh-CN" w:eastAsia="zh-CN"/>
        </w:rPr>
        <w:t>项目负责人（或项目联系人）</w:t>
      </w:r>
      <w:r>
        <w:rPr>
          <w:rFonts w:hint="eastAsia" w:ascii="宋体" w:hAnsi="宋体" w:eastAsia="宋体" w:cs="宋体"/>
          <w:color w:val="auto"/>
          <w:sz w:val="24"/>
          <w:szCs w:val="24"/>
          <w:lang w:val="zh-CN"/>
        </w:rPr>
        <w:t>，负责与本合同有关的事务。</w:t>
      </w:r>
    </w:p>
    <w:p w14:paraId="06BE90D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zh-CN"/>
        </w:rPr>
        <w:t>乙方应按照合同要求履约，充分合理安排，确保提供的货物</w:t>
      </w:r>
      <w:r>
        <w:rPr>
          <w:rFonts w:hint="eastAsia" w:ascii="宋体" w:hAnsi="宋体" w:eastAsia="宋体" w:cs="宋体"/>
          <w:color w:val="auto"/>
          <w:sz w:val="24"/>
          <w:szCs w:val="24"/>
          <w:lang w:val="zh-CN" w:eastAsia="zh-CN"/>
        </w:rPr>
        <w:t>及相关</w:t>
      </w:r>
      <w:r>
        <w:rPr>
          <w:rFonts w:hint="eastAsia" w:ascii="宋体" w:hAnsi="宋体" w:eastAsia="宋体" w:cs="宋体"/>
          <w:color w:val="auto"/>
          <w:sz w:val="24"/>
          <w:szCs w:val="24"/>
          <w:lang w:val="zh-CN"/>
        </w:rPr>
        <w:t>服务符合合同</w:t>
      </w:r>
      <w:r>
        <w:rPr>
          <w:rFonts w:hint="eastAsia" w:ascii="宋体" w:hAnsi="宋体" w:eastAsia="宋体" w:cs="宋体"/>
          <w:color w:val="auto"/>
          <w:sz w:val="24"/>
          <w:szCs w:val="24"/>
          <w:lang w:val="zh-CN" w:eastAsia="zh-CN"/>
        </w:rPr>
        <w:t>有关</w:t>
      </w:r>
      <w:r>
        <w:rPr>
          <w:rFonts w:hint="eastAsia" w:ascii="宋体" w:hAnsi="宋体" w:eastAsia="宋体" w:cs="宋体"/>
          <w:color w:val="auto"/>
          <w:sz w:val="24"/>
          <w:szCs w:val="24"/>
          <w:lang w:val="zh-CN"/>
        </w:rPr>
        <w:t>要求。接受项目行业管理部门及政府有关部门的指导，配合甲方的履约检查</w:t>
      </w:r>
      <w:r>
        <w:rPr>
          <w:rFonts w:hint="eastAsia" w:ascii="宋体" w:hAnsi="宋体" w:eastAsia="宋体" w:cs="宋体"/>
          <w:color w:val="auto"/>
          <w:sz w:val="24"/>
          <w:szCs w:val="24"/>
          <w:lang w:val="zh-CN" w:eastAsia="zh-CN"/>
        </w:rPr>
        <w:t>及验收</w:t>
      </w:r>
      <w:r>
        <w:rPr>
          <w:rFonts w:hint="eastAsia" w:ascii="宋体" w:hAnsi="宋体" w:eastAsia="宋体" w:cs="宋体"/>
          <w:color w:val="auto"/>
          <w:sz w:val="24"/>
          <w:szCs w:val="24"/>
          <w:lang w:val="zh-CN"/>
        </w:rPr>
        <w:t>，并负责项目实施过程中的所有协调工作。</w:t>
      </w:r>
    </w:p>
    <w:p w14:paraId="43782F4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乙方有权根据合同约定向甲方收取</w:t>
      </w:r>
      <w:r>
        <w:rPr>
          <w:rFonts w:hint="eastAsia" w:ascii="宋体" w:hAnsi="宋体" w:eastAsia="宋体" w:cs="宋体"/>
          <w:color w:val="auto"/>
          <w:sz w:val="24"/>
          <w:szCs w:val="24"/>
          <w:lang w:val="zh-CN" w:eastAsia="zh-CN"/>
        </w:rPr>
        <w:t>合同价款</w:t>
      </w:r>
      <w:r>
        <w:rPr>
          <w:rFonts w:hint="eastAsia" w:ascii="宋体" w:hAnsi="宋体" w:eastAsia="宋体" w:cs="宋体"/>
          <w:color w:val="auto"/>
          <w:sz w:val="24"/>
          <w:szCs w:val="24"/>
          <w:lang w:val="zh-CN"/>
        </w:rPr>
        <w:t>。</w:t>
      </w:r>
    </w:p>
    <w:p w14:paraId="1081EDDF">
      <w:pPr>
        <w:autoSpaceDE w:val="0"/>
        <w:autoSpaceDN w:val="0"/>
        <w:spacing w:line="360" w:lineRule="auto"/>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w:t>
      </w:r>
      <w:r>
        <w:rPr>
          <w:rFonts w:hint="eastAsia" w:ascii="宋体" w:hAnsi="宋体" w:eastAsia="宋体" w:cs="宋体"/>
          <w:color w:val="auto"/>
          <w:sz w:val="24"/>
          <w:szCs w:val="24"/>
          <w:lang w:val="zh-CN"/>
        </w:rPr>
        <w:t>国家法律法规规定</w:t>
      </w:r>
      <w:r>
        <w:rPr>
          <w:rFonts w:hint="eastAsia" w:ascii="宋体" w:hAnsi="宋体" w:eastAsia="宋体" w:cs="宋体"/>
          <w:color w:val="auto"/>
          <w:sz w:val="24"/>
          <w:szCs w:val="24"/>
          <w:lang w:val="zh-CN" w:eastAsia="zh-CN"/>
        </w:rPr>
        <w:t>及合同约定应</w:t>
      </w:r>
      <w:r>
        <w:rPr>
          <w:rFonts w:hint="eastAsia" w:ascii="宋体" w:hAnsi="宋体" w:eastAsia="宋体" w:cs="宋体"/>
          <w:color w:val="auto"/>
          <w:sz w:val="24"/>
          <w:szCs w:val="24"/>
          <w:lang w:val="zh-CN"/>
        </w:rPr>
        <w:t>由乙方承担的其他义务和责任。</w:t>
      </w:r>
    </w:p>
    <w:p w14:paraId="4FADB71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七</w:t>
      </w:r>
      <w:r>
        <w:rPr>
          <w:rFonts w:hint="eastAsia" w:ascii="宋体" w:hAnsi="宋体" w:eastAsia="宋体" w:cs="宋体"/>
          <w:b/>
          <w:bCs/>
          <w:color w:val="auto"/>
          <w:sz w:val="24"/>
          <w:szCs w:val="24"/>
          <w:lang w:val="zh-CN"/>
        </w:rPr>
        <w:t>、合同的变更、终止与转让</w:t>
      </w:r>
    </w:p>
    <w:p w14:paraId="000FD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1.除《中华人民共和国政府采购法》第50条规定的情形外，本合同一经签订，甲乙双方不得擅自变更、中止或终止。</w:t>
      </w:r>
    </w:p>
    <w:p w14:paraId="59FA29ED">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2.乙方不得擅自转让其应履行的合同义务。</w:t>
      </w:r>
    </w:p>
    <w:p w14:paraId="61682D3E">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八</w:t>
      </w:r>
      <w:r>
        <w:rPr>
          <w:rFonts w:hint="eastAsia" w:ascii="宋体" w:hAnsi="宋体" w:eastAsia="宋体" w:cs="宋体"/>
          <w:b/>
          <w:bCs/>
          <w:color w:val="auto"/>
          <w:sz w:val="24"/>
          <w:szCs w:val="24"/>
          <w:lang w:val="zh-CN"/>
        </w:rPr>
        <w:t>、违约责任</w:t>
      </w:r>
    </w:p>
    <w:p w14:paraId="084BB11A">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5EA9939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2.乙方提供的货物如侵犯了第三方权益而引发纠纷或诉讼的，均由乙方负责交涉并承担全部责任。</w:t>
      </w:r>
    </w:p>
    <w:p w14:paraId="1F8CC65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3.因包装、运输引起的货物损坏，按质量不合格处罚。</w:t>
      </w:r>
    </w:p>
    <w:p w14:paraId="7295DAE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4.甲方无故延期接受货物和乙方逾期交货的，每天应向对方偿付未交货物的货款3‰的违约金，但违约金累计不得超过违约货款的5%，超过</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天对方有权解除合同，违约方承担因此给对方造成的经济损失。</w:t>
      </w:r>
    </w:p>
    <w:p w14:paraId="4D230F8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5.乙方未按本合同和投标文件中规定的服务承诺提供售后服务的，乙方应按本合同合计金额的5%向甲方支付违约金。</w:t>
      </w:r>
    </w:p>
    <w:p w14:paraId="05D07F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6.乙方提供的货物在质量保证期内，因设计、工艺或材料的缺陷和其它质量原因造成的问题，由乙方负责，费用从履约保证金中扣除，不足另补。</w:t>
      </w:r>
    </w:p>
    <w:p w14:paraId="1A0C1AE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7.其它违约行为按违约货款额5%收取违约金并赔偿经济损失。</w:t>
      </w:r>
    </w:p>
    <w:p w14:paraId="00818BE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eastAsia="zh-CN"/>
        </w:rPr>
        <w:t>九</w:t>
      </w:r>
      <w:r>
        <w:rPr>
          <w:rFonts w:hint="eastAsia" w:ascii="宋体" w:hAnsi="宋体" w:eastAsia="宋体" w:cs="宋体"/>
          <w:b/>
          <w:bCs/>
          <w:color w:val="auto"/>
          <w:sz w:val="24"/>
          <w:szCs w:val="24"/>
          <w:lang w:val="zh-CN"/>
        </w:rPr>
        <w:t>、不可抗力</w:t>
      </w:r>
    </w:p>
    <w:p w14:paraId="0CF8E21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不可抗力使合同的某些内容有变更必要的，双方应通过协商在</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天内达成进一步履行合同的协议，因不可抗力致使合同不能履行的，合同终止。</w:t>
      </w:r>
    </w:p>
    <w:p w14:paraId="498F3944">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w:t>
      </w:r>
      <w:r>
        <w:rPr>
          <w:rFonts w:hint="eastAsia" w:ascii="宋体" w:hAnsi="宋体" w:eastAsia="宋体" w:cs="宋体"/>
          <w:b/>
          <w:bCs/>
          <w:color w:val="auto"/>
          <w:sz w:val="24"/>
          <w:szCs w:val="24"/>
          <w:lang w:val="zh-CN"/>
        </w:rPr>
        <w:t>、知识产权：</w:t>
      </w:r>
      <w:r>
        <w:rPr>
          <w:rFonts w:hint="eastAsia" w:ascii="宋体" w:hAnsi="宋体" w:eastAsia="宋体" w:cs="宋体"/>
          <w:b w:val="0"/>
          <w:bCs w:val="0"/>
          <w:color w:val="auto"/>
          <w:sz w:val="24"/>
          <w:szCs w:val="24"/>
          <w:lang w:val="zh-CN"/>
        </w:rPr>
        <w:t>详见合同通用条款</w:t>
      </w:r>
    </w:p>
    <w:p w14:paraId="327D9D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eastAsia="zh-CN"/>
        </w:rPr>
        <w:t>十一</w:t>
      </w:r>
      <w:r>
        <w:rPr>
          <w:rFonts w:hint="eastAsia" w:ascii="宋体" w:hAnsi="宋体" w:eastAsia="宋体" w:cs="宋体"/>
          <w:b/>
          <w:bCs/>
          <w:color w:val="auto"/>
          <w:sz w:val="24"/>
          <w:szCs w:val="24"/>
          <w:lang w:val="zh-CN"/>
        </w:rPr>
        <w:t>、其他约定：</w:t>
      </w:r>
    </w:p>
    <w:p w14:paraId="6F0ED5F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zh-CN"/>
        </w:rPr>
        <w:t>、合同争议解决</w:t>
      </w:r>
    </w:p>
    <w:p w14:paraId="5EC96E5F">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1.因产品质量问题发生争议的，应邀请国家认可的质量检测机构进行鉴定。产品符合标准的，鉴定费由甲方承担；产品不符合标准的，鉴定费由乙方承担。</w:t>
      </w:r>
    </w:p>
    <w:p w14:paraId="4779CE2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304E9DD4">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3.诉讼期间，本合同继续履行。</w:t>
      </w:r>
    </w:p>
    <w:p w14:paraId="0F19A31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十</w:t>
      </w:r>
      <w:r>
        <w:rPr>
          <w:rFonts w:hint="eastAsia" w:ascii="宋体" w:hAnsi="宋体" w:eastAsia="宋体" w:cs="宋体"/>
          <w:b/>
          <w:bCs/>
          <w:color w:val="auto"/>
          <w:sz w:val="24"/>
          <w:szCs w:val="24"/>
          <w:lang w:val="zh-CN" w:eastAsia="zh-CN"/>
        </w:rPr>
        <w:t>三</w:t>
      </w:r>
      <w:r>
        <w:rPr>
          <w:rFonts w:hint="eastAsia" w:ascii="宋体" w:hAnsi="宋体" w:eastAsia="宋体" w:cs="宋体"/>
          <w:b/>
          <w:bCs/>
          <w:color w:val="auto"/>
          <w:sz w:val="24"/>
          <w:szCs w:val="24"/>
          <w:lang w:val="zh-CN"/>
        </w:rPr>
        <w:t>、合同生效及其它：</w:t>
      </w:r>
    </w:p>
    <w:p w14:paraId="74E88DC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1.本合同一式</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份，经双方签字，并加盖公章即为生效。</w:t>
      </w:r>
    </w:p>
    <w:p w14:paraId="64FE392C">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2.本合同未尽事宜，按民法典有关规定处理。</w:t>
      </w:r>
    </w:p>
    <w:p w14:paraId="455DF9F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3.本合同的组成包含《合同通用条款》。</w:t>
      </w:r>
    </w:p>
    <w:p w14:paraId="3B32015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乙方（盖章）：</w:t>
      </w:r>
    </w:p>
    <w:p w14:paraId="42A3096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法定代表人或委托代理人</w:t>
      </w:r>
      <w:r>
        <w:rPr>
          <w:rFonts w:hint="eastAsia" w:ascii="宋体" w:hAnsi="宋体" w:eastAsia="宋体" w:cs="宋体"/>
          <w:color w:val="auto"/>
          <w:sz w:val="24"/>
          <w:szCs w:val="24"/>
        </w:rPr>
        <w:t>：</w:t>
      </w:r>
    </w:p>
    <w:p w14:paraId="1C20831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开户银行：</w:t>
      </w:r>
    </w:p>
    <w:p w14:paraId="5F91F01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账号：</w:t>
      </w:r>
    </w:p>
    <w:p w14:paraId="42FB5D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地址：</w:t>
      </w:r>
    </w:p>
    <w:p w14:paraId="10FC94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联系电话：</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联系电话：</w:t>
      </w:r>
    </w:p>
    <w:p w14:paraId="31D17BD2">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lang w:val="zh-CN"/>
        </w:rPr>
      </w:pPr>
    </w:p>
    <w:p w14:paraId="3355D667">
      <w:pPr>
        <w:keepNext w:val="0"/>
        <w:keepLines w:val="0"/>
        <w:pageBreakBefore w:val="0"/>
        <w:widowControl w:val="0"/>
        <w:kinsoku/>
        <w:wordWrap/>
        <w:overflowPunct/>
        <w:topLinePunct w:val="0"/>
        <w:autoSpaceDE w:val="0"/>
        <w:autoSpaceDN w:val="0"/>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签约时间：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p>
    <w:p w14:paraId="3FF8BA6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p>
    <w:p w14:paraId="5581074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采购代理机构：青海鼎钊招标代理有限公司</w:t>
      </w:r>
    </w:p>
    <w:p w14:paraId="13A9D29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负责人或经办人：</w:t>
      </w:r>
    </w:p>
    <w:p w14:paraId="78A6631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b/>
          <w:bCs/>
          <w:color w:val="auto"/>
          <w:sz w:val="28"/>
          <w:szCs w:val="28"/>
        </w:rPr>
      </w:pPr>
      <w:r>
        <w:rPr>
          <w:rFonts w:hint="eastAsia" w:ascii="宋体" w:hAnsi="宋体" w:eastAsia="宋体" w:cs="宋体"/>
          <w:color w:val="auto"/>
          <w:sz w:val="24"/>
          <w:szCs w:val="24"/>
          <w:lang w:val="zh-CN"/>
        </w:rPr>
        <w:t>时间：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rPr>
        <w:br w:type="page"/>
      </w:r>
      <w:r>
        <w:rPr>
          <w:rFonts w:hint="eastAsia" w:ascii="宋体" w:hAnsi="宋体" w:eastAsia="宋体" w:cs="宋体"/>
          <w:b/>
          <w:bCs/>
          <w:color w:val="auto"/>
          <w:sz w:val="28"/>
          <w:szCs w:val="28"/>
          <w:lang w:val="zh-CN"/>
        </w:rPr>
        <w:t>合同通用条款</w:t>
      </w:r>
    </w:p>
    <w:p w14:paraId="3367777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根据《中华人民共和国民法典》、《中华人民共和国政府采购法》的规定，合同双方经协商达成一致，自愿订立本合同，遵循公平原则明确双方的权利、义务，确保双方诚实守信地履行合同。</w:t>
      </w:r>
    </w:p>
    <w:p w14:paraId="3A88403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14:paraId="3230B0B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14:paraId="29CE91C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14:paraId="58DC8C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14:paraId="5592D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14:paraId="54D10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14:paraId="630A754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14:paraId="31E09F8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14:paraId="2B9031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14:paraId="05442A5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14:paraId="71841BF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14:paraId="476432F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14:paraId="4AB4AE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14:paraId="171671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14:paraId="312364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14:paraId="2B20C10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14:paraId="3EB88DE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14:paraId="453D1C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14:paraId="472DB5B5">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14:paraId="778523D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620E9AC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14:paraId="24BDBD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C6901C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14:paraId="2871B1C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14:paraId="3D1D8E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6CBB5D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14:paraId="4AC1D45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乙方应保证甲方在使用该货物或其任何一部分时不受第三方提出的侵犯专利权、著作权、商标权和工业设计权等的起诉。</w:t>
      </w:r>
    </w:p>
    <w:p w14:paraId="48E003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14:paraId="47DA245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05C92A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14:paraId="11B0F67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038B9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14:paraId="032E91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74182F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14:paraId="24C36D7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14:paraId="2E7D1D6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14:paraId="6068568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任何对方的技术秘密或专有知识、文件、报告、数据、客户软件、流程图、数据库、发明、知识、贸易秘密。</w:t>
      </w:r>
    </w:p>
    <w:p w14:paraId="4DE1A7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14:paraId="7302E559">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14:paraId="792C9E7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14:paraId="6E0F7BB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14:paraId="34DCB4C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BB7299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7EB914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B20850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14:paraId="0CF0368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14:paraId="2665F2E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9FD564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7905F80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14:paraId="027E0EF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14:paraId="530B59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14:paraId="6935499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14:paraId="21EE1EC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14:paraId="61B3A7D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14:paraId="6B78B89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14:paraId="58E8F8A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14:paraId="27C150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8AC8D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14:paraId="75789C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14:paraId="389C5AC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14:paraId="5A602A2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14:paraId="4F6772EA">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甲方检验人员已到卖方所在地，测试无法依照合同进行，而引起甲方人员延长逗留时间，所有由此产生的包括甲方人员在内的直接费用及成本由乙方承担。</w:t>
      </w:r>
    </w:p>
    <w:p w14:paraId="3F1DD9F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14:paraId="59CEDF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14:paraId="2E48280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14:paraId="4FF082F0">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14:paraId="447B8C1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14:paraId="25DB304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14:paraId="43E109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14:paraId="039A3AD6">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FDC4DF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7833572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14:paraId="5FDB636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14:paraId="121E8DC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14:paraId="47B54F5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14:paraId="7D04A66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14:paraId="18DBA2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14:paraId="6BE3FC9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14:paraId="54B8701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14:paraId="4BA5358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14:paraId="0265C76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21EBA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14:paraId="5747EB4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14:paraId="172F071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14:paraId="05F81BA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14:paraId="2DFBF57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14:paraId="7456EE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14:paraId="5CD8435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14:paraId="2EFB0D1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14:paraId="326135B4">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14:paraId="61EC663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14:paraId="0002BB2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14:paraId="2C7414B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948242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14:paraId="72F44E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211F8E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14:paraId="4770A20D">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109F549">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14:paraId="6B9BA08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14:paraId="7F737EA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14:paraId="16D04CF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14:paraId="01801BF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6FCE8E8">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14:paraId="2F171D9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14:paraId="44B11EDC">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14:paraId="428A187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14:paraId="691A704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14:paraId="3E20A502">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不可抗力使合同的某些内容有变更必要的，双方应通过协商达成进一步履行合同的协议，因不可抗力致使合同不能履行的，合同终止。</w:t>
      </w:r>
    </w:p>
    <w:p w14:paraId="5A34041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14:paraId="645DDE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14:paraId="28AE044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14:paraId="0951ABC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14:paraId="7353B7A5">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14:paraId="1264F8E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14:paraId="209EBBB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14:paraId="0E0B0E83">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14:paraId="2C87228E">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14:paraId="4097625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14:paraId="0BCBFF0F">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15CDA32">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14:paraId="501E4FE8">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18E81B">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14:paraId="2ADF800C">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14:paraId="60CC59D1">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CF11C2F">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14:paraId="6E6BFED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14:paraId="18A15D81">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14:paraId="671FF0AB">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14:paraId="645FFD1E">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14:paraId="3155C240">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14:paraId="78EAEA4A">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14:paraId="577453A7">
      <w:pPr>
        <w:wordWrap w:val="0"/>
        <w:spacing w:line="360" w:lineRule="auto"/>
        <w:ind w:firstLine="0" w:firstLineChar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14:paraId="186528CE">
      <w:pPr>
        <w:ind w:left="0" w:leftChars="0" w:firstLine="0" w:firstLineChars="0"/>
        <w:rPr>
          <w:rFonts w:hint="eastAsia"/>
          <w:color w:val="auto"/>
        </w:rPr>
      </w:pPr>
      <w:bookmarkStart w:id="173" w:name="_Toc28717"/>
    </w:p>
    <w:p w14:paraId="787523E5">
      <w:pPr>
        <w:pStyle w:val="8"/>
        <w:bidi w:val="0"/>
        <w:rPr>
          <w:rFonts w:hint="eastAsia"/>
          <w:color w:val="auto"/>
        </w:rPr>
      </w:pPr>
    </w:p>
    <w:p w14:paraId="6710FA99">
      <w:pPr>
        <w:pStyle w:val="8"/>
        <w:bidi w:val="0"/>
        <w:rPr>
          <w:rFonts w:hint="eastAsia"/>
          <w:color w:val="auto"/>
        </w:rPr>
      </w:pPr>
    </w:p>
    <w:p w14:paraId="0D6DA334">
      <w:pPr>
        <w:pStyle w:val="8"/>
        <w:bidi w:val="0"/>
        <w:rPr>
          <w:rFonts w:hint="eastAsia"/>
          <w:color w:val="auto"/>
        </w:rPr>
      </w:pPr>
    </w:p>
    <w:p w14:paraId="2F6AB792">
      <w:pPr>
        <w:pStyle w:val="8"/>
        <w:bidi w:val="0"/>
        <w:rPr>
          <w:rFonts w:hint="eastAsia"/>
          <w:color w:val="auto"/>
        </w:rPr>
      </w:pPr>
    </w:p>
    <w:p w14:paraId="4ECBFDFD">
      <w:pPr>
        <w:pStyle w:val="8"/>
        <w:bidi w:val="0"/>
        <w:rPr>
          <w:rFonts w:hint="eastAsia"/>
          <w:color w:val="auto"/>
        </w:rPr>
      </w:pPr>
    </w:p>
    <w:p w14:paraId="00034E88">
      <w:pPr>
        <w:pStyle w:val="8"/>
        <w:bidi w:val="0"/>
        <w:rPr>
          <w:rFonts w:hint="eastAsia"/>
          <w:color w:val="auto"/>
        </w:rPr>
      </w:pPr>
    </w:p>
    <w:p w14:paraId="5C26F91A">
      <w:pPr>
        <w:pStyle w:val="2"/>
        <w:bidi w:val="0"/>
        <w:jc w:val="center"/>
        <w:rPr>
          <w:rFonts w:hint="eastAsia"/>
          <w:color w:val="auto"/>
        </w:rPr>
      </w:pPr>
      <w:r>
        <w:rPr>
          <w:rFonts w:hint="eastAsia" w:ascii="宋体" w:hAnsi="宋体" w:eastAsia="宋体" w:cs="宋体"/>
          <w:b/>
          <w:color w:val="auto"/>
          <w:kern w:val="28"/>
          <w:sz w:val="36"/>
          <w:szCs w:val="20"/>
          <w:lang w:val="en-US" w:eastAsia="zh-CN" w:bidi="ar-SA"/>
        </w:rPr>
        <w:t>第五部分  响应文件格式</w:t>
      </w:r>
      <w:bookmarkEnd w:id="173"/>
    </w:p>
    <w:p w14:paraId="2BB210C4">
      <w:pPr>
        <w:widowControl/>
        <w:snapToGrid w:val="0"/>
        <w:spacing w:line="360" w:lineRule="auto"/>
        <w:ind w:firstLine="0" w:firstLineChars="0"/>
        <w:outlineLvl w:val="1"/>
        <w:rPr>
          <w:rFonts w:hint="eastAsia" w:ascii="宋体" w:hAnsi="宋体" w:eastAsia="宋体" w:cs="宋体"/>
          <w:b/>
          <w:color w:val="auto"/>
          <w:kern w:val="28"/>
          <w:sz w:val="36"/>
          <w:szCs w:val="20"/>
        </w:rPr>
      </w:pPr>
      <w:bookmarkStart w:id="174" w:name="_Toc16431"/>
      <w:bookmarkStart w:id="175" w:name="_Toc9848"/>
      <w:bookmarkStart w:id="176" w:name="_Toc3485"/>
      <w:r>
        <w:rPr>
          <w:rFonts w:hint="eastAsia" w:ascii="宋体" w:hAnsi="宋体" w:eastAsia="宋体" w:cs="宋体"/>
          <w:b/>
          <w:color w:val="auto"/>
          <w:sz w:val="28"/>
          <w:szCs w:val="28"/>
        </w:rPr>
        <w:t>附件1：响应文件封面</w:t>
      </w:r>
      <w:bookmarkEnd w:id="174"/>
      <w:bookmarkEnd w:id="175"/>
      <w:bookmarkEnd w:id="176"/>
    </w:p>
    <w:p w14:paraId="1F438957">
      <w:pPr>
        <w:spacing w:line="360" w:lineRule="auto"/>
        <w:ind w:firstLine="0" w:firstLineChars="0"/>
        <w:rPr>
          <w:rFonts w:hint="eastAsia" w:ascii="宋体" w:hAnsi="宋体" w:eastAsia="宋体" w:cs="宋体"/>
          <w:b/>
          <w:color w:val="auto"/>
          <w:sz w:val="36"/>
          <w:szCs w:val="36"/>
        </w:rPr>
      </w:pPr>
    </w:p>
    <w:p w14:paraId="672EA196">
      <w:pPr>
        <w:spacing w:line="360" w:lineRule="auto"/>
        <w:ind w:firstLine="0" w:firstLineChars="0"/>
        <w:rPr>
          <w:rFonts w:hint="eastAsia" w:ascii="宋体" w:hAnsi="宋体" w:eastAsia="宋体" w:cs="宋体"/>
          <w:b/>
          <w:color w:val="auto"/>
          <w:sz w:val="36"/>
          <w:szCs w:val="36"/>
        </w:rPr>
      </w:pPr>
    </w:p>
    <w:p w14:paraId="6471A4CC">
      <w:pPr>
        <w:spacing w:line="360" w:lineRule="auto"/>
        <w:ind w:firstLine="0" w:firstLineChars="0"/>
        <w:rPr>
          <w:rFonts w:hint="eastAsia" w:ascii="宋体" w:hAnsi="宋体" w:eastAsia="宋体" w:cs="宋体"/>
          <w:b/>
          <w:color w:val="auto"/>
          <w:sz w:val="36"/>
          <w:szCs w:val="36"/>
        </w:rPr>
      </w:pPr>
    </w:p>
    <w:p w14:paraId="1FF9EE03">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14:paraId="2093A0A2">
      <w:pPr>
        <w:adjustRightInd w:val="0"/>
        <w:spacing w:line="360" w:lineRule="auto"/>
        <w:ind w:firstLine="0" w:firstLineChars="0"/>
        <w:textAlignment w:val="baseline"/>
        <w:rPr>
          <w:rFonts w:hint="eastAsia" w:ascii="宋体" w:hAnsi="宋体" w:eastAsia="宋体" w:cs="宋体"/>
          <w:b/>
          <w:bCs/>
          <w:color w:val="auto"/>
          <w:sz w:val="36"/>
          <w:szCs w:val="36"/>
        </w:rPr>
      </w:pPr>
    </w:p>
    <w:p w14:paraId="4BFBCCBE">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14:paraId="6745ABDA">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14:paraId="55177A64">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14:paraId="35898CC6">
      <w:pPr>
        <w:adjustRightInd w:val="0"/>
        <w:spacing w:line="360" w:lineRule="auto"/>
        <w:ind w:firstLine="0" w:firstLineChars="0"/>
        <w:textAlignment w:val="baseline"/>
        <w:rPr>
          <w:rFonts w:hint="eastAsia" w:ascii="宋体" w:hAnsi="宋体" w:eastAsia="宋体" w:cs="宋体"/>
          <w:b/>
          <w:color w:val="auto"/>
          <w:sz w:val="36"/>
          <w:szCs w:val="36"/>
          <w:lang w:val="en-US" w:eastAsia="zh-CN"/>
        </w:rPr>
      </w:pPr>
    </w:p>
    <w:p w14:paraId="2A01528C">
      <w:pPr>
        <w:adjustRightInd w:val="0"/>
        <w:spacing w:line="360" w:lineRule="auto"/>
        <w:ind w:firstLine="0" w:firstLineChars="0"/>
        <w:textAlignment w:val="baseline"/>
        <w:rPr>
          <w:rFonts w:hint="eastAsia" w:ascii="宋体" w:hAnsi="宋体" w:eastAsia="宋体" w:cs="宋体"/>
          <w:b/>
          <w:color w:val="auto"/>
          <w:sz w:val="36"/>
          <w:szCs w:val="36"/>
        </w:rPr>
      </w:pPr>
    </w:p>
    <w:p w14:paraId="2DFCF542">
      <w:pPr>
        <w:adjustRightInd w:val="0"/>
        <w:spacing w:line="360" w:lineRule="auto"/>
        <w:ind w:firstLine="0" w:firstLineChars="0"/>
        <w:textAlignment w:val="baseline"/>
        <w:rPr>
          <w:rFonts w:hint="eastAsia" w:ascii="宋体" w:hAnsi="宋体" w:eastAsia="宋体" w:cs="宋体"/>
          <w:b/>
          <w:color w:val="auto"/>
          <w:sz w:val="36"/>
          <w:szCs w:val="36"/>
        </w:rPr>
      </w:pPr>
    </w:p>
    <w:p w14:paraId="3C837FB7">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（公章）</w:t>
      </w:r>
    </w:p>
    <w:p w14:paraId="08B36E8D">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（签字或盖章）</w:t>
      </w:r>
    </w:p>
    <w:p w14:paraId="6F90B8E9">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 xml:space="preserve">年   月 </w:t>
      </w:r>
      <w:r>
        <w:rPr>
          <w:rFonts w:hint="eastAsia" w:ascii="宋体" w:hAnsi="宋体" w:eastAsia="宋体" w:cs="宋体"/>
          <w:b/>
          <w:color w:val="auto"/>
          <w:sz w:val="32"/>
          <w:lang w:val="en-US" w:eastAsia="zh-CN"/>
        </w:rPr>
        <w:t xml:space="preserve"> </w:t>
      </w:r>
      <w:r>
        <w:rPr>
          <w:rFonts w:hint="eastAsia" w:ascii="宋体" w:hAnsi="宋体" w:eastAsia="宋体" w:cs="宋体"/>
          <w:b/>
          <w:color w:val="auto"/>
          <w:sz w:val="32"/>
        </w:rPr>
        <w:t xml:space="preserve"> 日</w:t>
      </w:r>
    </w:p>
    <w:p w14:paraId="37B1C91D">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14:paraId="79265B01">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77" w:name="_Toc13446"/>
      <w:bookmarkStart w:id="178" w:name="_Toc17238"/>
      <w:bookmarkStart w:id="179" w:name="_Toc30269"/>
      <w:r>
        <w:rPr>
          <w:rFonts w:hint="eastAsia" w:ascii="宋体" w:hAnsi="宋体" w:eastAsia="宋体" w:cs="宋体"/>
          <w:b/>
          <w:color w:val="auto"/>
          <w:sz w:val="24"/>
          <w:szCs w:val="24"/>
        </w:rPr>
        <w:t>附件2</w:t>
      </w:r>
      <w:bookmarkStart w:id="180" w:name="_Toc376936768"/>
      <w:bookmarkStart w:id="181" w:name="_Toc325726037"/>
      <w:r>
        <w:rPr>
          <w:rFonts w:hint="eastAsia" w:ascii="宋体" w:hAnsi="宋体" w:eastAsia="宋体" w:cs="宋体"/>
          <w:b/>
          <w:color w:val="auto"/>
          <w:sz w:val="24"/>
          <w:szCs w:val="24"/>
        </w:rPr>
        <w:t>：磋商函</w:t>
      </w:r>
      <w:bookmarkEnd w:id="177"/>
      <w:bookmarkEnd w:id="178"/>
      <w:bookmarkEnd w:id="179"/>
      <w:bookmarkEnd w:id="180"/>
      <w:bookmarkEnd w:id="181"/>
    </w:p>
    <w:p w14:paraId="02B0AB93">
      <w:pPr>
        <w:spacing w:line="360" w:lineRule="auto"/>
        <w:ind w:firstLine="0" w:firstLineChars="0"/>
        <w:rPr>
          <w:rFonts w:hint="eastAsia" w:ascii="宋体" w:hAnsi="宋体" w:eastAsia="宋体" w:cs="宋体"/>
          <w:b/>
          <w:color w:val="auto"/>
          <w:sz w:val="24"/>
          <w:szCs w:val="24"/>
        </w:rPr>
      </w:pPr>
    </w:p>
    <w:p w14:paraId="1D650336">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48A9C269">
      <w:pPr>
        <w:spacing w:line="360" w:lineRule="auto"/>
        <w:ind w:firstLine="0" w:firstLineChars="0"/>
        <w:textAlignment w:val="baseline"/>
        <w:rPr>
          <w:rFonts w:hint="eastAsia" w:ascii="宋体" w:hAnsi="宋体" w:eastAsia="宋体" w:cs="宋体"/>
          <w:b/>
          <w:color w:val="auto"/>
          <w:sz w:val="24"/>
          <w:szCs w:val="24"/>
        </w:rPr>
      </w:pPr>
    </w:p>
    <w:p w14:paraId="4840875F">
      <w:pPr>
        <w:spacing w:line="360" w:lineRule="auto"/>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青海鼎钊招标代理有限公司</w:t>
      </w:r>
    </w:p>
    <w:p w14:paraId="05114115">
      <w:pPr>
        <w:spacing w:line="360" w:lineRule="auto"/>
        <w:ind w:firstLine="0" w:firstLineChars="0"/>
        <w:textAlignment w:val="baseline"/>
        <w:rPr>
          <w:rFonts w:hint="eastAsia" w:ascii="宋体" w:hAnsi="宋体" w:eastAsia="宋体" w:cs="宋体"/>
          <w:color w:val="auto"/>
          <w:sz w:val="24"/>
          <w:szCs w:val="24"/>
        </w:rPr>
      </w:pPr>
    </w:p>
    <w:p w14:paraId="7935CE4B">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b/>
          <w:bCs/>
          <w:color w:val="auto"/>
          <w:sz w:val="24"/>
          <w:szCs w:val="24"/>
          <w:u w:val="single"/>
          <w:lang w:eastAsia="zh-CN"/>
        </w:rPr>
        <w:t>青海鼎钊竞磋（服务）2024-047</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14:paraId="73F5AB5D">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5ACDFB72">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我方已详阅磋商文件的全部内容，包括澄清、修改条款等有关附件，承诺对其完全理解并接受。</w:t>
      </w:r>
    </w:p>
    <w:p w14:paraId="188645A5">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磋商有效期自磋商开始之日起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个日历日</w:t>
      </w:r>
      <w:r>
        <w:rPr>
          <w:rFonts w:hint="eastAsia" w:ascii="宋体" w:hAnsi="宋体" w:eastAsia="宋体" w:cs="宋体"/>
          <w:color w:val="auto"/>
          <w:sz w:val="24"/>
          <w:szCs w:val="24"/>
          <w:lang w:eastAsia="zh-CN"/>
        </w:rPr>
        <w:t>内有效</w:t>
      </w:r>
      <w:r>
        <w:rPr>
          <w:rFonts w:hint="eastAsia" w:ascii="宋体" w:hAnsi="宋体" w:eastAsia="宋体" w:cs="宋体"/>
          <w:color w:val="auto"/>
          <w:sz w:val="24"/>
          <w:szCs w:val="24"/>
        </w:rPr>
        <w:t>。如果在规定的磋商时间后，我方在磋商有效期内撤回投标或成交后不签约的，磋商保证金将被贵方没收。</w:t>
      </w:r>
    </w:p>
    <w:p w14:paraId="7C10B46D">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我方同意按照贵方要求提供与磋商有关的一切数据或资料，理解并接受贵方制定的评标办法。</w:t>
      </w:r>
    </w:p>
    <w:p w14:paraId="5B2C6701">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与本磋商有关的一切正式往来通讯请寄：</w:t>
      </w:r>
    </w:p>
    <w:p w14:paraId="59F2504D">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24AA4102">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04841E17">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3D92B4C5">
      <w:pPr>
        <w:spacing w:line="360" w:lineRule="auto"/>
        <w:ind w:firstLine="0" w:firstLineChars="0"/>
        <w:rPr>
          <w:rFonts w:hint="eastAsia" w:ascii="宋体" w:hAnsi="宋体" w:eastAsia="宋体" w:cs="宋体"/>
          <w:color w:val="auto"/>
          <w:sz w:val="24"/>
          <w:szCs w:val="24"/>
        </w:rPr>
      </w:pPr>
    </w:p>
    <w:p w14:paraId="455ACE11">
      <w:pPr>
        <w:spacing w:line="360" w:lineRule="auto"/>
        <w:ind w:firstLine="0" w:firstLineChars="0"/>
        <w:textAlignment w:val="baseline"/>
        <w:rPr>
          <w:rFonts w:hint="eastAsia" w:ascii="宋体" w:hAnsi="宋体" w:eastAsia="宋体" w:cs="宋体"/>
          <w:color w:val="auto"/>
          <w:sz w:val="24"/>
          <w:szCs w:val="24"/>
        </w:rPr>
      </w:pPr>
    </w:p>
    <w:p w14:paraId="478056E5">
      <w:pPr>
        <w:spacing w:line="360" w:lineRule="auto"/>
        <w:ind w:firstLine="0" w:firstLineChars="0"/>
        <w:textAlignment w:val="baseline"/>
        <w:rPr>
          <w:rFonts w:hint="eastAsia" w:ascii="宋体" w:hAnsi="宋体" w:eastAsia="宋体" w:cs="宋体"/>
          <w:color w:val="auto"/>
          <w:sz w:val="24"/>
          <w:szCs w:val="24"/>
        </w:rPr>
      </w:pPr>
    </w:p>
    <w:p w14:paraId="55E21E6E">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F75749C">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242B3DAB">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7C850256">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2F28D0D">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82" w:name="_Toc31069"/>
      <w:bookmarkStart w:id="183" w:name="_Toc26950"/>
      <w:bookmarkStart w:id="184" w:name="_Toc18769"/>
      <w:r>
        <w:rPr>
          <w:rFonts w:hint="eastAsia" w:ascii="宋体" w:hAnsi="宋体" w:eastAsia="宋体" w:cs="宋体"/>
          <w:b/>
          <w:color w:val="auto"/>
          <w:sz w:val="24"/>
          <w:szCs w:val="24"/>
        </w:rPr>
        <w:t>附件3</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：投标报价一览表</w:t>
      </w:r>
      <w:bookmarkEnd w:id="182"/>
      <w:bookmarkEnd w:id="183"/>
      <w:bookmarkEnd w:id="184"/>
    </w:p>
    <w:p w14:paraId="756B6E37">
      <w:pPr>
        <w:spacing w:line="360" w:lineRule="auto"/>
        <w:ind w:firstLine="0" w:firstLineChars="0"/>
        <w:textAlignment w:val="baseline"/>
        <w:rPr>
          <w:rFonts w:hint="eastAsia" w:ascii="宋体" w:hAnsi="宋体" w:eastAsia="宋体" w:cs="宋体"/>
          <w:color w:val="auto"/>
          <w:sz w:val="24"/>
          <w:szCs w:val="24"/>
        </w:rPr>
      </w:pPr>
    </w:p>
    <w:p w14:paraId="54D03FC8">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14:paraId="03C369AD">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22"/>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14"/>
        <w:gridCol w:w="6163"/>
      </w:tblGrid>
      <w:tr w14:paraId="21A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07D5A564">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163" w:type="dxa"/>
            <w:vAlign w:val="center"/>
          </w:tcPr>
          <w:p w14:paraId="152B33FC">
            <w:pPr>
              <w:pStyle w:val="6"/>
              <w:spacing w:line="360" w:lineRule="auto"/>
              <w:ind w:firstLine="0" w:firstLineChars="0"/>
              <w:rPr>
                <w:rFonts w:hint="eastAsia" w:ascii="宋体" w:hAnsi="宋体" w:eastAsia="宋体" w:cs="宋体"/>
                <w:color w:val="auto"/>
                <w:sz w:val="24"/>
                <w:szCs w:val="24"/>
              </w:rPr>
            </w:pPr>
          </w:p>
        </w:tc>
      </w:tr>
      <w:tr w14:paraId="21E9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1556538E">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163" w:type="dxa"/>
            <w:vAlign w:val="center"/>
          </w:tcPr>
          <w:p w14:paraId="3D09BCF0">
            <w:pPr>
              <w:pStyle w:val="6"/>
              <w:spacing w:line="360" w:lineRule="auto"/>
              <w:ind w:firstLine="0" w:firstLineChars="0"/>
              <w:rPr>
                <w:rFonts w:hint="eastAsia" w:ascii="宋体" w:hAnsi="宋体" w:eastAsia="宋体" w:cs="宋体"/>
                <w:color w:val="auto"/>
                <w:sz w:val="24"/>
                <w:szCs w:val="24"/>
              </w:rPr>
            </w:pPr>
          </w:p>
        </w:tc>
      </w:tr>
      <w:tr w14:paraId="6C4A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4" w:type="dxa"/>
            <w:vAlign w:val="center"/>
          </w:tcPr>
          <w:p w14:paraId="0D22F919">
            <w:pPr>
              <w:pStyle w:val="6"/>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163" w:type="dxa"/>
            <w:vAlign w:val="center"/>
          </w:tcPr>
          <w:p w14:paraId="0F819729">
            <w:pPr>
              <w:pStyle w:val="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p>
          <w:p w14:paraId="04D6F4FE">
            <w:pPr>
              <w:pStyle w:val="6"/>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小写：</w:t>
            </w:r>
          </w:p>
        </w:tc>
      </w:tr>
      <w:tr w14:paraId="2F6B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2114" w:type="dxa"/>
            <w:vAlign w:val="center"/>
          </w:tcPr>
          <w:p w14:paraId="0A787769">
            <w:pPr>
              <w:pStyle w:val="6"/>
              <w:spacing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eastAsia="zh-CN"/>
              </w:rPr>
              <w:t>期限</w:t>
            </w:r>
          </w:p>
        </w:tc>
        <w:tc>
          <w:tcPr>
            <w:tcW w:w="6163" w:type="dxa"/>
            <w:vAlign w:val="center"/>
          </w:tcPr>
          <w:p w14:paraId="6D42A2D8">
            <w:pPr>
              <w:pStyle w:val="6"/>
              <w:spacing w:line="360" w:lineRule="auto"/>
              <w:ind w:firstLine="0" w:firstLineChars="0"/>
              <w:rPr>
                <w:rFonts w:hint="eastAsia" w:ascii="宋体" w:hAnsi="宋体" w:eastAsia="宋体" w:cs="宋体"/>
                <w:color w:val="auto"/>
                <w:sz w:val="24"/>
                <w:szCs w:val="24"/>
              </w:rPr>
            </w:pPr>
          </w:p>
        </w:tc>
      </w:tr>
      <w:tr w14:paraId="2353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3DC5EACB">
            <w:pPr>
              <w:pStyle w:val="6"/>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优惠承诺及其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val="zh-CN"/>
              </w:rPr>
              <w:t>：</w:t>
            </w:r>
          </w:p>
          <w:p w14:paraId="6F28DCF4">
            <w:pPr>
              <w:pStyle w:val="6"/>
              <w:spacing w:line="360" w:lineRule="auto"/>
              <w:ind w:firstLine="0" w:firstLineChars="0"/>
              <w:rPr>
                <w:rFonts w:hint="eastAsia" w:ascii="宋体" w:hAnsi="宋体" w:eastAsia="宋体" w:cs="宋体"/>
                <w:color w:val="auto"/>
                <w:sz w:val="24"/>
                <w:szCs w:val="24"/>
                <w:lang w:val="zh-CN"/>
              </w:rPr>
            </w:pPr>
          </w:p>
          <w:p w14:paraId="3AFB7593">
            <w:pPr>
              <w:pStyle w:val="6"/>
              <w:spacing w:line="360" w:lineRule="auto"/>
              <w:ind w:firstLine="0" w:firstLineChars="0"/>
              <w:rPr>
                <w:rFonts w:hint="eastAsia" w:ascii="宋体" w:hAnsi="宋体" w:eastAsia="宋体" w:cs="宋体"/>
                <w:color w:val="auto"/>
                <w:sz w:val="24"/>
                <w:szCs w:val="24"/>
                <w:lang w:val="zh-CN"/>
              </w:rPr>
            </w:pPr>
          </w:p>
          <w:p w14:paraId="39F2C4E8">
            <w:pPr>
              <w:pStyle w:val="6"/>
              <w:spacing w:line="360" w:lineRule="auto"/>
              <w:ind w:firstLine="0" w:firstLineChars="0"/>
              <w:rPr>
                <w:rFonts w:hint="eastAsia" w:ascii="宋体" w:hAnsi="宋体" w:eastAsia="宋体" w:cs="宋体"/>
                <w:color w:val="auto"/>
                <w:sz w:val="24"/>
                <w:szCs w:val="24"/>
                <w:lang w:val="zh-CN"/>
              </w:rPr>
            </w:pPr>
          </w:p>
          <w:p w14:paraId="4FEB84A8">
            <w:pPr>
              <w:pStyle w:val="6"/>
              <w:spacing w:line="360" w:lineRule="auto"/>
              <w:ind w:firstLine="0" w:firstLineChars="0"/>
              <w:rPr>
                <w:rFonts w:hint="eastAsia" w:ascii="宋体" w:hAnsi="宋体" w:eastAsia="宋体" w:cs="宋体"/>
                <w:color w:val="auto"/>
                <w:sz w:val="24"/>
                <w:szCs w:val="24"/>
                <w:lang w:val="zh-CN"/>
              </w:rPr>
            </w:pPr>
          </w:p>
          <w:p w14:paraId="318B1F5D">
            <w:pPr>
              <w:pStyle w:val="6"/>
              <w:spacing w:line="360" w:lineRule="auto"/>
              <w:ind w:firstLine="0" w:firstLineChars="0"/>
              <w:rPr>
                <w:rFonts w:hint="eastAsia" w:ascii="宋体" w:hAnsi="宋体" w:eastAsia="宋体" w:cs="宋体"/>
                <w:color w:val="auto"/>
                <w:sz w:val="24"/>
                <w:szCs w:val="24"/>
                <w:lang w:val="zh-CN"/>
              </w:rPr>
            </w:pPr>
          </w:p>
        </w:tc>
      </w:tr>
    </w:tbl>
    <w:p w14:paraId="2F7CA6D1">
      <w:pPr>
        <w:spacing w:line="360" w:lineRule="auto"/>
        <w:ind w:firstLine="0" w:firstLineChars="0"/>
        <w:rPr>
          <w:rFonts w:hint="eastAsia" w:ascii="宋体" w:hAnsi="宋体" w:eastAsia="宋体" w:cs="宋体"/>
          <w:color w:val="auto"/>
          <w:sz w:val="24"/>
          <w:szCs w:val="24"/>
        </w:rPr>
      </w:pPr>
    </w:p>
    <w:p w14:paraId="7C2303D8">
      <w:pPr>
        <w:spacing w:line="360" w:lineRule="auto"/>
        <w:ind w:firstLine="0" w:firstLineChars="0"/>
        <w:textAlignment w:val="baseline"/>
        <w:rPr>
          <w:rFonts w:hint="eastAsia" w:ascii="宋体" w:hAnsi="宋体" w:eastAsia="宋体" w:cs="宋体"/>
          <w:color w:val="auto"/>
          <w:sz w:val="24"/>
          <w:szCs w:val="24"/>
        </w:rPr>
      </w:pPr>
    </w:p>
    <w:p w14:paraId="11E84E35">
      <w:pPr>
        <w:spacing w:line="360" w:lineRule="auto"/>
        <w:ind w:firstLine="0" w:firstLineChars="0"/>
        <w:textAlignment w:val="baseline"/>
        <w:rPr>
          <w:rFonts w:hint="eastAsia" w:ascii="宋体" w:hAnsi="宋体" w:eastAsia="宋体" w:cs="宋体"/>
          <w:color w:val="auto"/>
          <w:sz w:val="24"/>
          <w:szCs w:val="24"/>
        </w:rPr>
      </w:pPr>
    </w:p>
    <w:p w14:paraId="69897DA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1BDAD8C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58D35046">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15F4175C">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375EDFBF">
      <w:pPr>
        <w:keepNext/>
        <w:pageBreakBefore/>
        <w:widowControl/>
        <w:spacing w:line="360" w:lineRule="auto"/>
        <w:ind w:firstLine="0" w:firstLineChars="0"/>
        <w:jc w:val="left"/>
        <w:outlineLvl w:val="1"/>
        <w:rPr>
          <w:rFonts w:hint="eastAsia" w:ascii="宋体" w:hAnsi="宋体" w:eastAsia="宋体" w:cs="宋体"/>
          <w:b/>
          <w:bCs/>
          <w:color w:val="auto"/>
          <w:kern w:val="0"/>
          <w:sz w:val="28"/>
          <w:szCs w:val="28"/>
          <w:lang w:val="zh-CN"/>
        </w:rPr>
      </w:pPr>
      <w:r>
        <w:rPr>
          <w:rFonts w:hint="eastAsia" w:ascii="宋体" w:hAnsi="宋体" w:eastAsia="宋体" w:cs="宋体"/>
          <w:b/>
          <w:color w:val="auto"/>
          <w:sz w:val="24"/>
          <w:szCs w:val="24"/>
        </w:rPr>
        <w:t>附件3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：分项报价表</w:t>
      </w:r>
    </w:p>
    <w:p w14:paraId="00D9A91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b/>
          <w:bCs/>
          <w:color w:val="auto"/>
          <w:kern w:val="0"/>
          <w:sz w:val="28"/>
          <w:szCs w:val="28"/>
          <w:lang w:val="zh-CN"/>
        </w:rPr>
      </w:pPr>
      <w:r>
        <w:rPr>
          <w:rFonts w:hint="eastAsia" w:ascii="宋体" w:hAnsi="宋体" w:eastAsia="宋体" w:cs="宋体"/>
          <w:b/>
          <w:bCs/>
          <w:color w:val="auto"/>
          <w:kern w:val="0"/>
          <w:sz w:val="24"/>
          <w:szCs w:val="24"/>
          <w:lang w:val="zh-CN"/>
        </w:rPr>
        <w:t>分项报价表</w:t>
      </w:r>
    </w:p>
    <w:p w14:paraId="15EF7C40">
      <w:pPr>
        <w:pStyle w:val="8"/>
        <w:keepNext w:val="0"/>
        <w:keepLines w:val="0"/>
        <w:pageBreakBefore w:val="0"/>
        <w:widowControl w:val="0"/>
        <w:kinsoku/>
        <w:wordWrap/>
        <w:overflowPunct/>
        <w:topLinePunct w:val="0"/>
        <w:bidi w:val="0"/>
        <w:adjustRightInd/>
        <w:snapToGrid/>
        <w:ind w:left="0" w:firstLine="0" w:firstLineChars="0"/>
        <w:textAlignment w:val="auto"/>
        <w:rPr>
          <w:rFonts w:hint="eastAsia" w:ascii="宋体" w:hAnsi="宋体" w:eastAsia="宋体" w:cs="宋体"/>
          <w:b/>
          <w:bCs/>
          <w:color w:val="auto"/>
          <w:sz w:val="24"/>
          <w:szCs w:val="24"/>
          <w:lang w:val="zh-CN"/>
        </w:rPr>
      </w:pPr>
    </w:p>
    <w:p w14:paraId="256789D1">
      <w:pPr>
        <w:pStyle w:val="8"/>
        <w:keepNext w:val="0"/>
        <w:keepLines w:val="0"/>
        <w:pageBreakBefore w:val="0"/>
        <w:widowControl w:val="0"/>
        <w:kinsoku/>
        <w:wordWrap/>
        <w:overflowPunct/>
        <w:topLinePunct w:val="0"/>
        <w:bidi w:val="0"/>
        <w:adjustRightInd/>
        <w:snapToGrid/>
        <w:ind w:left="0" w:firstLine="0" w:firstLineChars="0"/>
        <w:textAlignment w:val="auto"/>
        <w:rPr>
          <w:rFonts w:hint="eastAsia" w:ascii="宋体" w:hAnsi="宋体" w:eastAsia="宋体" w:cs="宋体"/>
          <w:b/>
          <w:bCs/>
          <w:color w:val="auto"/>
          <w:lang w:val="zh-CN"/>
        </w:rPr>
      </w:pPr>
      <w:r>
        <w:rPr>
          <w:rFonts w:hint="eastAsia" w:ascii="宋体" w:hAnsi="宋体" w:eastAsia="宋体" w:cs="宋体"/>
          <w:b/>
          <w:bCs/>
          <w:color w:val="auto"/>
          <w:sz w:val="24"/>
          <w:szCs w:val="24"/>
          <w:lang w:val="zh-CN"/>
        </w:rPr>
        <w:t>供应商名称：</w:t>
      </w:r>
    </w:p>
    <w:tbl>
      <w:tblPr>
        <w:tblStyle w:val="22"/>
        <w:tblW w:w="10205" w:type="dxa"/>
        <w:jc w:val="center"/>
        <w:tblLayout w:type="fixed"/>
        <w:tblCellMar>
          <w:top w:w="0" w:type="dxa"/>
          <w:left w:w="28" w:type="dxa"/>
          <w:bottom w:w="0" w:type="dxa"/>
          <w:right w:w="28" w:type="dxa"/>
        </w:tblCellMar>
      </w:tblPr>
      <w:tblGrid>
        <w:gridCol w:w="539"/>
        <w:gridCol w:w="1529"/>
        <w:gridCol w:w="1255"/>
        <w:gridCol w:w="1023"/>
        <w:gridCol w:w="1030"/>
        <w:gridCol w:w="979"/>
        <w:gridCol w:w="900"/>
        <w:gridCol w:w="923"/>
        <w:gridCol w:w="957"/>
        <w:gridCol w:w="1070"/>
      </w:tblGrid>
      <w:tr w14:paraId="10524375">
        <w:tblPrEx>
          <w:tblCellMar>
            <w:top w:w="0" w:type="dxa"/>
            <w:left w:w="28" w:type="dxa"/>
            <w:bottom w:w="0" w:type="dxa"/>
            <w:right w:w="28" w:type="dxa"/>
          </w:tblCellMar>
        </w:tblPrEx>
        <w:trPr>
          <w:trHeight w:val="23" w:hRule="atLeast"/>
          <w:jc w:val="center"/>
        </w:trPr>
        <w:tc>
          <w:tcPr>
            <w:tcW w:w="539" w:type="dxa"/>
            <w:tcBorders>
              <w:top w:val="single" w:color="000000" w:sz="8" w:space="0"/>
              <w:left w:val="single" w:color="000000" w:sz="8" w:space="0"/>
              <w:bottom w:val="single" w:color="000000" w:sz="6" w:space="0"/>
              <w:right w:val="single" w:color="000000" w:sz="6" w:space="0"/>
            </w:tcBorders>
            <w:noWrap w:val="0"/>
            <w:vAlign w:val="center"/>
          </w:tcPr>
          <w:p w14:paraId="30D6FEAD">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29" w:type="dxa"/>
            <w:tcBorders>
              <w:top w:val="single" w:color="000000" w:sz="8" w:space="0"/>
              <w:left w:val="single" w:color="000000" w:sz="6" w:space="0"/>
              <w:bottom w:val="single" w:color="000000" w:sz="6" w:space="0"/>
              <w:right w:val="single" w:color="000000" w:sz="6" w:space="0"/>
            </w:tcBorders>
            <w:noWrap w:val="0"/>
            <w:vAlign w:val="center"/>
          </w:tcPr>
          <w:p w14:paraId="376E49E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产品名称（服务内容）</w:t>
            </w:r>
          </w:p>
        </w:tc>
        <w:tc>
          <w:tcPr>
            <w:tcW w:w="1255" w:type="dxa"/>
            <w:tcBorders>
              <w:top w:val="single" w:color="000000" w:sz="8" w:space="0"/>
              <w:left w:val="single" w:color="000000" w:sz="6" w:space="0"/>
              <w:bottom w:val="single" w:color="000000" w:sz="6" w:space="0"/>
              <w:right w:val="single" w:color="000000" w:sz="6" w:space="0"/>
            </w:tcBorders>
            <w:noWrap w:val="0"/>
            <w:vAlign w:val="center"/>
          </w:tcPr>
          <w:p w14:paraId="41C7FC8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品牌（</w:t>
            </w:r>
            <w:r>
              <w:rPr>
                <w:rFonts w:hint="eastAsia" w:ascii="宋体" w:hAnsi="宋体" w:eastAsia="宋体" w:cs="宋体"/>
                <w:color w:val="auto"/>
                <w:kern w:val="0"/>
                <w:sz w:val="24"/>
                <w:szCs w:val="24"/>
                <w:lang w:val="en-US" w:eastAsia="zh-CN"/>
              </w:rPr>
              <w:t>如有</w:t>
            </w:r>
            <w:r>
              <w:rPr>
                <w:rFonts w:hint="eastAsia" w:ascii="宋体" w:hAnsi="宋体" w:eastAsia="宋体" w:cs="宋体"/>
                <w:color w:val="auto"/>
                <w:kern w:val="0"/>
                <w:sz w:val="24"/>
                <w:szCs w:val="24"/>
                <w:lang w:val="zh-CN" w:eastAsia="zh-CN"/>
              </w:rPr>
              <w:t>）</w:t>
            </w:r>
          </w:p>
        </w:tc>
        <w:tc>
          <w:tcPr>
            <w:tcW w:w="1023" w:type="dxa"/>
            <w:tcBorders>
              <w:top w:val="single" w:color="000000" w:sz="8" w:space="0"/>
              <w:left w:val="single" w:color="000000" w:sz="6" w:space="0"/>
              <w:bottom w:val="single" w:color="000000" w:sz="6" w:space="0"/>
              <w:right w:val="single" w:color="000000" w:sz="6" w:space="0"/>
            </w:tcBorders>
            <w:noWrap w:val="0"/>
            <w:vAlign w:val="center"/>
          </w:tcPr>
          <w:p w14:paraId="5B964B9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规格型号（</w:t>
            </w:r>
            <w:r>
              <w:rPr>
                <w:rFonts w:hint="eastAsia" w:ascii="宋体" w:hAnsi="宋体" w:eastAsia="宋体" w:cs="宋体"/>
                <w:color w:val="auto"/>
                <w:kern w:val="0"/>
                <w:sz w:val="24"/>
                <w:szCs w:val="24"/>
                <w:lang w:val="en-US" w:eastAsia="zh-CN"/>
              </w:rPr>
              <w:t>如有</w:t>
            </w:r>
            <w:r>
              <w:rPr>
                <w:rFonts w:hint="eastAsia" w:ascii="宋体" w:hAnsi="宋体" w:eastAsia="宋体" w:cs="宋体"/>
                <w:color w:val="auto"/>
                <w:kern w:val="0"/>
                <w:sz w:val="24"/>
                <w:szCs w:val="24"/>
                <w:lang w:val="zh-CN" w:eastAsia="zh-CN"/>
              </w:rPr>
              <w:t>）</w:t>
            </w:r>
          </w:p>
        </w:tc>
        <w:tc>
          <w:tcPr>
            <w:tcW w:w="1030" w:type="dxa"/>
            <w:tcBorders>
              <w:top w:val="single" w:color="000000" w:sz="8" w:space="0"/>
              <w:left w:val="single" w:color="000000" w:sz="6" w:space="0"/>
              <w:bottom w:val="single" w:color="000000" w:sz="6" w:space="0"/>
              <w:right w:val="single" w:color="000000" w:sz="6" w:space="0"/>
            </w:tcBorders>
            <w:noWrap w:val="0"/>
            <w:vAlign w:val="center"/>
          </w:tcPr>
          <w:p w14:paraId="369F727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服务商</w:t>
            </w:r>
          </w:p>
        </w:tc>
        <w:tc>
          <w:tcPr>
            <w:tcW w:w="979" w:type="dxa"/>
            <w:tcBorders>
              <w:top w:val="single" w:color="000000" w:sz="8" w:space="0"/>
              <w:left w:val="single" w:color="000000" w:sz="6" w:space="0"/>
              <w:bottom w:val="single" w:color="000000" w:sz="6" w:space="0"/>
              <w:right w:val="single" w:color="000000" w:sz="6" w:space="0"/>
            </w:tcBorders>
            <w:noWrap w:val="0"/>
            <w:vAlign w:val="center"/>
          </w:tcPr>
          <w:p w14:paraId="5EAB188F">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数量</w:t>
            </w:r>
          </w:p>
        </w:tc>
        <w:tc>
          <w:tcPr>
            <w:tcW w:w="900" w:type="dxa"/>
            <w:tcBorders>
              <w:top w:val="single" w:color="000000" w:sz="8" w:space="0"/>
              <w:left w:val="single" w:color="000000" w:sz="6" w:space="0"/>
              <w:bottom w:val="single" w:color="000000" w:sz="6" w:space="0"/>
              <w:right w:val="single" w:color="000000" w:sz="6" w:space="0"/>
            </w:tcBorders>
            <w:noWrap w:val="0"/>
            <w:vAlign w:val="center"/>
          </w:tcPr>
          <w:p w14:paraId="2CB87E28">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zh-CN"/>
              </w:rPr>
              <w:t>单位</w:t>
            </w:r>
          </w:p>
        </w:tc>
        <w:tc>
          <w:tcPr>
            <w:tcW w:w="923" w:type="dxa"/>
            <w:tcBorders>
              <w:top w:val="single" w:color="000000" w:sz="8" w:space="0"/>
              <w:left w:val="single" w:color="000000" w:sz="6" w:space="0"/>
              <w:bottom w:val="single" w:color="000000" w:sz="6" w:space="0"/>
              <w:right w:val="single" w:color="000000" w:sz="6" w:space="0"/>
            </w:tcBorders>
            <w:noWrap w:val="0"/>
            <w:vAlign w:val="center"/>
          </w:tcPr>
          <w:p w14:paraId="62E750D2">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单价</w:t>
            </w:r>
          </w:p>
        </w:tc>
        <w:tc>
          <w:tcPr>
            <w:tcW w:w="957" w:type="dxa"/>
            <w:tcBorders>
              <w:top w:val="single" w:color="000000" w:sz="8" w:space="0"/>
              <w:left w:val="single" w:color="000000" w:sz="6" w:space="0"/>
              <w:bottom w:val="single" w:color="000000" w:sz="6" w:space="0"/>
              <w:right w:val="single" w:color="000000" w:sz="6" w:space="0"/>
            </w:tcBorders>
            <w:noWrap w:val="0"/>
            <w:vAlign w:val="center"/>
          </w:tcPr>
          <w:p w14:paraId="19231D7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lang w:val="zh-CN"/>
              </w:rPr>
              <w:t>合计</w:t>
            </w:r>
          </w:p>
        </w:tc>
        <w:tc>
          <w:tcPr>
            <w:tcW w:w="1070" w:type="dxa"/>
            <w:tcBorders>
              <w:top w:val="single" w:color="000000" w:sz="8" w:space="0"/>
              <w:left w:val="single" w:color="000000" w:sz="6" w:space="0"/>
              <w:bottom w:val="single" w:color="000000" w:sz="6" w:space="0"/>
              <w:right w:val="single" w:color="000000" w:sz="8" w:space="0"/>
            </w:tcBorders>
            <w:noWrap w:val="0"/>
            <w:vAlign w:val="center"/>
          </w:tcPr>
          <w:p w14:paraId="44002E49">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lang w:val="en-US" w:eastAsia="zh-CN"/>
              </w:rPr>
              <w:t>备注</w:t>
            </w:r>
          </w:p>
        </w:tc>
      </w:tr>
      <w:tr w14:paraId="47439ADA">
        <w:tblPrEx>
          <w:tblCellMar>
            <w:top w:w="0" w:type="dxa"/>
            <w:left w:w="28" w:type="dxa"/>
            <w:bottom w:w="0" w:type="dxa"/>
            <w:right w:w="28" w:type="dxa"/>
          </w:tblCellMar>
        </w:tblPrEx>
        <w:trPr>
          <w:trHeight w:val="23"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6D7B1F8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29" w:type="dxa"/>
            <w:tcBorders>
              <w:top w:val="single" w:color="000000" w:sz="6" w:space="0"/>
              <w:left w:val="single" w:color="000000" w:sz="6" w:space="0"/>
              <w:bottom w:val="single" w:color="000000" w:sz="6" w:space="0"/>
              <w:right w:val="single" w:color="000000" w:sz="6" w:space="0"/>
            </w:tcBorders>
            <w:noWrap w:val="0"/>
            <w:vAlign w:val="center"/>
          </w:tcPr>
          <w:p w14:paraId="1804CF9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14:paraId="6C680F6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4C010F4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noWrap w:val="0"/>
            <w:vAlign w:val="center"/>
          </w:tcPr>
          <w:p w14:paraId="20FA9C4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79" w:type="dxa"/>
            <w:tcBorders>
              <w:top w:val="single" w:color="000000" w:sz="6" w:space="0"/>
              <w:left w:val="single" w:color="000000" w:sz="6" w:space="0"/>
              <w:bottom w:val="single" w:color="000000" w:sz="6" w:space="0"/>
              <w:right w:val="single" w:color="000000" w:sz="6" w:space="0"/>
            </w:tcBorders>
            <w:noWrap w:val="0"/>
            <w:vAlign w:val="center"/>
          </w:tcPr>
          <w:p w14:paraId="37A3804C">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466DEDF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14:paraId="3DD3D8E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noWrap w:val="0"/>
            <w:vAlign w:val="center"/>
          </w:tcPr>
          <w:p w14:paraId="703E780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70" w:type="dxa"/>
            <w:tcBorders>
              <w:top w:val="single" w:color="000000" w:sz="6" w:space="0"/>
              <w:left w:val="single" w:color="000000" w:sz="6" w:space="0"/>
              <w:bottom w:val="single" w:color="000000" w:sz="6" w:space="0"/>
              <w:right w:val="single" w:color="000000" w:sz="8" w:space="0"/>
            </w:tcBorders>
            <w:noWrap w:val="0"/>
            <w:vAlign w:val="center"/>
          </w:tcPr>
          <w:p w14:paraId="3C27AD7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7AD8F955">
        <w:tblPrEx>
          <w:tblCellMar>
            <w:top w:w="0" w:type="dxa"/>
            <w:left w:w="28" w:type="dxa"/>
            <w:bottom w:w="0" w:type="dxa"/>
            <w:right w:w="28" w:type="dxa"/>
          </w:tblCellMar>
        </w:tblPrEx>
        <w:trPr>
          <w:trHeight w:val="23"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62CC022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29" w:type="dxa"/>
            <w:tcBorders>
              <w:top w:val="single" w:color="000000" w:sz="6" w:space="0"/>
              <w:left w:val="single" w:color="000000" w:sz="6" w:space="0"/>
              <w:bottom w:val="single" w:color="000000" w:sz="6" w:space="0"/>
              <w:right w:val="single" w:color="000000" w:sz="6" w:space="0"/>
            </w:tcBorders>
            <w:noWrap w:val="0"/>
            <w:vAlign w:val="center"/>
          </w:tcPr>
          <w:p w14:paraId="27814F5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14:paraId="2097F81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4CD4827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noWrap w:val="0"/>
            <w:vAlign w:val="center"/>
          </w:tcPr>
          <w:p w14:paraId="598E31C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79" w:type="dxa"/>
            <w:tcBorders>
              <w:top w:val="single" w:color="000000" w:sz="6" w:space="0"/>
              <w:left w:val="single" w:color="000000" w:sz="6" w:space="0"/>
              <w:bottom w:val="single" w:color="000000" w:sz="6" w:space="0"/>
              <w:right w:val="single" w:color="000000" w:sz="6" w:space="0"/>
            </w:tcBorders>
            <w:noWrap w:val="0"/>
            <w:vAlign w:val="center"/>
          </w:tcPr>
          <w:p w14:paraId="0C7C0FD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53A06F37">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14:paraId="51D1835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noWrap w:val="0"/>
            <w:vAlign w:val="center"/>
          </w:tcPr>
          <w:p w14:paraId="2F74976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70" w:type="dxa"/>
            <w:tcBorders>
              <w:top w:val="single" w:color="000000" w:sz="6" w:space="0"/>
              <w:left w:val="single" w:color="000000" w:sz="6" w:space="0"/>
              <w:bottom w:val="single" w:color="000000" w:sz="6" w:space="0"/>
              <w:right w:val="single" w:color="000000" w:sz="8" w:space="0"/>
            </w:tcBorders>
            <w:noWrap w:val="0"/>
            <w:vAlign w:val="center"/>
          </w:tcPr>
          <w:p w14:paraId="63E790F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55311F6A">
        <w:tblPrEx>
          <w:tblCellMar>
            <w:top w:w="0" w:type="dxa"/>
            <w:left w:w="28" w:type="dxa"/>
            <w:bottom w:w="0" w:type="dxa"/>
            <w:right w:w="28" w:type="dxa"/>
          </w:tblCellMar>
        </w:tblPrEx>
        <w:trPr>
          <w:trHeight w:val="23"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74E6524D">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29" w:type="dxa"/>
            <w:tcBorders>
              <w:top w:val="single" w:color="000000" w:sz="6" w:space="0"/>
              <w:left w:val="single" w:color="000000" w:sz="6" w:space="0"/>
              <w:bottom w:val="single" w:color="000000" w:sz="6" w:space="0"/>
              <w:right w:val="single" w:color="000000" w:sz="6" w:space="0"/>
            </w:tcBorders>
            <w:noWrap w:val="0"/>
            <w:vAlign w:val="center"/>
          </w:tcPr>
          <w:p w14:paraId="452AB7A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14:paraId="7A02CBAC">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195BCEA6">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noWrap w:val="0"/>
            <w:vAlign w:val="center"/>
          </w:tcPr>
          <w:p w14:paraId="1331D4A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79" w:type="dxa"/>
            <w:tcBorders>
              <w:top w:val="single" w:color="000000" w:sz="6" w:space="0"/>
              <w:left w:val="single" w:color="000000" w:sz="6" w:space="0"/>
              <w:bottom w:val="single" w:color="000000" w:sz="6" w:space="0"/>
              <w:right w:val="single" w:color="000000" w:sz="6" w:space="0"/>
            </w:tcBorders>
            <w:noWrap w:val="0"/>
            <w:vAlign w:val="center"/>
          </w:tcPr>
          <w:p w14:paraId="4BB284C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452BFA7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14:paraId="551ADB9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noWrap w:val="0"/>
            <w:vAlign w:val="center"/>
          </w:tcPr>
          <w:p w14:paraId="236C33BD">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70" w:type="dxa"/>
            <w:tcBorders>
              <w:top w:val="single" w:color="000000" w:sz="6" w:space="0"/>
              <w:left w:val="single" w:color="000000" w:sz="6" w:space="0"/>
              <w:bottom w:val="single" w:color="000000" w:sz="6" w:space="0"/>
              <w:right w:val="single" w:color="000000" w:sz="8" w:space="0"/>
            </w:tcBorders>
            <w:noWrap w:val="0"/>
            <w:vAlign w:val="center"/>
          </w:tcPr>
          <w:p w14:paraId="7B3374C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557C07E6">
        <w:tblPrEx>
          <w:tblCellMar>
            <w:top w:w="0" w:type="dxa"/>
            <w:left w:w="28" w:type="dxa"/>
            <w:bottom w:w="0" w:type="dxa"/>
            <w:right w:w="28" w:type="dxa"/>
          </w:tblCellMar>
        </w:tblPrEx>
        <w:trPr>
          <w:trHeight w:val="23"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112BC32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29" w:type="dxa"/>
            <w:tcBorders>
              <w:top w:val="single" w:color="000000" w:sz="6" w:space="0"/>
              <w:left w:val="single" w:color="000000" w:sz="6" w:space="0"/>
              <w:bottom w:val="single" w:color="000000" w:sz="6" w:space="0"/>
              <w:right w:val="single" w:color="000000" w:sz="6" w:space="0"/>
            </w:tcBorders>
            <w:noWrap w:val="0"/>
            <w:vAlign w:val="center"/>
          </w:tcPr>
          <w:p w14:paraId="36EBFC3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14:paraId="4CB5222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4B29439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noWrap w:val="0"/>
            <w:vAlign w:val="center"/>
          </w:tcPr>
          <w:p w14:paraId="5B78758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79" w:type="dxa"/>
            <w:tcBorders>
              <w:top w:val="single" w:color="000000" w:sz="6" w:space="0"/>
              <w:left w:val="single" w:color="000000" w:sz="6" w:space="0"/>
              <w:bottom w:val="single" w:color="000000" w:sz="6" w:space="0"/>
              <w:right w:val="single" w:color="000000" w:sz="6" w:space="0"/>
            </w:tcBorders>
            <w:noWrap w:val="0"/>
            <w:vAlign w:val="center"/>
          </w:tcPr>
          <w:p w14:paraId="68454E34">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2899F97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14:paraId="7DDA6A3D">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noWrap w:val="0"/>
            <w:vAlign w:val="center"/>
          </w:tcPr>
          <w:p w14:paraId="66600AD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70" w:type="dxa"/>
            <w:tcBorders>
              <w:top w:val="single" w:color="000000" w:sz="6" w:space="0"/>
              <w:left w:val="single" w:color="000000" w:sz="6" w:space="0"/>
              <w:bottom w:val="single" w:color="000000" w:sz="6" w:space="0"/>
              <w:right w:val="single" w:color="000000" w:sz="8" w:space="0"/>
            </w:tcBorders>
            <w:noWrap w:val="0"/>
            <w:vAlign w:val="center"/>
          </w:tcPr>
          <w:p w14:paraId="3414AA72">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5CED88EA">
        <w:tblPrEx>
          <w:tblCellMar>
            <w:top w:w="0" w:type="dxa"/>
            <w:left w:w="28" w:type="dxa"/>
            <w:bottom w:w="0" w:type="dxa"/>
            <w:right w:w="28" w:type="dxa"/>
          </w:tblCellMar>
        </w:tblPrEx>
        <w:trPr>
          <w:trHeight w:val="23" w:hRule="atLeast"/>
          <w:jc w:val="center"/>
        </w:trPr>
        <w:tc>
          <w:tcPr>
            <w:tcW w:w="539" w:type="dxa"/>
            <w:tcBorders>
              <w:top w:val="single" w:color="000000" w:sz="6" w:space="0"/>
              <w:left w:val="single" w:color="000000" w:sz="8" w:space="0"/>
              <w:bottom w:val="single" w:color="000000" w:sz="6" w:space="0"/>
              <w:right w:val="single" w:color="000000" w:sz="6" w:space="0"/>
            </w:tcBorders>
            <w:noWrap w:val="0"/>
            <w:vAlign w:val="center"/>
          </w:tcPr>
          <w:p w14:paraId="0D0E0FDA">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29" w:type="dxa"/>
            <w:tcBorders>
              <w:top w:val="single" w:color="000000" w:sz="6" w:space="0"/>
              <w:left w:val="single" w:color="000000" w:sz="6" w:space="0"/>
              <w:bottom w:val="single" w:color="000000" w:sz="6" w:space="0"/>
              <w:right w:val="single" w:color="000000" w:sz="6" w:space="0"/>
            </w:tcBorders>
            <w:noWrap w:val="0"/>
            <w:vAlign w:val="center"/>
          </w:tcPr>
          <w:p w14:paraId="7E2C0DF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255" w:type="dxa"/>
            <w:tcBorders>
              <w:top w:val="single" w:color="000000" w:sz="6" w:space="0"/>
              <w:left w:val="single" w:color="000000" w:sz="6" w:space="0"/>
              <w:bottom w:val="single" w:color="000000" w:sz="6" w:space="0"/>
              <w:right w:val="single" w:color="000000" w:sz="6" w:space="0"/>
            </w:tcBorders>
            <w:noWrap w:val="0"/>
            <w:vAlign w:val="center"/>
          </w:tcPr>
          <w:p w14:paraId="18076FA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23" w:type="dxa"/>
            <w:tcBorders>
              <w:top w:val="single" w:color="000000" w:sz="6" w:space="0"/>
              <w:left w:val="single" w:color="000000" w:sz="6" w:space="0"/>
              <w:bottom w:val="single" w:color="000000" w:sz="6" w:space="0"/>
              <w:right w:val="single" w:color="000000" w:sz="6" w:space="0"/>
            </w:tcBorders>
            <w:noWrap w:val="0"/>
            <w:vAlign w:val="center"/>
          </w:tcPr>
          <w:p w14:paraId="361468E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30" w:type="dxa"/>
            <w:tcBorders>
              <w:top w:val="single" w:color="000000" w:sz="6" w:space="0"/>
              <w:left w:val="single" w:color="000000" w:sz="6" w:space="0"/>
              <w:bottom w:val="single" w:color="000000" w:sz="6" w:space="0"/>
              <w:right w:val="single" w:color="000000" w:sz="6" w:space="0"/>
            </w:tcBorders>
            <w:noWrap w:val="0"/>
            <w:vAlign w:val="center"/>
          </w:tcPr>
          <w:p w14:paraId="40851C5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79" w:type="dxa"/>
            <w:tcBorders>
              <w:top w:val="single" w:color="000000" w:sz="6" w:space="0"/>
              <w:left w:val="single" w:color="000000" w:sz="6" w:space="0"/>
              <w:bottom w:val="single" w:color="000000" w:sz="6" w:space="0"/>
              <w:right w:val="single" w:color="000000" w:sz="6" w:space="0"/>
            </w:tcBorders>
            <w:noWrap w:val="0"/>
            <w:vAlign w:val="center"/>
          </w:tcPr>
          <w:p w14:paraId="4FE3C02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00" w:type="dxa"/>
            <w:tcBorders>
              <w:top w:val="single" w:color="000000" w:sz="6" w:space="0"/>
              <w:left w:val="single" w:color="000000" w:sz="6" w:space="0"/>
              <w:bottom w:val="single" w:color="000000" w:sz="6" w:space="0"/>
              <w:right w:val="single" w:color="000000" w:sz="6" w:space="0"/>
            </w:tcBorders>
            <w:noWrap w:val="0"/>
            <w:vAlign w:val="center"/>
          </w:tcPr>
          <w:p w14:paraId="10A682D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23" w:type="dxa"/>
            <w:tcBorders>
              <w:top w:val="single" w:color="000000" w:sz="6" w:space="0"/>
              <w:left w:val="single" w:color="000000" w:sz="6" w:space="0"/>
              <w:bottom w:val="single" w:color="000000" w:sz="6" w:space="0"/>
              <w:right w:val="single" w:color="000000" w:sz="6" w:space="0"/>
            </w:tcBorders>
            <w:noWrap w:val="0"/>
            <w:vAlign w:val="center"/>
          </w:tcPr>
          <w:p w14:paraId="79C36D6E">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957" w:type="dxa"/>
            <w:tcBorders>
              <w:top w:val="single" w:color="000000" w:sz="6" w:space="0"/>
              <w:left w:val="single" w:color="000000" w:sz="6" w:space="0"/>
              <w:bottom w:val="single" w:color="000000" w:sz="6" w:space="0"/>
              <w:right w:val="single" w:color="000000" w:sz="6" w:space="0"/>
            </w:tcBorders>
            <w:noWrap w:val="0"/>
            <w:vAlign w:val="center"/>
          </w:tcPr>
          <w:p w14:paraId="6BE4D6B9">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c>
          <w:tcPr>
            <w:tcW w:w="1070" w:type="dxa"/>
            <w:tcBorders>
              <w:top w:val="single" w:color="000000" w:sz="6" w:space="0"/>
              <w:left w:val="single" w:color="000000" w:sz="6" w:space="0"/>
              <w:bottom w:val="single" w:color="000000" w:sz="6" w:space="0"/>
              <w:right w:val="single" w:color="000000" w:sz="8" w:space="0"/>
            </w:tcBorders>
            <w:noWrap w:val="0"/>
            <w:vAlign w:val="center"/>
          </w:tcPr>
          <w:p w14:paraId="236B1F45">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p>
        </w:tc>
      </w:tr>
      <w:tr w14:paraId="526A986D">
        <w:tblPrEx>
          <w:tblCellMar>
            <w:top w:w="0" w:type="dxa"/>
            <w:left w:w="28" w:type="dxa"/>
            <w:bottom w:w="0" w:type="dxa"/>
            <w:right w:w="28" w:type="dxa"/>
          </w:tblCellMar>
        </w:tblPrEx>
        <w:trPr>
          <w:trHeight w:val="23" w:hRule="atLeast"/>
          <w:jc w:val="center"/>
        </w:trPr>
        <w:tc>
          <w:tcPr>
            <w:tcW w:w="2068" w:type="dxa"/>
            <w:gridSpan w:val="2"/>
            <w:tcBorders>
              <w:top w:val="single" w:color="000000" w:sz="6" w:space="0"/>
              <w:left w:val="single" w:color="000000" w:sz="8" w:space="0"/>
              <w:bottom w:val="single" w:color="000000" w:sz="8" w:space="0"/>
              <w:right w:val="single" w:color="000000" w:sz="6" w:space="0"/>
            </w:tcBorders>
            <w:noWrap w:val="0"/>
            <w:vAlign w:val="center"/>
          </w:tcPr>
          <w:p w14:paraId="131B402B">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8137" w:type="dxa"/>
            <w:gridSpan w:val="8"/>
            <w:tcBorders>
              <w:top w:val="single" w:color="000000" w:sz="6" w:space="0"/>
              <w:left w:val="single" w:color="000000" w:sz="6" w:space="0"/>
              <w:bottom w:val="single" w:color="000000" w:sz="8" w:space="0"/>
              <w:right w:val="single" w:color="000000" w:sz="8" w:space="0"/>
            </w:tcBorders>
            <w:noWrap w:val="0"/>
            <w:vAlign w:val="center"/>
          </w:tcPr>
          <w:p w14:paraId="04C6940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14:paraId="2FA89D9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14:paraId="09DA620F">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注：</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本表应按照“第六部分  </w:t>
      </w:r>
      <w:r>
        <w:rPr>
          <w:rFonts w:hint="eastAsia" w:ascii="宋体" w:hAnsi="宋体" w:eastAsia="宋体" w:cs="宋体"/>
          <w:b/>
          <w:bCs/>
          <w:color w:val="auto"/>
          <w:kern w:val="0"/>
          <w:sz w:val="24"/>
          <w:szCs w:val="24"/>
          <w:lang w:val="zh-CN" w:eastAsia="zh-CN"/>
        </w:rPr>
        <w:t>采购项目要求</w:t>
      </w:r>
      <w:r>
        <w:rPr>
          <w:rFonts w:hint="eastAsia" w:ascii="宋体" w:hAnsi="宋体" w:eastAsia="宋体" w:cs="宋体"/>
          <w:color w:val="auto"/>
          <w:kern w:val="0"/>
          <w:sz w:val="24"/>
          <w:szCs w:val="24"/>
          <w:lang w:val="zh-CN"/>
        </w:rPr>
        <w:t>”中的</w:t>
      </w:r>
      <w:r>
        <w:rPr>
          <w:rFonts w:hint="eastAsia" w:ascii="宋体" w:hAnsi="宋体" w:eastAsia="宋体" w:cs="宋体"/>
          <w:color w:val="auto"/>
          <w:kern w:val="0"/>
          <w:sz w:val="24"/>
          <w:szCs w:val="24"/>
          <w:lang w:val="en-US" w:eastAsia="zh-CN"/>
        </w:rPr>
        <w:t>内容</w:t>
      </w:r>
      <w:r>
        <w:rPr>
          <w:rFonts w:hint="eastAsia" w:ascii="宋体" w:hAnsi="宋体" w:eastAsia="宋体" w:cs="宋体"/>
          <w:color w:val="auto"/>
          <w:kern w:val="0"/>
          <w:sz w:val="24"/>
          <w:szCs w:val="24"/>
          <w:lang w:val="zh-CN"/>
        </w:rPr>
        <w:t>逐项填写，不得遗漏，</w:t>
      </w:r>
      <w:r>
        <w:rPr>
          <w:rFonts w:hint="eastAsia" w:ascii="宋体" w:hAnsi="宋体" w:eastAsia="宋体" w:cs="宋体"/>
          <w:color w:val="auto"/>
          <w:sz w:val="24"/>
          <w:szCs w:val="24"/>
        </w:rPr>
        <w:t>否则</w:t>
      </w:r>
      <w:r>
        <w:rPr>
          <w:rFonts w:hint="eastAsia" w:ascii="宋体" w:hAnsi="宋体" w:eastAsia="宋体" w:cs="宋体"/>
          <w:color w:val="auto"/>
          <w:kern w:val="0"/>
          <w:sz w:val="24"/>
          <w:szCs w:val="24"/>
        </w:rPr>
        <w:t>，按无效投标处理</w:t>
      </w:r>
      <w:r>
        <w:rPr>
          <w:rFonts w:hint="eastAsia" w:ascii="宋体" w:hAnsi="宋体" w:eastAsia="宋体" w:cs="宋体"/>
          <w:color w:val="auto"/>
          <w:kern w:val="0"/>
          <w:sz w:val="24"/>
          <w:szCs w:val="24"/>
          <w:lang w:val="zh-CN"/>
        </w:rPr>
        <w:t>。</w:t>
      </w:r>
    </w:p>
    <w:p w14:paraId="37F324D8">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lang w:val="zh-CN"/>
        </w:rPr>
      </w:pPr>
      <w:r>
        <w:rPr>
          <w:rFonts w:hint="eastAsia" w:ascii="宋体" w:hAnsi="宋体" w:eastAsia="宋体" w:cs="宋体"/>
          <w:color w:val="auto"/>
          <w:kern w:val="0"/>
          <w:sz w:val="24"/>
          <w:szCs w:val="24"/>
        </w:rPr>
        <w:t xml:space="preserve">    2.</w:t>
      </w:r>
      <w:r>
        <w:rPr>
          <w:rFonts w:hint="eastAsia" w:ascii="宋体" w:hAnsi="宋体" w:eastAsia="宋体" w:cs="宋体"/>
          <w:color w:val="auto"/>
          <w:kern w:val="0"/>
          <w:sz w:val="24"/>
          <w:szCs w:val="24"/>
          <w:lang w:val="zh-CN"/>
        </w:rPr>
        <w:t>投标报价不能有两个或两个以上的报价方案。</w:t>
      </w:r>
    </w:p>
    <w:p w14:paraId="50E59C91">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b/>
          <w:bCs/>
          <w:color w:val="auto"/>
          <w:kern w:val="0"/>
          <w:lang w:val="zh-CN"/>
        </w:rPr>
      </w:pPr>
    </w:p>
    <w:p w14:paraId="2CE40F43">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b/>
          <w:bCs/>
          <w:color w:val="auto"/>
          <w:kern w:val="0"/>
          <w:lang w:val="zh-CN"/>
        </w:rPr>
      </w:pPr>
    </w:p>
    <w:p w14:paraId="34DE1410">
      <w:pPr>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color w:val="auto"/>
          <w:kern w:val="0"/>
          <w:lang w:val="zh-CN"/>
        </w:rPr>
      </w:pPr>
    </w:p>
    <w:p w14:paraId="7F8AF492">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2ED2EC6">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15DF112D">
      <w:pPr>
        <w:pStyle w:val="10"/>
        <w:keepNext w:val="0"/>
        <w:keepLines w:val="0"/>
        <w:pageBreakBefore w:val="0"/>
        <w:widowControl w:val="0"/>
        <w:kinsoku/>
        <w:wordWrap/>
        <w:overflowPunct/>
        <w:topLinePunct w:val="0"/>
        <w:bidi w:val="0"/>
        <w:adjustRightInd/>
        <w:snapToGrid/>
        <w:spacing w:after="0"/>
        <w:ind w:left="0" w:firstLine="0" w:firstLineChars="0"/>
        <w:jc w:val="center"/>
        <w:textAlignment w:val="auto"/>
        <w:rPr>
          <w:rFonts w:hint="eastAsia" w:ascii="宋体" w:hAnsi="宋体" w:eastAsia="宋体" w:cs="宋体"/>
          <w:color w:val="auto"/>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0CB9AF9">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5238A7A4">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85" w:name="_Toc6345"/>
      <w:bookmarkStart w:id="186" w:name="_Toc14675"/>
      <w:bookmarkStart w:id="187" w:name="_Toc13693"/>
      <w:r>
        <w:rPr>
          <w:rFonts w:hint="eastAsia" w:ascii="宋体" w:hAnsi="宋体" w:eastAsia="宋体" w:cs="宋体"/>
          <w:b/>
          <w:color w:val="auto"/>
          <w:sz w:val="24"/>
          <w:szCs w:val="24"/>
        </w:rPr>
        <w:t>附件</w:t>
      </w:r>
      <w:bookmarkStart w:id="188" w:name="_Toc376936774"/>
      <w:bookmarkStart w:id="189" w:name="_Toc325726043"/>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：法定代表人证明书</w:t>
      </w:r>
      <w:bookmarkEnd w:id="185"/>
      <w:bookmarkEnd w:id="186"/>
      <w:bookmarkEnd w:id="187"/>
      <w:bookmarkEnd w:id="188"/>
      <w:bookmarkEnd w:id="189"/>
    </w:p>
    <w:p w14:paraId="5636AFC0">
      <w:pPr>
        <w:spacing w:line="360" w:lineRule="auto"/>
        <w:ind w:firstLine="0" w:firstLineChars="0"/>
        <w:jc w:val="center"/>
        <w:rPr>
          <w:rFonts w:hint="eastAsia" w:ascii="宋体" w:hAnsi="宋体" w:eastAsia="宋体" w:cs="宋体"/>
          <w:b/>
          <w:bCs/>
          <w:color w:val="auto"/>
          <w:sz w:val="24"/>
          <w:szCs w:val="24"/>
        </w:rPr>
      </w:pPr>
    </w:p>
    <w:p w14:paraId="06707C0F">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14:paraId="39265D35">
      <w:pPr>
        <w:spacing w:line="360" w:lineRule="auto"/>
        <w:ind w:firstLine="0" w:firstLineChars="0"/>
        <w:rPr>
          <w:rFonts w:hint="eastAsia" w:ascii="宋体" w:hAnsi="宋体" w:eastAsia="宋体" w:cs="宋体"/>
          <w:b/>
          <w:bCs/>
          <w:color w:val="auto"/>
          <w:sz w:val="24"/>
          <w:szCs w:val="24"/>
        </w:rPr>
      </w:pPr>
    </w:p>
    <w:p w14:paraId="00C62D19">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521AFF29">
      <w:pPr>
        <w:autoSpaceDE w:val="0"/>
        <w:autoSpaceDN w:val="0"/>
        <w:spacing w:line="360" w:lineRule="auto"/>
        <w:ind w:firstLine="0" w:firstLineChars="0"/>
        <w:jc w:val="left"/>
        <w:rPr>
          <w:rFonts w:hint="eastAsia" w:ascii="宋体" w:hAnsi="宋体" w:eastAsia="宋体" w:cs="宋体"/>
          <w:color w:val="auto"/>
          <w:sz w:val="24"/>
          <w:szCs w:val="24"/>
        </w:rPr>
      </w:pPr>
    </w:p>
    <w:p w14:paraId="3D313C7F">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职务，为法定代表人，特此证明。</w:t>
      </w:r>
    </w:p>
    <w:p w14:paraId="5EE3CC37">
      <w:pPr>
        <w:autoSpaceDE w:val="0"/>
        <w:autoSpaceDN w:val="0"/>
        <w:spacing w:line="360" w:lineRule="auto"/>
        <w:ind w:firstLine="0" w:firstLineChars="0"/>
        <w:jc w:val="left"/>
        <w:rPr>
          <w:rFonts w:hint="eastAsia" w:ascii="宋体" w:hAnsi="宋体" w:eastAsia="宋体" w:cs="宋体"/>
          <w:color w:val="auto"/>
          <w:sz w:val="24"/>
          <w:szCs w:val="24"/>
        </w:rPr>
      </w:pPr>
    </w:p>
    <w:p w14:paraId="37B72C32">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6F0330AA">
      <w:pPr>
        <w:autoSpaceDE w:val="0"/>
        <w:autoSpaceDN w:val="0"/>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p>
    <w:p w14:paraId="2D0D0473">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p>
    <w:p w14:paraId="582E3590">
      <w:pPr>
        <w:autoSpaceDE w:val="0"/>
        <w:autoSpaceDN w:val="0"/>
        <w:spacing w:line="360" w:lineRule="auto"/>
        <w:ind w:firstLine="0" w:firstLineChars="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lang w:val="en-US" w:eastAsia="zh-CN"/>
        </w:rPr>
        <w:t xml:space="preserve">                           </w:t>
      </w:r>
    </w:p>
    <w:p w14:paraId="0B81A754">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附法定代表人第二代身份证双面扫描件</w:t>
      </w:r>
    </w:p>
    <w:p w14:paraId="48893043">
      <w:pPr>
        <w:autoSpaceDE w:val="0"/>
        <w:autoSpaceDN w:val="0"/>
        <w:spacing w:line="360" w:lineRule="auto"/>
        <w:ind w:firstLine="0" w:firstLineChars="0"/>
        <w:jc w:val="left"/>
        <w:rPr>
          <w:rFonts w:hint="eastAsia" w:ascii="宋体" w:hAnsi="宋体" w:eastAsia="宋体" w:cs="宋体"/>
          <w:color w:val="auto"/>
          <w:sz w:val="24"/>
          <w:szCs w:val="24"/>
        </w:rPr>
      </w:pPr>
    </w:p>
    <w:p w14:paraId="08A4663F">
      <w:pPr>
        <w:autoSpaceDE w:val="0"/>
        <w:autoSpaceDN w:val="0"/>
        <w:spacing w:line="360" w:lineRule="auto"/>
        <w:ind w:firstLine="0" w:firstLineChars="0"/>
        <w:jc w:val="left"/>
        <w:rPr>
          <w:rFonts w:hint="eastAsia" w:ascii="宋体" w:hAnsi="宋体" w:eastAsia="宋体" w:cs="宋体"/>
          <w:color w:val="auto"/>
          <w:sz w:val="24"/>
          <w:szCs w:val="24"/>
        </w:rPr>
      </w:pPr>
    </w:p>
    <w:p w14:paraId="2989CA7D">
      <w:pPr>
        <w:autoSpaceDE w:val="0"/>
        <w:autoSpaceDN w:val="0"/>
        <w:spacing w:line="360" w:lineRule="auto"/>
        <w:ind w:firstLine="0" w:firstLineChars="0"/>
        <w:jc w:val="left"/>
        <w:rPr>
          <w:rFonts w:hint="eastAsia" w:ascii="宋体" w:hAnsi="宋体" w:eastAsia="宋体" w:cs="宋体"/>
          <w:color w:val="auto"/>
          <w:sz w:val="24"/>
          <w:szCs w:val="24"/>
        </w:rPr>
      </w:pPr>
    </w:p>
    <w:p w14:paraId="2A5E08B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103D6D36">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5EC73854">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120242D">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0" w:name="_Toc324756736"/>
      <w:bookmarkStart w:id="191" w:name="_Toc201287639"/>
      <w:bookmarkStart w:id="192" w:name="_Toc16776"/>
      <w:bookmarkStart w:id="193" w:name="_Toc29201"/>
      <w:bookmarkStart w:id="194" w:name="_Toc31614"/>
      <w:r>
        <w:rPr>
          <w:rFonts w:hint="eastAsia" w:ascii="宋体" w:hAnsi="宋体" w:eastAsia="宋体" w:cs="宋体"/>
          <w:b/>
          <w:color w:val="auto"/>
          <w:sz w:val="24"/>
          <w:szCs w:val="24"/>
        </w:rPr>
        <w:t>附件</w:t>
      </w:r>
      <w:bookmarkEnd w:id="190"/>
      <w:bookmarkEnd w:id="191"/>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：法定代表人授权书</w:t>
      </w:r>
      <w:bookmarkEnd w:id="192"/>
      <w:bookmarkEnd w:id="193"/>
      <w:bookmarkEnd w:id="194"/>
    </w:p>
    <w:p w14:paraId="0B14C654">
      <w:pPr>
        <w:spacing w:line="360" w:lineRule="auto"/>
        <w:ind w:firstLine="0" w:firstLineChars="0"/>
        <w:rPr>
          <w:rFonts w:hint="eastAsia" w:ascii="宋体" w:hAnsi="宋体" w:eastAsia="宋体" w:cs="宋体"/>
          <w:b/>
          <w:color w:val="auto"/>
          <w:sz w:val="24"/>
          <w:szCs w:val="24"/>
        </w:rPr>
      </w:pPr>
    </w:p>
    <w:p w14:paraId="7E9AEE91">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731428DE">
      <w:pPr>
        <w:spacing w:line="360" w:lineRule="auto"/>
        <w:ind w:firstLine="0" w:firstLineChars="0"/>
        <w:rPr>
          <w:rFonts w:hint="eastAsia" w:ascii="宋体" w:hAnsi="宋体" w:eastAsia="宋体" w:cs="宋体"/>
          <w:b/>
          <w:bCs/>
          <w:color w:val="auto"/>
          <w:sz w:val="24"/>
          <w:szCs w:val="24"/>
        </w:rPr>
      </w:pPr>
    </w:p>
    <w:p w14:paraId="771F35E7">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766D462C">
      <w:pPr>
        <w:spacing w:line="360" w:lineRule="auto"/>
        <w:ind w:firstLine="0" w:firstLineChars="0"/>
        <w:rPr>
          <w:rFonts w:hint="eastAsia" w:ascii="宋体" w:hAnsi="宋体" w:eastAsia="宋体" w:cs="宋体"/>
          <w:color w:val="auto"/>
          <w:sz w:val="24"/>
          <w:szCs w:val="24"/>
          <w:u w:val="single"/>
        </w:rPr>
      </w:pPr>
    </w:p>
    <w:p w14:paraId="36E47A3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p>
    <w:p w14:paraId="051F97E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项目的磋商、答疑等具体工作，并签署全部有关的文件、资料。</w:t>
      </w:r>
    </w:p>
    <w:p w14:paraId="06E565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5CA189F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在撤销授权的书面通知以前，本授权书一直有效，被授权人签署的所有文件不因授权的撤销而失效。</w:t>
      </w:r>
    </w:p>
    <w:p w14:paraId="69428FB9">
      <w:pPr>
        <w:spacing w:line="360" w:lineRule="auto"/>
        <w:ind w:firstLine="0" w:firstLineChars="0"/>
        <w:rPr>
          <w:rFonts w:hint="eastAsia" w:ascii="宋体" w:hAnsi="宋体" w:eastAsia="宋体" w:cs="宋体"/>
          <w:color w:val="auto"/>
          <w:sz w:val="24"/>
          <w:szCs w:val="24"/>
        </w:rPr>
      </w:pPr>
    </w:p>
    <w:p w14:paraId="741B2F90">
      <w:pPr>
        <w:spacing w:line="360" w:lineRule="auto"/>
        <w:ind w:firstLine="0" w:firstLineChars="0"/>
        <w:rPr>
          <w:rFonts w:hint="eastAsia" w:ascii="宋体" w:hAnsi="宋体" w:eastAsia="宋体" w:cs="宋体"/>
          <w:color w:val="auto"/>
          <w:sz w:val="24"/>
          <w:szCs w:val="24"/>
        </w:rPr>
      </w:pPr>
    </w:p>
    <w:p w14:paraId="6D921937">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lang w:val="en-US" w:eastAsia="zh-CN"/>
        </w:rPr>
        <w:t xml:space="preserve">             </w:t>
      </w:r>
    </w:p>
    <w:p w14:paraId="4EE1DA0D">
      <w:pPr>
        <w:spacing w:line="360" w:lineRule="auto"/>
        <w:ind w:firstLine="0" w:firstLineChars="0"/>
        <w:rPr>
          <w:rFonts w:hint="eastAsia" w:ascii="宋体" w:hAnsi="宋体" w:eastAsia="宋体" w:cs="宋体"/>
          <w:color w:val="auto"/>
          <w:sz w:val="24"/>
          <w:szCs w:val="24"/>
        </w:rPr>
      </w:pPr>
    </w:p>
    <w:p w14:paraId="3084B112">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授权人（法定代表人）签字：</w:t>
      </w:r>
      <w:r>
        <w:rPr>
          <w:rFonts w:hint="eastAsia" w:ascii="宋体" w:hAnsi="宋体" w:eastAsia="宋体" w:cs="宋体"/>
          <w:color w:val="auto"/>
          <w:sz w:val="24"/>
          <w:szCs w:val="24"/>
          <w:u w:val="single"/>
          <w:lang w:val="en-US" w:eastAsia="zh-CN"/>
        </w:rPr>
        <w:t xml:space="preserve">      </w:t>
      </w:r>
    </w:p>
    <w:p w14:paraId="0D63F95D">
      <w:pPr>
        <w:spacing w:line="360" w:lineRule="auto"/>
        <w:ind w:firstLine="0" w:firstLineChars="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p>
    <w:p w14:paraId="2BDF2B42">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附被授权人第二代身份证双面扫描件</w:t>
      </w:r>
    </w:p>
    <w:p w14:paraId="22DF98DE">
      <w:pPr>
        <w:spacing w:line="360" w:lineRule="auto"/>
        <w:ind w:firstLine="0" w:firstLineChars="0"/>
        <w:rPr>
          <w:rFonts w:hint="eastAsia" w:ascii="宋体" w:hAnsi="宋体" w:eastAsia="宋体" w:cs="宋体"/>
          <w:color w:val="auto"/>
          <w:sz w:val="24"/>
          <w:szCs w:val="24"/>
        </w:rPr>
      </w:pPr>
    </w:p>
    <w:p w14:paraId="2342997B">
      <w:pPr>
        <w:spacing w:line="360" w:lineRule="auto"/>
        <w:ind w:firstLine="0" w:firstLineChars="0"/>
        <w:rPr>
          <w:rFonts w:hint="eastAsia" w:ascii="宋体" w:hAnsi="宋体" w:eastAsia="宋体" w:cs="宋体"/>
          <w:color w:val="auto"/>
          <w:sz w:val="24"/>
          <w:szCs w:val="24"/>
        </w:rPr>
      </w:pPr>
    </w:p>
    <w:p w14:paraId="3C89FE02">
      <w:pPr>
        <w:spacing w:line="360" w:lineRule="auto"/>
        <w:ind w:firstLine="0" w:firstLineChars="0"/>
        <w:rPr>
          <w:rFonts w:hint="eastAsia" w:ascii="宋体" w:hAnsi="宋体" w:eastAsia="宋体" w:cs="宋体"/>
          <w:color w:val="auto"/>
          <w:sz w:val="24"/>
          <w:szCs w:val="24"/>
        </w:rPr>
      </w:pPr>
    </w:p>
    <w:p w14:paraId="587775A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806282F">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5409AB2">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436983E6">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5" w:name="_Toc32710"/>
      <w:bookmarkStart w:id="196" w:name="_Toc30284"/>
      <w:bookmarkStart w:id="197" w:name="_Toc25884"/>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：供应商承诺函</w:t>
      </w:r>
      <w:bookmarkEnd w:id="195"/>
      <w:bookmarkEnd w:id="196"/>
      <w:bookmarkEnd w:id="197"/>
    </w:p>
    <w:p w14:paraId="51CEB0C7">
      <w:pPr>
        <w:spacing w:line="360" w:lineRule="auto"/>
        <w:ind w:firstLine="0" w:firstLineChars="0"/>
        <w:jc w:val="center"/>
        <w:rPr>
          <w:rFonts w:hint="eastAsia" w:ascii="宋体" w:hAnsi="宋体" w:eastAsia="宋体" w:cs="宋体"/>
          <w:b/>
          <w:bCs/>
          <w:color w:val="auto"/>
          <w:sz w:val="24"/>
          <w:szCs w:val="24"/>
        </w:rPr>
      </w:pPr>
    </w:p>
    <w:p w14:paraId="24C03EAC">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14:paraId="106D1953">
      <w:pPr>
        <w:spacing w:line="360" w:lineRule="auto"/>
        <w:ind w:firstLine="0" w:firstLineChars="0"/>
        <w:rPr>
          <w:rFonts w:hint="eastAsia" w:ascii="宋体" w:hAnsi="宋体" w:eastAsia="宋体" w:cs="宋体"/>
          <w:b/>
          <w:bCs/>
          <w:color w:val="auto"/>
          <w:sz w:val="24"/>
          <w:szCs w:val="24"/>
        </w:rPr>
      </w:pPr>
    </w:p>
    <w:p w14:paraId="4D980ECA">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0B8A713F">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lang w:eastAsia="zh-CN"/>
        </w:rPr>
        <w:t>青海鼎钊竞磋（服务）2024-047</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14:paraId="5890694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完全理解和接受磋商文件的一切规定和要求；</w:t>
      </w:r>
    </w:p>
    <w:p w14:paraId="39930ED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481111FB">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在整个磋商过程中我方若有违规行为，贵方可按磋商文件之规定给予处罚，我方完全接受。</w:t>
      </w:r>
    </w:p>
    <w:p w14:paraId="232D15A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若成交，本承诺将成为合同不可分割的一部分，与合同具有同等的法律效力。</w:t>
      </w:r>
    </w:p>
    <w:p w14:paraId="193DC869">
      <w:pPr>
        <w:spacing w:line="360" w:lineRule="auto"/>
        <w:ind w:firstLine="0" w:firstLineChars="0"/>
        <w:textAlignment w:val="baseline"/>
        <w:rPr>
          <w:rFonts w:hint="eastAsia" w:ascii="宋体" w:hAnsi="宋体" w:eastAsia="宋体" w:cs="宋体"/>
          <w:color w:val="auto"/>
          <w:sz w:val="24"/>
          <w:szCs w:val="24"/>
          <w:lang w:val="en-US" w:eastAsia="zh-CN"/>
        </w:rPr>
      </w:pPr>
    </w:p>
    <w:p w14:paraId="50219C0D">
      <w:pPr>
        <w:pStyle w:val="8"/>
        <w:ind w:left="0" w:leftChars="0" w:firstLine="0" w:firstLineChars="0"/>
        <w:rPr>
          <w:rFonts w:hint="eastAsia" w:ascii="宋体" w:hAnsi="宋体" w:eastAsia="宋体" w:cs="宋体"/>
          <w:color w:val="auto"/>
          <w:lang w:val="en-US" w:eastAsia="zh-CN"/>
        </w:rPr>
      </w:pPr>
    </w:p>
    <w:p w14:paraId="4DE87B05">
      <w:pPr>
        <w:spacing w:line="360" w:lineRule="auto"/>
        <w:ind w:firstLine="0" w:firstLineChars="0"/>
        <w:textAlignment w:val="baseline"/>
        <w:rPr>
          <w:rFonts w:hint="eastAsia" w:ascii="宋体" w:hAnsi="宋体" w:eastAsia="宋体" w:cs="宋体"/>
          <w:color w:val="auto"/>
          <w:sz w:val="24"/>
          <w:szCs w:val="24"/>
        </w:rPr>
      </w:pPr>
    </w:p>
    <w:p w14:paraId="0EAC1E4E">
      <w:pPr>
        <w:spacing w:line="360" w:lineRule="auto"/>
        <w:ind w:firstLine="0" w:firstLineChars="0"/>
        <w:textAlignment w:val="baseline"/>
        <w:rPr>
          <w:rFonts w:hint="eastAsia" w:ascii="宋体" w:hAnsi="宋体" w:eastAsia="宋体" w:cs="宋体"/>
          <w:color w:val="auto"/>
          <w:sz w:val="24"/>
          <w:szCs w:val="24"/>
        </w:rPr>
      </w:pPr>
    </w:p>
    <w:p w14:paraId="7577E01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1B7E67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24B419F3">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AB9099A">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204F8DCC">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98" w:name="_Toc25034"/>
      <w:bookmarkStart w:id="199" w:name="_Toc11349"/>
      <w:bookmarkStart w:id="200" w:name="_Toc11173"/>
      <w:r>
        <w:rPr>
          <w:rFonts w:hint="eastAsia" w:ascii="宋体" w:hAnsi="宋体" w:eastAsia="宋体" w:cs="宋体"/>
          <w:b/>
          <w:color w:val="auto"/>
          <w:sz w:val="24"/>
          <w:szCs w:val="24"/>
        </w:rPr>
        <w:t>附件</w:t>
      </w:r>
      <w:bookmarkStart w:id="201" w:name="_Toc351475542"/>
      <w:bookmarkStart w:id="202" w:name="_Toc376936779"/>
      <w:bookmarkStart w:id="203" w:name="_Toc365019584"/>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：供应商诚信承诺书</w:t>
      </w:r>
      <w:bookmarkEnd w:id="198"/>
      <w:bookmarkEnd w:id="199"/>
      <w:bookmarkEnd w:id="200"/>
      <w:bookmarkEnd w:id="201"/>
      <w:bookmarkEnd w:id="202"/>
      <w:bookmarkEnd w:id="203"/>
    </w:p>
    <w:p w14:paraId="3D6301B3">
      <w:pPr>
        <w:spacing w:line="360" w:lineRule="auto"/>
        <w:ind w:firstLine="0" w:firstLineChars="0"/>
        <w:rPr>
          <w:rFonts w:hint="eastAsia" w:ascii="宋体" w:hAnsi="宋体" w:eastAsia="宋体" w:cs="宋体"/>
          <w:color w:val="auto"/>
          <w:sz w:val="24"/>
          <w:szCs w:val="24"/>
        </w:rPr>
      </w:pPr>
    </w:p>
    <w:p w14:paraId="62BABB20">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14:paraId="194BA404">
      <w:pPr>
        <w:spacing w:line="360" w:lineRule="auto"/>
        <w:ind w:firstLine="0" w:firstLineChars="0"/>
        <w:rPr>
          <w:rFonts w:hint="eastAsia" w:ascii="宋体" w:hAnsi="宋体" w:eastAsia="宋体" w:cs="宋体"/>
          <w:b/>
          <w:color w:val="auto"/>
          <w:sz w:val="24"/>
          <w:szCs w:val="24"/>
        </w:rPr>
      </w:pPr>
    </w:p>
    <w:p w14:paraId="30DDDF56">
      <w:pPr>
        <w:spacing w:line="360" w:lineRule="auto"/>
        <w:ind w:firstLine="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致：</w:t>
      </w:r>
      <w:r>
        <w:rPr>
          <w:rFonts w:hint="eastAsia" w:ascii="宋体" w:hAnsi="宋体" w:eastAsia="宋体" w:cs="宋体"/>
          <w:b/>
          <w:bCs/>
          <w:color w:val="auto"/>
          <w:sz w:val="24"/>
          <w:szCs w:val="24"/>
          <w:lang w:eastAsia="zh-CN"/>
        </w:rPr>
        <w:t>青海鼎钊招标代理有限公司</w:t>
      </w:r>
    </w:p>
    <w:p w14:paraId="7A75908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1286A1F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14:paraId="6D2BF443">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青海鼎钊招标代理有限公司</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14:paraId="4454484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28BA217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14:paraId="3271BD48">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D62BCF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14:paraId="7130E491">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14:paraId="2B7DFA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14:paraId="16515EAB">
      <w:pPr>
        <w:spacing w:line="360" w:lineRule="auto"/>
        <w:ind w:firstLine="0" w:firstLineChars="0"/>
        <w:rPr>
          <w:rFonts w:hint="eastAsia" w:ascii="宋体" w:hAnsi="宋体" w:eastAsia="宋体" w:cs="宋体"/>
          <w:color w:val="auto"/>
          <w:sz w:val="24"/>
          <w:szCs w:val="24"/>
        </w:rPr>
      </w:pPr>
    </w:p>
    <w:p w14:paraId="7327A0F1">
      <w:pPr>
        <w:spacing w:line="360" w:lineRule="auto"/>
        <w:ind w:firstLine="0" w:firstLineChars="0"/>
        <w:textAlignment w:val="baseline"/>
        <w:rPr>
          <w:rFonts w:hint="eastAsia" w:ascii="宋体" w:hAnsi="宋体" w:eastAsia="宋体" w:cs="宋体"/>
          <w:color w:val="auto"/>
          <w:sz w:val="24"/>
          <w:szCs w:val="24"/>
        </w:rPr>
      </w:pPr>
    </w:p>
    <w:p w14:paraId="2FE1BAFF">
      <w:pPr>
        <w:spacing w:line="360" w:lineRule="auto"/>
        <w:ind w:firstLine="0" w:firstLineChars="0"/>
        <w:textAlignment w:val="baseline"/>
        <w:rPr>
          <w:rFonts w:hint="eastAsia" w:ascii="宋体" w:hAnsi="宋体" w:eastAsia="宋体" w:cs="宋体"/>
          <w:color w:val="auto"/>
          <w:sz w:val="24"/>
          <w:szCs w:val="24"/>
        </w:rPr>
      </w:pPr>
    </w:p>
    <w:p w14:paraId="7A1C02B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1BEEEAE3">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CA9D43B">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6AFC702B">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6A822AC7">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4" w:name="_Toc21239"/>
      <w:bookmarkStart w:id="205" w:name="_Toc7486"/>
      <w:bookmarkStart w:id="206" w:name="_Toc25993"/>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：资格证明材料</w:t>
      </w:r>
      <w:bookmarkEnd w:id="204"/>
      <w:bookmarkEnd w:id="205"/>
      <w:bookmarkEnd w:id="206"/>
    </w:p>
    <w:p w14:paraId="33BBE05C">
      <w:pPr>
        <w:spacing w:line="360" w:lineRule="auto"/>
        <w:ind w:firstLine="0" w:firstLineChars="0"/>
        <w:rPr>
          <w:rFonts w:hint="eastAsia" w:ascii="宋体" w:hAnsi="宋体" w:eastAsia="宋体" w:cs="宋体"/>
          <w:color w:val="auto"/>
          <w:sz w:val="24"/>
          <w:szCs w:val="24"/>
        </w:rPr>
      </w:pPr>
    </w:p>
    <w:p w14:paraId="10B12BA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14:paraId="1619FFE1">
      <w:pPr>
        <w:autoSpaceDE w:val="0"/>
        <w:autoSpaceDN w:val="0"/>
        <w:spacing w:line="360" w:lineRule="auto"/>
        <w:ind w:firstLine="0" w:firstLineChars="0"/>
        <w:rPr>
          <w:rFonts w:hint="eastAsia" w:ascii="宋体" w:hAnsi="宋体" w:eastAsia="宋体" w:cs="宋体"/>
          <w:color w:val="auto"/>
          <w:sz w:val="24"/>
          <w:szCs w:val="24"/>
          <w:lang w:val="zh-CN"/>
        </w:rPr>
      </w:pPr>
    </w:p>
    <w:p w14:paraId="30447184">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1AD8B963">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5A95DFB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14:paraId="1D58B36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文件规定的有关资格证书、许可证书、认证等；</w:t>
      </w:r>
    </w:p>
    <w:p w14:paraId="4E557ED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认为有必要提供的其他资格证明文件。</w:t>
      </w:r>
    </w:p>
    <w:p w14:paraId="0B80C2A4">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5B91EEA5">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07" w:name="_Toc32130"/>
      <w:bookmarkStart w:id="208" w:name="_Toc12657"/>
      <w:bookmarkStart w:id="209" w:name="_Toc19128"/>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：财务状况证明</w:t>
      </w:r>
      <w:bookmarkEnd w:id="207"/>
      <w:bookmarkEnd w:id="208"/>
      <w:bookmarkEnd w:id="209"/>
    </w:p>
    <w:p w14:paraId="2EDA455B">
      <w:pPr>
        <w:autoSpaceDE w:val="0"/>
        <w:autoSpaceDN w:val="0"/>
        <w:spacing w:line="360" w:lineRule="auto"/>
        <w:ind w:firstLine="0" w:firstLineChars="0"/>
        <w:jc w:val="center"/>
        <w:rPr>
          <w:rFonts w:hint="eastAsia" w:ascii="宋体" w:hAnsi="宋体" w:eastAsia="宋体" w:cs="宋体"/>
          <w:b/>
          <w:color w:val="auto"/>
          <w:sz w:val="24"/>
          <w:szCs w:val="24"/>
        </w:rPr>
      </w:pPr>
    </w:p>
    <w:p w14:paraId="2D1EF9EE">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14:paraId="19A1FA30">
      <w:pPr>
        <w:autoSpaceDE w:val="0"/>
        <w:autoSpaceDN w:val="0"/>
        <w:spacing w:line="360" w:lineRule="auto"/>
        <w:ind w:firstLine="0" w:firstLineChars="0"/>
        <w:jc w:val="center"/>
        <w:rPr>
          <w:rFonts w:hint="eastAsia" w:ascii="宋体" w:hAnsi="宋体" w:eastAsia="宋体" w:cs="宋体"/>
          <w:b/>
          <w:color w:val="auto"/>
          <w:sz w:val="24"/>
          <w:szCs w:val="24"/>
        </w:rPr>
      </w:pPr>
    </w:p>
    <w:p w14:paraId="615358FB">
      <w:pPr>
        <w:wordWrap w:val="0"/>
        <w:spacing w:line="360" w:lineRule="auto"/>
        <w:ind w:firstLine="480"/>
        <w:rPr>
          <w:rFonts w:hint="eastAsia" w:ascii="宋体" w:hAnsi="宋体" w:eastAsia="宋体" w:cs="宋体"/>
          <w:color w:val="auto"/>
          <w:sz w:val="24"/>
          <w:lang w:val="zh-CN" w:eastAsia="zh-CN"/>
        </w:rPr>
      </w:pPr>
      <w:r>
        <w:rPr>
          <w:rFonts w:hint="eastAsia" w:ascii="宋体" w:hAnsi="宋体" w:eastAsia="宋体" w:cs="宋体"/>
          <w:color w:val="auto"/>
          <w:sz w:val="24"/>
          <w:lang w:val="zh-CN"/>
        </w:rPr>
        <w:t>按照磋商文件“第一部分  投标邀请”各包供应商资格要求</w:t>
      </w:r>
      <w:r>
        <w:rPr>
          <w:rFonts w:hint="eastAsia" w:ascii="宋体" w:hAnsi="宋体" w:eastAsia="宋体" w:cs="宋体"/>
          <w:color w:val="auto"/>
          <w:sz w:val="24"/>
          <w:lang w:val="zh-CN" w:eastAsia="zh-CN"/>
        </w:rPr>
        <w:t>1、</w:t>
      </w:r>
      <w:r>
        <w:rPr>
          <w:rFonts w:hint="eastAsia" w:ascii="宋体" w:hAnsi="宋体" w:eastAsia="宋体" w:cs="宋体"/>
          <w:color w:val="auto"/>
          <w:sz w:val="24"/>
          <w:lang w:val="zh-CN"/>
        </w:rPr>
        <w:t>中第（</w:t>
      </w:r>
      <w:r>
        <w:rPr>
          <w:rFonts w:hint="eastAsia" w:ascii="宋体" w:hAnsi="宋体" w:eastAsia="宋体" w:cs="宋体"/>
          <w:color w:val="auto"/>
          <w:sz w:val="24"/>
          <w:lang w:val="zh-CN" w:eastAsia="zh-CN"/>
        </w:rPr>
        <w:t>2</w:t>
      </w:r>
      <w:r>
        <w:rPr>
          <w:rFonts w:hint="eastAsia" w:ascii="宋体" w:hAnsi="宋体" w:eastAsia="宋体" w:cs="宋体"/>
          <w:color w:val="auto"/>
          <w:sz w:val="24"/>
          <w:lang w:val="zh-CN"/>
        </w:rPr>
        <w:t>）条规定提供以下相关材料</w:t>
      </w:r>
      <w:r>
        <w:rPr>
          <w:rFonts w:hint="eastAsia" w:ascii="宋体" w:hAnsi="宋体" w:eastAsia="宋体" w:cs="宋体"/>
          <w:color w:val="auto"/>
          <w:sz w:val="24"/>
          <w:lang w:val="zh-CN" w:eastAsia="zh-CN"/>
        </w:rPr>
        <w:t>：</w:t>
      </w:r>
    </w:p>
    <w:p w14:paraId="4821F361">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是法人的，提供基本开户银行近三个月内出具的资信证明（同时提供基本存款账户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）或20</w:t>
      </w:r>
      <w:r>
        <w:rPr>
          <w:rFonts w:hint="eastAsia" w:ascii="宋体" w:hAnsi="宋体" w:eastAsia="宋体" w:cs="宋体"/>
          <w:color w:val="auto"/>
          <w:sz w:val="24"/>
          <w:lang w:val="en-US" w:eastAsia="zh-CN"/>
        </w:rPr>
        <w:t>23</w:t>
      </w:r>
      <w:r>
        <w:rPr>
          <w:rFonts w:hint="eastAsia" w:ascii="宋体" w:hAnsi="宋体" w:eastAsia="宋体" w:cs="宋体"/>
          <w:color w:val="auto"/>
          <w:sz w:val="24"/>
          <w:lang w:val="zh-CN"/>
        </w:rPr>
        <w:t>年度经第三方审计的财务状况报告（扫描或复印件应全面、完整、清晰），包括资产负债表、现金流量表、利润表和财务（会计）报表附注，并提供第三方机构的营业执照、执业证书。</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是其他组织和自然人，没有经审计的财务报告，可以提供基本开户银行出具的资信证明（同时提供基本存款账户</w:t>
      </w:r>
      <w:r>
        <w:rPr>
          <w:rFonts w:hint="eastAsia" w:ascii="宋体" w:hAnsi="宋体" w:eastAsia="宋体" w:cs="宋体"/>
          <w:color w:val="auto"/>
          <w:sz w:val="24"/>
          <w:lang w:val="zh-CN" w:eastAsia="zh-CN"/>
        </w:rPr>
        <w:t>信息</w:t>
      </w:r>
      <w:r>
        <w:rPr>
          <w:rFonts w:hint="eastAsia" w:ascii="宋体" w:hAnsi="宋体" w:eastAsia="宋体" w:cs="宋体"/>
          <w:color w:val="auto"/>
          <w:sz w:val="24"/>
          <w:lang w:val="zh-CN"/>
        </w:rPr>
        <w:t>）。</w:t>
      </w:r>
    </w:p>
    <w:p w14:paraId="6B9B6E7E">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2、近半年内</w:t>
      </w:r>
      <w:r>
        <w:rPr>
          <w:rFonts w:hint="eastAsia" w:ascii="宋体" w:hAnsi="宋体" w:eastAsia="宋体" w:cs="宋体"/>
          <w:color w:val="auto"/>
          <w:sz w:val="24"/>
          <w:lang w:val="en-US" w:eastAsia="zh-CN"/>
        </w:rPr>
        <w:t>至少1个月的</w:t>
      </w:r>
      <w:r>
        <w:rPr>
          <w:rFonts w:hint="eastAsia" w:ascii="宋体" w:hAnsi="宋体" w:eastAsia="宋体" w:cs="宋体"/>
          <w:color w:val="auto"/>
          <w:sz w:val="24"/>
          <w:lang w:val="zh-CN"/>
        </w:rPr>
        <w:t>依法缴纳税收和社会保障资金记录的证明材料；依法免税或不需要缴纳社会保障资金的</w:t>
      </w:r>
      <w:r>
        <w:rPr>
          <w:rFonts w:hint="eastAsia" w:ascii="宋体" w:hAnsi="宋体" w:eastAsia="宋体" w:cs="宋体"/>
          <w:color w:val="auto"/>
          <w:sz w:val="24"/>
          <w:lang w:val="zh-CN" w:eastAsia="zh-CN"/>
        </w:rPr>
        <w:t>供应商</w:t>
      </w:r>
      <w:r>
        <w:rPr>
          <w:rFonts w:hint="eastAsia" w:ascii="宋体" w:hAnsi="宋体" w:eastAsia="宋体" w:cs="宋体"/>
          <w:color w:val="auto"/>
          <w:sz w:val="24"/>
          <w:lang w:val="zh-CN"/>
        </w:rPr>
        <w:t>须提供相应文件证明其依法免税或不需要缴纳社会保障资金。</w:t>
      </w:r>
    </w:p>
    <w:p w14:paraId="497CEED3">
      <w:pPr>
        <w:pStyle w:val="14"/>
        <w:rPr>
          <w:rFonts w:hint="eastAsia" w:ascii="宋体" w:hAnsi="宋体" w:eastAsia="宋体" w:cs="宋体"/>
          <w:color w:val="auto"/>
          <w:lang w:val="zh-CN"/>
        </w:rPr>
      </w:pPr>
    </w:p>
    <w:p w14:paraId="02315F4C">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14:paraId="378ABC92">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0" w:name="_Toc22767"/>
      <w:bookmarkStart w:id="211" w:name="_Toc23114"/>
      <w:bookmarkStart w:id="212" w:name="_Toc27149"/>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0</w:t>
      </w:r>
      <w:r>
        <w:rPr>
          <w:rFonts w:hint="eastAsia" w:ascii="宋体" w:hAnsi="宋体" w:eastAsia="宋体" w:cs="宋体"/>
          <w:b/>
          <w:color w:val="auto"/>
          <w:sz w:val="24"/>
          <w:szCs w:val="24"/>
        </w:rPr>
        <w:t>：具备履行合同所必须的设备和专业技术能力证明</w:t>
      </w:r>
      <w:bookmarkEnd w:id="210"/>
    </w:p>
    <w:p w14:paraId="43B9CF35">
      <w:pPr>
        <w:autoSpaceDE w:val="0"/>
        <w:autoSpaceDN w:val="0"/>
        <w:spacing w:line="360" w:lineRule="auto"/>
        <w:ind w:firstLine="480"/>
        <w:rPr>
          <w:rFonts w:hint="eastAsia" w:ascii="宋体" w:hAnsi="宋体" w:eastAsia="宋体" w:cs="宋体"/>
          <w:color w:val="auto"/>
          <w:sz w:val="24"/>
          <w:szCs w:val="24"/>
          <w:lang w:val="zh-CN"/>
        </w:rPr>
      </w:pPr>
    </w:p>
    <w:p w14:paraId="374968DB">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具备履行合同所必须的设备和专业技术能力证明</w:t>
      </w:r>
    </w:p>
    <w:p w14:paraId="5CFEF120">
      <w:pPr>
        <w:autoSpaceDE w:val="0"/>
        <w:autoSpaceDN w:val="0"/>
        <w:spacing w:line="360" w:lineRule="auto"/>
        <w:ind w:firstLine="482"/>
        <w:rPr>
          <w:rFonts w:hint="eastAsia" w:ascii="宋体" w:hAnsi="宋体" w:eastAsia="宋体" w:cs="宋体"/>
          <w:b/>
          <w:color w:val="auto"/>
          <w:sz w:val="24"/>
          <w:szCs w:val="24"/>
          <w:lang w:val="zh-CN"/>
        </w:rPr>
      </w:pPr>
    </w:p>
    <w:p w14:paraId="44F50462">
      <w:pPr>
        <w:autoSpaceDE w:val="0"/>
        <w:autoSpaceDN w:val="0"/>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kern w:val="0"/>
          <w:sz w:val="24"/>
          <w:szCs w:val="24"/>
          <w:lang w:val="zh-CN"/>
        </w:rPr>
        <w:t>为保证本项目合同的顺利履行，</w:t>
      </w:r>
      <w:r>
        <w:rPr>
          <w:rFonts w:hint="eastAsia" w:ascii="宋体" w:hAnsi="宋体" w:eastAsia="宋体" w:cs="宋体"/>
          <w:color w:val="auto"/>
          <w:kern w:val="0"/>
          <w:sz w:val="24"/>
          <w:szCs w:val="24"/>
          <w:lang w:val="en-US" w:eastAsia="zh-CN"/>
        </w:rPr>
        <w:t>供应商</w:t>
      </w:r>
      <w:r>
        <w:rPr>
          <w:rFonts w:hint="eastAsia" w:ascii="宋体" w:hAnsi="宋体" w:eastAsia="宋体" w:cs="宋体"/>
          <w:color w:val="auto"/>
          <w:kern w:val="0"/>
          <w:sz w:val="24"/>
          <w:szCs w:val="24"/>
          <w:lang w:val="zh-CN"/>
        </w:rPr>
        <w:t>必须具备履行合同的设备和专业技术能力，须提供必须具备履行合同的设备和专业技术能力的承诺函（格式自拟），并提供相关设备的购置发票或相关人员的职称证书</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lang w:val="zh-CN"/>
        </w:rPr>
        <w:t>用工合同等证明材料。</w:t>
      </w:r>
    </w:p>
    <w:p w14:paraId="51787185">
      <w:pPr>
        <w:ind w:firstLine="0" w:firstLineChars="0"/>
        <w:rPr>
          <w:rFonts w:hint="eastAsia" w:ascii="宋体" w:hAnsi="宋体" w:eastAsia="宋体" w:cs="宋体"/>
          <w:b/>
          <w:color w:val="auto"/>
          <w:sz w:val="24"/>
          <w:szCs w:val="24"/>
        </w:rPr>
      </w:pPr>
    </w:p>
    <w:p w14:paraId="6BCDDFCA">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3" w:name="_Toc20194"/>
      <w:r>
        <w:rPr>
          <w:rFonts w:hint="eastAsia" w:ascii="宋体" w:hAnsi="宋体" w:eastAsia="宋体" w:cs="宋体"/>
          <w:b/>
          <w:color w:val="auto"/>
          <w:sz w:val="24"/>
          <w:szCs w:val="24"/>
        </w:rPr>
        <w:t>附件</w:t>
      </w:r>
      <w:bookmarkStart w:id="214" w:name="_Toc376936781"/>
      <w:bookmarkStart w:id="215" w:name="_Toc325726049"/>
      <w:r>
        <w:rPr>
          <w:rFonts w:hint="eastAsia" w:ascii="宋体" w:hAnsi="宋体" w:eastAsia="宋体" w:cs="宋体"/>
          <w:b/>
          <w:color w:val="auto"/>
          <w:sz w:val="24"/>
          <w:szCs w:val="24"/>
        </w:rPr>
        <w:t>1</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214"/>
      <w:bookmarkEnd w:id="215"/>
      <w:r>
        <w:rPr>
          <w:rFonts w:hint="eastAsia" w:ascii="宋体" w:hAnsi="宋体" w:eastAsia="宋体" w:cs="宋体"/>
          <w:b/>
          <w:color w:val="auto"/>
          <w:sz w:val="24"/>
          <w:szCs w:val="24"/>
        </w:rPr>
        <w:t>无重大违法记录声明</w:t>
      </w:r>
      <w:bookmarkEnd w:id="211"/>
      <w:bookmarkEnd w:id="212"/>
      <w:bookmarkEnd w:id="213"/>
    </w:p>
    <w:p w14:paraId="19CDECC9">
      <w:pPr>
        <w:spacing w:line="360" w:lineRule="auto"/>
        <w:ind w:firstLine="0" w:firstLineChars="0"/>
        <w:rPr>
          <w:rFonts w:hint="eastAsia" w:ascii="宋体" w:hAnsi="宋体" w:eastAsia="宋体" w:cs="宋体"/>
          <w:b/>
          <w:color w:val="auto"/>
          <w:sz w:val="24"/>
          <w:szCs w:val="24"/>
        </w:rPr>
      </w:pPr>
    </w:p>
    <w:p w14:paraId="0179D074">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5EE9595F">
      <w:pPr>
        <w:spacing w:line="360" w:lineRule="auto"/>
        <w:ind w:firstLine="482"/>
        <w:rPr>
          <w:rFonts w:hint="eastAsia" w:ascii="宋体" w:hAnsi="宋体" w:eastAsia="宋体" w:cs="宋体"/>
          <w:b/>
          <w:bCs/>
          <w:color w:val="auto"/>
          <w:sz w:val="24"/>
          <w:lang w:eastAsia="zh-CN"/>
        </w:rPr>
      </w:pPr>
      <w:r>
        <w:rPr>
          <w:rFonts w:hint="eastAsia" w:ascii="宋体" w:hAnsi="宋体" w:eastAsia="宋体" w:cs="宋体"/>
          <w:b/>
          <w:bCs/>
          <w:color w:val="auto"/>
          <w:sz w:val="24"/>
        </w:rPr>
        <w:t>致：</w:t>
      </w:r>
      <w:r>
        <w:rPr>
          <w:rFonts w:hint="eastAsia" w:ascii="宋体" w:hAnsi="宋体" w:eastAsia="宋体" w:cs="宋体"/>
          <w:b/>
          <w:bCs/>
          <w:color w:val="auto"/>
          <w:sz w:val="24"/>
          <w:lang w:eastAsia="zh-CN"/>
        </w:rPr>
        <w:t>青海鼎钊招标代理有限公司</w:t>
      </w:r>
    </w:p>
    <w:p w14:paraId="72857C08">
      <w:pPr>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我单位参加本次政府采购项目活动前三年内，在经营活动中无重大违法活动记录，符合《政府采购法》规定的供应商资格条</w:t>
      </w:r>
      <w:r>
        <w:rPr>
          <w:rFonts w:hint="eastAsia" w:ascii="宋体" w:hAnsi="宋体" w:eastAsia="宋体" w:cs="宋体"/>
          <w:color w:val="auto"/>
          <w:sz w:val="24"/>
          <w:szCs w:val="24"/>
          <w:shd w:val="clear" w:color="auto" w:fill="FFFFFF"/>
        </w:rPr>
        <w:t>件。我方对此声明负全部法律责任。</w:t>
      </w:r>
    </w:p>
    <w:p w14:paraId="6247957C">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szCs w:val="24"/>
        </w:rPr>
        <w:t>特此声明。</w:t>
      </w:r>
    </w:p>
    <w:p w14:paraId="4667F9A7">
      <w:pPr>
        <w:spacing w:line="360" w:lineRule="auto"/>
        <w:ind w:firstLine="480"/>
        <w:rPr>
          <w:rFonts w:hint="eastAsia" w:ascii="宋体" w:hAnsi="宋体" w:eastAsia="宋体" w:cs="宋体"/>
          <w:color w:val="auto"/>
          <w:sz w:val="24"/>
        </w:rPr>
      </w:pPr>
    </w:p>
    <w:p w14:paraId="69D94786">
      <w:pPr>
        <w:spacing w:line="360" w:lineRule="auto"/>
        <w:ind w:firstLine="480"/>
        <w:rPr>
          <w:rFonts w:hint="eastAsia" w:ascii="宋体" w:hAnsi="宋体" w:eastAsia="宋体" w:cs="宋体"/>
          <w:color w:val="auto"/>
          <w:sz w:val="24"/>
        </w:rPr>
      </w:pPr>
    </w:p>
    <w:p w14:paraId="17076C5F">
      <w:pPr>
        <w:spacing w:line="360" w:lineRule="auto"/>
        <w:ind w:firstLine="480"/>
        <w:rPr>
          <w:rFonts w:hint="eastAsia" w:ascii="宋体" w:hAnsi="宋体" w:eastAsia="宋体" w:cs="宋体"/>
          <w:color w:val="auto"/>
          <w:sz w:val="24"/>
        </w:rPr>
      </w:pPr>
    </w:p>
    <w:p w14:paraId="796EBD2D">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006B695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412AEF6B">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14:paraId="7C224AF5">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14:paraId="571629A7">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216" w:name="_Toc22957"/>
      <w:bookmarkStart w:id="217" w:name="_Toc18481"/>
      <w:bookmarkStart w:id="218" w:name="_Toc2453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216"/>
      <w:bookmarkEnd w:id="217"/>
      <w:bookmarkEnd w:id="218"/>
    </w:p>
    <w:p w14:paraId="5720B1C5">
      <w:pPr>
        <w:spacing w:line="360" w:lineRule="auto"/>
        <w:ind w:firstLine="0" w:firstLineChars="0"/>
        <w:rPr>
          <w:rFonts w:hint="eastAsia" w:ascii="宋体" w:hAnsi="宋体" w:eastAsia="宋体" w:cs="宋体"/>
          <w:color w:val="auto"/>
          <w:sz w:val="24"/>
          <w:szCs w:val="24"/>
        </w:rPr>
      </w:pPr>
    </w:p>
    <w:p w14:paraId="749A2AC1">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14:paraId="4B1CDEE5">
      <w:pPr>
        <w:spacing w:line="360" w:lineRule="auto"/>
        <w:ind w:firstLine="0" w:firstLineChars="0"/>
        <w:rPr>
          <w:rFonts w:hint="eastAsia" w:ascii="宋体" w:hAnsi="宋体" w:eastAsia="宋体" w:cs="宋体"/>
          <w:b/>
          <w:color w:val="auto"/>
          <w:sz w:val="24"/>
          <w:szCs w:val="24"/>
        </w:rPr>
      </w:pPr>
    </w:p>
    <w:p w14:paraId="76EE0DA9">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附</w:t>
      </w:r>
      <w:r>
        <w:rPr>
          <w:rFonts w:hint="eastAsia" w:ascii="宋体" w:hAnsi="宋体" w:eastAsia="宋体" w:cs="宋体"/>
          <w:bCs/>
          <w:color w:val="auto"/>
          <w:sz w:val="24"/>
          <w:szCs w:val="24"/>
        </w:rPr>
        <w:t>银行开具的针对本项目投标的磋商保证金交款证明扫描件。</w:t>
      </w:r>
    </w:p>
    <w:p w14:paraId="4EDAF375">
      <w:pPr>
        <w:pStyle w:val="31"/>
        <w:rPr>
          <w:rFonts w:hint="eastAsia" w:ascii="宋体" w:hAnsi="宋体" w:eastAsia="宋体" w:cs="宋体"/>
          <w:bCs/>
          <w:color w:val="auto"/>
          <w:sz w:val="24"/>
          <w:szCs w:val="24"/>
        </w:rPr>
      </w:pPr>
    </w:p>
    <w:p w14:paraId="5DCFA627">
      <w:pPr>
        <w:pStyle w:val="32"/>
        <w:ind w:left="0" w:leftChars="0" w:firstLine="0" w:firstLineChars="0"/>
        <w:rPr>
          <w:rFonts w:hint="eastAsia" w:ascii="宋体" w:hAnsi="宋体" w:eastAsia="宋体" w:cs="宋体"/>
          <w:bCs/>
          <w:color w:val="auto"/>
          <w:sz w:val="24"/>
          <w:szCs w:val="24"/>
        </w:rPr>
      </w:pPr>
    </w:p>
    <w:p w14:paraId="342F4BDB">
      <w:pPr>
        <w:ind w:left="0" w:leftChars="0" w:firstLine="0" w:firstLineChars="0"/>
        <w:rPr>
          <w:rFonts w:hint="eastAsia" w:ascii="宋体" w:hAnsi="宋体" w:eastAsia="宋体" w:cs="宋体"/>
          <w:bCs/>
          <w:color w:val="auto"/>
          <w:sz w:val="24"/>
          <w:szCs w:val="24"/>
        </w:rPr>
      </w:pPr>
    </w:p>
    <w:p w14:paraId="7C86CD3A">
      <w:pPr>
        <w:pStyle w:val="31"/>
        <w:rPr>
          <w:rFonts w:hint="eastAsia" w:ascii="宋体" w:hAnsi="宋体" w:eastAsia="宋体" w:cs="宋体"/>
          <w:bCs/>
          <w:color w:val="auto"/>
          <w:sz w:val="24"/>
          <w:szCs w:val="24"/>
        </w:rPr>
      </w:pPr>
    </w:p>
    <w:p w14:paraId="246CFD3D">
      <w:pPr>
        <w:rPr>
          <w:rFonts w:hint="eastAsia" w:ascii="宋体" w:hAnsi="宋体" w:eastAsia="宋体" w:cs="宋体"/>
          <w:color w:val="auto"/>
        </w:rPr>
      </w:pPr>
      <w:r>
        <w:rPr>
          <w:rFonts w:hint="eastAsia" w:ascii="宋体" w:hAnsi="宋体" w:eastAsia="宋体" w:cs="宋体"/>
          <w:color w:val="auto"/>
        </w:rPr>
        <w:br w:type="page"/>
      </w:r>
    </w:p>
    <w:p w14:paraId="5B15B7A2">
      <w:pPr>
        <w:keepNext/>
        <w:pageBreakBefore/>
        <w:widowControl/>
        <w:spacing w:line="360" w:lineRule="auto"/>
        <w:ind w:firstLine="0" w:firstLineChars="0"/>
        <w:outlineLvl w:val="1"/>
        <w:rPr>
          <w:rFonts w:hint="eastAsia" w:ascii="宋体" w:hAnsi="宋体" w:eastAsia="宋体" w:cs="宋体"/>
          <w:color w:val="auto"/>
          <w:sz w:val="24"/>
          <w:szCs w:val="24"/>
          <w:lang w:val="en-US" w:eastAsia="zh-CN"/>
        </w:rPr>
      </w:pPr>
      <w:bookmarkStart w:id="219" w:name="_Toc10620"/>
      <w:bookmarkStart w:id="220" w:name="_Toc29948"/>
      <w:bookmarkStart w:id="221" w:name="_Toc472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中小企业声明函</w:t>
      </w:r>
      <w:bookmarkEnd w:id="219"/>
      <w:bookmarkEnd w:id="220"/>
      <w:bookmarkEnd w:id="221"/>
    </w:p>
    <w:p w14:paraId="367A7E7F">
      <w:pPr>
        <w:keepNext w:val="0"/>
        <w:keepLines w:val="0"/>
        <w:widowControl/>
        <w:suppressLineNumbers w:val="0"/>
        <w:spacing w:line="360" w:lineRule="auto"/>
        <w:ind w:left="0" w:leftChars="0" w:firstLine="0" w:firstLineChars="0"/>
        <w:jc w:val="center"/>
        <w:rPr>
          <w:rFonts w:hint="eastAsia" w:ascii="宋体" w:hAnsi="宋体" w:eastAsia="宋体" w:cs="宋体"/>
          <w:b/>
          <w:i w:val="0"/>
          <w:iCs w:val="0"/>
          <w:color w:val="auto"/>
          <w:kern w:val="0"/>
          <w:sz w:val="24"/>
          <w:szCs w:val="24"/>
          <w:lang w:val="en-US" w:eastAsia="zh-CN" w:bidi="ar"/>
        </w:rPr>
      </w:pPr>
    </w:p>
    <w:p w14:paraId="5A9E7C14">
      <w:pPr>
        <w:autoSpaceDE w:val="0"/>
        <w:autoSpaceDN w:val="0"/>
        <w:spacing w:line="360" w:lineRule="auto"/>
        <w:jc w:val="center"/>
        <w:rPr>
          <w:rFonts w:hint="eastAsia" w:ascii="宋体" w:hAnsi="宋体" w:eastAsia="宋体" w:cs="宋体"/>
          <w:b/>
          <w:bCs/>
          <w:color w:val="auto"/>
          <w:kern w:val="0"/>
          <w:sz w:val="36"/>
          <w:szCs w:val="36"/>
          <w:lang w:val="zh-CN" w:eastAsia="zh-CN"/>
        </w:rPr>
      </w:pPr>
      <w:r>
        <w:rPr>
          <w:rFonts w:hint="eastAsia" w:ascii="宋体" w:hAnsi="宋体" w:eastAsia="宋体" w:cs="宋体"/>
          <w:b/>
          <w:bCs/>
          <w:color w:val="auto"/>
          <w:kern w:val="0"/>
          <w:sz w:val="28"/>
          <w:szCs w:val="28"/>
          <w:lang w:eastAsia="zh-CN"/>
        </w:rPr>
        <w:t>中小企业声明函</w:t>
      </w:r>
    </w:p>
    <w:p w14:paraId="1E4915D1">
      <w:pPr>
        <w:autoSpaceDE w:val="0"/>
        <w:autoSpaceDN w:val="0"/>
        <w:spacing w:line="360" w:lineRule="auto"/>
        <w:ind w:left="0" w:leftChars="0" w:firstLine="0" w:firstLineChars="0"/>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致：青海鼎钊招标代理有限公司</w:t>
      </w:r>
    </w:p>
    <w:p w14:paraId="6023D0F1">
      <w:pPr>
        <w:keepNext w:val="0"/>
        <w:keepLines w:val="0"/>
        <w:widowControl/>
        <w:suppressLineNumbers w:val="0"/>
        <w:spacing w:line="360" w:lineRule="auto"/>
        <w:ind w:firstLine="480" w:firstLineChars="200"/>
        <w:jc w:val="both"/>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本公司郑重声明，根据《政府采购促进中小企业发展管理办法》（财库﹝2020﹞46号）的规定，本公司参加</w:t>
      </w:r>
      <w:r>
        <w:rPr>
          <w:rFonts w:hint="eastAsia" w:ascii="宋体" w:hAnsi="宋体" w:eastAsia="宋体" w:cs="宋体"/>
          <w:i w:val="0"/>
          <w:iCs w:val="0"/>
          <w:color w:val="auto"/>
          <w:kern w:val="0"/>
          <w:sz w:val="24"/>
          <w:szCs w:val="24"/>
          <w:u w:val="single"/>
          <w:lang w:val="en-US" w:eastAsia="zh-CN" w:bidi="ar"/>
        </w:rPr>
        <w:t>（单位名称）的（项目名称）</w:t>
      </w:r>
      <w:r>
        <w:rPr>
          <w:rFonts w:hint="eastAsia" w:ascii="宋体" w:hAnsi="宋体" w:eastAsia="宋体" w:cs="宋体"/>
          <w:i w:val="0"/>
          <w:iCs w:val="0"/>
          <w:color w:val="auto"/>
          <w:kern w:val="0"/>
          <w:sz w:val="24"/>
          <w:szCs w:val="24"/>
          <w:lang w:val="en-US" w:eastAsia="zh-CN" w:bidi="ar"/>
        </w:rPr>
        <w:t>采购活动，服务全部由符合政策要求的中小企业承接。相关企业的具体情况如下：</w:t>
      </w:r>
    </w:p>
    <w:p w14:paraId="467D82E9">
      <w:pPr>
        <w:keepNext w:val="0"/>
        <w:keepLines w:val="0"/>
        <w:widowControl/>
        <w:suppressLineNumbers w:val="0"/>
        <w:spacing w:line="360" w:lineRule="auto"/>
        <w:ind w:firstLine="480" w:firstLineChars="20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126CF9AD">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single"/>
          <w:lang w:val="en-US" w:eastAsia="zh-CN" w:bidi="ar"/>
        </w:rPr>
        <w:t>（标的名称）</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（采购文件中明确的所属行业）</w:t>
      </w:r>
      <w:r>
        <w:rPr>
          <w:rFonts w:hint="eastAsia" w:ascii="宋体" w:hAnsi="宋体" w:eastAsia="宋体" w:cs="宋体"/>
          <w:i w:val="0"/>
          <w:iCs w:val="0"/>
          <w:color w:val="auto"/>
          <w:kern w:val="0"/>
          <w:sz w:val="24"/>
          <w:szCs w:val="24"/>
          <w:lang w:val="en-US" w:eastAsia="zh-CN" w:bidi="ar"/>
        </w:rPr>
        <w:t>行业；承接企业为</w:t>
      </w:r>
      <w:r>
        <w:rPr>
          <w:rFonts w:hint="eastAsia" w:ascii="宋体" w:hAnsi="宋体" w:eastAsia="宋体" w:cs="宋体"/>
          <w:i w:val="0"/>
          <w:iCs w:val="0"/>
          <w:color w:val="auto"/>
          <w:kern w:val="0"/>
          <w:sz w:val="24"/>
          <w:szCs w:val="24"/>
          <w:u w:val="single"/>
          <w:lang w:val="en-US" w:eastAsia="zh-CN" w:bidi="ar"/>
        </w:rPr>
        <w:t>（企业名称）</w:t>
      </w:r>
      <w:r>
        <w:rPr>
          <w:rFonts w:hint="eastAsia" w:ascii="宋体" w:hAnsi="宋体" w:eastAsia="宋体" w:cs="宋体"/>
          <w:i w:val="0"/>
          <w:iCs w:val="0"/>
          <w:color w:val="auto"/>
          <w:kern w:val="0"/>
          <w:sz w:val="24"/>
          <w:szCs w:val="24"/>
          <w:lang w:val="en-US" w:eastAsia="zh-CN" w:bidi="ar"/>
        </w:rPr>
        <w:t>，从业人员</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人，营业收入为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万元，资产总额为</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lang w:val="en-US" w:eastAsia="zh-CN" w:bidi="ar"/>
        </w:rPr>
        <w:t>万元</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，属于</w:t>
      </w:r>
      <w:r>
        <w:rPr>
          <w:rFonts w:hint="eastAsia" w:ascii="宋体" w:hAnsi="宋体" w:eastAsia="宋体" w:cs="宋体"/>
          <w:i w:val="0"/>
          <w:iCs w:val="0"/>
          <w:color w:val="auto"/>
          <w:kern w:val="0"/>
          <w:sz w:val="24"/>
          <w:szCs w:val="24"/>
          <w:u w:val="single"/>
          <w:lang w:val="en-US" w:eastAsia="zh-CN" w:bidi="ar"/>
        </w:rPr>
        <w:t>（中型企业、小型企业、微型企业）</w:t>
      </w:r>
      <w:r>
        <w:rPr>
          <w:rFonts w:hint="eastAsia" w:ascii="宋体" w:hAnsi="宋体" w:eastAsia="宋体" w:cs="宋体"/>
          <w:i w:val="0"/>
          <w:iCs w:val="0"/>
          <w:color w:val="auto"/>
          <w:kern w:val="0"/>
          <w:sz w:val="24"/>
          <w:szCs w:val="24"/>
          <w:lang w:val="en-US" w:eastAsia="zh-CN" w:bidi="ar"/>
        </w:rPr>
        <w:t>；</w:t>
      </w:r>
    </w:p>
    <w:p w14:paraId="23DC9973">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w:t>
      </w:r>
    </w:p>
    <w:p w14:paraId="23034E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以上企业，不属于大企业的分支机构，不存在控股股东为大企业的情形，也不存在与大企业的负责人为同一人的情形。</w:t>
      </w:r>
    </w:p>
    <w:p w14:paraId="443F37CA">
      <w:pPr>
        <w:keepNext w:val="0"/>
        <w:keepLines w:val="0"/>
        <w:widowControl/>
        <w:suppressLineNumbers w:val="0"/>
        <w:spacing w:line="360" w:lineRule="auto"/>
        <w:ind w:firstLine="480" w:firstLineChars="200"/>
        <w:jc w:val="left"/>
        <w:rPr>
          <w:rFonts w:hint="eastAsia" w:ascii="宋体" w:hAnsi="宋体" w:eastAsia="宋体" w:cs="宋体"/>
          <w:i w:val="0"/>
          <w:iCs w:val="0"/>
          <w:color w:val="auto"/>
          <w:sz w:val="24"/>
          <w:szCs w:val="24"/>
        </w:rPr>
      </w:pPr>
      <w:r>
        <w:rPr>
          <w:rFonts w:hint="eastAsia" w:ascii="宋体" w:hAnsi="宋体" w:eastAsia="宋体" w:cs="宋体"/>
          <w:i w:val="0"/>
          <w:iCs w:val="0"/>
          <w:color w:val="auto"/>
          <w:kern w:val="0"/>
          <w:sz w:val="24"/>
          <w:szCs w:val="24"/>
          <w:lang w:val="en-US" w:eastAsia="zh-CN" w:bidi="ar"/>
        </w:rPr>
        <w:t>本企业对上述声明内容的真实性负责。如有虚假，将依法承担相应责任。</w:t>
      </w:r>
    </w:p>
    <w:p w14:paraId="46308DAC">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2515FF2E">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38825756">
      <w:pPr>
        <w:keepNext w:val="0"/>
        <w:keepLines w:val="0"/>
        <w:widowControl/>
        <w:suppressLineNumbers w:val="0"/>
        <w:spacing w:line="360" w:lineRule="auto"/>
        <w:jc w:val="center"/>
        <w:rPr>
          <w:rFonts w:hint="eastAsia" w:ascii="宋体" w:hAnsi="宋体" w:eastAsia="宋体" w:cs="宋体"/>
          <w:i w:val="0"/>
          <w:iCs w:val="0"/>
          <w:color w:val="auto"/>
          <w:kern w:val="0"/>
          <w:sz w:val="24"/>
          <w:szCs w:val="24"/>
          <w:lang w:val="en-US" w:eastAsia="zh-CN" w:bidi="ar"/>
        </w:rPr>
      </w:pPr>
    </w:p>
    <w:p w14:paraId="78F42390">
      <w:pPr>
        <w:keepNext w:val="0"/>
        <w:keepLines w:val="0"/>
        <w:widowControl/>
        <w:suppressLineNumbers w:val="0"/>
        <w:spacing w:line="360" w:lineRule="auto"/>
        <w:jc w:val="center"/>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kern w:val="0"/>
          <w:sz w:val="24"/>
          <w:szCs w:val="24"/>
          <w:lang w:val="en-US" w:eastAsia="zh-CN" w:bidi="ar"/>
        </w:rPr>
        <w:t>企业名称（盖章）：</w:t>
      </w:r>
    </w:p>
    <w:p w14:paraId="2C807138">
      <w:pPr>
        <w:keepNext w:val="0"/>
        <w:keepLines w:val="0"/>
        <w:widowControl/>
        <w:suppressLineNumbers w:val="0"/>
        <w:spacing w:line="360" w:lineRule="auto"/>
        <w:jc w:val="center"/>
        <w:rPr>
          <w:rFonts w:hint="eastAsia" w:ascii="宋体" w:hAnsi="宋体" w:eastAsia="宋体" w:cs="宋体"/>
          <w:b/>
          <w:bCs/>
          <w:i w:val="0"/>
          <w:iCs w:val="0"/>
          <w:color w:val="auto"/>
          <w:kern w:val="0"/>
          <w:sz w:val="24"/>
          <w:szCs w:val="24"/>
          <w:lang w:val="en-US" w:eastAsia="zh-CN" w:bidi="ar"/>
        </w:rPr>
      </w:pPr>
      <w:r>
        <w:rPr>
          <w:rFonts w:hint="eastAsia" w:ascii="宋体" w:hAnsi="宋体" w:eastAsia="宋体" w:cs="宋体"/>
          <w:b/>
          <w:bCs/>
          <w:i w:val="0"/>
          <w:iCs w:val="0"/>
          <w:color w:val="auto"/>
          <w:kern w:val="0"/>
          <w:sz w:val="24"/>
          <w:szCs w:val="24"/>
          <w:lang w:val="en-US" w:eastAsia="zh-CN" w:bidi="ar"/>
        </w:rPr>
        <w:t>日 期：</w:t>
      </w:r>
    </w:p>
    <w:p w14:paraId="30DE3DE9">
      <w:pPr>
        <w:pStyle w:val="21"/>
        <w:rPr>
          <w:rFonts w:hint="eastAsia" w:ascii="宋体" w:hAnsi="宋体" w:eastAsia="宋体" w:cs="宋体"/>
          <w:color w:val="auto"/>
        </w:rPr>
      </w:pPr>
    </w:p>
    <w:p w14:paraId="3D9F5540">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注：1.</w:t>
      </w:r>
      <w:r>
        <w:rPr>
          <w:rFonts w:hint="eastAsia" w:ascii="宋体" w:hAnsi="宋体" w:eastAsia="宋体" w:cs="宋体"/>
          <w:i w:val="0"/>
          <w:iCs w:val="0"/>
          <w:color w:val="auto"/>
          <w:kern w:val="0"/>
          <w:sz w:val="24"/>
          <w:szCs w:val="24"/>
          <w:vertAlign w:val="superscript"/>
          <w:lang w:val="en-US" w:eastAsia="zh-CN" w:bidi="ar"/>
        </w:rPr>
        <w:t>1</w:t>
      </w:r>
      <w:r>
        <w:rPr>
          <w:rFonts w:hint="eastAsia" w:ascii="宋体" w:hAnsi="宋体" w:eastAsia="宋体" w:cs="宋体"/>
          <w:i w:val="0"/>
          <w:iCs w:val="0"/>
          <w:color w:val="auto"/>
          <w:kern w:val="0"/>
          <w:sz w:val="24"/>
          <w:szCs w:val="24"/>
          <w:lang w:val="en-US" w:eastAsia="zh-CN" w:bidi="ar"/>
        </w:rPr>
        <w:t>从业人员、营业收入、资产总额填报上一年度数据，无上一年度数据的新成立企业可不填报。</w:t>
      </w:r>
    </w:p>
    <w:p w14:paraId="6C257515">
      <w:pPr>
        <w:keepNext w:val="0"/>
        <w:keepLines w:val="0"/>
        <w:widowControl/>
        <w:suppressLineNumbers w:val="0"/>
        <w:spacing w:line="360" w:lineRule="auto"/>
        <w:ind w:left="0" w:leftChars="0" w:firstLine="0" w:firstLineChars="0"/>
        <w:jc w:val="left"/>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 xml:space="preserve">    2.成交供应商享受《政府采购促进中小企业发展管理办法》规定的中小企业扶持政策的，采购代理机构应当随成交结果公开成交供应商的《中小企业声明函》。</w:t>
      </w:r>
    </w:p>
    <w:p w14:paraId="45B5AA20">
      <w:pPr>
        <w:pStyle w:val="8"/>
        <w:numPr>
          <w:ilvl w:val="0"/>
          <w:numId w:val="0"/>
        </w:numPr>
        <w:rPr>
          <w:rFonts w:hint="eastAsia" w:ascii="宋体" w:hAnsi="宋体" w:eastAsia="宋体" w:cs="宋体"/>
          <w:color w:val="auto"/>
          <w:szCs w:val="24"/>
          <w:lang w:bidi="ar"/>
        </w:rPr>
      </w:pPr>
      <w:r>
        <w:rPr>
          <w:rFonts w:hint="eastAsia" w:ascii="宋体" w:hAnsi="宋体" w:eastAsia="宋体" w:cs="宋体"/>
          <w:b/>
          <w:color w:val="auto"/>
          <w:sz w:val="24"/>
          <w:szCs w:val="24"/>
        </w:rPr>
        <w:br w:type="page"/>
      </w:r>
    </w:p>
    <w:p w14:paraId="291A338C">
      <w:pPr>
        <w:widowControl/>
        <w:spacing w:line="240" w:lineRule="auto"/>
        <w:ind w:left="0" w:leftChars="0" w:firstLine="0" w:firstLineChars="0"/>
        <w:jc w:val="left"/>
        <w:rPr>
          <w:rFonts w:hint="eastAsia" w:ascii="宋体" w:hAnsi="宋体" w:eastAsia="宋体" w:cs="宋体"/>
          <w:color w:val="auto"/>
          <w:kern w:val="0"/>
          <w:sz w:val="32"/>
          <w:szCs w:val="32"/>
        </w:rPr>
      </w:pPr>
      <w:r>
        <w:rPr>
          <w:rFonts w:hint="eastAsia" w:ascii="宋体" w:hAnsi="宋体" w:eastAsia="宋体" w:cs="宋体"/>
          <w:b/>
          <w:bCs/>
          <w:color w:val="auto"/>
          <w:kern w:val="0"/>
          <w:sz w:val="28"/>
          <w:szCs w:val="28"/>
        </w:rPr>
        <w:t>附表</w:t>
      </w:r>
    </w:p>
    <w:p w14:paraId="3AC9CB39">
      <w:pPr>
        <w:widowControl/>
        <w:spacing w:line="360" w:lineRule="auto"/>
        <w:ind w:left="0" w:leftChars="0" w:firstLine="0" w:firstLineChars="0"/>
        <w:jc w:val="center"/>
        <w:rPr>
          <w:rFonts w:hint="eastAsia" w:ascii="宋体" w:hAnsi="宋体" w:eastAsia="宋体" w:cs="宋体"/>
          <w:color w:val="auto"/>
          <w:kern w:val="0"/>
          <w:sz w:val="36"/>
          <w:szCs w:val="32"/>
        </w:rPr>
      </w:pPr>
      <w:r>
        <w:rPr>
          <w:rFonts w:hint="eastAsia" w:ascii="宋体" w:hAnsi="宋体" w:eastAsia="宋体" w:cs="宋体"/>
          <w:b/>
          <w:bCs/>
          <w:color w:val="auto"/>
          <w:kern w:val="0"/>
          <w:sz w:val="28"/>
          <w:szCs w:val="28"/>
        </w:rPr>
        <w:t>大中小微型企业划分标准</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058"/>
        <w:gridCol w:w="1410"/>
        <w:gridCol w:w="1065"/>
        <w:gridCol w:w="1217"/>
        <w:gridCol w:w="1708"/>
        <w:gridCol w:w="1674"/>
        <w:gridCol w:w="1073"/>
      </w:tblGrid>
      <w:tr w14:paraId="0F3D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7ED6185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行业名称</w:t>
            </w:r>
          </w:p>
        </w:tc>
        <w:tc>
          <w:tcPr>
            <w:tcW w:w="1410" w:type="dxa"/>
            <w:noWrap w:val="0"/>
            <w:vAlign w:val="center"/>
          </w:tcPr>
          <w:p w14:paraId="0231128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指标名称</w:t>
            </w:r>
          </w:p>
        </w:tc>
        <w:tc>
          <w:tcPr>
            <w:tcW w:w="1065" w:type="dxa"/>
            <w:noWrap w:val="0"/>
            <w:vAlign w:val="center"/>
          </w:tcPr>
          <w:p w14:paraId="143B5F0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计量单位</w:t>
            </w:r>
          </w:p>
        </w:tc>
        <w:tc>
          <w:tcPr>
            <w:tcW w:w="1217" w:type="dxa"/>
            <w:noWrap w:val="0"/>
            <w:vAlign w:val="center"/>
          </w:tcPr>
          <w:p w14:paraId="36604BC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大型</w:t>
            </w:r>
          </w:p>
        </w:tc>
        <w:tc>
          <w:tcPr>
            <w:tcW w:w="1708" w:type="dxa"/>
            <w:noWrap w:val="0"/>
            <w:vAlign w:val="center"/>
          </w:tcPr>
          <w:p w14:paraId="4E97B90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中型</w:t>
            </w:r>
          </w:p>
        </w:tc>
        <w:tc>
          <w:tcPr>
            <w:tcW w:w="1674" w:type="dxa"/>
            <w:noWrap w:val="0"/>
            <w:vAlign w:val="center"/>
          </w:tcPr>
          <w:p w14:paraId="2DB8556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小型</w:t>
            </w:r>
          </w:p>
        </w:tc>
        <w:tc>
          <w:tcPr>
            <w:tcW w:w="1073" w:type="dxa"/>
            <w:noWrap w:val="0"/>
            <w:vAlign w:val="center"/>
          </w:tcPr>
          <w:p w14:paraId="62D8A85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微型</w:t>
            </w:r>
          </w:p>
        </w:tc>
      </w:tr>
      <w:tr w14:paraId="450C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249EAF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农、林、牧、渔业</w:t>
            </w:r>
          </w:p>
        </w:tc>
        <w:tc>
          <w:tcPr>
            <w:tcW w:w="1410" w:type="dxa"/>
            <w:noWrap w:val="0"/>
            <w:vAlign w:val="center"/>
          </w:tcPr>
          <w:p w14:paraId="4803D2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311CB5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236E9B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4D5A2A9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0587D80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50≤Y＜500</w:t>
            </w:r>
          </w:p>
        </w:tc>
        <w:tc>
          <w:tcPr>
            <w:tcW w:w="1073" w:type="dxa"/>
            <w:noWrap w:val="0"/>
            <w:vAlign w:val="center"/>
          </w:tcPr>
          <w:p w14:paraId="0529A60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w:t>
            </w:r>
          </w:p>
        </w:tc>
      </w:tr>
      <w:tr w14:paraId="2161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5F68D7E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工业*</w:t>
            </w:r>
          </w:p>
        </w:tc>
        <w:tc>
          <w:tcPr>
            <w:tcW w:w="1410" w:type="dxa"/>
            <w:noWrap w:val="0"/>
            <w:vAlign w:val="center"/>
          </w:tcPr>
          <w:p w14:paraId="7C355F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1EB8FAB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560BE2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X≥1000</w:t>
            </w:r>
          </w:p>
        </w:tc>
        <w:tc>
          <w:tcPr>
            <w:tcW w:w="1708" w:type="dxa"/>
            <w:noWrap w:val="0"/>
            <w:vAlign w:val="center"/>
          </w:tcPr>
          <w:p w14:paraId="0CA6D5B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300≤X＜1000</w:t>
            </w:r>
          </w:p>
        </w:tc>
        <w:tc>
          <w:tcPr>
            <w:tcW w:w="1674" w:type="dxa"/>
            <w:noWrap w:val="0"/>
            <w:vAlign w:val="center"/>
          </w:tcPr>
          <w:p w14:paraId="0F3FFD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20≤X＜300</w:t>
            </w:r>
          </w:p>
        </w:tc>
        <w:tc>
          <w:tcPr>
            <w:tcW w:w="1073" w:type="dxa"/>
            <w:noWrap w:val="0"/>
            <w:vAlign w:val="center"/>
          </w:tcPr>
          <w:p w14:paraId="40F2D8D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X＜20</w:t>
            </w:r>
          </w:p>
        </w:tc>
      </w:tr>
      <w:tr w14:paraId="1D5D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661C0B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792EB5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7F5D94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0C204C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Y≥40000</w:t>
            </w:r>
          </w:p>
        </w:tc>
        <w:tc>
          <w:tcPr>
            <w:tcW w:w="1708" w:type="dxa"/>
            <w:noWrap w:val="0"/>
            <w:vAlign w:val="center"/>
          </w:tcPr>
          <w:p w14:paraId="3EEAEF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2000≤Y＜40000</w:t>
            </w:r>
          </w:p>
        </w:tc>
        <w:tc>
          <w:tcPr>
            <w:tcW w:w="1674" w:type="dxa"/>
            <w:noWrap w:val="0"/>
            <w:vAlign w:val="center"/>
          </w:tcPr>
          <w:p w14:paraId="19CE74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300≤Y＜2000</w:t>
            </w:r>
          </w:p>
        </w:tc>
        <w:tc>
          <w:tcPr>
            <w:tcW w:w="1073" w:type="dxa"/>
            <w:noWrap w:val="0"/>
            <w:vAlign w:val="center"/>
          </w:tcPr>
          <w:p w14:paraId="7399267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Y＜300</w:t>
            </w:r>
          </w:p>
        </w:tc>
      </w:tr>
      <w:tr w14:paraId="0BF1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CD6DB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建筑业</w:t>
            </w:r>
          </w:p>
        </w:tc>
        <w:tc>
          <w:tcPr>
            <w:tcW w:w="1410" w:type="dxa"/>
            <w:noWrap w:val="0"/>
            <w:vAlign w:val="center"/>
          </w:tcPr>
          <w:p w14:paraId="08465B7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5695C26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54E2F8A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Y≥80000</w:t>
            </w:r>
          </w:p>
        </w:tc>
        <w:tc>
          <w:tcPr>
            <w:tcW w:w="1708" w:type="dxa"/>
            <w:noWrap w:val="0"/>
            <w:vAlign w:val="center"/>
          </w:tcPr>
          <w:p w14:paraId="6C29B83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6000≤Y＜80000</w:t>
            </w:r>
          </w:p>
        </w:tc>
        <w:tc>
          <w:tcPr>
            <w:tcW w:w="1674" w:type="dxa"/>
            <w:noWrap w:val="0"/>
            <w:vAlign w:val="center"/>
          </w:tcPr>
          <w:p w14:paraId="73D5AE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300≤Y＜6000</w:t>
            </w:r>
          </w:p>
        </w:tc>
        <w:tc>
          <w:tcPr>
            <w:tcW w:w="1073" w:type="dxa"/>
            <w:noWrap w:val="0"/>
            <w:vAlign w:val="center"/>
          </w:tcPr>
          <w:p w14:paraId="1A86465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Y＜300</w:t>
            </w:r>
          </w:p>
        </w:tc>
      </w:tr>
      <w:tr w14:paraId="6DBE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01F4C1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kern w:val="0"/>
                <w:sz w:val="21"/>
                <w:szCs w:val="21"/>
              </w:rPr>
            </w:pPr>
          </w:p>
        </w:tc>
        <w:tc>
          <w:tcPr>
            <w:tcW w:w="1410" w:type="dxa"/>
            <w:noWrap w:val="0"/>
            <w:vAlign w:val="center"/>
          </w:tcPr>
          <w:p w14:paraId="02E536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资产总额(Z)</w:t>
            </w:r>
          </w:p>
        </w:tc>
        <w:tc>
          <w:tcPr>
            <w:tcW w:w="1065" w:type="dxa"/>
            <w:noWrap w:val="0"/>
            <w:vAlign w:val="center"/>
          </w:tcPr>
          <w:p w14:paraId="4CDC9A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37A210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Z≥80000</w:t>
            </w:r>
          </w:p>
        </w:tc>
        <w:tc>
          <w:tcPr>
            <w:tcW w:w="1708" w:type="dxa"/>
            <w:noWrap w:val="0"/>
            <w:vAlign w:val="center"/>
          </w:tcPr>
          <w:p w14:paraId="39EC01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5000≤Z＜80000</w:t>
            </w:r>
          </w:p>
        </w:tc>
        <w:tc>
          <w:tcPr>
            <w:tcW w:w="1674" w:type="dxa"/>
            <w:noWrap w:val="0"/>
            <w:vAlign w:val="center"/>
          </w:tcPr>
          <w:p w14:paraId="4D31552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300≤Z＜5000</w:t>
            </w:r>
          </w:p>
        </w:tc>
        <w:tc>
          <w:tcPr>
            <w:tcW w:w="1073" w:type="dxa"/>
            <w:noWrap w:val="0"/>
            <w:vAlign w:val="center"/>
          </w:tcPr>
          <w:p w14:paraId="7085C08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Z＜300</w:t>
            </w:r>
          </w:p>
        </w:tc>
      </w:tr>
      <w:tr w14:paraId="1775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1BE38B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批发业</w:t>
            </w:r>
          </w:p>
        </w:tc>
        <w:tc>
          <w:tcPr>
            <w:tcW w:w="1410" w:type="dxa"/>
            <w:noWrap w:val="0"/>
            <w:vAlign w:val="center"/>
          </w:tcPr>
          <w:p w14:paraId="3208F32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8FE198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DC80E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3EB9029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20≤X＜200</w:t>
            </w:r>
          </w:p>
        </w:tc>
        <w:tc>
          <w:tcPr>
            <w:tcW w:w="1674" w:type="dxa"/>
            <w:noWrap w:val="0"/>
            <w:vAlign w:val="center"/>
          </w:tcPr>
          <w:p w14:paraId="793CF4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5≤X＜20</w:t>
            </w:r>
          </w:p>
        </w:tc>
        <w:tc>
          <w:tcPr>
            <w:tcW w:w="1073" w:type="dxa"/>
            <w:noWrap w:val="0"/>
            <w:vAlign w:val="center"/>
          </w:tcPr>
          <w:p w14:paraId="02A239E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X＜5</w:t>
            </w:r>
          </w:p>
        </w:tc>
      </w:tr>
      <w:tr w14:paraId="45C7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367941C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1714C5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5476BE3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EB1F06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Y≥40000</w:t>
            </w:r>
          </w:p>
        </w:tc>
        <w:tc>
          <w:tcPr>
            <w:tcW w:w="1708" w:type="dxa"/>
            <w:noWrap w:val="0"/>
            <w:vAlign w:val="center"/>
          </w:tcPr>
          <w:p w14:paraId="23C0063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5000≤Y＜40000</w:t>
            </w:r>
          </w:p>
        </w:tc>
        <w:tc>
          <w:tcPr>
            <w:tcW w:w="1674" w:type="dxa"/>
            <w:noWrap w:val="0"/>
            <w:vAlign w:val="center"/>
          </w:tcPr>
          <w:p w14:paraId="59974E3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1000≤Y＜5000</w:t>
            </w:r>
          </w:p>
        </w:tc>
        <w:tc>
          <w:tcPr>
            <w:tcW w:w="1073" w:type="dxa"/>
            <w:noWrap w:val="0"/>
            <w:vAlign w:val="center"/>
          </w:tcPr>
          <w:p w14:paraId="4DFCED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w:t>
            </w:r>
          </w:p>
        </w:tc>
      </w:tr>
      <w:tr w14:paraId="76DF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6D90D6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零售业</w:t>
            </w:r>
          </w:p>
        </w:tc>
        <w:tc>
          <w:tcPr>
            <w:tcW w:w="1410" w:type="dxa"/>
            <w:noWrap w:val="0"/>
            <w:vAlign w:val="center"/>
          </w:tcPr>
          <w:p w14:paraId="50DFB23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44677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07B3DA3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160F5FE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50≤X＜300</w:t>
            </w:r>
          </w:p>
        </w:tc>
        <w:tc>
          <w:tcPr>
            <w:tcW w:w="1674" w:type="dxa"/>
            <w:noWrap w:val="0"/>
            <w:vAlign w:val="center"/>
          </w:tcPr>
          <w:p w14:paraId="49B85A4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10≤X＜50</w:t>
            </w:r>
          </w:p>
        </w:tc>
        <w:tc>
          <w:tcPr>
            <w:tcW w:w="1073" w:type="dxa"/>
            <w:noWrap w:val="0"/>
            <w:vAlign w:val="center"/>
          </w:tcPr>
          <w:p w14:paraId="5C14A3B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182A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C5C477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217CD17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22639B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9C34AD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w:t>
            </w:r>
          </w:p>
        </w:tc>
        <w:tc>
          <w:tcPr>
            <w:tcW w:w="1708" w:type="dxa"/>
            <w:noWrap w:val="0"/>
            <w:vAlign w:val="center"/>
          </w:tcPr>
          <w:p w14:paraId="76EA9F2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500≤Y＜20000</w:t>
            </w:r>
          </w:p>
        </w:tc>
        <w:tc>
          <w:tcPr>
            <w:tcW w:w="1674" w:type="dxa"/>
            <w:noWrap w:val="0"/>
            <w:vAlign w:val="center"/>
          </w:tcPr>
          <w:p w14:paraId="2E7476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100≤Y＜500</w:t>
            </w:r>
          </w:p>
        </w:tc>
        <w:tc>
          <w:tcPr>
            <w:tcW w:w="1073" w:type="dxa"/>
            <w:noWrap w:val="0"/>
            <w:vAlign w:val="center"/>
          </w:tcPr>
          <w:p w14:paraId="5DA226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11B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8B4BE5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交通运输业*</w:t>
            </w:r>
          </w:p>
        </w:tc>
        <w:tc>
          <w:tcPr>
            <w:tcW w:w="1410" w:type="dxa"/>
            <w:noWrap w:val="0"/>
            <w:vAlign w:val="center"/>
          </w:tcPr>
          <w:p w14:paraId="0F969F6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0983F8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5DFEAB5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0410CDB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9DFCD0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3DEA6A8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31EE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35B6C1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668D4C2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7DD967F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6F88D10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741C48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3000≤Y＜30000</w:t>
            </w:r>
          </w:p>
        </w:tc>
        <w:tc>
          <w:tcPr>
            <w:tcW w:w="1674" w:type="dxa"/>
            <w:noWrap w:val="0"/>
            <w:vAlign w:val="center"/>
          </w:tcPr>
          <w:p w14:paraId="0A2428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200≤Y＜3000</w:t>
            </w:r>
          </w:p>
        </w:tc>
        <w:tc>
          <w:tcPr>
            <w:tcW w:w="1073" w:type="dxa"/>
            <w:noWrap w:val="0"/>
            <w:vAlign w:val="center"/>
          </w:tcPr>
          <w:p w14:paraId="319C469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w:t>
            </w:r>
          </w:p>
        </w:tc>
      </w:tr>
      <w:tr w14:paraId="196E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89FA80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仓储业*</w:t>
            </w:r>
          </w:p>
        </w:tc>
        <w:tc>
          <w:tcPr>
            <w:tcW w:w="1410" w:type="dxa"/>
            <w:noWrap w:val="0"/>
            <w:vAlign w:val="center"/>
          </w:tcPr>
          <w:p w14:paraId="7C58648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8D6651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55014B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w:t>
            </w:r>
          </w:p>
        </w:tc>
        <w:tc>
          <w:tcPr>
            <w:tcW w:w="1708" w:type="dxa"/>
            <w:noWrap w:val="0"/>
            <w:vAlign w:val="center"/>
          </w:tcPr>
          <w:p w14:paraId="4F857B9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w:t>
            </w:r>
          </w:p>
        </w:tc>
        <w:tc>
          <w:tcPr>
            <w:tcW w:w="1674" w:type="dxa"/>
            <w:noWrap w:val="0"/>
            <w:vAlign w:val="center"/>
          </w:tcPr>
          <w:p w14:paraId="021A9FF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20≤X＜100</w:t>
            </w:r>
          </w:p>
        </w:tc>
        <w:tc>
          <w:tcPr>
            <w:tcW w:w="1073" w:type="dxa"/>
            <w:noWrap w:val="0"/>
            <w:vAlign w:val="center"/>
          </w:tcPr>
          <w:p w14:paraId="1F1F6A0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0C23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9802E2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05D7E04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08DC554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037FA2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24D4EA9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1000≤Y＜30000</w:t>
            </w:r>
          </w:p>
        </w:tc>
        <w:tc>
          <w:tcPr>
            <w:tcW w:w="1674" w:type="dxa"/>
            <w:noWrap w:val="0"/>
            <w:vAlign w:val="center"/>
          </w:tcPr>
          <w:p w14:paraId="6A22B07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6A54174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04D3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6D6A689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邮政业</w:t>
            </w:r>
          </w:p>
        </w:tc>
        <w:tc>
          <w:tcPr>
            <w:tcW w:w="1410" w:type="dxa"/>
            <w:noWrap w:val="0"/>
            <w:vAlign w:val="center"/>
          </w:tcPr>
          <w:p w14:paraId="35B78A9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76E1477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65BCBEC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0429A1E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1D36CBC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20≤X＜300</w:t>
            </w:r>
          </w:p>
        </w:tc>
        <w:tc>
          <w:tcPr>
            <w:tcW w:w="1073" w:type="dxa"/>
            <w:noWrap w:val="0"/>
            <w:vAlign w:val="center"/>
          </w:tcPr>
          <w:p w14:paraId="52B990A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w:t>
            </w:r>
          </w:p>
        </w:tc>
      </w:tr>
      <w:tr w14:paraId="096F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1C24904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3F62C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387216E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5E00C06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Y≥30000</w:t>
            </w:r>
          </w:p>
        </w:tc>
        <w:tc>
          <w:tcPr>
            <w:tcW w:w="1708" w:type="dxa"/>
            <w:noWrap w:val="0"/>
            <w:vAlign w:val="center"/>
          </w:tcPr>
          <w:p w14:paraId="3B949EB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2000≤Y＜30000</w:t>
            </w:r>
          </w:p>
        </w:tc>
        <w:tc>
          <w:tcPr>
            <w:tcW w:w="1674" w:type="dxa"/>
            <w:noWrap w:val="0"/>
            <w:vAlign w:val="center"/>
          </w:tcPr>
          <w:p w14:paraId="588278F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71FDD9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45C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9674A2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住宿业</w:t>
            </w:r>
          </w:p>
        </w:tc>
        <w:tc>
          <w:tcPr>
            <w:tcW w:w="1410" w:type="dxa"/>
            <w:noWrap w:val="0"/>
            <w:vAlign w:val="center"/>
          </w:tcPr>
          <w:p w14:paraId="5C586E1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4F47300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EC7C18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7DBBB4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74551AC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0F9110D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3E80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4A0EE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4C3D4F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49FF2F5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41469A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2D8E6C2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6888A8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7282575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1424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C70DD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餐饮业</w:t>
            </w:r>
          </w:p>
        </w:tc>
        <w:tc>
          <w:tcPr>
            <w:tcW w:w="1410" w:type="dxa"/>
            <w:noWrap w:val="0"/>
            <w:vAlign w:val="center"/>
          </w:tcPr>
          <w:p w14:paraId="124C35F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43190AE5">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79B3DCA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09FE659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355FA7B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37AD813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480F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63C328F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11F4A1E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1C34E6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49FEE5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w:t>
            </w:r>
          </w:p>
        </w:tc>
        <w:tc>
          <w:tcPr>
            <w:tcW w:w="1708" w:type="dxa"/>
            <w:noWrap w:val="0"/>
            <w:vAlign w:val="center"/>
          </w:tcPr>
          <w:p w14:paraId="7A9FF1A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2000≤Y＜10000</w:t>
            </w:r>
          </w:p>
        </w:tc>
        <w:tc>
          <w:tcPr>
            <w:tcW w:w="1674" w:type="dxa"/>
            <w:noWrap w:val="0"/>
            <w:vAlign w:val="center"/>
          </w:tcPr>
          <w:p w14:paraId="420C4D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100≤Y＜2000</w:t>
            </w:r>
          </w:p>
        </w:tc>
        <w:tc>
          <w:tcPr>
            <w:tcW w:w="1073" w:type="dxa"/>
            <w:noWrap w:val="0"/>
            <w:vAlign w:val="center"/>
          </w:tcPr>
          <w:p w14:paraId="5ECAB27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F09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3261983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信息传输业*</w:t>
            </w:r>
          </w:p>
        </w:tc>
        <w:tc>
          <w:tcPr>
            <w:tcW w:w="1410" w:type="dxa"/>
            <w:noWrap w:val="0"/>
            <w:vAlign w:val="center"/>
          </w:tcPr>
          <w:p w14:paraId="27F8647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112583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4510166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X≥2000</w:t>
            </w:r>
          </w:p>
        </w:tc>
        <w:tc>
          <w:tcPr>
            <w:tcW w:w="1708" w:type="dxa"/>
            <w:noWrap w:val="0"/>
            <w:vAlign w:val="center"/>
          </w:tcPr>
          <w:p w14:paraId="04184C1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100≤X＜2000</w:t>
            </w:r>
          </w:p>
        </w:tc>
        <w:tc>
          <w:tcPr>
            <w:tcW w:w="1674" w:type="dxa"/>
            <w:noWrap w:val="0"/>
            <w:vAlign w:val="center"/>
          </w:tcPr>
          <w:p w14:paraId="5EBBC88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7073327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r w14:paraId="7077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AE914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3E71F60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1A302B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2B39B8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Y≥100000</w:t>
            </w:r>
          </w:p>
        </w:tc>
        <w:tc>
          <w:tcPr>
            <w:tcW w:w="1708" w:type="dxa"/>
            <w:noWrap w:val="0"/>
            <w:vAlign w:val="center"/>
          </w:tcPr>
          <w:p w14:paraId="57F964E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1000≤Y＜100000</w:t>
            </w:r>
          </w:p>
        </w:tc>
        <w:tc>
          <w:tcPr>
            <w:tcW w:w="1674" w:type="dxa"/>
            <w:noWrap w:val="0"/>
            <w:vAlign w:val="center"/>
          </w:tcPr>
          <w:p w14:paraId="0D0FE7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47B1A39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6284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0419DF9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spacing w:val="-12"/>
                <w:kern w:val="0"/>
                <w:sz w:val="21"/>
                <w:szCs w:val="21"/>
              </w:rPr>
            </w:pPr>
            <w:r>
              <w:rPr>
                <w:rFonts w:hint="eastAsia" w:ascii="宋体" w:hAnsi="宋体" w:eastAsia="宋体" w:cs="宋体"/>
                <w:b w:val="0"/>
                <w:bCs w:val="0"/>
                <w:color w:val="auto"/>
                <w:spacing w:val="-12"/>
                <w:kern w:val="0"/>
                <w:sz w:val="21"/>
                <w:szCs w:val="21"/>
              </w:rPr>
              <w:t>软件和信息技术服</w:t>
            </w:r>
            <w:r>
              <w:rPr>
                <w:rFonts w:hint="eastAsia" w:ascii="宋体" w:hAnsi="宋体" w:eastAsia="宋体" w:cs="宋体"/>
                <w:b w:val="0"/>
                <w:bCs w:val="0"/>
                <w:color w:val="auto"/>
                <w:kern w:val="0"/>
                <w:sz w:val="21"/>
                <w:szCs w:val="21"/>
              </w:rPr>
              <w:t>务业</w:t>
            </w:r>
          </w:p>
        </w:tc>
        <w:tc>
          <w:tcPr>
            <w:tcW w:w="1410" w:type="dxa"/>
            <w:noWrap w:val="0"/>
            <w:vAlign w:val="center"/>
          </w:tcPr>
          <w:p w14:paraId="4FDB634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从业人员(X)</w:t>
            </w:r>
          </w:p>
        </w:tc>
        <w:tc>
          <w:tcPr>
            <w:tcW w:w="1065" w:type="dxa"/>
            <w:noWrap w:val="0"/>
            <w:vAlign w:val="center"/>
          </w:tcPr>
          <w:p w14:paraId="2DFC628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人</w:t>
            </w:r>
          </w:p>
        </w:tc>
        <w:tc>
          <w:tcPr>
            <w:tcW w:w="1217" w:type="dxa"/>
            <w:noWrap w:val="0"/>
            <w:vAlign w:val="center"/>
          </w:tcPr>
          <w:p w14:paraId="0244D27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X≥300</w:t>
            </w:r>
          </w:p>
        </w:tc>
        <w:tc>
          <w:tcPr>
            <w:tcW w:w="1708" w:type="dxa"/>
            <w:noWrap w:val="0"/>
            <w:vAlign w:val="center"/>
          </w:tcPr>
          <w:p w14:paraId="7DF7458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100≤X＜300</w:t>
            </w:r>
          </w:p>
        </w:tc>
        <w:tc>
          <w:tcPr>
            <w:tcW w:w="1674" w:type="dxa"/>
            <w:noWrap w:val="0"/>
            <w:vAlign w:val="center"/>
          </w:tcPr>
          <w:p w14:paraId="3C5B432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10≤X＜100</w:t>
            </w:r>
          </w:p>
        </w:tc>
        <w:tc>
          <w:tcPr>
            <w:tcW w:w="1073" w:type="dxa"/>
            <w:noWrap w:val="0"/>
            <w:vAlign w:val="center"/>
          </w:tcPr>
          <w:p w14:paraId="49A56D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X＜10</w:t>
            </w:r>
          </w:p>
        </w:tc>
      </w:tr>
      <w:tr w14:paraId="0B32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782C427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val="0"/>
                <w:bCs w:val="0"/>
                <w:color w:val="auto"/>
                <w:spacing w:val="-12"/>
                <w:kern w:val="0"/>
                <w:sz w:val="21"/>
                <w:szCs w:val="21"/>
              </w:rPr>
            </w:pPr>
          </w:p>
        </w:tc>
        <w:tc>
          <w:tcPr>
            <w:tcW w:w="1410" w:type="dxa"/>
            <w:noWrap w:val="0"/>
            <w:vAlign w:val="center"/>
          </w:tcPr>
          <w:p w14:paraId="604D60C0">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营业收入(Y)</w:t>
            </w:r>
          </w:p>
        </w:tc>
        <w:tc>
          <w:tcPr>
            <w:tcW w:w="1065" w:type="dxa"/>
            <w:noWrap w:val="0"/>
            <w:vAlign w:val="center"/>
          </w:tcPr>
          <w:p w14:paraId="439DD6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万元</w:t>
            </w:r>
          </w:p>
        </w:tc>
        <w:tc>
          <w:tcPr>
            <w:tcW w:w="1217" w:type="dxa"/>
            <w:noWrap w:val="0"/>
            <w:vAlign w:val="center"/>
          </w:tcPr>
          <w:p w14:paraId="49306B4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Y≥10000</w:t>
            </w:r>
          </w:p>
        </w:tc>
        <w:tc>
          <w:tcPr>
            <w:tcW w:w="1708" w:type="dxa"/>
            <w:noWrap w:val="0"/>
            <w:vAlign w:val="center"/>
          </w:tcPr>
          <w:p w14:paraId="6655323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1000≤Y＜10000</w:t>
            </w:r>
          </w:p>
        </w:tc>
        <w:tc>
          <w:tcPr>
            <w:tcW w:w="1674" w:type="dxa"/>
            <w:noWrap w:val="0"/>
            <w:vAlign w:val="center"/>
          </w:tcPr>
          <w:p w14:paraId="1FC0AE1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50≤Y＜1000</w:t>
            </w:r>
          </w:p>
        </w:tc>
        <w:tc>
          <w:tcPr>
            <w:tcW w:w="1073" w:type="dxa"/>
            <w:noWrap w:val="0"/>
            <w:vAlign w:val="center"/>
          </w:tcPr>
          <w:p w14:paraId="4E259F4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Y＜50</w:t>
            </w:r>
          </w:p>
        </w:tc>
      </w:tr>
      <w:tr w14:paraId="4A2E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2443520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房地产开发经营</w:t>
            </w:r>
          </w:p>
        </w:tc>
        <w:tc>
          <w:tcPr>
            <w:tcW w:w="1410" w:type="dxa"/>
            <w:noWrap w:val="0"/>
            <w:vAlign w:val="center"/>
          </w:tcPr>
          <w:p w14:paraId="1A6DEBE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6A2B791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482B60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Y≥200000</w:t>
            </w:r>
          </w:p>
        </w:tc>
        <w:tc>
          <w:tcPr>
            <w:tcW w:w="1708" w:type="dxa"/>
            <w:noWrap w:val="0"/>
            <w:vAlign w:val="center"/>
          </w:tcPr>
          <w:p w14:paraId="5CF145A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1000≤Y＜200000</w:t>
            </w:r>
          </w:p>
        </w:tc>
        <w:tc>
          <w:tcPr>
            <w:tcW w:w="1674" w:type="dxa"/>
            <w:noWrap w:val="0"/>
            <w:vAlign w:val="center"/>
          </w:tcPr>
          <w:p w14:paraId="7A6CE7F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100≤Y＜1000</w:t>
            </w:r>
          </w:p>
        </w:tc>
        <w:tc>
          <w:tcPr>
            <w:tcW w:w="1073" w:type="dxa"/>
            <w:noWrap w:val="0"/>
            <w:vAlign w:val="center"/>
          </w:tcPr>
          <w:p w14:paraId="39C957D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Y＜100</w:t>
            </w:r>
          </w:p>
        </w:tc>
      </w:tr>
      <w:tr w14:paraId="38CF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2C15B00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7E9BD26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资产总额(Z)</w:t>
            </w:r>
          </w:p>
        </w:tc>
        <w:tc>
          <w:tcPr>
            <w:tcW w:w="1065" w:type="dxa"/>
            <w:noWrap w:val="0"/>
            <w:vAlign w:val="center"/>
          </w:tcPr>
          <w:p w14:paraId="3916003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3591606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Z≥10000</w:t>
            </w:r>
          </w:p>
        </w:tc>
        <w:tc>
          <w:tcPr>
            <w:tcW w:w="1708" w:type="dxa"/>
            <w:noWrap w:val="0"/>
            <w:vAlign w:val="center"/>
          </w:tcPr>
          <w:p w14:paraId="5BBA569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5000≤Z＜10000</w:t>
            </w:r>
          </w:p>
        </w:tc>
        <w:tc>
          <w:tcPr>
            <w:tcW w:w="1674" w:type="dxa"/>
            <w:noWrap w:val="0"/>
            <w:vAlign w:val="center"/>
          </w:tcPr>
          <w:p w14:paraId="6774AB5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2000≤Z＜5000</w:t>
            </w:r>
          </w:p>
        </w:tc>
        <w:tc>
          <w:tcPr>
            <w:tcW w:w="1073" w:type="dxa"/>
            <w:noWrap w:val="0"/>
            <w:vAlign w:val="center"/>
          </w:tcPr>
          <w:p w14:paraId="2D483ED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Z＜2000</w:t>
            </w:r>
          </w:p>
        </w:tc>
      </w:tr>
      <w:tr w14:paraId="4E9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7640C24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物业管理</w:t>
            </w:r>
          </w:p>
        </w:tc>
        <w:tc>
          <w:tcPr>
            <w:tcW w:w="1410" w:type="dxa"/>
            <w:noWrap w:val="0"/>
            <w:vAlign w:val="center"/>
          </w:tcPr>
          <w:p w14:paraId="295F1D2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273A675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396D24F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X≥1000</w:t>
            </w:r>
          </w:p>
        </w:tc>
        <w:tc>
          <w:tcPr>
            <w:tcW w:w="1708" w:type="dxa"/>
            <w:noWrap w:val="0"/>
            <w:vAlign w:val="center"/>
          </w:tcPr>
          <w:p w14:paraId="30B006C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300≤X＜1000</w:t>
            </w:r>
          </w:p>
        </w:tc>
        <w:tc>
          <w:tcPr>
            <w:tcW w:w="1674" w:type="dxa"/>
            <w:noWrap w:val="0"/>
            <w:vAlign w:val="center"/>
          </w:tcPr>
          <w:p w14:paraId="3450C26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073" w:type="dxa"/>
            <w:noWrap w:val="0"/>
            <w:vAlign w:val="center"/>
          </w:tcPr>
          <w:p w14:paraId="420174B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X＜100</w:t>
            </w:r>
          </w:p>
        </w:tc>
      </w:tr>
      <w:tr w14:paraId="40C5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13362DD2">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p>
        </w:tc>
        <w:tc>
          <w:tcPr>
            <w:tcW w:w="1410" w:type="dxa"/>
            <w:noWrap w:val="0"/>
            <w:vAlign w:val="center"/>
          </w:tcPr>
          <w:p w14:paraId="2F47D1B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营业收入(Y)</w:t>
            </w:r>
          </w:p>
        </w:tc>
        <w:tc>
          <w:tcPr>
            <w:tcW w:w="1065" w:type="dxa"/>
            <w:noWrap w:val="0"/>
            <w:vAlign w:val="center"/>
          </w:tcPr>
          <w:p w14:paraId="12B4D72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1217" w:type="dxa"/>
            <w:noWrap w:val="0"/>
            <w:vAlign w:val="center"/>
          </w:tcPr>
          <w:p w14:paraId="7A760D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Y≥5000</w:t>
            </w:r>
          </w:p>
        </w:tc>
        <w:tc>
          <w:tcPr>
            <w:tcW w:w="1708" w:type="dxa"/>
            <w:noWrap w:val="0"/>
            <w:vAlign w:val="center"/>
          </w:tcPr>
          <w:p w14:paraId="30223BB4">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1000≤Y＜5000</w:t>
            </w:r>
          </w:p>
        </w:tc>
        <w:tc>
          <w:tcPr>
            <w:tcW w:w="1674" w:type="dxa"/>
            <w:noWrap w:val="0"/>
            <w:vAlign w:val="center"/>
          </w:tcPr>
          <w:p w14:paraId="50C5FBBD">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500≤Y＜1000</w:t>
            </w:r>
          </w:p>
        </w:tc>
        <w:tc>
          <w:tcPr>
            <w:tcW w:w="1073" w:type="dxa"/>
            <w:noWrap w:val="0"/>
            <w:vAlign w:val="center"/>
          </w:tcPr>
          <w:p w14:paraId="658E77A8">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Y＜500</w:t>
            </w:r>
          </w:p>
        </w:tc>
      </w:tr>
      <w:tr w14:paraId="73DA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restart"/>
            <w:noWrap w:val="0"/>
            <w:vAlign w:val="center"/>
          </w:tcPr>
          <w:p w14:paraId="18F8A9C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租赁和商务服务业</w:t>
            </w:r>
          </w:p>
        </w:tc>
        <w:tc>
          <w:tcPr>
            <w:tcW w:w="1410" w:type="dxa"/>
            <w:noWrap w:val="0"/>
            <w:vAlign w:val="center"/>
          </w:tcPr>
          <w:p w14:paraId="64EBDCA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从业人员(X)</w:t>
            </w:r>
          </w:p>
        </w:tc>
        <w:tc>
          <w:tcPr>
            <w:tcW w:w="1065" w:type="dxa"/>
            <w:noWrap w:val="0"/>
            <w:vAlign w:val="center"/>
          </w:tcPr>
          <w:p w14:paraId="26A33C9B">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人</w:t>
            </w:r>
          </w:p>
        </w:tc>
        <w:tc>
          <w:tcPr>
            <w:tcW w:w="1217" w:type="dxa"/>
            <w:noWrap w:val="0"/>
            <w:vAlign w:val="center"/>
          </w:tcPr>
          <w:p w14:paraId="68428A7A">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X≥300</w:t>
            </w:r>
          </w:p>
        </w:tc>
        <w:tc>
          <w:tcPr>
            <w:tcW w:w="1708" w:type="dxa"/>
            <w:noWrap w:val="0"/>
            <w:vAlign w:val="center"/>
          </w:tcPr>
          <w:p w14:paraId="4AF7F44E">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100≤X＜300</w:t>
            </w:r>
          </w:p>
        </w:tc>
        <w:tc>
          <w:tcPr>
            <w:tcW w:w="1674" w:type="dxa"/>
            <w:noWrap w:val="0"/>
            <w:vAlign w:val="center"/>
          </w:tcPr>
          <w:p w14:paraId="2CC6412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10≤X＜100</w:t>
            </w:r>
          </w:p>
        </w:tc>
        <w:tc>
          <w:tcPr>
            <w:tcW w:w="1073" w:type="dxa"/>
            <w:noWrap w:val="0"/>
            <w:vAlign w:val="center"/>
          </w:tcPr>
          <w:p w14:paraId="5BBD73E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X＜10</w:t>
            </w:r>
          </w:p>
        </w:tc>
      </w:tr>
      <w:tr w14:paraId="6CA7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vMerge w:val="continue"/>
            <w:noWrap w:val="0"/>
            <w:vAlign w:val="center"/>
          </w:tcPr>
          <w:p w14:paraId="56C49DE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b/>
                <w:bCs/>
                <w:color w:val="auto"/>
                <w:kern w:val="0"/>
                <w:sz w:val="21"/>
                <w:szCs w:val="21"/>
              </w:rPr>
            </w:pPr>
          </w:p>
        </w:tc>
        <w:tc>
          <w:tcPr>
            <w:tcW w:w="1410" w:type="dxa"/>
            <w:noWrap w:val="0"/>
            <w:vAlign w:val="center"/>
          </w:tcPr>
          <w:p w14:paraId="7AA2C71C">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资产总额(Z)</w:t>
            </w:r>
          </w:p>
        </w:tc>
        <w:tc>
          <w:tcPr>
            <w:tcW w:w="1065" w:type="dxa"/>
            <w:noWrap w:val="0"/>
            <w:vAlign w:val="center"/>
          </w:tcPr>
          <w:p w14:paraId="5F53A7A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万元</w:t>
            </w:r>
          </w:p>
        </w:tc>
        <w:tc>
          <w:tcPr>
            <w:tcW w:w="1217" w:type="dxa"/>
            <w:noWrap w:val="0"/>
            <w:vAlign w:val="center"/>
          </w:tcPr>
          <w:p w14:paraId="3ACC16B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Z≥120000</w:t>
            </w:r>
          </w:p>
        </w:tc>
        <w:tc>
          <w:tcPr>
            <w:tcW w:w="1708" w:type="dxa"/>
            <w:noWrap w:val="0"/>
            <w:vAlign w:val="center"/>
          </w:tcPr>
          <w:p w14:paraId="7341609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8000≤Z＜120000</w:t>
            </w:r>
          </w:p>
        </w:tc>
        <w:tc>
          <w:tcPr>
            <w:tcW w:w="1674" w:type="dxa"/>
            <w:noWrap w:val="0"/>
            <w:vAlign w:val="center"/>
          </w:tcPr>
          <w:p w14:paraId="339A1183">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100≤Z＜8000</w:t>
            </w:r>
          </w:p>
        </w:tc>
        <w:tc>
          <w:tcPr>
            <w:tcW w:w="1073" w:type="dxa"/>
            <w:noWrap w:val="0"/>
            <w:vAlign w:val="center"/>
          </w:tcPr>
          <w:p w14:paraId="5816282F">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Z＜100</w:t>
            </w:r>
          </w:p>
        </w:tc>
      </w:tr>
      <w:tr w14:paraId="6B44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058" w:type="dxa"/>
            <w:noWrap w:val="0"/>
            <w:vAlign w:val="center"/>
          </w:tcPr>
          <w:p w14:paraId="596C6D51">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其他未列明行业*</w:t>
            </w:r>
          </w:p>
        </w:tc>
        <w:tc>
          <w:tcPr>
            <w:tcW w:w="1410" w:type="dxa"/>
            <w:noWrap w:val="0"/>
            <w:vAlign w:val="center"/>
          </w:tcPr>
          <w:p w14:paraId="008FDDE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从业人员(X)</w:t>
            </w:r>
          </w:p>
        </w:tc>
        <w:tc>
          <w:tcPr>
            <w:tcW w:w="1065" w:type="dxa"/>
            <w:noWrap w:val="0"/>
            <w:vAlign w:val="center"/>
          </w:tcPr>
          <w:p w14:paraId="6D59ADF7">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1217" w:type="dxa"/>
            <w:noWrap w:val="0"/>
            <w:vAlign w:val="center"/>
          </w:tcPr>
          <w:p w14:paraId="0CE6BC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X≥300</w:t>
            </w:r>
          </w:p>
        </w:tc>
        <w:tc>
          <w:tcPr>
            <w:tcW w:w="1708" w:type="dxa"/>
            <w:noWrap w:val="0"/>
            <w:vAlign w:val="center"/>
          </w:tcPr>
          <w:p w14:paraId="19D9D23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100≤X＜300</w:t>
            </w:r>
          </w:p>
        </w:tc>
        <w:tc>
          <w:tcPr>
            <w:tcW w:w="1674" w:type="dxa"/>
            <w:noWrap w:val="0"/>
            <w:vAlign w:val="center"/>
          </w:tcPr>
          <w:p w14:paraId="6689BE59">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10≤X＜100</w:t>
            </w:r>
          </w:p>
        </w:tc>
        <w:tc>
          <w:tcPr>
            <w:tcW w:w="1073" w:type="dxa"/>
            <w:noWrap w:val="0"/>
            <w:vAlign w:val="center"/>
          </w:tcPr>
          <w:p w14:paraId="1CD25566">
            <w:pPr>
              <w:keepNext w:val="0"/>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X＜10</w:t>
            </w:r>
          </w:p>
        </w:tc>
      </w:tr>
    </w:tbl>
    <w:p w14:paraId="6E5C129D">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19066293">
      <w:pPr>
        <w:widowControl/>
        <w:spacing w:line="360" w:lineRule="auto"/>
        <w:ind w:left="0" w:leftChars="0" w:firstLine="0" w:firstLineChars="0"/>
        <w:rPr>
          <w:rFonts w:hint="eastAsia" w:ascii="宋体" w:hAnsi="宋体" w:eastAsia="宋体" w:cs="宋体"/>
          <w:color w:val="auto"/>
          <w:spacing w:val="8"/>
          <w:kern w:val="0"/>
          <w:sz w:val="24"/>
          <w:szCs w:val="24"/>
        </w:rPr>
      </w:pPr>
      <w:bookmarkStart w:id="222" w:name="_Toc16867"/>
      <w:r>
        <w:rPr>
          <w:rFonts w:hint="eastAsia" w:ascii="宋体" w:hAnsi="宋体" w:eastAsia="宋体" w:cs="宋体"/>
          <w:b/>
          <w:bCs/>
          <w:color w:val="auto"/>
          <w:spacing w:val="8"/>
          <w:kern w:val="0"/>
          <w:sz w:val="24"/>
          <w:szCs w:val="24"/>
        </w:rPr>
        <w:t>说明：</w:t>
      </w:r>
    </w:p>
    <w:p w14:paraId="5BFEA619">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1.大型、中型和小型企业须同时满足所列指标的</w:t>
      </w:r>
      <w:r>
        <w:rPr>
          <w:rFonts w:hint="eastAsia" w:ascii="宋体" w:hAnsi="宋体" w:eastAsia="宋体" w:cs="宋体"/>
          <w:b/>
          <w:bCs/>
          <w:color w:val="auto"/>
          <w:spacing w:val="8"/>
          <w:kern w:val="0"/>
          <w:sz w:val="24"/>
          <w:szCs w:val="24"/>
        </w:rPr>
        <w:t>下限</w:t>
      </w:r>
      <w:r>
        <w:rPr>
          <w:rFonts w:hint="eastAsia" w:ascii="宋体" w:hAnsi="宋体" w:eastAsia="宋体" w:cs="宋体"/>
          <w:color w:val="auto"/>
          <w:spacing w:val="8"/>
          <w:kern w:val="0"/>
          <w:sz w:val="24"/>
          <w:szCs w:val="24"/>
        </w:rPr>
        <w:t>，</w:t>
      </w:r>
      <w:r>
        <w:rPr>
          <w:rFonts w:hint="eastAsia" w:ascii="宋体" w:hAnsi="宋体" w:eastAsia="宋体" w:cs="宋体"/>
          <w:b/>
          <w:bCs/>
          <w:color w:val="auto"/>
          <w:spacing w:val="8"/>
          <w:kern w:val="0"/>
          <w:sz w:val="24"/>
          <w:szCs w:val="24"/>
        </w:rPr>
        <w:t>否则下划一档</w:t>
      </w:r>
      <w:r>
        <w:rPr>
          <w:rFonts w:hint="eastAsia" w:ascii="宋体" w:hAnsi="宋体" w:eastAsia="宋体" w:cs="宋体"/>
          <w:color w:val="auto"/>
          <w:spacing w:val="8"/>
          <w:kern w:val="0"/>
          <w:sz w:val="24"/>
          <w:szCs w:val="24"/>
        </w:rPr>
        <w:t>；微型企业只须满足所列指标中的</w:t>
      </w:r>
      <w:r>
        <w:rPr>
          <w:rFonts w:hint="eastAsia" w:ascii="宋体" w:hAnsi="宋体" w:eastAsia="宋体" w:cs="宋体"/>
          <w:b/>
          <w:bCs/>
          <w:color w:val="auto"/>
          <w:spacing w:val="8"/>
          <w:kern w:val="0"/>
          <w:sz w:val="24"/>
          <w:szCs w:val="24"/>
        </w:rPr>
        <w:t>一项</w:t>
      </w:r>
      <w:r>
        <w:rPr>
          <w:rFonts w:hint="eastAsia" w:ascii="宋体" w:hAnsi="宋体" w:eastAsia="宋体" w:cs="宋体"/>
          <w:color w:val="auto"/>
          <w:spacing w:val="8"/>
          <w:kern w:val="0"/>
          <w:sz w:val="24"/>
          <w:szCs w:val="24"/>
        </w:rPr>
        <w:t>即可。</w:t>
      </w:r>
    </w:p>
    <w:p w14:paraId="3E18952D">
      <w:pPr>
        <w:spacing w:line="360" w:lineRule="auto"/>
        <w:ind w:left="0" w:leftChars="0" w:firstLine="0" w:firstLineChars="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2.附表中各行业的范围以《国民经济行业分类》（GB/T4754-2017）为准。带*的项为行业组合类别，其中，</w:t>
      </w:r>
      <w:r>
        <w:rPr>
          <w:rFonts w:hint="eastAsia" w:ascii="宋体" w:hAnsi="宋体" w:eastAsia="宋体" w:cs="宋体"/>
          <w:b/>
          <w:bCs/>
          <w:color w:val="auto"/>
          <w:spacing w:val="8"/>
          <w:kern w:val="0"/>
          <w:sz w:val="24"/>
          <w:szCs w:val="24"/>
        </w:rPr>
        <w:t>工业</w:t>
      </w:r>
      <w:r>
        <w:rPr>
          <w:rFonts w:hint="eastAsia" w:ascii="宋体" w:hAnsi="宋体" w:eastAsia="宋体" w:cs="宋体"/>
          <w:color w:val="auto"/>
          <w:spacing w:val="8"/>
          <w:kern w:val="0"/>
          <w:sz w:val="24"/>
          <w:szCs w:val="24"/>
        </w:rPr>
        <w:t>包括采矿业，制造业，电力、热力、燃气及水生产和供应业；</w:t>
      </w:r>
      <w:r>
        <w:rPr>
          <w:rFonts w:hint="eastAsia" w:ascii="宋体" w:hAnsi="宋体" w:eastAsia="宋体" w:cs="宋体"/>
          <w:b/>
          <w:bCs/>
          <w:color w:val="auto"/>
          <w:spacing w:val="8"/>
          <w:kern w:val="0"/>
          <w:sz w:val="24"/>
          <w:szCs w:val="24"/>
        </w:rPr>
        <w:t>交通运输业</w:t>
      </w:r>
      <w:r>
        <w:rPr>
          <w:rFonts w:hint="eastAsia" w:ascii="宋体" w:hAnsi="宋体" w:eastAsia="宋体" w:cs="宋体"/>
          <w:color w:val="auto"/>
          <w:spacing w:val="8"/>
          <w:kern w:val="0"/>
          <w:sz w:val="24"/>
          <w:szCs w:val="24"/>
        </w:rPr>
        <w:t>包括道路运输业，水上运输业，航空运输业，管道运输业，多式联运和运输代理业、装卸搬运，不包括铁路运输业；</w:t>
      </w:r>
      <w:r>
        <w:rPr>
          <w:rFonts w:hint="eastAsia" w:ascii="宋体" w:hAnsi="宋体" w:eastAsia="宋体" w:cs="宋体"/>
          <w:b/>
          <w:bCs/>
          <w:color w:val="auto"/>
          <w:spacing w:val="8"/>
          <w:kern w:val="0"/>
          <w:sz w:val="24"/>
          <w:szCs w:val="24"/>
        </w:rPr>
        <w:t>仓储业</w:t>
      </w:r>
      <w:r>
        <w:rPr>
          <w:rFonts w:hint="eastAsia" w:ascii="宋体" w:hAnsi="宋体" w:eastAsia="宋体" w:cs="宋体"/>
          <w:color w:val="auto"/>
          <w:spacing w:val="8"/>
          <w:kern w:val="0"/>
          <w:sz w:val="24"/>
          <w:szCs w:val="24"/>
        </w:rPr>
        <w:t>包括通用仓储，低温仓储，危险品仓储，谷物、棉花等农产品仓储，中药材仓储和其他仓储业</w:t>
      </w:r>
      <w:r>
        <w:rPr>
          <w:rFonts w:hint="eastAsia" w:ascii="宋体" w:hAnsi="宋体" w:eastAsia="宋体" w:cs="宋体"/>
          <w:color w:val="auto"/>
          <w:spacing w:val="8"/>
          <w:kern w:val="0"/>
          <w:sz w:val="24"/>
          <w:szCs w:val="24"/>
          <w:lang w:eastAsia="zh-CN"/>
        </w:rPr>
        <w:t>；</w:t>
      </w:r>
      <w:r>
        <w:rPr>
          <w:rFonts w:hint="eastAsia" w:ascii="宋体" w:hAnsi="宋体" w:eastAsia="宋体" w:cs="宋体"/>
          <w:b/>
          <w:bCs/>
          <w:color w:val="auto"/>
          <w:spacing w:val="8"/>
          <w:kern w:val="0"/>
          <w:sz w:val="24"/>
          <w:szCs w:val="24"/>
        </w:rPr>
        <w:t>信息传输业</w:t>
      </w:r>
      <w:r>
        <w:rPr>
          <w:rFonts w:hint="eastAsia" w:ascii="宋体" w:hAnsi="宋体" w:eastAsia="宋体" w:cs="宋体"/>
          <w:color w:val="auto"/>
          <w:spacing w:val="8"/>
          <w:kern w:val="0"/>
          <w:sz w:val="24"/>
          <w:szCs w:val="24"/>
        </w:rPr>
        <w:t>包括电信、广播电视和卫星传输服务，互联网和相关服务；</w:t>
      </w:r>
      <w:r>
        <w:rPr>
          <w:rFonts w:hint="eastAsia" w:ascii="宋体" w:hAnsi="宋体" w:eastAsia="宋体" w:cs="宋体"/>
          <w:b/>
          <w:bCs/>
          <w:color w:val="auto"/>
          <w:spacing w:val="8"/>
          <w:kern w:val="0"/>
          <w:sz w:val="24"/>
          <w:szCs w:val="24"/>
        </w:rPr>
        <w:t>其他未列明行业</w:t>
      </w:r>
      <w:r>
        <w:rPr>
          <w:rFonts w:hint="eastAsia" w:ascii="宋体" w:hAnsi="宋体" w:eastAsia="宋体" w:cs="宋体"/>
          <w:color w:val="auto"/>
          <w:spacing w:val="8"/>
          <w:kern w:val="0"/>
          <w:sz w:val="24"/>
          <w:szCs w:val="24"/>
        </w:rPr>
        <w:t>包括科学研究和技术服务业，水利、环境和公共设施管理业，居民服务、修理和其他服务业，社会工作，文化、体育和娱乐业，以及房地产中介服务，其他房地产业等，不包括自有房地产经营活动。</w:t>
      </w:r>
    </w:p>
    <w:p w14:paraId="161E3E84">
      <w:pPr>
        <w:ind w:left="0" w:leftChars="0" w:firstLine="0" w:firstLineChars="0"/>
        <w:rPr>
          <w:rFonts w:hint="eastAsia" w:ascii="宋体" w:hAnsi="宋体" w:eastAsia="宋体" w:cs="宋体"/>
          <w:b/>
          <w:color w:val="auto"/>
          <w:sz w:val="24"/>
          <w:szCs w:val="24"/>
        </w:rPr>
      </w:pPr>
      <w:r>
        <w:rPr>
          <w:rFonts w:hint="eastAsia" w:ascii="宋体" w:hAnsi="宋体" w:eastAsia="宋体" w:cs="宋体"/>
          <w:color w:val="auto"/>
          <w:spacing w:val="8"/>
          <w:kern w:val="0"/>
          <w:sz w:val="24"/>
          <w:szCs w:val="24"/>
        </w:rPr>
        <w:t>　　3.企业划分指标以现行统计制度为准。（1）</w:t>
      </w:r>
      <w:r>
        <w:rPr>
          <w:rFonts w:hint="eastAsia" w:ascii="宋体" w:hAnsi="宋体" w:eastAsia="宋体" w:cs="宋体"/>
          <w:b/>
          <w:bCs/>
          <w:color w:val="auto"/>
          <w:spacing w:val="8"/>
          <w:kern w:val="0"/>
          <w:sz w:val="24"/>
          <w:szCs w:val="24"/>
        </w:rPr>
        <w:t>从业人员</w:t>
      </w:r>
      <w:r>
        <w:rPr>
          <w:rFonts w:hint="eastAsia" w:ascii="宋体" w:hAnsi="宋体" w:eastAsia="宋体" w:cs="宋体"/>
          <w:color w:val="auto"/>
          <w:spacing w:val="8"/>
          <w:kern w:val="0"/>
          <w:sz w:val="24"/>
          <w:szCs w:val="24"/>
        </w:rPr>
        <w:t>，是指期末从业人员数，没有期末从业人员数的，采用全年平均人员数代替。（2）</w:t>
      </w:r>
      <w:r>
        <w:rPr>
          <w:rFonts w:hint="eastAsia" w:ascii="宋体" w:hAnsi="宋体" w:eastAsia="宋体" w:cs="宋体"/>
          <w:b/>
          <w:bCs/>
          <w:color w:val="auto"/>
          <w:spacing w:val="8"/>
          <w:kern w:val="0"/>
          <w:sz w:val="24"/>
          <w:szCs w:val="24"/>
        </w:rPr>
        <w:t>营业收入</w:t>
      </w:r>
      <w:r>
        <w:rPr>
          <w:rFonts w:hint="eastAsia" w:ascii="宋体" w:hAnsi="宋体" w:eastAsia="宋体" w:cs="宋体"/>
          <w:color w:val="auto"/>
          <w:spacing w:val="8"/>
          <w:kern w:val="0"/>
          <w:sz w:val="24"/>
          <w:szCs w:val="24"/>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rFonts w:hint="eastAsia" w:ascii="宋体" w:hAnsi="宋体" w:eastAsia="宋体" w:cs="宋体"/>
          <w:b/>
          <w:bCs/>
          <w:color w:val="auto"/>
          <w:spacing w:val="8"/>
          <w:kern w:val="0"/>
          <w:sz w:val="24"/>
          <w:szCs w:val="24"/>
        </w:rPr>
        <w:t>资产总额</w:t>
      </w:r>
      <w:r>
        <w:rPr>
          <w:rFonts w:hint="eastAsia" w:ascii="宋体" w:hAnsi="宋体" w:eastAsia="宋体" w:cs="宋体"/>
          <w:color w:val="auto"/>
          <w:spacing w:val="8"/>
          <w:kern w:val="0"/>
          <w:sz w:val="24"/>
          <w:szCs w:val="24"/>
        </w:rPr>
        <w:t>，采用资产总计代替。</w:t>
      </w:r>
    </w:p>
    <w:p w14:paraId="4C858777">
      <w:pPr>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B819E72">
      <w:pPr>
        <w:widowControl/>
        <w:snapToGrid w:val="0"/>
        <w:spacing w:line="360" w:lineRule="auto"/>
        <w:ind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附件14：</w:t>
      </w:r>
      <w:r>
        <w:rPr>
          <w:rFonts w:hint="eastAsia" w:ascii="宋体" w:hAnsi="宋体" w:eastAsia="宋体" w:cs="宋体"/>
          <w:b/>
          <w:color w:val="auto"/>
          <w:sz w:val="24"/>
          <w:szCs w:val="24"/>
          <w:lang w:val="zh-CN" w:eastAsia="zh-CN" w:bidi="ar-SA"/>
        </w:rPr>
        <w:t>残疾人</w:t>
      </w:r>
      <w:r>
        <w:rPr>
          <w:rFonts w:hint="eastAsia" w:ascii="宋体" w:hAnsi="宋体" w:eastAsia="宋体" w:cs="宋体"/>
          <w:b/>
          <w:color w:val="auto"/>
          <w:sz w:val="24"/>
          <w:szCs w:val="24"/>
          <w:lang w:val="en-US" w:eastAsia="zh-CN" w:bidi="ar-SA"/>
        </w:rPr>
        <w:t>福利性单位声明函</w:t>
      </w:r>
      <w:bookmarkEnd w:id="222"/>
    </w:p>
    <w:p w14:paraId="5D42E23D">
      <w:pPr>
        <w:pStyle w:val="31"/>
        <w:rPr>
          <w:rFonts w:hint="eastAsia" w:ascii="宋体" w:hAnsi="宋体" w:eastAsia="宋体" w:cs="宋体"/>
          <w:b/>
          <w:color w:val="auto"/>
          <w:sz w:val="24"/>
          <w:szCs w:val="24"/>
          <w:lang w:val="en-US" w:eastAsia="zh-CN" w:bidi="ar-SA"/>
        </w:rPr>
      </w:pPr>
    </w:p>
    <w:p w14:paraId="07EE1213">
      <w:pPr>
        <w:autoSpaceDE w:val="0"/>
        <w:autoSpaceDN w:val="0"/>
        <w:spacing w:line="360" w:lineRule="auto"/>
        <w:jc w:val="center"/>
        <w:rPr>
          <w:rFonts w:hint="eastAsia" w:ascii="宋体" w:hAnsi="宋体" w:eastAsia="宋体" w:cs="宋体"/>
          <w:b/>
          <w:bCs/>
          <w:color w:val="auto"/>
          <w:kern w:val="0"/>
          <w:sz w:val="28"/>
          <w:szCs w:val="28"/>
          <w:lang w:eastAsia="zh-CN"/>
        </w:rPr>
      </w:pPr>
      <w:r>
        <w:rPr>
          <w:rFonts w:hint="eastAsia" w:ascii="宋体" w:hAnsi="宋体" w:eastAsia="宋体" w:cs="宋体"/>
          <w:b/>
          <w:bCs/>
          <w:color w:val="auto"/>
          <w:kern w:val="0"/>
          <w:sz w:val="28"/>
          <w:szCs w:val="28"/>
          <w:lang w:eastAsia="zh-CN"/>
        </w:rPr>
        <w:t>残疾人福利性单位声明函</w:t>
      </w:r>
    </w:p>
    <w:p w14:paraId="5EAD376B">
      <w:pPr>
        <w:spacing w:after="120" w:afterLines="50" w:line="360" w:lineRule="auto"/>
        <w:rPr>
          <w:rFonts w:hint="eastAsia" w:ascii="宋体" w:hAnsi="宋体" w:eastAsia="宋体" w:cs="宋体"/>
          <w:b/>
          <w:bCs/>
          <w:color w:val="auto"/>
          <w:sz w:val="24"/>
          <w:szCs w:val="24"/>
        </w:rPr>
      </w:pPr>
    </w:p>
    <w:p w14:paraId="6FC1C3F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bCs/>
          <w:color w:val="auto"/>
          <w:kern w:val="0"/>
          <w:sz w:val="24"/>
          <w:szCs w:val="24"/>
          <w:lang w:val="zh-CN"/>
        </w:rPr>
        <w:t>青海鼎钊招标代理有限公司</w:t>
      </w:r>
    </w:p>
    <w:p w14:paraId="3D73694D">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____________人，安置的残疾人人数________人。且本单位参加______________单位的______________项目采购活动提供本单位制造的货物（由本单位承担工程/提供服务），或者提供其他残疾人福利性单位制造的货物（不包括使用非残疾人福利性单位注册商标的货物）。</w:t>
      </w:r>
    </w:p>
    <w:p w14:paraId="20D8173D">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70EDA2F3">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p>
    <w:p w14:paraId="65E424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color w:val="auto"/>
          <w:sz w:val="24"/>
          <w:szCs w:val="24"/>
        </w:rPr>
        <w:t>注：若无此项内容，可不提供此函</w:t>
      </w:r>
      <w:r>
        <w:rPr>
          <w:rFonts w:hint="eastAsia" w:ascii="宋体" w:hAnsi="宋体" w:eastAsia="宋体" w:cs="宋体"/>
          <w:color w:val="auto"/>
        </w:rPr>
        <w:t>。</w:t>
      </w:r>
    </w:p>
    <w:p w14:paraId="67197CB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1E13942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5057F0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1148EA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r>
        <w:rPr>
          <w:rFonts w:hint="eastAsia" w:ascii="宋体" w:hAnsi="宋体" w:eastAsia="宋体" w:cs="宋体"/>
          <w:b/>
          <w:color w:val="auto"/>
        </w:rPr>
        <w:t xml:space="preserve"> </w:t>
      </w:r>
      <w:r>
        <w:rPr>
          <w:rFonts w:hint="eastAsia" w:ascii="宋体" w:hAnsi="宋体" w:eastAsia="宋体" w:cs="宋体"/>
          <w:b/>
          <w:color w:val="auto"/>
          <w:sz w:val="24"/>
          <w:szCs w:val="24"/>
        </w:rPr>
        <w:t xml:space="preserve">                             企业名称：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sz w:val="24"/>
          <w:szCs w:val="24"/>
        </w:rPr>
        <w:t>（公章）</w:t>
      </w:r>
    </w:p>
    <w:p w14:paraId="6755F868">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企业法定代表人：</w:t>
      </w:r>
      <w:r>
        <w:rPr>
          <w:rFonts w:hint="eastAsia" w:ascii="宋体" w:hAnsi="宋体" w:eastAsia="宋体" w:cs="宋体"/>
          <w:color w:val="auto"/>
          <w:kern w:val="0"/>
          <w:sz w:val="24"/>
          <w:szCs w:val="24"/>
          <w:u w:val="single"/>
        </w:rPr>
        <w:t xml:space="preserve">       </w:t>
      </w:r>
      <w:r>
        <w:rPr>
          <w:rFonts w:hint="eastAsia" w:ascii="宋体" w:hAnsi="宋体" w:eastAsia="宋体" w:cs="宋体"/>
          <w:b/>
          <w:color w:val="auto"/>
          <w:sz w:val="24"/>
          <w:szCs w:val="24"/>
        </w:rPr>
        <w:t>（签字或盖章）</w:t>
      </w:r>
    </w:p>
    <w:p w14:paraId="2C0D0712">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年   月   日</w:t>
      </w:r>
    </w:p>
    <w:p w14:paraId="3CFF8DE6">
      <w:pPr>
        <w:ind w:left="0" w:leftChars="0" w:firstLine="0" w:firstLineChars="0"/>
        <w:outlineLvl w:val="1"/>
        <w:rPr>
          <w:rFonts w:hint="eastAsia" w:ascii="宋体" w:hAnsi="宋体" w:eastAsia="宋体" w:cs="宋体"/>
          <w:b/>
          <w:color w:val="auto"/>
          <w:sz w:val="24"/>
          <w:szCs w:val="24"/>
          <w:lang w:val="en-US" w:eastAsia="zh-CN" w:bidi="ar-SA"/>
        </w:rPr>
      </w:pPr>
      <w:r>
        <w:rPr>
          <w:rFonts w:hint="eastAsia" w:ascii="宋体" w:hAnsi="宋体" w:eastAsia="宋体" w:cs="宋体"/>
          <w:color w:val="auto"/>
          <w:lang w:val="zh-CN"/>
        </w:rPr>
        <w:br w:type="page"/>
      </w:r>
      <w:bookmarkStart w:id="223" w:name="_Toc6153"/>
      <w:r>
        <w:rPr>
          <w:rFonts w:hint="eastAsia" w:ascii="宋体" w:hAnsi="宋体" w:eastAsia="宋体" w:cs="宋体"/>
          <w:b/>
          <w:color w:val="auto"/>
          <w:sz w:val="24"/>
          <w:szCs w:val="24"/>
          <w:lang w:val="en-US" w:eastAsia="zh-CN" w:bidi="ar-SA"/>
        </w:rPr>
        <w:t>附件15：监狱企业证明材料</w:t>
      </w:r>
      <w:bookmarkEnd w:id="223"/>
    </w:p>
    <w:p w14:paraId="30BB23BD">
      <w:pPr>
        <w:rPr>
          <w:rFonts w:hint="eastAsia" w:ascii="宋体" w:hAnsi="宋体" w:eastAsia="宋体" w:cs="宋体"/>
          <w:color w:val="auto"/>
        </w:rPr>
      </w:pPr>
    </w:p>
    <w:p w14:paraId="240805F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监狱企业参加政府采购活动时，应当提供由省级以上监狱管理局、戒毒管理局(含新疆生产建设兵团)出具的属于监狱企业的证明文件。</w:t>
      </w:r>
    </w:p>
    <w:p w14:paraId="522CC4CF">
      <w:pPr>
        <w:spacing w:line="360" w:lineRule="auto"/>
        <w:rPr>
          <w:rFonts w:hint="eastAsia" w:ascii="宋体" w:hAnsi="宋体" w:eastAsia="宋体" w:cs="宋体"/>
          <w:color w:val="auto"/>
          <w:sz w:val="24"/>
          <w:szCs w:val="24"/>
        </w:rPr>
      </w:pPr>
    </w:p>
    <w:p w14:paraId="52AA827D">
      <w:pPr>
        <w:spacing w:line="360" w:lineRule="auto"/>
        <w:rPr>
          <w:rFonts w:hint="eastAsia" w:ascii="宋体" w:hAnsi="宋体" w:eastAsia="宋体" w:cs="宋体"/>
          <w:color w:val="auto"/>
          <w:sz w:val="24"/>
          <w:szCs w:val="24"/>
        </w:rPr>
      </w:pPr>
    </w:p>
    <w:p w14:paraId="1BD0526D">
      <w:pPr>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w:t>
      </w:r>
    </w:p>
    <w:p w14:paraId="336FDA34">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6A16B7D6">
      <w:pPr>
        <w:keepNext/>
        <w:pageBreakBefore/>
        <w:widowControl/>
        <w:spacing w:line="360" w:lineRule="auto"/>
        <w:ind w:firstLine="0" w:firstLineChars="0"/>
        <w:outlineLvl w:val="1"/>
        <w:rPr>
          <w:rFonts w:hint="eastAsia" w:ascii="宋体" w:hAnsi="宋体" w:eastAsia="宋体" w:cs="宋体"/>
          <w:b/>
          <w:bCs/>
          <w:color w:val="auto"/>
          <w:sz w:val="24"/>
          <w:szCs w:val="24"/>
        </w:rPr>
      </w:pPr>
      <w:bookmarkStart w:id="224" w:name="_Toc31479"/>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：供应商最后报价表</w:t>
      </w:r>
      <w:bookmarkEnd w:id="224"/>
    </w:p>
    <w:p w14:paraId="298955B2">
      <w:pPr>
        <w:spacing w:line="360" w:lineRule="auto"/>
        <w:ind w:firstLine="0" w:firstLineChars="0"/>
        <w:rPr>
          <w:rFonts w:hint="eastAsia" w:ascii="宋体" w:hAnsi="宋体" w:eastAsia="宋体" w:cs="宋体"/>
          <w:b/>
          <w:color w:val="auto"/>
          <w:sz w:val="24"/>
          <w:szCs w:val="24"/>
        </w:rPr>
      </w:pPr>
    </w:p>
    <w:p w14:paraId="322FD2ED">
      <w:pPr>
        <w:spacing w:line="360" w:lineRule="auto"/>
        <w:ind w:firstLine="0" w:firstLineChars="0"/>
        <w:jc w:val="center"/>
        <w:rPr>
          <w:rFonts w:hint="eastAsia" w:ascii="宋体" w:hAnsi="宋体" w:eastAsia="宋体" w:cs="宋体"/>
          <w:b/>
          <w:color w:val="auto"/>
          <w:sz w:val="24"/>
          <w:szCs w:val="24"/>
        </w:rPr>
      </w:pPr>
      <w:bookmarkStart w:id="225" w:name="_Toc408326292"/>
      <w:r>
        <w:rPr>
          <w:rFonts w:hint="eastAsia" w:ascii="宋体" w:hAnsi="宋体" w:eastAsia="宋体" w:cs="宋体"/>
          <w:b/>
          <w:color w:val="auto"/>
          <w:sz w:val="24"/>
          <w:szCs w:val="24"/>
        </w:rPr>
        <w:t>供应商最后报价表</w:t>
      </w:r>
      <w:bookmarkEnd w:id="225"/>
    </w:p>
    <w:p w14:paraId="77763E7C">
      <w:pPr>
        <w:spacing w:line="360" w:lineRule="auto"/>
        <w:ind w:firstLine="0" w:firstLineChars="0"/>
        <w:rPr>
          <w:rFonts w:hint="eastAsia" w:ascii="宋体" w:hAnsi="宋体" w:eastAsia="宋体" w:cs="宋体"/>
          <w:b/>
          <w:color w:val="auto"/>
          <w:sz w:val="24"/>
          <w:szCs w:val="24"/>
        </w:rPr>
      </w:pPr>
    </w:p>
    <w:p w14:paraId="392F49F1">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p w14:paraId="7B01333D">
      <w:pPr>
        <w:pStyle w:val="14"/>
        <w:ind w:left="0" w:leftChars="0"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项目编号：</w:t>
      </w:r>
    </w:p>
    <w:tbl>
      <w:tblPr>
        <w:tblStyle w:val="2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246"/>
        <w:gridCol w:w="3329"/>
        <w:gridCol w:w="1672"/>
      </w:tblGrid>
      <w:tr w14:paraId="2B01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113" w:type="dxa"/>
            <w:vAlign w:val="center"/>
          </w:tcPr>
          <w:p w14:paraId="178C85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最初</w:t>
            </w:r>
            <w:r>
              <w:rPr>
                <w:rFonts w:hint="eastAsia" w:ascii="宋体" w:hAnsi="宋体" w:eastAsia="宋体" w:cs="宋体"/>
                <w:bCs/>
                <w:color w:val="auto"/>
                <w:sz w:val="24"/>
                <w:szCs w:val="24"/>
                <w:lang w:val="en-US" w:eastAsia="zh-CN"/>
              </w:rPr>
              <w:t>报价</w:t>
            </w:r>
          </w:p>
        </w:tc>
        <w:tc>
          <w:tcPr>
            <w:tcW w:w="1246" w:type="dxa"/>
            <w:vAlign w:val="center"/>
          </w:tcPr>
          <w:p w14:paraId="6483B04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3329" w:type="dxa"/>
            <w:vAlign w:val="center"/>
          </w:tcPr>
          <w:p w14:paraId="4779BE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w:t>
            </w:r>
            <w:r>
              <w:rPr>
                <w:rFonts w:hint="eastAsia" w:ascii="宋体" w:hAnsi="宋体" w:eastAsia="宋体" w:cs="宋体"/>
                <w:color w:val="auto"/>
                <w:sz w:val="24"/>
                <w:szCs w:val="24"/>
                <w:lang w:eastAsia="zh-CN"/>
              </w:rPr>
              <w:t>后</w:t>
            </w:r>
            <w:r>
              <w:rPr>
                <w:rFonts w:hint="eastAsia" w:ascii="宋体" w:hAnsi="宋体" w:eastAsia="宋体" w:cs="宋体"/>
                <w:color w:val="auto"/>
                <w:sz w:val="24"/>
                <w:szCs w:val="24"/>
                <w:lang w:val="en-US" w:eastAsia="zh-CN"/>
              </w:rPr>
              <w:t>报价</w:t>
            </w:r>
          </w:p>
        </w:tc>
        <w:tc>
          <w:tcPr>
            <w:tcW w:w="1672" w:type="dxa"/>
            <w:vAlign w:val="center"/>
          </w:tcPr>
          <w:p w14:paraId="29AAA2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服务</w:t>
            </w:r>
            <w:r>
              <w:rPr>
                <w:rFonts w:hint="eastAsia" w:ascii="宋体" w:hAnsi="宋体" w:eastAsia="宋体" w:cs="宋体"/>
                <w:bCs/>
                <w:color w:val="auto"/>
                <w:sz w:val="24"/>
                <w:szCs w:val="24"/>
                <w:lang w:eastAsia="zh-CN"/>
              </w:rPr>
              <w:t>期限</w:t>
            </w:r>
          </w:p>
        </w:tc>
      </w:tr>
      <w:tr w14:paraId="7BBE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3113" w:type="dxa"/>
            <w:vAlign w:val="center"/>
          </w:tcPr>
          <w:p w14:paraId="55416E8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lang w:val="en-US" w:eastAsia="zh-CN"/>
              </w:rPr>
            </w:pPr>
          </w:p>
        </w:tc>
        <w:tc>
          <w:tcPr>
            <w:tcW w:w="1246" w:type="dxa"/>
            <w:vAlign w:val="center"/>
          </w:tcPr>
          <w:p w14:paraId="7F3241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rPr>
            </w:pPr>
          </w:p>
        </w:tc>
        <w:tc>
          <w:tcPr>
            <w:tcW w:w="3329" w:type="dxa"/>
            <w:vAlign w:val="center"/>
          </w:tcPr>
          <w:p w14:paraId="2124FD0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 w:val="24"/>
                <w:szCs w:val="24"/>
                <w:lang w:eastAsia="zh-CN"/>
              </w:rPr>
            </w:pPr>
          </w:p>
        </w:tc>
        <w:tc>
          <w:tcPr>
            <w:tcW w:w="1672" w:type="dxa"/>
          </w:tcPr>
          <w:p w14:paraId="15ED07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r w14:paraId="1E38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44C5488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14:paraId="2ABC0A9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p w14:paraId="6504EE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rPr>
            </w:pPr>
          </w:p>
        </w:tc>
      </w:tr>
    </w:tbl>
    <w:p w14:paraId="0A3FBB54">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highlight w:val="none"/>
        </w:rPr>
        <w:t>此表不需</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在响应文件中，供应商事先须盖章、签字。在磋商期间，由磋商小组确定合格的供应商</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val="en-US" w:eastAsia="zh-CN"/>
        </w:rPr>
        <w:t>并上传</w:t>
      </w:r>
      <w:r>
        <w:rPr>
          <w:rFonts w:hint="eastAsia" w:ascii="宋体" w:hAnsi="宋体" w:eastAsia="宋体" w:cs="宋体"/>
          <w:color w:val="auto"/>
          <w:sz w:val="24"/>
          <w:szCs w:val="24"/>
          <w:highlight w:val="none"/>
        </w:rPr>
        <w:t>。</w:t>
      </w:r>
    </w:p>
    <w:p w14:paraId="3DD2B3CE">
      <w:pPr>
        <w:tabs>
          <w:tab w:val="left" w:pos="168"/>
        </w:tabs>
        <w:spacing w:line="360" w:lineRule="auto"/>
        <w:ind w:firstLine="0" w:firstLineChars="0"/>
        <w:textAlignment w:val="baseline"/>
        <w:rPr>
          <w:rFonts w:hint="eastAsia" w:ascii="宋体" w:hAnsi="宋体" w:eastAsia="宋体" w:cs="宋体"/>
          <w:b/>
          <w:bCs/>
          <w:color w:val="auto"/>
          <w:sz w:val="24"/>
          <w:szCs w:val="24"/>
        </w:rPr>
      </w:pPr>
    </w:p>
    <w:p w14:paraId="3D8BD8DE">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（公章）</w:t>
      </w:r>
    </w:p>
    <w:p w14:paraId="4E0DC2C8">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（签字或盖章）</w:t>
      </w:r>
    </w:p>
    <w:p w14:paraId="0A523791">
      <w:pPr>
        <w:pStyle w:val="14"/>
        <w:ind w:left="0" w:leftChars="0" w:firstLine="0" w:firstLineChars="0"/>
        <w:jc w:val="center"/>
        <w:rPr>
          <w:rFonts w:hint="eastAsia" w:ascii="宋体" w:hAnsi="宋体" w:eastAsia="宋体" w:cs="宋体"/>
          <w:color w:val="auto"/>
        </w:rPr>
      </w:pPr>
      <w:r>
        <w:rPr>
          <w:rFonts w:hint="eastAsia" w:ascii="宋体" w:hAnsi="宋体" w:eastAsia="宋体" w:cs="宋体"/>
          <w:b/>
          <w:color w:val="auto"/>
          <w:sz w:val="24"/>
          <w:szCs w:val="24"/>
        </w:rPr>
        <w:t xml:space="preserve">年   月 </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日</w:t>
      </w:r>
    </w:p>
    <w:p w14:paraId="5AB8632C">
      <w:pPr>
        <w:ind w:left="0" w:leftChars="0" w:firstLine="0" w:firstLineChars="0"/>
        <w:rPr>
          <w:rFonts w:hint="eastAsia" w:ascii="宋体" w:hAnsi="宋体" w:eastAsia="宋体" w:cs="宋体"/>
          <w:color w:val="auto"/>
          <w:lang w:val="en-US" w:eastAsia="zh-CN"/>
        </w:rPr>
      </w:pPr>
      <w:r>
        <w:rPr>
          <w:rFonts w:hint="eastAsia" w:ascii="宋体" w:hAnsi="宋体" w:eastAsia="宋体" w:cs="宋体"/>
          <w:b/>
          <w:color w:val="auto"/>
          <w:sz w:val="24"/>
          <w:szCs w:val="24"/>
        </w:rPr>
        <w:br w:type="page"/>
      </w:r>
    </w:p>
    <w:p w14:paraId="0A7540F1">
      <w:pPr>
        <w:keepNext/>
        <w:keepLines/>
        <w:widowControl/>
        <w:snapToGrid w:val="0"/>
        <w:spacing w:line="360" w:lineRule="auto"/>
        <w:ind w:firstLine="0" w:firstLineChars="0"/>
        <w:jc w:val="center"/>
        <w:outlineLvl w:val="0"/>
        <w:rPr>
          <w:rFonts w:hint="eastAsia" w:ascii="宋体" w:hAnsi="宋体" w:eastAsia="宋体" w:cs="宋体"/>
          <w:color w:val="auto"/>
        </w:rPr>
      </w:pPr>
      <w:bookmarkStart w:id="226" w:name="_Toc6073"/>
      <w:r>
        <w:rPr>
          <w:rFonts w:hint="eastAsia" w:ascii="宋体" w:hAnsi="宋体" w:eastAsia="宋体" w:cs="宋体"/>
          <w:b/>
          <w:color w:val="auto"/>
          <w:kern w:val="28"/>
          <w:sz w:val="36"/>
          <w:szCs w:val="20"/>
        </w:rPr>
        <w:t xml:space="preserve">第六部分  </w:t>
      </w:r>
      <w:r>
        <w:rPr>
          <w:rFonts w:hint="eastAsia" w:ascii="宋体" w:hAnsi="宋体" w:eastAsia="宋体" w:cs="宋体"/>
          <w:b/>
          <w:color w:val="auto"/>
          <w:kern w:val="28"/>
          <w:sz w:val="36"/>
          <w:szCs w:val="20"/>
          <w:lang w:eastAsia="zh-CN"/>
        </w:rPr>
        <w:t>采购项目要求</w:t>
      </w:r>
      <w:bookmarkEnd w:id="226"/>
    </w:p>
    <w:p w14:paraId="087EC3CE">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一、投标要求：</w:t>
      </w:r>
    </w:p>
    <w:p w14:paraId="1D5A010D">
      <w:pPr>
        <w:pStyle w:val="20"/>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lang w:val="zh-CN"/>
        </w:rPr>
      </w:pPr>
      <w:bookmarkStart w:id="227" w:name="_Toc20417"/>
      <w:bookmarkStart w:id="228" w:name="_Toc4635"/>
      <w:bookmarkStart w:id="229" w:name="_Toc15074"/>
      <w:r>
        <w:rPr>
          <w:rFonts w:hint="eastAsia" w:ascii="宋体" w:hAnsi="宋体" w:eastAsia="宋体" w:cs="宋体"/>
          <w:color w:val="auto"/>
          <w:sz w:val="24"/>
          <w:szCs w:val="24"/>
          <w:lang w:val="zh-CN"/>
        </w:rPr>
        <w:t>1.投标说明</w:t>
      </w:r>
      <w:bookmarkEnd w:id="227"/>
      <w:bookmarkEnd w:id="228"/>
      <w:bookmarkEnd w:id="229"/>
    </w:p>
    <w:p w14:paraId="2E0126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供应商必须对</w:t>
      </w:r>
      <w:r>
        <w:rPr>
          <w:rFonts w:hint="eastAsia" w:ascii="宋体" w:hAnsi="宋体" w:eastAsia="宋体" w:cs="宋体"/>
          <w:color w:val="auto"/>
          <w:sz w:val="24"/>
          <w:szCs w:val="24"/>
          <w:lang w:val="en-US" w:eastAsia="zh-CN"/>
        </w:rPr>
        <w:t>本文件</w:t>
      </w:r>
      <w:r>
        <w:rPr>
          <w:rFonts w:hint="eastAsia" w:ascii="宋体" w:hAnsi="宋体" w:eastAsia="宋体" w:cs="宋体"/>
          <w:color w:val="auto"/>
          <w:sz w:val="24"/>
          <w:szCs w:val="24"/>
          <w:lang w:val="zh-CN"/>
        </w:rPr>
        <w:t>中的所有内容作为一个整体进行投标，不能拆分或少报。否则，投标无效。</w:t>
      </w:r>
    </w:p>
    <w:p w14:paraId="0134F2EB">
      <w:pPr>
        <w:pStyle w:val="20"/>
        <w:keepNext w:val="0"/>
        <w:keepLines w:val="0"/>
        <w:pageBreakBefore w:val="0"/>
        <w:widowControl w:val="0"/>
        <w:kinsoku/>
        <w:wordWrap/>
        <w:overflowPunct/>
        <w:topLinePunct w:val="0"/>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rPr>
      </w:pPr>
      <w:bookmarkStart w:id="230" w:name="_Toc8172"/>
      <w:bookmarkStart w:id="231" w:name="_Toc21805"/>
      <w:bookmarkStart w:id="232" w:name="_Toc17561"/>
      <w:r>
        <w:rPr>
          <w:rFonts w:hint="eastAsia" w:ascii="宋体" w:hAnsi="宋体" w:eastAsia="宋体" w:cs="宋体"/>
          <w:color w:val="auto"/>
          <w:sz w:val="24"/>
          <w:szCs w:val="24"/>
        </w:rPr>
        <w:t>2.报价说明</w:t>
      </w:r>
      <w:bookmarkEnd w:id="230"/>
      <w:bookmarkEnd w:id="231"/>
      <w:bookmarkEnd w:id="232"/>
    </w:p>
    <w:p w14:paraId="50ACB44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本次磋商文件中规定的采购预算额度为最高限价，供应商的投标报价不得超出此额度。否则，投标无效。</w:t>
      </w:r>
    </w:p>
    <w:p w14:paraId="68BB8F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投标报价为投标总价。投标报价应包括：完成本次招标所有服务内容的费用，包含：</w:t>
      </w:r>
      <w:r>
        <w:rPr>
          <w:rFonts w:hint="eastAsia" w:ascii="宋体" w:hAnsi="宋体" w:eastAsia="宋体" w:cs="宋体"/>
          <w:color w:val="auto"/>
          <w:sz w:val="24"/>
          <w:szCs w:val="24"/>
          <w:lang w:val="zh-CN"/>
        </w:rPr>
        <w:t>产品费、维保费、人员工资、验收费、手续费、安装调试费、培训费、售前、售中、售后服务费、招标代理服务费、税金及不可预见费等全部费用。</w:t>
      </w:r>
    </w:p>
    <w:p w14:paraId="2E1DC965">
      <w:pPr>
        <w:pStyle w:val="14"/>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bidi="ar-SA"/>
        </w:rPr>
        <w:t>二、服务内容：</w:t>
      </w:r>
    </w:p>
    <w:p w14:paraId="12877171">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在医院医学装备科监督管理下，为</w:t>
      </w:r>
      <w:r>
        <w:rPr>
          <w:rFonts w:hint="eastAsia" w:ascii="宋体" w:hAnsi="宋体" w:eastAsia="宋体" w:cs="宋体"/>
          <w:color w:val="auto"/>
          <w:sz w:val="24"/>
          <w:szCs w:val="24"/>
          <w:lang w:val="en-US" w:eastAsia="zh-CN"/>
        </w:rPr>
        <w:t>全院</w:t>
      </w:r>
      <w:r>
        <w:rPr>
          <w:rFonts w:hint="eastAsia" w:ascii="宋体" w:hAnsi="宋体" w:eastAsia="宋体" w:cs="宋体"/>
          <w:color w:val="auto"/>
          <w:sz w:val="24"/>
          <w:szCs w:val="24"/>
          <w:lang w:eastAsia="zh-CN"/>
        </w:rPr>
        <w:t>医疗设备提供管理、维修、保养、操作培训以及相关信息资料统计工作，并接受医学装备科、临床使用科室的工作考核和评价；</w:t>
      </w:r>
    </w:p>
    <w:p w14:paraId="5E9DBAAC">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trike w:val="0"/>
          <w:dstrike w:val="0"/>
          <w:color w:val="auto"/>
          <w:sz w:val="24"/>
          <w:szCs w:val="24"/>
          <w:u w:val="none"/>
          <w:lang w:val="en-US" w:eastAsia="zh-CN"/>
        </w:rPr>
        <w:t>2.免费提供单次、单价≤2000元的配件，超出部分由院方负责；</w:t>
      </w:r>
    </w:p>
    <w:p w14:paraId="06068C0B">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维保设备种类与数量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参考</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海东市第二人民医院医疗设备维保服务采购项目</w:t>
      </w:r>
      <w:r>
        <w:rPr>
          <w:rFonts w:hint="eastAsia" w:ascii="宋体" w:hAnsi="宋体" w:eastAsia="宋体" w:cs="宋体"/>
          <w:color w:val="auto"/>
          <w:sz w:val="24"/>
          <w:szCs w:val="24"/>
        </w:rPr>
        <w:t>拟需维保设备明细表》</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详见附件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，临床在用设备以实际购买价格入账,中标后供应商即可进驻采购单位一起清点设备，最终盘点结果以双方确认为准,签署合同；</w:t>
      </w:r>
    </w:p>
    <w:p w14:paraId="1C9AA36B">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海东市第二人民医院医疗设备维保服务采购项目</w:t>
      </w:r>
      <w:r>
        <w:rPr>
          <w:rFonts w:hint="eastAsia" w:ascii="宋体" w:hAnsi="宋体" w:eastAsia="宋体" w:cs="宋体"/>
          <w:color w:val="auto"/>
          <w:sz w:val="24"/>
          <w:szCs w:val="24"/>
        </w:rPr>
        <w:t>拟需维保设备明细表》</w:t>
      </w:r>
      <w:r>
        <w:rPr>
          <w:rFonts w:hint="eastAsia" w:ascii="宋体" w:hAnsi="宋体" w:eastAsia="宋体" w:cs="宋体"/>
          <w:color w:val="auto"/>
          <w:sz w:val="24"/>
          <w:szCs w:val="24"/>
          <w:lang w:val="en-US" w:eastAsia="zh-CN"/>
        </w:rPr>
        <w:t>中部分设备处于在保或质保期内，在厂家或其他第三方质保期满后，自动纳入管理范围；</w:t>
      </w:r>
    </w:p>
    <w:p w14:paraId="5FF7472B">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val="0"/>
          <w:bCs w:val="0"/>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w:t>
      </w:r>
      <w:r>
        <w:rPr>
          <w:rFonts w:hint="eastAsia" w:ascii="宋体" w:hAnsi="宋体" w:eastAsia="宋体" w:cs="宋体"/>
          <w:color w:val="auto"/>
          <w:sz w:val="24"/>
          <w:szCs w:val="24"/>
        </w:rPr>
        <w:t>付款方法和条件：</w:t>
      </w:r>
      <w:r>
        <w:rPr>
          <w:rFonts w:hint="eastAsia" w:ascii="宋体" w:hAnsi="宋体" w:eastAsia="宋体" w:cs="宋体"/>
          <w:color w:val="auto"/>
          <w:sz w:val="24"/>
          <w:szCs w:val="24"/>
          <w:lang w:val="en-US" w:eastAsia="zh-CN"/>
        </w:rPr>
        <w:t>合同签订前，乙方须交纳履约保证金，以保证服务质量，若未按合同完成服务，按比例从履约金中扣除。甲方按季度支付，每季度支付当年合同金额25%的款项；</w:t>
      </w:r>
      <w:r>
        <w:rPr>
          <w:rFonts w:hint="eastAsia" w:ascii="宋体" w:hAnsi="宋体" w:eastAsia="宋体" w:cs="宋体"/>
          <w:color w:val="auto"/>
          <w:sz w:val="24"/>
          <w:szCs w:val="24"/>
        </w:rPr>
        <w:t>每季度服务</w:t>
      </w:r>
      <w:r>
        <w:rPr>
          <w:rFonts w:hint="eastAsia" w:ascii="宋体" w:hAnsi="宋体" w:eastAsia="宋体" w:cs="宋体"/>
          <w:color w:val="auto"/>
          <w:sz w:val="24"/>
          <w:szCs w:val="24"/>
          <w:lang w:val="en-US" w:eastAsia="zh-CN"/>
        </w:rPr>
        <w:t>结束后乙方提供服务报告，甲方对服务进行考核</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合格后按财务要求</w:t>
      </w:r>
      <w:r>
        <w:rPr>
          <w:rFonts w:hint="eastAsia" w:ascii="宋体" w:hAnsi="宋体" w:eastAsia="宋体" w:cs="宋体"/>
          <w:color w:val="auto"/>
          <w:sz w:val="24"/>
          <w:szCs w:val="24"/>
        </w:rPr>
        <w:t>支付</w:t>
      </w:r>
      <w:r>
        <w:rPr>
          <w:rFonts w:hint="eastAsia" w:ascii="宋体" w:hAnsi="宋体" w:eastAsia="宋体" w:cs="宋体"/>
          <w:color w:val="auto"/>
          <w:sz w:val="24"/>
          <w:szCs w:val="24"/>
          <w:lang w:val="en-US" w:eastAsia="zh-CN"/>
        </w:rPr>
        <w:t>上</w:t>
      </w:r>
      <w:r>
        <w:rPr>
          <w:rFonts w:hint="eastAsia" w:ascii="宋体" w:hAnsi="宋体" w:eastAsia="宋体" w:cs="宋体"/>
          <w:color w:val="auto"/>
          <w:sz w:val="24"/>
          <w:szCs w:val="24"/>
        </w:rPr>
        <w:t>季度服务款</w:t>
      </w:r>
      <w:r>
        <w:rPr>
          <w:rFonts w:hint="eastAsia" w:ascii="宋体" w:hAnsi="宋体" w:eastAsia="宋体" w:cs="宋体"/>
          <w:color w:val="auto"/>
          <w:sz w:val="24"/>
          <w:szCs w:val="24"/>
          <w:lang w:eastAsia="zh-CN"/>
        </w:rPr>
        <w:t>；</w:t>
      </w:r>
    </w:p>
    <w:p w14:paraId="16736E9F">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6.供应商</w:t>
      </w:r>
      <w:r>
        <w:rPr>
          <w:rFonts w:hint="eastAsia" w:ascii="宋体" w:hAnsi="宋体" w:eastAsia="宋体" w:cs="宋体"/>
          <w:color w:val="auto"/>
          <w:sz w:val="24"/>
          <w:szCs w:val="24"/>
        </w:rPr>
        <w:t>承诺提供的全部服务不存在任何知识产权争议或其他纠纷，如因此造成</w:t>
      </w:r>
      <w:r>
        <w:rPr>
          <w:rFonts w:hint="eastAsia" w:ascii="宋体" w:hAnsi="宋体" w:eastAsia="宋体" w:cs="宋体"/>
          <w:color w:val="auto"/>
          <w:sz w:val="24"/>
          <w:szCs w:val="24"/>
          <w:lang w:val="en-US" w:eastAsia="zh-CN"/>
        </w:rPr>
        <w:t>中标方</w:t>
      </w:r>
      <w:r>
        <w:rPr>
          <w:rFonts w:hint="eastAsia" w:ascii="宋体" w:hAnsi="宋体" w:eastAsia="宋体" w:cs="宋体"/>
          <w:color w:val="auto"/>
          <w:sz w:val="24"/>
          <w:szCs w:val="24"/>
        </w:rPr>
        <w:t>无法正常服务或第三方其他企业及个人等向</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主张权利等纠纷，均与</w:t>
      </w:r>
      <w:r>
        <w:rPr>
          <w:rFonts w:hint="eastAsia" w:ascii="宋体" w:hAnsi="宋体" w:eastAsia="宋体" w:cs="宋体"/>
          <w:color w:val="auto"/>
          <w:sz w:val="24"/>
          <w:szCs w:val="24"/>
          <w:lang w:val="en-US" w:eastAsia="zh-CN"/>
        </w:rPr>
        <w:t>采购单位</w:t>
      </w:r>
      <w:r>
        <w:rPr>
          <w:rFonts w:hint="eastAsia" w:ascii="宋体" w:hAnsi="宋体" w:eastAsia="宋体" w:cs="宋体"/>
          <w:color w:val="auto"/>
          <w:sz w:val="24"/>
          <w:szCs w:val="24"/>
        </w:rPr>
        <w:t>无关，由</w:t>
      </w:r>
      <w:r>
        <w:rPr>
          <w:rFonts w:hint="eastAsia" w:ascii="宋体" w:hAnsi="宋体" w:eastAsia="宋体" w:cs="宋体"/>
          <w:color w:val="auto"/>
          <w:sz w:val="24"/>
          <w:szCs w:val="24"/>
          <w:lang w:val="en-US" w:eastAsia="zh-CN"/>
        </w:rPr>
        <w:t>中标方</w:t>
      </w:r>
      <w:r>
        <w:rPr>
          <w:rFonts w:hint="eastAsia" w:ascii="宋体" w:hAnsi="宋体" w:eastAsia="宋体" w:cs="宋体"/>
          <w:color w:val="auto"/>
          <w:sz w:val="24"/>
          <w:szCs w:val="24"/>
        </w:rPr>
        <w:t>自行解决并承担全部</w:t>
      </w:r>
      <w:r>
        <w:rPr>
          <w:rFonts w:hint="eastAsia" w:ascii="宋体" w:hAnsi="宋体" w:eastAsia="宋体" w:cs="宋体"/>
          <w:color w:val="auto"/>
          <w:sz w:val="24"/>
          <w:szCs w:val="24"/>
          <w:lang w:val="en-US" w:eastAsia="zh-CN"/>
        </w:rPr>
        <w:t>责任</w:t>
      </w:r>
      <w:r>
        <w:rPr>
          <w:rFonts w:hint="eastAsia" w:ascii="宋体" w:hAnsi="宋体" w:eastAsia="宋体" w:cs="宋体"/>
          <w:color w:val="auto"/>
          <w:sz w:val="24"/>
          <w:szCs w:val="24"/>
        </w:rPr>
        <w:t>。</w:t>
      </w:r>
    </w:p>
    <w:p w14:paraId="4D831BA2">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 w:val="24"/>
          <w:szCs w:val="24"/>
        </w:rPr>
      </w:pPr>
      <w:r>
        <w:rPr>
          <w:rFonts w:hint="eastAsia" w:ascii="宋体" w:hAnsi="宋体" w:eastAsia="宋体" w:cs="宋体"/>
          <w:b/>
          <w:bCs/>
          <w:color w:val="auto"/>
          <w:kern w:val="2"/>
          <w:sz w:val="24"/>
          <w:szCs w:val="24"/>
          <w:lang w:val="en-US" w:eastAsia="zh-CN" w:bidi="ar-SA"/>
        </w:rPr>
        <w:t>三、</w:t>
      </w:r>
      <w:r>
        <w:rPr>
          <w:rFonts w:hint="eastAsia" w:ascii="宋体" w:hAnsi="宋体" w:eastAsia="宋体" w:cs="宋体"/>
          <w:b/>
          <w:color w:val="auto"/>
          <w:sz w:val="24"/>
          <w:szCs w:val="24"/>
          <w:lang w:val="en-US" w:eastAsia="zh-CN"/>
        </w:rPr>
        <w:t>技术</w:t>
      </w:r>
      <w:r>
        <w:rPr>
          <w:rFonts w:hint="eastAsia" w:ascii="宋体" w:hAnsi="宋体" w:eastAsia="宋体" w:cs="宋体"/>
          <w:b/>
          <w:color w:val="auto"/>
          <w:sz w:val="24"/>
          <w:szCs w:val="24"/>
        </w:rPr>
        <w:t>要求</w:t>
      </w:r>
    </w:p>
    <w:p w14:paraId="0D4011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1.供应商</w:t>
      </w:r>
      <w:r>
        <w:rPr>
          <w:rFonts w:hint="eastAsia" w:ascii="宋体" w:hAnsi="宋体" w:eastAsia="宋体" w:cs="宋体"/>
          <w:color w:val="auto"/>
          <w:sz w:val="24"/>
          <w:szCs w:val="24"/>
        </w:rPr>
        <w:t>在开展医疗设备维保服务工作中，须依据现行有效的法律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规范和相关要求进行。</w:t>
      </w:r>
    </w:p>
    <w:p w14:paraId="00D67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响应时间</w:t>
      </w:r>
      <w:r>
        <w:rPr>
          <w:rFonts w:hint="eastAsia" w:ascii="宋体" w:hAnsi="宋体" w:eastAsia="宋体" w:cs="宋体"/>
          <w:b/>
          <w:bCs/>
          <w:color w:val="auto"/>
          <w:sz w:val="24"/>
          <w:szCs w:val="24"/>
          <w:lang w:val="en-US" w:eastAsia="zh-CN"/>
        </w:rPr>
        <w:t>要求</w:t>
      </w:r>
    </w:p>
    <w:p w14:paraId="7C8475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服务工程师</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分钟内响应并赶到现场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医院可提供办公及住宿场所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须提供承诺函</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w:t>
      </w:r>
    </w:p>
    <w:p w14:paraId="0C1214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w:t>
      </w:r>
      <w:r>
        <w:rPr>
          <w:rFonts w:hint="eastAsia" w:ascii="宋体" w:hAnsi="宋体" w:eastAsia="宋体" w:cs="宋体"/>
          <w:color w:val="auto"/>
          <w:sz w:val="24"/>
          <w:szCs w:val="24"/>
          <w:lang w:val="en-US" w:eastAsia="zh-CN"/>
        </w:rPr>
        <w:t>中标方</w:t>
      </w:r>
      <w:r>
        <w:rPr>
          <w:rFonts w:hint="eastAsia" w:ascii="宋体" w:hAnsi="宋体" w:eastAsia="宋体" w:cs="宋体"/>
          <w:color w:val="auto"/>
          <w:sz w:val="24"/>
          <w:szCs w:val="24"/>
        </w:rPr>
        <w:t>必须提供365天×24小时不间断服务</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须提供承诺函</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w:t>
      </w:r>
    </w:p>
    <w:p w14:paraId="3029E4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如有支援需求，</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专业技术工程师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小时内赶到现场</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须提供承诺函</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w:t>
      </w:r>
    </w:p>
    <w:p w14:paraId="2C3AC5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维保范围内的设备：</w:t>
      </w:r>
      <w:r>
        <w:rPr>
          <w:rFonts w:hint="eastAsia" w:ascii="宋体" w:hAnsi="宋体" w:eastAsia="宋体" w:cs="宋体"/>
          <w:b w:val="0"/>
          <w:bCs w:val="0"/>
          <w:color w:val="auto"/>
          <w:sz w:val="24"/>
          <w:szCs w:val="24"/>
          <w:lang w:val="en-US" w:eastAsia="zh-CN"/>
        </w:rPr>
        <w:t>急救、生命支持类设备完好率100%，其他设备开机率</w:t>
      </w:r>
      <w:r>
        <w:rPr>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sz w:val="24"/>
          <w:szCs w:val="24"/>
          <w:lang w:val="en-US" w:eastAsia="zh-CN"/>
        </w:rPr>
        <w:t>≥95%，因备件采购所耽误的时间，不计算在停机时间之内。</w:t>
      </w:r>
    </w:p>
    <w:p w14:paraId="09C5A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4.医疗设备资产管理要求</w:t>
      </w:r>
    </w:p>
    <w:p w14:paraId="6511EC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供应商须</w:t>
      </w:r>
      <w:r>
        <w:rPr>
          <w:rFonts w:hint="eastAsia" w:ascii="宋体" w:hAnsi="宋体" w:eastAsia="宋体" w:cs="宋体"/>
          <w:color w:val="auto"/>
          <w:spacing w:val="5"/>
          <w:sz w:val="24"/>
          <w:szCs w:val="24"/>
        </w:rPr>
        <w:t>提供管理系统，该系统能为医院提供医疗设备从采购到报废</w:t>
      </w:r>
      <w:r>
        <w:rPr>
          <w:rFonts w:hint="eastAsia" w:ascii="宋体" w:hAnsi="宋体" w:eastAsia="宋体" w:cs="宋体"/>
          <w:color w:val="auto"/>
          <w:spacing w:val="20"/>
          <w:sz w:val="24"/>
          <w:szCs w:val="24"/>
        </w:rPr>
        <w:t>全</w:t>
      </w:r>
      <w:r>
        <w:rPr>
          <w:rFonts w:hint="eastAsia" w:ascii="宋体" w:hAnsi="宋体" w:eastAsia="宋体" w:cs="宋体"/>
          <w:color w:val="auto"/>
          <w:spacing w:val="12"/>
          <w:sz w:val="24"/>
          <w:szCs w:val="24"/>
        </w:rPr>
        <w:t>生命周期的管理</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lang w:val="en-US" w:eastAsia="zh-CN"/>
        </w:rPr>
        <w:t>系统使用权归院方所有，供应商提供系统维保等服务</w:t>
      </w:r>
      <w:r>
        <w:rPr>
          <w:rFonts w:hint="eastAsia" w:ascii="宋体" w:hAnsi="宋体" w:eastAsia="宋体" w:cs="宋体"/>
          <w:color w:val="auto"/>
          <w:spacing w:val="12"/>
          <w:sz w:val="24"/>
          <w:szCs w:val="24"/>
          <w:lang w:eastAsia="zh-CN"/>
        </w:rPr>
        <w:t>；</w:t>
      </w:r>
    </w:p>
    <w:p w14:paraId="6E6A57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12" w:firstLineChars="200"/>
        <w:jc w:val="left"/>
        <w:textAlignment w:val="auto"/>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供应商完成对医疗设备资产信息的清查、核对、系统录入、二维码粘贴、系统使用培训等，形成系统台账并</w:t>
      </w:r>
      <w:r>
        <w:rPr>
          <w:rFonts w:hint="eastAsia" w:ascii="宋体" w:hAnsi="宋体" w:eastAsia="宋体" w:cs="宋体"/>
          <w:color w:val="auto"/>
          <w:spacing w:val="8"/>
          <w:sz w:val="24"/>
          <w:szCs w:val="24"/>
        </w:rPr>
        <w:t>实现从报修到维修完毕的全过程</w:t>
      </w:r>
      <w:r>
        <w:rPr>
          <w:rFonts w:hint="eastAsia" w:ascii="宋体" w:hAnsi="宋体" w:eastAsia="宋体" w:cs="宋体"/>
          <w:color w:val="auto"/>
          <w:spacing w:val="8"/>
          <w:sz w:val="24"/>
          <w:szCs w:val="24"/>
          <w:lang w:val="en-US" w:eastAsia="zh-CN"/>
        </w:rPr>
        <w:t>信息化</w:t>
      </w:r>
      <w:r>
        <w:rPr>
          <w:rFonts w:hint="eastAsia" w:ascii="宋体" w:hAnsi="宋体" w:eastAsia="宋体" w:cs="宋体"/>
          <w:color w:val="auto"/>
          <w:spacing w:val="8"/>
          <w:sz w:val="24"/>
          <w:szCs w:val="24"/>
        </w:rPr>
        <w:t>管理</w:t>
      </w:r>
      <w:r>
        <w:rPr>
          <w:rFonts w:hint="eastAsia" w:ascii="宋体" w:hAnsi="宋体" w:eastAsia="宋体" w:cs="宋体"/>
          <w:color w:val="auto"/>
          <w:spacing w:val="8"/>
          <w:sz w:val="24"/>
          <w:szCs w:val="24"/>
          <w:lang w:eastAsia="zh-CN"/>
        </w:rPr>
        <w:t>；</w:t>
      </w:r>
    </w:p>
    <w:p w14:paraId="09242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要求：供应商提供纸质版及电子版报表。</w:t>
      </w:r>
    </w:p>
    <w:p w14:paraId="29A81E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5.驻场团队要求</w:t>
      </w:r>
    </w:p>
    <w:p w14:paraId="6C34B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供应商</w:t>
      </w:r>
      <w:r>
        <w:rPr>
          <w:rFonts w:hint="eastAsia" w:ascii="宋体" w:hAnsi="宋体" w:eastAsia="宋体" w:cs="宋体"/>
          <w:color w:val="auto"/>
          <w:spacing w:val="3"/>
          <w:sz w:val="24"/>
          <w:szCs w:val="24"/>
        </w:rPr>
        <w:t>能够按照医院要求，为医院派驻</w:t>
      </w:r>
      <w:r>
        <w:rPr>
          <w:rFonts w:hint="eastAsia" w:ascii="宋体" w:hAnsi="宋体" w:eastAsia="宋体" w:cs="宋体"/>
          <w:color w:val="auto"/>
          <w:spacing w:val="3"/>
          <w:sz w:val="24"/>
          <w:szCs w:val="24"/>
          <w:lang w:val="en-US" w:eastAsia="zh-CN"/>
        </w:rPr>
        <w:t>确保24小时服务</w:t>
      </w:r>
      <w:r>
        <w:rPr>
          <w:rFonts w:hint="eastAsia" w:ascii="宋体" w:hAnsi="宋体" w:eastAsia="宋体" w:cs="宋体"/>
          <w:color w:val="auto"/>
          <w:spacing w:val="3"/>
          <w:sz w:val="24"/>
          <w:szCs w:val="24"/>
        </w:rPr>
        <w:t>的现场工程师队伍</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3"/>
          <w:sz w:val="24"/>
          <w:szCs w:val="24"/>
          <w:lang w:val="en-US" w:eastAsia="zh-CN"/>
        </w:rPr>
        <w:t>总人数≥2名，供应商可根据运行情况适当增减驻场人数，但必须保证服务要求及质量</w:t>
      </w:r>
      <w:r>
        <w:rPr>
          <w:rFonts w:hint="eastAsia" w:ascii="宋体" w:hAnsi="宋体" w:eastAsia="宋体" w:cs="宋体"/>
          <w:color w:val="auto"/>
          <w:spacing w:val="3"/>
          <w:sz w:val="24"/>
          <w:szCs w:val="24"/>
          <w:lang w:eastAsia="zh-CN"/>
        </w:rPr>
        <w:t>；</w:t>
      </w:r>
    </w:p>
    <w:p w14:paraId="3A6ED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驻场服务工程师，具有医疗设备维修经验，提供</w:t>
      </w:r>
      <w:r>
        <w:rPr>
          <w:rFonts w:hint="eastAsia" w:ascii="宋体" w:hAnsi="宋体" w:eastAsia="宋体" w:cs="宋体"/>
          <w:color w:val="auto"/>
          <w:spacing w:val="6"/>
          <w:sz w:val="24"/>
          <w:szCs w:val="24"/>
          <w:lang w:val="en-US" w:eastAsia="zh-CN"/>
        </w:rPr>
        <w:t>个人</w:t>
      </w:r>
      <w:r>
        <w:rPr>
          <w:rFonts w:hint="eastAsia" w:ascii="宋体" w:hAnsi="宋体" w:eastAsia="宋体" w:cs="宋体"/>
          <w:color w:val="auto"/>
          <w:spacing w:val="6"/>
          <w:sz w:val="24"/>
          <w:szCs w:val="24"/>
        </w:rPr>
        <w:t>维修资质，以及</w:t>
      </w:r>
      <w:r>
        <w:rPr>
          <w:rFonts w:hint="eastAsia" w:ascii="宋体" w:hAnsi="宋体" w:eastAsia="宋体" w:cs="宋体"/>
          <w:color w:val="auto"/>
          <w:spacing w:val="6"/>
          <w:sz w:val="24"/>
          <w:szCs w:val="24"/>
          <w:lang w:val="en-US" w:eastAsia="zh-CN"/>
        </w:rPr>
        <w:t>供应商</w:t>
      </w:r>
      <w:r>
        <w:rPr>
          <w:rFonts w:hint="eastAsia" w:ascii="宋体" w:hAnsi="宋体" w:eastAsia="宋体" w:cs="宋体"/>
          <w:color w:val="auto"/>
          <w:spacing w:val="6"/>
          <w:sz w:val="24"/>
          <w:szCs w:val="24"/>
        </w:rPr>
        <w:t>为其购买的社保证明</w:t>
      </w:r>
      <w:r>
        <w:rPr>
          <w:rFonts w:hint="eastAsia" w:ascii="宋体" w:hAnsi="宋体" w:eastAsia="宋体" w:cs="宋体"/>
          <w:color w:val="auto"/>
          <w:spacing w:val="6"/>
          <w:sz w:val="24"/>
          <w:szCs w:val="24"/>
          <w:lang w:val="en-US" w:eastAsia="zh-CN"/>
        </w:rPr>
        <w:t>等有效证明</w:t>
      </w:r>
      <w:r>
        <w:rPr>
          <w:rFonts w:hint="eastAsia" w:ascii="宋体" w:hAnsi="宋体" w:eastAsia="宋体" w:cs="宋体"/>
          <w:color w:val="auto"/>
          <w:spacing w:val="6"/>
          <w:sz w:val="24"/>
          <w:szCs w:val="24"/>
        </w:rPr>
        <w:t>。人员的一切事务</w:t>
      </w:r>
      <w:r>
        <w:rPr>
          <w:rFonts w:hint="eastAsia" w:ascii="宋体" w:hAnsi="宋体" w:eastAsia="宋体" w:cs="宋体"/>
          <w:color w:val="auto"/>
          <w:spacing w:val="6"/>
          <w:sz w:val="24"/>
          <w:szCs w:val="24"/>
          <w:lang w:val="en-US" w:eastAsia="zh-CN"/>
        </w:rPr>
        <w:t>及安全等</w:t>
      </w:r>
      <w:r>
        <w:rPr>
          <w:rFonts w:hint="eastAsia" w:ascii="宋体" w:hAnsi="宋体" w:eastAsia="宋体" w:cs="宋体"/>
          <w:color w:val="auto"/>
          <w:spacing w:val="6"/>
          <w:sz w:val="24"/>
          <w:szCs w:val="24"/>
        </w:rPr>
        <w:t>必须由</w:t>
      </w:r>
      <w:r>
        <w:rPr>
          <w:rFonts w:hint="eastAsia" w:ascii="宋体" w:hAnsi="宋体" w:eastAsia="宋体" w:cs="宋体"/>
          <w:color w:val="auto"/>
          <w:spacing w:val="6"/>
          <w:sz w:val="24"/>
          <w:szCs w:val="24"/>
          <w:lang w:val="en-US" w:eastAsia="zh-CN"/>
        </w:rPr>
        <w:t>供应商</w:t>
      </w:r>
      <w:r>
        <w:rPr>
          <w:rFonts w:hint="eastAsia" w:ascii="宋体" w:hAnsi="宋体" w:eastAsia="宋体" w:cs="宋体"/>
          <w:color w:val="auto"/>
          <w:spacing w:val="6"/>
          <w:sz w:val="24"/>
          <w:szCs w:val="24"/>
        </w:rPr>
        <w:t>负责，医院不承担任何责任</w:t>
      </w:r>
      <w:r>
        <w:rPr>
          <w:rFonts w:hint="eastAsia" w:ascii="宋体" w:hAnsi="宋体" w:eastAsia="宋体" w:cs="宋体"/>
          <w:color w:val="auto"/>
          <w:spacing w:val="6"/>
          <w:sz w:val="24"/>
          <w:szCs w:val="24"/>
          <w:lang w:eastAsia="zh-CN"/>
        </w:rPr>
        <w:t>；</w:t>
      </w:r>
    </w:p>
    <w:p w14:paraId="492DEB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供应商</w:t>
      </w:r>
      <w:r>
        <w:rPr>
          <w:rFonts w:hint="eastAsia" w:ascii="宋体" w:hAnsi="宋体" w:eastAsia="宋体" w:cs="宋体"/>
          <w:color w:val="auto"/>
          <w:spacing w:val="6"/>
          <w:sz w:val="24"/>
          <w:szCs w:val="24"/>
        </w:rPr>
        <w:t>工程</w:t>
      </w:r>
      <w:r>
        <w:rPr>
          <w:rFonts w:hint="eastAsia" w:ascii="宋体" w:hAnsi="宋体" w:eastAsia="宋体" w:cs="宋体"/>
          <w:color w:val="auto"/>
          <w:spacing w:val="6"/>
          <w:sz w:val="24"/>
          <w:szCs w:val="24"/>
          <w:lang w:val="en-US" w:eastAsia="zh-CN"/>
        </w:rPr>
        <w:t>师文明作业，工作中尽量不影响医院的正常业务；</w:t>
      </w:r>
    </w:p>
    <w:p w14:paraId="3F8580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val="en-US" w:eastAsia="zh-CN"/>
        </w:rPr>
        <w:t>4）驻</w:t>
      </w:r>
      <w:r>
        <w:rPr>
          <w:rFonts w:hint="eastAsia" w:ascii="宋体" w:hAnsi="宋体" w:eastAsia="宋体" w:cs="宋体"/>
          <w:color w:val="auto"/>
          <w:spacing w:val="6"/>
          <w:sz w:val="24"/>
          <w:szCs w:val="24"/>
        </w:rPr>
        <w:t>场工程师要具有较好的沟通能力，良好的服务意识，积极的工作态度。服从医院统一管理，遵守医院各项规章制度，对不服从管理的工程师，医院有权要求调换</w:t>
      </w:r>
      <w:r>
        <w:rPr>
          <w:rFonts w:hint="eastAsia" w:ascii="宋体" w:hAnsi="宋体" w:eastAsia="宋体" w:cs="宋体"/>
          <w:color w:val="auto"/>
          <w:spacing w:val="6"/>
          <w:sz w:val="24"/>
          <w:szCs w:val="24"/>
          <w:lang w:eastAsia="zh-CN"/>
        </w:rPr>
        <w:t>；</w:t>
      </w:r>
    </w:p>
    <w:p w14:paraId="2B62F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5）为保证人员稳定和工作持续性，原则上未经院方批准，</w:t>
      </w:r>
      <w:r>
        <w:rPr>
          <w:rFonts w:hint="eastAsia" w:ascii="宋体" w:hAnsi="宋体" w:eastAsia="宋体" w:cs="宋体"/>
          <w:color w:val="auto"/>
          <w:sz w:val="24"/>
          <w:szCs w:val="24"/>
          <w:lang w:val="en-US" w:eastAsia="zh-CN"/>
        </w:rPr>
        <w:t>中标方</w:t>
      </w:r>
      <w:r>
        <w:rPr>
          <w:rFonts w:hint="eastAsia" w:ascii="宋体" w:hAnsi="宋体" w:eastAsia="宋体" w:cs="宋体"/>
          <w:color w:val="auto"/>
          <w:spacing w:val="6"/>
          <w:sz w:val="24"/>
          <w:szCs w:val="24"/>
          <w:lang w:val="en-US" w:eastAsia="zh-CN"/>
        </w:rPr>
        <w:t>不可随意调动人员。若确需调动的要提前书面告知，新员工与原岗位老员工同时在岗交接，经院方考核合格后老员工方可离岗；</w:t>
      </w:r>
    </w:p>
    <w:p w14:paraId="2ED9B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04" w:firstLineChars="200"/>
        <w:jc w:val="left"/>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6）驻场工程师在工作期间出现工伤等不可预见事件，一切责任及费用由供应商自行承担。</w:t>
      </w:r>
      <w:r>
        <w:rPr>
          <w:rFonts w:hint="eastAsia" w:ascii="宋体" w:hAnsi="宋体" w:eastAsia="宋体" w:cs="宋体"/>
          <w:b/>
          <w:bCs/>
          <w:color w:val="auto"/>
          <w:spacing w:val="6"/>
          <w:sz w:val="24"/>
          <w:szCs w:val="24"/>
          <w:lang w:val="en-US" w:eastAsia="zh-CN"/>
        </w:rPr>
        <w:t>（提供承诺函盖章）</w:t>
      </w:r>
      <w:r>
        <w:rPr>
          <w:rFonts w:hint="eastAsia" w:ascii="宋体" w:hAnsi="宋体" w:eastAsia="宋体" w:cs="宋体"/>
          <w:color w:val="auto"/>
          <w:spacing w:val="6"/>
          <w:sz w:val="24"/>
          <w:szCs w:val="24"/>
          <w:lang w:val="en-US" w:eastAsia="zh-CN"/>
        </w:rPr>
        <w:t>。</w:t>
      </w:r>
    </w:p>
    <w:p w14:paraId="42423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06" w:firstLineChars="200"/>
        <w:jc w:val="both"/>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b/>
          <w:bCs/>
          <w:color w:val="auto"/>
          <w:spacing w:val="6"/>
          <w:sz w:val="24"/>
          <w:szCs w:val="24"/>
          <w:lang w:val="en-US" w:eastAsia="zh-CN"/>
        </w:rPr>
        <w:t>6.大型设备</w:t>
      </w:r>
      <w:r>
        <w:rPr>
          <w:rFonts w:hint="eastAsia" w:ascii="宋体" w:hAnsi="宋体" w:eastAsia="宋体" w:cs="宋体"/>
          <w:b/>
          <w:bCs/>
          <w:color w:val="auto"/>
          <w:sz w:val="24"/>
          <w:szCs w:val="24"/>
          <w:highlight w:val="none"/>
          <w:lang w:val="en-US" w:eastAsia="zh-CN"/>
        </w:rPr>
        <w:t>（MRI、DSA、CT等）</w:t>
      </w:r>
      <w:r>
        <w:rPr>
          <w:rFonts w:hint="eastAsia" w:ascii="宋体" w:hAnsi="宋体" w:eastAsia="宋体" w:cs="宋体"/>
          <w:b/>
          <w:bCs/>
          <w:color w:val="auto"/>
          <w:spacing w:val="6"/>
          <w:sz w:val="24"/>
          <w:szCs w:val="24"/>
          <w:lang w:val="en-US" w:eastAsia="zh-CN"/>
        </w:rPr>
        <w:t>技术保障</w:t>
      </w:r>
      <w:r>
        <w:rPr>
          <w:rFonts w:hint="eastAsia" w:ascii="宋体" w:hAnsi="宋体" w:eastAsia="宋体" w:cs="宋体"/>
          <w:color w:val="auto"/>
          <w:spacing w:val="6"/>
          <w:sz w:val="24"/>
          <w:szCs w:val="24"/>
          <w:lang w:val="en-US" w:eastAsia="zh-CN"/>
        </w:rPr>
        <w:t>：</w:t>
      </w:r>
    </w:p>
    <w:p w14:paraId="03157E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具有磁共振等大型设备维修、功能、性能检测校对能力，每月对电气机械进行安全检查，具备医疗设备远程监控平台，能实时监控大型影像设备的运行状态，能对设备关键信息进行数据监控（如球管曝光秒次、球管单日用量、液氦水平、磁体压力、冷头温度、温湿度等），并可进行设备的风险提示、异常提示、离线提示等并通过APP等方式及时提醒医院相关人员，每月形成分析报告，提交院方。</w:t>
      </w:r>
    </w:p>
    <w:p w14:paraId="45EC57CB">
      <w:pPr>
        <w:pStyle w:val="41"/>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7.备件、备用机供应保障要求：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具有备件库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针对本院有配件、备用机品种、基础数量、价值等清单</w:t>
      </w:r>
      <w:r>
        <w:rPr>
          <w:rFonts w:hint="eastAsia" w:ascii="宋体" w:hAnsi="宋体" w:eastAsia="宋体" w:cs="宋体"/>
          <w:color w:val="auto"/>
          <w:kern w:val="2"/>
          <w:sz w:val="24"/>
          <w:szCs w:val="24"/>
          <w:highlight w:val="none"/>
          <w:u w:val="none"/>
          <w:lang w:val="en-US" w:eastAsia="zh-CN" w:bidi="ar"/>
        </w:rPr>
        <w:t>，以保障院方设备维保需求</w:t>
      </w:r>
      <w:r>
        <w:rPr>
          <w:rFonts w:hint="eastAsia" w:ascii="宋体" w:hAnsi="宋体" w:eastAsia="宋体" w:cs="宋体"/>
          <w:color w:val="auto"/>
          <w:sz w:val="24"/>
          <w:szCs w:val="24"/>
          <w:highlight w:val="none"/>
        </w:rPr>
        <w:t>。</w:t>
      </w:r>
    </w:p>
    <w:p w14:paraId="63416C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8.设备保养要求</w:t>
      </w:r>
    </w:p>
    <w:p w14:paraId="0B5B8B9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建立全院设备三级维护保养制度，按原厂标准和医院评审规定做好预防性维护工作，按照维保计划定期巡检、保养。</w:t>
      </w:r>
      <w:r>
        <w:rPr>
          <w:rFonts w:hint="eastAsia" w:ascii="宋体" w:hAnsi="宋体" w:eastAsia="宋体" w:cs="宋体"/>
          <w:color w:val="auto"/>
          <w:spacing w:val="6"/>
          <w:sz w:val="24"/>
          <w:szCs w:val="24"/>
          <w:lang w:val="en-US" w:eastAsia="zh-CN"/>
        </w:rPr>
        <w:t>完成对管理部门及临床科室相关人员的培训（管理、设备使用、设备维修等），</w:t>
      </w:r>
      <w:r>
        <w:rPr>
          <w:rFonts w:hint="eastAsia" w:ascii="宋体" w:hAnsi="宋体" w:eastAsia="宋体" w:cs="宋体"/>
          <w:color w:val="auto"/>
          <w:spacing w:val="6"/>
          <w:sz w:val="24"/>
          <w:szCs w:val="24"/>
        </w:rPr>
        <w:t>并形成书面记录</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完成大型设备的巡检、清洁保养并记录，功能、性能检测校对、电气机械安全检查、零配件更换并记录，对中小型设备的使用科室的指导性保养维护记录等</w:t>
      </w:r>
      <w:r>
        <w:rPr>
          <w:rFonts w:hint="eastAsia" w:ascii="宋体" w:hAnsi="宋体" w:eastAsia="宋体" w:cs="宋体"/>
          <w:color w:val="auto"/>
          <w:spacing w:val="6"/>
          <w:sz w:val="24"/>
          <w:szCs w:val="24"/>
          <w:lang w:eastAsia="zh-CN"/>
        </w:rPr>
        <w:t>；</w:t>
      </w:r>
    </w:p>
    <w:p w14:paraId="4E391D2C">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2</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外观检查：外观检查首先检查仪器各按钮、开关、接头插座有无松动及错位，插头插座的接触有无氧化、生锈或接触不良，电源线有无老化，散热排风是否正常，各种接地的连接和管道的连接是否良好</w:t>
      </w:r>
      <w:r>
        <w:rPr>
          <w:rFonts w:hint="eastAsia" w:ascii="宋体" w:hAnsi="宋体" w:eastAsia="宋体" w:cs="宋体"/>
          <w:color w:val="auto"/>
          <w:spacing w:val="6"/>
          <w:sz w:val="24"/>
          <w:szCs w:val="24"/>
          <w:lang w:eastAsia="zh-CN"/>
        </w:rPr>
        <w:t>；</w:t>
      </w:r>
    </w:p>
    <w:p w14:paraId="508F7536">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清洁保养：</w:t>
      </w:r>
      <w:r>
        <w:rPr>
          <w:rFonts w:hint="eastAsia" w:ascii="宋体" w:hAnsi="宋体" w:eastAsia="宋体" w:cs="宋体"/>
          <w:color w:val="auto"/>
          <w:spacing w:val="6"/>
          <w:sz w:val="24"/>
          <w:szCs w:val="24"/>
          <w:lang w:val="en-US" w:eastAsia="zh-CN"/>
        </w:rPr>
        <w:t>每月</w:t>
      </w:r>
      <w:r>
        <w:rPr>
          <w:rFonts w:hint="eastAsia" w:ascii="宋体" w:hAnsi="宋体" w:eastAsia="宋体" w:cs="宋体"/>
          <w:color w:val="auto"/>
          <w:spacing w:val="6"/>
          <w:sz w:val="24"/>
          <w:szCs w:val="24"/>
        </w:rPr>
        <w:t>对仪器表面与内部电气部分、机械部分进行清洁，包括清洗过滤网及有关管道，对仪器有关插头插座进行消洁，防止接触不良，对必要的机械部分进行加油润滑</w:t>
      </w:r>
      <w:r>
        <w:rPr>
          <w:rFonts w:hint="eastAsia" w:ascii="宋体" w:hAnsi="宋体" w:eastAsia="宋体" w:cs="宋体"/>
          <w:color w:val="auto"/>
          <w:spacing w:val="6"/>
          <w:sz w:val="24"/>
          <w:szCs w:val="24"/>
          <w:lang w:eastAsia="zh-CN"/>
        </w:rPr>
        <w:t>；</w:t>
      </w:r>
    </w:p>
    <w:p w14:paraId="04EA2E4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4</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更换老化部件：对</w:t>
      </w:r>
      <w:r>
        <w:rPr>
          <w:rFonts w:hint="eastAsia" w:ascii="宋体" w:hAnsi="宋体" w:eastAsia="宋体" w:cs="宋体"/>
          <w:color w:val="auto"/>
          <w:spacing w:val="6"/>
          <w:sz w:val="24"/>
          <w:szCs w:val="24"/>
          <w:lang w:val="en-US" w:eastAsia="zh-CN"/>
        </w:rPr>
        <w:t>已</w:t>
      </w:r>
      <w:r>
        <w:rPr>
          <w:rFonts w:hint="eastAsia" w:ascii="宋体" w:hAnsi="宋体" w:eastAsia="宋体" w:cs="宋体"/>
          <w:color w:val="auto"/>
          <w:spacing w:val="6"/>
          <w:sz w:val="24"/>
          <w:szCs w:val="24"/>
        </w:rPr>
        <w:t>达到使用寿命及性能下降，不</w:t>
      </w:r>
      <w:r>
        <w:rPr>
          <w:rFonts w:hint="eastAsia" w:ascii="宋体" w:hAnsi="宋体" w:eastAsia="宋体" w:cs="宋体"/>
          <w:color w:val="auto"/>
          <w:spacing w:val="6"/>
          <w:sz w:val="24"/>
          <w:szCs w:val="24"/>
          <w:lang w:val="en-US" w:eastAsia="zh-CN"/>
        </w:rPr>
        <w:t>符合</w:t>
      </w:r>
      <w:r>
        <w:rPr>
          <w:rFonts w:hint="eastAsia" w:ascii="宋体" w:hAnsi="宋体" w:eastAsia="宋体" w:cs="宋体"/>
          <w:color w:val="auto"/>
          <w:spacing w:val="6"/>
          <w:sz w:val="24"/>
          <w:szCs w:val="24"/>
        </w:rPr>
        <w:t>要求的元器件或老化部件进行及时更换，排除设备明显的和潜在的各种故障，预防可能发生的故障扩大或造成整机故障</w:t>
      </w:r>
      <w:r>
        <w:rPr>
          <w:rFonts w:hint="eastAsia" w:ascii="宋体" w:hAnsi="宋体" w:eastAsia="宋体" w:cs="宋体"/>
          <w:color w:val="auto"/>
          <w:spacing w:val="6"/>
          <w:sz w:val="24"/>
          <w:szCs w:val="24"/>
          <w:lang w:eastAsia="zh-CN"/>
        </w:rPr>
        <w:t>；</w:t>
      </w:r>
    </w:p>
    <w:p w14:paraId="25D8FDD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5</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功能检查：开机检查各指示灯、指示器是否正常，通过调节、设置各个开关和按钮，进入各功能设置，以检查设备的基本功能是否正常。通过模拟测试，检查设备各项报警功能是否正常</w:t>
      </w:r>
      <w:r>
        <w:rPr>
          <w:rFonts w:hint="eastAsia" w:ascii="宋体" w:hAnsi="宋体" w:eastAsia="宋体" w:cs="宋体"/>
          <w:color w:val="auto"/>
          <w:spacing w:val="6"/>
          <w:sz w:val="24"/>
          <w:szCs w:val="24"/>
          <w:lang w:eastAsia="zh-CN"/>
        </w:rPr>
        <w:t>；</w:t>
      </w:r>
    </w:p>
    <w:p w14:paraId="215D2A6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6</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性能测试校准：测试各直流电源的稳压值、电路中主要测试点电压值或波形并根据说明书的要求进行必要的校准和调整，以保证仪器各项技术指标达到标准，确保仪器在医疗诊断与治疗中的质量</w:t>
      </w:r>
      <w:r>
        <w:rPr>
          <w:rFonts w:hint="eastAsia" w:ascii="宋体" w:hAnsi="宋体" w:eastAsia="宋体" w:cs="宋体"/>
          <w:color w:val="auto"/>
          <w:spacing w:val="6"/>
          <w:sz w:val="24"/>
          <w:szCs w:val="24"/>
          <w:lang w:eastAsia="zh-CN"/>
        </w:rPr>
        <w:t>；</w:t>
      </w:r>
    </w:p>
    <w:p w14:paraId="5466F2D7">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7</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电气安全检查：检查各种引线、插头、连接器等有无破损，接地线是否牢靠，接地电阻和漏电电流是否在允许限度内</w:t>
      </w:r>
      <w:r>
        <w:rPr>
          <w:rFonts w:hint="eastAsia" w:ascii="宋体" w:hAnsi="宋体" w:eastAsia="宋体" w:cs="宋体"/>
          <w:color w:val="auto"/>
          <w:spacing w:val="6"/>
          <w:sz w:val="24"/>
          <w:szCs w:val="24"/>
          <w:lang w:eastAsia="zh-CN"/>
        </w:rPr>
        <w:t>；</w:t>
      </w:r>
    </w:p>
    <w:p w14:paraId="7DF9C3BF">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firstLine="504"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8</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机械安全检查：检查机架是否牢固，机械运转是否正常，各连接部件有无松动、脱落或破裂现象</w:t>
      </w:r>
      <w:r>
        <w:rPr>
          <w:rFonts w:hint="eastAsia" w:ascii="宋体" w:hAnsi="宋体" w:eastAsia="宋体" w:cs="宋体"/>
          <w:color w:val="auto"/>
          <w:spacing w:val="6"/>
          <w:sz w:val="24"/>
          <w:szCs w:val="24"/>
          <w:lang w:eastAsia="zh-CN"/>
        </w:rPr>
        <w:t>；</w:t>
      </w:r>
    </w:p>
    <w:p w14:paraId="1FC031A7">
      <w:pPr>
        <w:keepNext w:val="0"/>
        <w:keepLines w:val="0"/>
        <w:pageBreakBefore w:val="0"/>
        <w:kinsoku/>
        <w:wordWrap/>
        <w:overflowPunct/>
        <w:topLinePunct w:val="0"/>
        <w:bidi w:val="0"/>
        <w:adjustRightInd/>
        <w:snapToGrid/>
        <w:spacing w:line="360" w:lineRule="auto"/>
        <w:ind w:firstLine="504" w:firstLineChars="2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9</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lang w:val="en-US" w:eastAsia="zh-CN"/>
        </w:rPr>
        <w:t>保养结束后，经设备使用科室负责人、医学装备科工作人员、维保工程师共同验收后签字确认无误视为完成；</w:t>
      </w:r>
    </w:p>
    <w:p w14:paraId="17C4C585">
      <w:pPr>
        <w:pStyle w:val="14"/>
        <w:keepNext w:val="0"/>
        <w:keepLines w:val="0"/>
        <w:pageBreakBefore w:val="0"/>
        <w:kinsoku/>
        <w:wordWrap/>
        <w:overflowPunct/>
        <w:topLinePunct w:val="0"/>
        <w:bidi w:val="0"/>
        <w:adjustRightInd/>
        <w:snapToGrid/>
        <w:spacing w:line="360" w:lineRule="auto"/>
        <w:ind w:firstLine="504" w:firstLineChars="200"/>
        <w:rPr>
          <w:rFonts w:hint="eastAsia" w:ascii="宋体" w:hAnsi="宋体" w:eastAsia="宋体" w:cs="宋体"/>
          <w:color w:val="auto"/>
          <w:sz w:val="24"/>
          <w:szCs w:val="24"/>
          <w:lang w:val="en-US" w:eastAsia="zh-CN"/>
        </w:rPr>
      </w:pPr>
      <w:r>
        <w:rPr>
          <w:rFonts w:hint="eastAsia" w:ascii="宋体" w:hAnsi="宋体" w:eastAsia="宋体" w:cs="宋体"/>
          <w:color w:val="auto"/>
          <w:spacing w:val="6"/>
          <w:sz w:val="24"/>
          <w:szCs w:val="24"/>
          <w:lang w:val="en-US" w:eastAsia="zh-CN"/>
        </w:rPr>
        <w:t>10）每月提交服务报告给医学装备科</w:t>
      </w:r>
      <w:r>
        <w:rPr>
          <w:rFonts w:hint="eastAsia" w:ascii="宋体" w:hAnsi="宋体" w:eastAsia="宋体" w:cs="宋体"/>
          <w:b/>
          <w:bCs/>
          <w:color w:val="auto"/>
          <w:spacing w:val="6"/>
          <w:sz w:val="24"/>
          <w:szCs w:val="24"/>
          <w:lang w:val="en-US" w:eastAsia="zh-CN"/>
        </w:rPr>
        <w:t>（纸质版、电子版）</w:t>
      </w:r>
      <w:r>
        <w:rPr>
          <w:rFonts w:hint="eastAsia" w:ascii="宋体" w:hAnsi="宋体" w:eastAsia="宋体" w:cs="宋体"/>
          <w:color w:val="auto"/>
          <w:spacing w:val="6"/>
          <w:sz w:val="24"/>
          <w:szCs w:val="24"/>
          <w:lang w:val="en-US" w:eastAsia="zh-CN"/>
        </w:rPr>
        <w:t>。</w:t>
      </w:r>
    </w:p>
    <w:p w14:paraId="73BEE2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9.设备巡检要求</w:t>
      </w:r>
    </w:p>
    <w:p w14:paraId="2D8D16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5"/>
          <w:sz w:val="24"/>
          <w:szCs w:val="24"/>
          <w:lang w:val="en-US" w:eastAsia="zh-CN"/>
        </w:rPr>
        <w:t>1</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通过定期巡检对设备的运行情况、磨损和老化程度进行检查</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lang w:val="en-US" w:eastAsia="zh-CN"/>
        </w:rPr>
        <w:t>根据实际情况及时备备品、配件</w:t>
      </w:r>
      <w:r>
        <w:rPr>
          <w:rFonts w:hint="eastAsia" w:ascii="宋体" w:hAnsi="宋体" w:eastAsia="宋体" w:cs="宋体"/>
          <w:color w:val="auto"/>
          <w:spacing w:val="5"/>
          <w:sz w:val="24"/>
          <w:szCs w:val="24"/>
        </w:rPr>
        <w:t>，以便早期发现设备</w:t>
      </w:r>
      <w:r>
        <w:rPr>
          <w:rFonts w:hint="eastAsia" w:ascii="宋体" w:hAnsi="宋体" w:eastAsia="宋体" w:cs="宋体"/>
          <w:color w:val="auto"/>
          <w:spacing w:val="13"/>
          <w:sz w:val="24"/>
          <w:szCs w:val="24"/>
        </w:rPr>
        <w:t>存</w:t>
      </w:r>
      <w:r>
        <w:rPr>
          <w:rFonts w:hint="eastAsia" w:ascii="宋体" w:hAnsi="宋体" w:eastAsia="宋体" w:cs="宋体"/>
          <w:color w:val="auto"/>
          <w:spacing w:val="8"/>
          <w:sz w:val="24"/>
          <w:szCs w:val="24"/>
        </w:rPr>
        <w:t>在的隐患，及时进行修理，避免或减少突发故障，减少设备故障率，提高设备使用率。</w:t>
      </w:r>
      <w:r>
        <w:rPr>
          <w:rFonts w:hint="eastAsia" w:ascii="宋体" w:hAnsi="宋体" w:eastAsia="宋体" w:cs="宋体"/>
          <w:color w:val="auto"/>
          <w:spacing w:val="18"/>
          <w:sz w:val="24"/>
          <w:szCs w:val="24"/>
        </w:rPr>
        <w:t>巡</w:t>
      </w:r>
      <w:r>
        <w:rPr>
          <w:rFonts w:hint="eastAsia" w:ascii="宋体" w:hAnsi="宋体" w:eastAsia="宋体" w:cs="宋体"/>
          <w:color w:val="auto"/>
          <w:spacing w:val="9"/>
          <w:sz w:val="24"/>
          <w:szCs w:val="24"/>
        </w:rPr>
        <w:t>检须标记巡检贴，巡检贴上记录巡检时间、巡检工程师姓名</w:t>
      </w:r>
      <w:r>
        <w:rPr>
          <w:rFonts w:hint="eastAsia" w:ascii="宋体" w:hAnsi="宋体" w:eastAsia="宋体" w:cs="宋体"/>
          <w:color w:val="auto"/>
          <w:spacing w:val="12"/>
          <w:sz w:val="24"/>
          <w:szCs w:val="24"/>
        </w:rPr>
        <w:t>并能产生相应的提示和报表分析</w:t>
      </w:r>
      <w:r>
        <w:rPr>
          <w:rFonts w:hint="eastAsia" w:ascii="宋体" w:hAnsi="宋体" w:eastAsia="宋体" w:cs="宋体"/>
          <w:color w:val="auto"/>
          <w:spacing w:val="12"/>
          <w:sz w:val="24"/>
          <w:szCs w:val="24"/>
          <w:lang w:val="en-US" w:eastAsia="zh-CN"/>
        </w:rPr>
        <w:t>提交院方</w:t>
      </w:r>
      <w:r>
        <w:rPr>
          <w:rFonts w:hint="eastAsia" w:ascii="宋体" w:hAnsi="宋体" w:eastAsia="宋体" w:cs="宋体"/>
          <w:color w:val="auto"/>
          <w:spacing w:val="12"/>
          <w:sz w:val="24"/>
          <w:szCs w:val="24"/>
          <w:lang w:eastAsia="zh-CN"/>
        </w:rPr>
        <w:t>；</w:t>
      </w:r>
    </w:p>
    <w:p w14:paraId="01218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5"/>
          <w:sz w:val="24"/>
          <w:szCs w:val="24"/>
          <w:lang w:val="en-US" w:eastAsia="zh-CN"/>
        </w:rPr>
        <w:t>2</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巡检周期：</w:t>
      </w:r>
      <w:r>
        <w:rPr>
          <w:rFonts w:hint="eastAsia" w:ascii="宋体" w:hAnsi="宋体" w:eastAsia="宋体" w:cs="宋体"/>
          <w:color w:val="auto"/>
          <w:spacing w:val="5"/>
          <w:sz w:val="24"/>
          <w:szCs w:val="24"/>
          <w:lang w:val="en-US" w:eastAsia="zh-CN"/>
        </w:rPr>
        <w:t>要求每年内</w:t>
      </w:r>
      <w:r>
        <w:rPr>
          <w:rFonts w:hint="eastAsia" w:ascii="宋体" w:hAnsi="宋体" w:eastAsia="宋体" w:cs="宋体"/>
          <w:color w:val="auto"/>
          <w:spacing w:val="5"/>
          <w:sz w:val="24"/>
          <w:szCs w:val="24"/>
        </w:rPr>
        <w:t>生命</w:t>
      </w:r>
      <w:r>
        <w:rPr>
          <w:rFonts w:hint="eastAsia" w:ascii="宋体" w:hAnsi="宋体" w:eastAsia="宋体" w:cs="宋体"/>
          <w:color w:val="auto"/>
          <w:spacing w:val="5"/>
          <w:sz w:val="24"/>
          <w:szCs w:val="24"/>
          <w:lang w:val="en-US" w:eastAsia="zh-CN"/>
        </w:rPr>
        <w:t>支持、</w:t>
      </w:r>
      <w:r>
        <w:rPr>
          <w:rFonts w:hint="eastAsia" w:ascii="宋体" w:hAnsi="宋体" w:eastAsia="宋体" w:cs="宋体"/>
          <w:color w:val="auto"/>
          <w:spacing w:val="5"/>
          <w:sz w:val="24"/>
          <w:szCs w:val="24"/>
        </w:rPr>
        <w:t>急救类设备</w:t>
      </w:r>
      <w:r>
        <w:rPr>
          <w:rFonts w:hint="eastAsia" w:ascii="宋体" w:hAnsi="宋体" w:eastAsia="宋体" w:cs="宋体"/>
          <w:color w:val="auto"/>
          <w:spacing w:val="5"/>
          <w:sz w:val="24"/>
          <w:szCs w:val="24"/>
          <w:lang w:val="en-US" w:eastAsia="zh-CN"/>
        </w:rPr>
        <w:t>每两周1次，</w:t>
      </w:r>
      <w:r>
        <w:rPr>
          <w:rFonts w:hint="eastAsia" w:ascii="宋体" w:hAnsi="宋体" w:eastAsia="宋体" w:cs="宋体"/>
          <w:color w:val="auto"/>
          <w:spacing w:val="5"/>
          <w:sz w:val="24"/>
          <w:szCs w:val="24"/>
        </w:rPr>
        <w:t>特种设备、大型医疗设备与重点设备(放射类、超声</w:t>
      </w:r>
      <w:r>
        <w:rPr>
          <w:rFonts w:hint="eastAsia" w:ascii="宋体" w:hAnsi="宋体" w:eastAsia="宋体" w:cs="宋体"/>
          <w:color w:val="auto"/>
          <w:spacing w:val="18"/>
          <w:sz w:val="24"/>
          <w:szCs w:val="24"/>
        </w:rPr>
        <w:t>类等</w:t>
      </w:r>
      <w:r>
        <w:rPr>
          <w:rFonts w:hint="eastAsia" w:ascii="宋体" w:hAnsi="宋体" w:eastAsia="宋体" w:cs="宋体"/>
          <w:color w:val="auto"/>
          <w:spacing w:val="13"/>
          <w:sz w:val="24"/>
          <w:szCs w:val="24"/>
        </w:rPr>
        <w:t>影</w:t>
      </w:r>
      <w:r>
        <w:rPr>
          <w:rFonts w:hint="eastAsia" w:ascii="宋体" w:hAnsi="宋体" w:eastAsia="宋体" w:cs="宋体"/>
          <w:color w:val="auto"/>
          <w:spacing w:val="9"/>
          <w:sz w:val="24"/>
          <w:szCs w:val="24"/>
        </w:rPr>
        <w:t>像设备及医院指定的消毒类等重点设备)每月一次，其他设备每季度一次</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供应商可根据自己的要求增加巡检次数；</w:t>
      </w:r>
    </w:p>
    <w:p w14:paraId="4B12C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4" w:firstLineChars="200"/>
        <w:jc w:val="left"/>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6"/>
          <w:sz w:val="24"/>
          <w:szCs w:val="24"/>
          <w:lang w:val="en-US" w:eastAsia="zh-CN"/>
        </w:rPr>
        <w:t>3</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巡检内容：设备摆放位置检查；设备外观检查；设备开机运行状态(功能、性能、</w:t>
      </w:r>
      <w:r>
        <w:rPr>
          <w:rFonts w:hint="eastAsia" w:ascii="宋体" w:hAnsi="宋体" w:eastAsia="宋体" w:cs="宋体"/>
          <w:color w:val="auto"/>
          <w:spacing w:val="16"/>
          <w:sz w:val="24"/>
          <w:szCs w:val="24"/>
        </w:rPr>
        <w:t>噪音</w:t>
      </w:r>
      <w:r>
        <w:rPr>
          <w:rFonts w:hint="eastAsia" w:ascii="宋体" w:hAnsi="宋体" w:eastAsia="宋体" w:cs="宋体"/>
          <w:color w:val="auto"/>
          <w:spacing w:val="11"/>
          <w:sz w:val="24"/>
          <w:szCs w:val="24"/>
        </w:rPr>
        <w:t>等</w:t>
      </w:r>
      <w:r>
        <w:rPr>
          <w:rFonts w:hint="eastAsia" w:ascii="宋体" w:hAnsi="宋体" w:eastAsia="宋体" w:cs="宋体"/>
          <w:color w:val="auto"/>
          <w:spacing w:val="8"/>
          <w:sz w:val="24"/>
          <w:szCs w:val="24"/>
        </w:rPr>
        <w:t>)检查；设备安全检查；使用人员操作设备情况检查</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同时询问设备日常使用人</w:t>
      </w:r>
      <w:r>
        <w:rPr>
          <w:rFonts w:hint="eastAsia" w:ascii="宋体" w:hAnsi="宋体" w:eastAsia="宋体" w:cs="宋体"/>
          <w:color w:val="auto"/>
          <w:spacing w:val="9"/>
          <w:sz w:val="24"/>
          <w:szCs w:val="24"/>
        </w:rPr>
        <w:t>员有关设备的日常使用与保养的情况，做好相关记录</w:t>
      </w:r>
      <w:r>
        <w:rPr>
          <w:rFonts w:hint="eastAsia" w:ascii="宋体" w:hAnsi="宋体" w:eastAsia="宋体" w:cs="宋体"/>
          <w:color w:val="auto"/>
          <w:spacing w:val="9"/>
          <w:sz w:val="24"/>
          <w:szCs w:val="24"/>
          <w:lang w:val="en-US" w:eastAsia="zh-CN"/>
        </w:rPr>
        <w:t>并及时指导使用人员规范操作</w:t>
      </w:r>
      <w:r>
        <w:rPr>
          <w:rFonts w:hint="eastAsia" w:ascii="宋体" w:hAnsi="宋体" w:eastAsia="宋体" w:cs="宋体"/>
          <w:color w:val="auto"/>
          <w:spacing w:val="4"/>
          <w:sz w:val="24"/>
          <w:szCs w:val="24"/>
        </w:rPr>
        <w:t>。</w:t>
      </w:r>
    </w:p>
    <w:p w14:paraId="3E5A28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10.设备维修工作要求</w:t>
      </w:r>
    </w:p>
    <w:p w14:paraId="59D3C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96"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4"/>
          <w:sz w:val="24"/>
          <w:szCs w:val="24"/>
          <w:lang w:val="en-US" w:eastAsia="zh-CN"/>
        </w:rPr>
        <w:t>1</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设备故障出现后</w:t>
      </w:r>
      <w:r>
        <w:rPr>
          <w:rFonts w:hint="eastAsia" w:ascii="宋体" w:hAnsi="宋体" w:eastAsia="宋体" w:cs="宋体"/>
          <w:color w:val="auto"/>
          <w:spacing w:val="2"/>
          <w:sz w:val="24"/>
          <w:szCs w:val="24"/>
          <w:lang w:val="en-US" w:eastAsia="zh-CN"/>
        </w:rPr>
        <w:t>15</w:t>
      </w:r>
      <w:r>
        <w:rPr>
          <w:rFonts w:hint="eastAsia" w:ascii="宋体" w:hAnsi="宋体" w:eastAsia="宋体" w:cs="宋体"/>
          <w:color w:val="auto"/>
          <w:spacing w:val="2"/>
          <w:sz w:val="24"/>
          <w:szCs w:val="24"/>
        </w:rPr>
        <w:t>分钟内工程师及时响应</w:t>
      </w:r>
      <w:r>
        <w:rPr>
          <w:rFonts w:hint="eastAsia" w:ascii="宋体" w:hAnsi="宋体" w:eastAsia="宋体" w:cs="宋体"/>
          <w:color w:val="auto"/>
          <w:spacing w:val="2"/>
          <w:sz w:val="24"/>
          <w:szCs w:val="24"/>
          <w:lang w:val="en-US" w:eastAsia="zh-CN"/>
        </w:rPr>
        <w:t>并</w:t>
      </w:r>
      <w:r>
        <w:rPr>
          <w:rFonts w:hint="eastAsia" w:ascii="宋体" w:hAnsi="宋体" w:eastAsia="宋体" w:cs="宋体"/>
          <w:color w:val="auto"/>
          <w:spacing w:val="2"/>
          <w:sz w:val="24"/>
          <w:szCs w:val="24"/>
        </w:rPr>
        <w:t>到达现场，</w:t>
      </w:r>
      <w:r>
        <w:rPr>
          <w:rFonts w:hint="eastAsia" w:ascii="宋体" w:hAnsi="宋体" w:eastAsia="宋体" w:cs="宋体"/>
          <w:color w:val="auto"/>
          <w:spacing w:val="5"/>
          <w:sz w:val="24"/>
          <w:szCs w:val="24"/>
        </w:rPr>
        <w:t>不得以</w:t>
      </w:r>
      <w:r>
        <w:rPr>
          <w:rFonts w:hint="eastAsia" w:ascii="宋体" w:hAnsi="宋体" w:eastAsia="宋体" w:cs="宋体"/>
          <w:color w:val="auto"/>
          <w:spacing w:val="9"/>
          <w:sz w:val="24"/>
          <w:szCs w:val="24"/>
        </w:rPr>
        <w:t>任何非不可抗力的理由拖延维修响应时间。对于现场不能解决</w:t>
      </w:r>
      <w:r>
        <w:rPr>
          <w:rFonts w:hint="eastAsia" w:ascii="宋体" w:hAnsi="宋体" w:eastAsia="宋体" w:cs="宋体"/>
          <w:color w:val="auto"/>
          <w:spacing w:val="8"/>
          <w:sz w:val="24"/>
          <w:szCs w:val="24"/>
        </w:rPr>
        <w:t>处</w:t>
      </w:r>
      <w:r>
        <w:rPr>
          <w:rFonts w:hint="eastAsia" w:ascii="宋体" w:hAnsi="宋体" w:eastAsia="宋体" w:cs="宋体"/>
          <w:color w:val="auto"/>
          <w:spacing w:val="20"/>
          <w:sz w:val="24"/>
          <w:szCs w:val="24"/>
        </w:rPr>
        <w:t>理</w:t>
      </w:r>
      <w:r>
        <w:rPr>
          <w:rFonts w:hint="eastAsia" w:ascii="宋体" w:hAnsi="宋体" w:eastAsia="宋体" w:cs="宋体"/>
          <w:color w:val="auto"/>
          <w:spacing w:val="12"/>
          <w:sz w:val="24"/>
          <w:szCs w:val="24"/>
        </w:rPr>
        <w:t>完成的设备，通过</w:t>
      </w:r>
      <w:r>
        <w:rPr>
          <w:rFonts w:hint="eastAsia" w:ascii="宋体" w:hAnsi="宋体" w:eastAsia="宋体" w:cs="宋体"/>
          <w:color w:val="auto"/>
          <w:spacing w:val="12"/>
          <w:sz w:val="24"/>
          <w:szCs w:val="24"/>
          <w:lang w:val="en-US" w:eastAsia="zh-CN"/>
        </w:rPr>
        <w:t>各种方式及时解决，完成维修</w:t>
      </w:r>
      <w:r>
        <w:rPr>
          <w:rFonts w:hint="eastAsia" w:ascii="宋体" w:hAnsi="宋体" w:eastAsia="宋体" w:cs="宋体"/>
          <w:color w:val="auto"/>
          <w:spacing w:val="12"/>
          <w:sz w:val="24"/>
          <w:szCs w:val="24"/>
        </w:rPr>
        <w:t>，</w:t>
      </w:r>
      <w:r>
        <w:rPr>
          <w:rFonts w:hint="eastAsia" w:ascii="宋体" w:hAnsi="宋体" w:eastAsia="宋体" w:cs="宋体"/>
          <w:color w:val="auto"/>
          <w:spacing w:val="12"/>
          <w:sz w:val="24"/>
          <w:szCs w:val="24"/>
          <w:lang w:val="en-US" w:eastAsia="zh-CN"/>
        </w:rPr>
        <w:t>使其</w:t>
      </w:r>
      <w:r>
        <w:rPr>
          <w:rFonts w:hint="eastAsia" w:ascii="宋体" w:hAnsi="宋体" w:eastAsia="宋体" w:cs="宋体"/>
          <w:color w:val="auto"/>
          <w:spacing w:val="12"/>
          <w:sz w:val="24"/>
          <w:szCs w:val="24"/>
        </w:rPr>
        <w:t>尽快</w:t>
      </w:r>
      <w:r>
        <w:rPr>
          <w:rFonts w:hint="eastAsia" w:ascii="宋体" w:hAnsi="宋体" w:eastAsia="宋体" w:cs="宋体"/>
          <w:color w:val="auto"/>
          <w:spacing w:val="9"/>
          <w:sz w:val="24"/>
          <w:szCs w:val="24"/>
          <w:lang w:val="en-US" w:eastAsia="zh-CN"/>
        </w:rPr>
        <w:t>回归</w:t>
      </w:r>
      <w:r>
        <w:rPr>
          <w:rFonts w:hint="eastAsia" w:ascii="宋体" w:hAnsi="宋体" w:eastAsia="宋体" w:cs="宋体"/>
          <w:color w:val="auto"/>
          <w:spacing w:val="7"/>
          <w:sz w:val="24"/>
          <w:szCs w:val="24"/>
        </w:rPr>
        <w:t>临床</w:t>
      </w:r>
      <w:r>
        <w:rPr>
          <w:rFonts w:hint="eastAsia" w:ascii="宋体" w:hAnsi="宋体" w:eastAsia="宋体" w:cs="宋体"/>
          <w:color w:val="auto"/>
          <w:spacing w:val="7"/>
          <w:sz w:val="24"/>
          <w:szCs w:val="24"/>
          <w:lang w:val="en-US" w:eastAsia="zh-CN"/>
        </w:rPr>
        <w:t>服务</w:t>
      </w:r>
      <w:r>
        <w:rPr>
          <w:rFonts w:hint="eastAsia" w:ascii="宋体" w:hAnsi="宋体" w:eastAsia="宋体" w:cs="宋体"/>
          <w:color w:val="auto"/>
          <w:spacing w:val="7"/>
          <w:sz w:val="24"/>
          <w:szCs w:val="24"/>
          <w:lang w:eastAsia="zh-CN"/>
        </w:rPr>
        <w:t>；</w:t>
      </w:r>
    </w:p>
    <w:p w14:paraId="7830B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68" w:firstLineChars="200"/>
        <w:jc w:val="left"/>
        <w:textAlignment w:val="auto"/>
        <w:rPr>
          <w:rFonts w:hint="eastAsia" w:ascii="宋体" w:hAnsi="宋体" w:eastAsia="宋体" w:cs="宋体"/>
          <w:color w:val="auto"/>
          <w:spacing w:val="5"/>
          <w:sz w:val="24"/>
          <w:szCs w:val="24"/>
          <w:lang w:eastAsia="zh-CN"/>
        </w:rPr>
      </w:pP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3"/>
          <w:sz w:val="24"/>
          <w:szCs w:val="24"/>
          <w:lang w:eastAsia="zh-CN"/>
        </w:rPr>
        <w:t>）</w:t>
      </w:r>
      <w:r>
        <w:rPr>
          <w:rFonts w:hint="eastAsia" w:ascii="宋体" w:hAnsi="宋体" w:eastAsia="宋体" w:cs="宋体"/>
          <w:color w:val="auto"/>
          <w:spacing w:val="5"/>
          <w:sz w:val="24"/>
          <w:szCs w:val="24"/>
        </w:rPr>
        <w:t>统计设备的设备开机率</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5"/>
          <w:sz w:val="24"/>
          <w:szCs w:val="24"/>
        </w:rPr>
        <w:t>设备故障率等</w:t>
      </w:r>
      <w:r>
        <w:rPr>
          <w:rFonts w:hint="eastAsia" w:ascii="宋体" w:hAnsi="宋体" w:eastAsia="宋体" w:cs="宋体"/>
          <w:color w:val="auto"/>
          <w:spacing w:val="5"/>
          <w:sz w:val="24"/>
          <w:szCs w:val="24"/>
          <w:lang w:val="en-US" w:eastAsia="zh-CN"/>
        </w:rPr>
        <w:t>并形成汇总分析</w:t>
      </w:r>
      <w:r>
        <w:rPr>
          <w:rFonts w:hint="eastAsia" w:ascii="宋体" w:hAnsi="宋体" w:eastAsia="宋体" w:cs="宋体"/>
          <w:color w:val="auto"/>
          <w:spacing w:val="5"/>
          <w:sz w:val="24"/>
          <w:szCs w:val="24"/>
          <w:lang w:eastAsia="zh-CN"/>
        </w:rPr>
        <w:t>；</w:t>
      </w:r>
    </w:p>
    <w:p w14:paraId="402170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8"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val="en-US" w:eastAsia="zh-CN"/>
        </w:rPr>
        <w:t>3）供应商工程师</w:t>
      </w:r>
      <w:r>
        <w:rPr>
          <w:rFonts w:hint="eastAsia" w:ascii="宋体" w:hAnsi="宋体" w:eastAsia="宋体" w:cs="宋体"/>
          <w:color w:val="auto"/>
          <w:spacing w:val="7"/>
          <w:sz w:val="24"/>
          <w:szCs w:val="24"/>
        </w:rPr>
        <w:t>进行服务时必须做好安全保障措施，不得损坏医院所有设备</w:t>
      </w:r>
      <w:r>
        <w:rPr>
          <w:rFonts w:hint="eastAsia" w:ascii="宋体" w:hAnsi="宋体" w:eastAsia="宋体" w:cs="宋体"/>
          <w:color w:val="auto"/>
          <w:spacing w:val="7"/>
          <w:sz w:val="24"/>
          <w:szCs w:val="24"/>
          <w:lang w:eastAsia="zh-CN"/>
        </w:rPr>
        <w:t>；</w:t>
      </w:r>
    </w:p>
    <w:p w14:paraId="3DDD3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08" w:firstLineChars="200"/>
        <w:jc w:val="left"/>
        <w:textAlignment w:val="auto"/>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lang w:eastAsia="zh-CN"/>
        </w:rPr>
        <w:t>）医院大型设备必须由</w:t>
      </w:r>
      <w:r>
        <w:rPr>
          <w:rFonts w:hint="eastAsia" w:ascii="宋体" w:hAnsi="宋体" w:eastAsia="宋体" w:cs="宋体"/>
          <w:color w:val="auto"/>
          <w:spacing w:val="7"/>
          <w:sz w:val="24"/>
          <w:szCs w:val="24"/>
          <w:lang w:val="en-US" w:eastAsia="zh-CN"/>
        </w:rPr>
        <w:t>符合相关资质</w:t>
      </w:r>
      <w:r>
        <w:rPr>
          <w:rFonts w:hint="eastAsia" w:ascii="宋体" w:hAnsi="宋体" w:eastAsia="宋体" w:cs="宋体"/>
          <w:color w:val="auto"/>
          <w:spacing w:val="7"/>
          <w:sz w:val="24"/>
          <w:szCs w:val="24"/>
          <w:lang w:eastAsia="zh-CN"/>
        </w:rPr>
        <w:t>的</w:t>
      </w:r>
      <w:r>
        <w:rPr>
          <w:rFonts w:hint="eastAsia" w:ascii="宋体" w:hAnsi="宋体" w:eastAsia="宋体" w:cs="宋体"/>
          <w:color w:val="auto"/>
          <w:spacing w:val="7"/>
          <w:sz w:val="24"/>
          <w:szCs w:val="24"/>
          <w:lang w:val="en-US" w:eastAsia="zh-CN"/>
        </w:rPr>
        <w:t>人员维修</w:t>
      </w:r>
      <w:r>
        <w:rPr>
          <w:rFonts w:hint="eastAsia" w:ascii="宋体" w:hAnsi="宋体" w:eastAsia="宋体" w:cs="宋体"/>
          <w:color w:val="auto"/>
          <w:spacing w:val="7"/>
          <w:sz w:val="24"/>
          <w:szCs w:val="24"/>
          <w:lang w:eastAsia="zh-CN"/>
        </w:rPr>
        <w:t>，无证人员不得</w:t>
      </w:r>
      <w:r>
        <w:rPr>
          <w:rFonts w:hint="eastAsia" w:ascii="宋体" w:hAnsi="宋体" w:eastAsia="宋体" w:cs="宋体"/>
          <w:color w:val="auto"/>
          <w:spacing w:val="7"/>
          <w:sz w:val="24"/>
          <w:szCs w:val="24"/>
          <w:lang w:val="en-US" w:eastAsia="zh-CN"/>
        </w:rPr>
        <w:t>擅自</w:t>
      </w:r>
      <w:r>
        <w:rPr>
          <w:rFonts w:hint="eastAsia" w:ascii="宋体" w:hAnsi="宋体" w:eastAsia="宋体" w:cs="宋体"/>
          <w:color w:val="auto"/>
          <w:spacing w:val="7"/>
          <w:sz w:val="24"/>
          <w:szCs w:val="24"/>
          <w:lang w:eastAsia="zh-CN"/>
        </w:rPr>
        <w:t>拆机。</w:t>
      </w:r>
      <w:r>
        <w:rPr>
          <w:rFonts w:hint="eastAsia" w:ascii="宋体" w:hAnsi="宋体" w:eastAsia="宋体" w:cs="宋体"/>
          <w:color w:val="auto"/>
          <w:spacing w:val="7"/>
          <w:sz w:val="24"/>
          <w:szCs w:val="24"/>
          <w:lang w:val="en-US" w:eastAsia="zh-CN"/>
        </w:rPr>
        <w:t>若违反规定</w:t>
      </w:r>
      <w:r>
        <w:rPr>
          <w:rFonts w:hint="eastAsia" w:ascii="宋体" w:hAnsi="宋体" w:eastAsia="宋体" w:cs="宋体"/>
          <w:color w:val="auto"/>
          <w:spacing w:val="7"/>
          <w:sz w:val="24"/>
          <w:szCs w:val="24"/>
          <w:lang w:eastAsia="zh-CN"/>
        </w:rPr>
        <w:t>对医院造成的损失，由</w:t>
      </w:r>
      <w:r>
        <w:rPr>
          <w:rFonts w:hint="eastAsia" w:ascii="宋体" w:hAnsi="宋体" w:eastAsia="宋体" w:cs="宋体"/>
          <w:color w:val="auto"/>
          <w:spacing w:val="7"/>
          <w:sz w:val="24"/>
          <w:szCs w:val="24"/>
          <w:lang w:val="en-US" w:eastAsia="zh-CN"/>
        </w:rPr>
        <w:t>供应商</w:t>
      </w:r>
      <w:r>
        <w:rPr>
          <w:rFonts w:hint="eastAsia" w:ascii="宋体" w:hAnsi="宋体" w:eastAsia="宋体" w:cs="宋体"/>
          <w:color w:val="auto"/>
          <w:spacing w:val="7"/>
          <w:sz w:val="24"/>
          <w:szCs w:val="24"/>
          <w:lang w:eastAsia="zh-CN"/>
        </w:rPr>
        <w:t>全部承担；</w:t>
      </w:r>
    </w:p>
    <w:p w14:paraId="328D7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16"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9"/>
          <w:sz w:val="24"/>
          <w:szCs w:val="24"/>
          <w:lang w:val="en-US" w:eastAsia="zh-CN"/>
        </w:rPr>
        <w:t>5</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入</w:t>
      </w:r>
      <w:r>
        <w:rPr>
          <w:rFonts w:hint="eastAsia" w:ascii="宋体" w:hAnsi="宋体" w:eastAsia="宋体" w:cs="宋体"/>
          <w:color w:val="auto"/>
          <w:spacing w:val="5"/>
          <w:sz w:val="24"/>
          <w:szCs w:val="24"/>
        </w:rPr>
        <w:t>驻维修</w:t>
      </w:r>
      <w:r>
        <w:rPr>
          <w:rFonts w:hint="eastAsia" w:ascii="宋体" w:hAnsi="宋体" w:eastAsia="宋体" w:cs="宋体"/>
          <w:color w:val="auto"/>
          <w:spacing w:val="5"/>
          <w:sz w:val="24"/>
          <w:szCs w:val="24"/>
          <w:lang w:val="en-US" w:eastAsia="zh-CN"/>
        </w:rPr>
        <w:t>工程师</w:t>
      </w:r>
      <w:r>
        <w:rPr>
          <w:rFonts w:hint="eastAsia" w:ascii="宋体" w:hAnsi="宋体" w:eastAsia="宋体" w:cs="宋体"/>
          <w:color w:val="auto"/>
          <w:spacing w:val="5"/>
          <w:sz w:val="24"/>
          <w:szCs w:val="24"/>
        </w:rPr>
        <w:t>需服从医院管理人员安排，及时对维保设备进行处理，一般性故障</w:t>
      </w:r>
      <w:r>
        <w:rPr>
          <w:rFonts w:hint="eastAsia" w:ascii="宋体" w:hAnsi="宋体" w:eastAsia="宋体" w:cs="宋体"/>
          <w:color w:val="auto"/>
          <w:spacing w:val="18"/>
          <w:sz w:val="24"/>
          <w:szCs w:val="24"/>
        </w:rPr>
        <w:t>要</w:t>
      </w:r>
      <w:r>
        <w:rPr>
          <w:rFonts w:hint="eastAsia" w:ascii="宋体" w:hAnsi="宋体" w:eastAsia="宋体" w:cs="宋体"/>
          <w:color w:val="auto"/>
          <w:spacing w:val="12"/>
          <w:sz w:val="24"/>
          <w:szCs w:val="24"/>
        </w:rPr>
        <w:t>求即时修复，不能即时修复的较复杂故障要求三日内完成，不能自行修复的复杂故障</w:t>
      </w:r>
      <w:r>
        <w:rPr>
          <w:rFonts w:hint="eastAsia" w:ascii="宋体" w:hAnsi="宋体" w:eastAsia="宋体" w:cs="宋体"/>
          <w:color w:val="auto"/>
          <w:spacing w:val="18"/>
          <w:sz w:val="24"/>
          <w:szCs w:val="24"/>
        </w:rPr>
        <w:t>原</w:t>
      </w:r>
      <w:r>
        <w:rPr>
          <w:rFonts w:hint="eastAsia" w:ascii="宋体" w:hAnsi="宋体" w:eastAsia="宋体" w:cs="宋体"/>
          <w:color w:val="auto"/>
          <w:spacing w:val="12"/>
          <w:sz w:val="24"/>
          <w:szCs w:val="24"/>
        </w:rPr>
        <w:t>则上一周内修复，</w:t>
      </w:r>
      <w:r>
        <w:rPr>
          <w:rFonts w:hint="eastAsia" w:ascii="宋体" w:hAnsi="宋体" w:eastAsia="宋体" w:cs="宋体"/>
          <w:color w:val="auto"/>
          <w:spacing w:val="9"/>
          <w:sz w:val="24"/>
          <w:szCs w:val="24"/>
        </w:rPr>
        <w:t>尽力减少对使用科室的影响</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12"/>
          <w:sz w:val="24"/>
          <w:szCs w:val="24"/>
        </w:rPr>
        <w:t>如因特殊原因不能如期修复的，需提交书面材料详细说明</w:t>
      </w:r>
      <w:r>
        <w:rPr>
          <w:rFonts w:hint="eastAsia" w:ascii="宋体" w:hAnsi="宋体" w:eastAsia="宋体" w:cs="宋体"/>
          <w:color w:val="auto"/>
          <w:spacing w:val="12"/>
          <w:sz w:val="24"/>
          <w:szCs w:val="24"/>
          <w:lang w:eastAsia="zh-CN"/>
        </w:rPr>
        <w:t>；</w:t>
      </w:r>
    </w:p>
    <w:p w14:paraId="32BACC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20" w:firstLineChars="200"/>
        <w:jc w:val="left"/>
        <w:textAlignment w:val="auto"/>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6</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针对每一次设备维修情况，对故障</w:t>
      </w:r>
      <w:r>
        <w:rPr>
          <w:rFonts w:hint="eastAsia" w:ascii="宋体" w:hAnsi="宋体" w:eastAsia="宋体" w:cs="宋体"/>
          <w:color w:val="auto"/>
          <w:spacing w:val="10"/>
          <w:sz w:val="24"/>
          <w:szCs w:val="24"/>
          <w:lang w:val="en-US" w:eastAsia="zh-CN"/>
        </w:rPr>
        <w:t>情况详细</w:t>
      </w:r>
      <w:r>
        <w:rPr>
          <w:rFonts w:hint="eastAsia" w:ascii="宋体" w:hAnsi="宋体" w:eastAsia="宋体" w:cs="宋体"/>
          <w:color w:val="auto"/>
          <w:spacing w:val="10"/>
          <w:sz w:val="24"/>
          <w:szCs w:val="24"/>
        </w:rPr>
        <w:t>记录</w:t>
      </w:r>
      <w:r>
        <w:rPr>
          <w:rFonts w:hint="eastAsia" w:ascii="宋体" w:hAnsi="宋体" w:eastAsia="宋体" w:cs="宋体"/>
          <w:color w:val="auto"/>
          <w:spacing w:val="10"/>
          <w:sz w:val="24"/>
          <w:szCs w:val="24"/>
          <w:lang w:val="en-US" w:eastAsia="zh-CN"/>
        </w:rPr>
        <w:t>分析</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说明</w:t>
      </w:r>
      <w:r>
        <w:rPr>
          <w:rFonts w:hint="eastAsia" w:ascii="宋体" w:hAnsi="宋体" w:eastAsia="宋体" w:cs="宋体"/>
          <w:color w:val="auto"/>
          <w:spacing w:val="10"/>
          <w:sz w:val="24"/>
          <w:szCs w:val="24"/>
        </w:rPr>
        <w:t>故障属于日常使用故障、设备老化磨损故障、电路故障、设备软件故障、还是机械故障</w:t>
      </w:r>
      <w:r>
        <w:rPr>
          <w:rFonts w:hint="eastAsia" w:ascii="宋体" w:hAnsi="宋体" w:eastAsia="宋体" w:cs="宋体"/>
          <w:color w:val="auto"/>
          <w:spacing w:val="10"/>
          <w:sz w:val="24"/>
          <w:szCs w:val="24"/>
          <w:lang w:val="en-US" w:eastAsia="zh-CN"/>
        </w:rPr>
        <w:t>等</w:t>
      </w:r>
      <w:r>
        <w:rPr>
          <w:rFonts w:hint="eastAsia" w:ascii="宋体" w:hAnsi="宋体" w:eastAsia="宋体" w:cs="宋体"/>
          <w:color w:val="auto"/>
          <w:spacing w:val="10"/>
          <w:sz w:val="24"/>
          <w:szCs w:val="24"/>
        </w:rPr>
        <w:t>，在及时排除故障的同时针对每种故障类型做出相对应的应急措施，及时告知院方设备管理人员或使用人员避免该类故障的正确做法。</w:t>
      </w:r>
    </w:p>
    <w:p w14:paraId="58BEB8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11.设备计量检测要求</w:t>
      </w:r>
    </w:p>
    <w:p w14:paraId="31EA9735">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520" w:firstLineChars="200"/>
        <w:jc w:val="left"/>
        <w:textAlignment w:val="auto"/>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1）</w:t>
      </w:r>
      <w:r>
        <w:rPr>
          <w:rFonts w:hint="eastAsia" w:ascii="宋体" w:hAnsi="宋体" w:eastAsia="宋体" w:cs="宋体"/>
          <w:color w:val="auto"/>
          <w:spacing w:val="10"/>
          <w:sz w:val="24"/>
          <w:szCs w:val="24"/>
        </w:rPr>
        <w:t>维保范围内的医疗设备，凡是在国家</w:t>
      </w:r>
      <w:r>
        <w:rPr>
          <w:rFonts w:hint="eastAsia" w:ascii="宋体" w:hAnsi="宋体" w:eastAsia="宋体" w:cs="宋体"/>
          <w:color w:val="auto"/>
          <w:spacing w:val="10"/>
          <w:sz w:val="24"/>
          <w:szCs w:val="24"/>
          <w:lang w:val="en-US" w:eastAsia="zh-CN"/>
        </w:rPr>
        <w:t>要求检测</w:t>
      </w:r>
      <w:r>
        <w:rPr>
          <w:rFonts w:hint="eastAsia" w:ascii="宋体" w:hAnsi="宋体" w:eastAsia="宋体" w:cs="宋体"/>
          <w:color w:val="auto"/>
          <w:spacing w:val="10"/>
          <w:sz w:val="24"/>
          <w:szCs w:val="24"/>
        </w:rPr>
        <w:t>的计量及质量检测范围内的</w:t>
      </w:r>
      <w:r>
        <w:rPr>
          <w:rFonts w:hint="eastAsia" w:ascii="宋体" w:hAnsi="宋体" w:eastAsia="宋体" w:cs="宋体"/>
          <w:color w:val="auto"/>
          <w:spacing w:val="10"/>
          <w:sz w:val="24"/>
          <w:szCs w:val="24"/>
          <w:lang w:val="en-US" w:eastAsia="zh-CN"/>
        </w:rPr>
        <w:t>设备</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lang w:val="en-US" w:eastAsia="zh-CN"/>
        </w:rPr>
        <w:t>供应商</w:t>
      </w:r>
      <w:r>
        <w:rPr>
          <w:rFonts w:hint="eastAsia" w:ascii="宋体" w:hAnsi="宋体" w:eastAsia="宋体" w:cs="宋体"/>
          <w:color w:val="auto"/>
          <w:spacing w:val="10"/>
          <w:sz w:val="24"/>
          <w:szCs w:val="24"/>
        </w:rPr>
        <w:t>须</w:t>
      </w:r>
      <w:r>
        <w:rPr>
          <w:rFonts w:hint="eastAsia" w:ascii="宋体" w:hAnsi="宋体" w:eastAsia="宋体" w:cs="宋体"/>
          <w:color w:val="auto"/>
          <w:spacing w:val="10"/>
          <w:sz w:val="24"/>
          <w:szCs w:val="24"/>
          <w:lang w:val="en-US" w:eastAsia="zh-CN"/>
        </w:rPr>
        <w:t>每年强制</w:t>
      </w:r>
      <w:r>
        <w:rPr>
          <w:rFonts w:hint="eastAsia" w:ascii="宋体" w:hAnsi="宋体" w:eastAsia="宋体" w:cs="宋体"/>
          <w:color w:val="auto"/>
          <w:spacing w:val="10"/>
          <w:sz w:val="24"/>
          <w:szCs w:val="24"/>
        </w:rPr>
        <w:t>进行检测</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校定和校准</w:t>
      </w:r>
      <w:r>
        <w:rPr>
          <w:rFonts w:hint="eastAsia" w:ascii="宋体" w:hAnsi="宋体" w:eastAsia="宋体" w:cs="宋体"/>
          <w:color w:val="auto"/>
          <w:spacing w:val="10"/>
          <w:sz w:val="24"/>
          <w:szCs w:val="24"/>
        </w:rPr>
        <w:t>，检</w:t>
      </w:r>
      <w:r>
        <w:rPr>
          <w:rFonts w:hint="eastAsia" w:ascii="宋体" w:hAnsi="宋体" w:eastAsia="宋体" w:cs="宋体"/>
          <w:color w:val="auto"/>
          <w:spacing w:val="10"/>
          <w:sz w:val="24"/>
          <w:szCs w:val="24"/>
          <w:lang w:val="en-US" w:eastAsia="zh-CN"/>
        </w:rPr>
        <w:t>测</w:t>
      </w:r>
      <w:r>
        <w:rPr>
          <w:rFonts w:hint="eastAsia" w:ascii="宋体" w:hAnsi="宋体" w:eastAsia="宋体" w:cs="宋体"/>
          <w:color w:val="auto"/>
          <w:spacing w:val="10"/>
          <w:sz w:val="24"/>
          <w:szCs w:val="24"/>
        </w:rPr>
        <w:t>计量及质量检测按标准检测合格</w:t>
      </w:r>
      <w:r>
        <w:rPr>
          <w:rFonts w:hint="eastAsia" w:ascii="宋体" w:hAnsi="宋体" w:eastAsia="宋体" w:cs="宋体"/>
          <w:color w:val="auto"/>
          <w:spacing w:val="10"/>
          <w:sz w:val="24"/>
          <w:szCs w:val="24"/>
          <w:lang w:val="en-US" w:eastAsia="zh-CN"/>
        </w:rPr>
        <w:t>并提供合格证书（</w:t>
      </w:r>
      <w:r>
        <w:rPr>
          <w:rFonts w:hint="eastAsia" w:ascii="宋体" w:hAnsi="宋体" w:eastAsia="宋体" w:cs="宋体"/>
          <w:color w:val="auto"/>
          <w:spacing w:val="2"/>
          <w:sz w:val="24"/>
          <w:szCs w:val="24"/>
          <w:lang w:val="en-US" w:eastAsia="zh-CN"/>
        </w:rPr>
        <w:t>放射类设备检测及放射环境检测，每年形成检测报告提交院方</w:t>
      </w:r>
      <w:r>
        <w:rPr>
          <w:rFonts w:hint="eastAsia" w:ascii="宋体" w:hAnsi="宋体" w:eastAsia="宋体" w:cs="宋体"/>
          <w:color w:val="auto"/>
          <w:spacing w:val="10"/>
          <w:sz w:val="24"/>
          <w:szCs w:val="24"/>
          <w:lang w:val="en-US" w:eastAsia="zh-CN"/>
        </w:rPr>
        <w:t>），供货商</w:t>
      </w:r>
      <w:r>
        <w:rPr>
          <w:rFonts w:hint="eastAsia" w:ascii="宋体" w:hAnsi="宋体" w:eastAsia="宋体" w:cs="宋体"/>
          <w:color w:val="auto"/>
          <w:spacing w:val="10"/>
          <w:sz w:val="24"/>
          <w:szCs w:val="24"/>
        </w:rPr>
        <w:t>承担检测费用，强检计量及质量检测未合格的设备，</w:t>
      </w:r>
      <w:r>
        <w:rPr>
          <w:rFonts w:hint="eastAsia" w:ascii="宋体" w:hAnsi="宋体" w:eastAsia="宋体" w:cs="宋体"/>
          <w:color w:val="auto"/>
          <w:spacing w:val="10"/>
          <w:sz w:val="24"/>
          <w:szCs w:val="24"/>
          <w:lang w:val="en-US" w:eastAsia="zh-CN"/>
        </w:rPr>
        <w:t>由供应商</w:t>
      </w:r>
      <w:r>
        <w:rPr>
          <w:rFonts w:hint="eastAsia" w:ascii="宋体" w:hAnsi="宋体" w:eastAsia="宋体" w:cs="宋体"/>
          <w:color w:val="auto"/>
          <w:spacing w:val="10"/>
          <w:sz w:val="24"/>
          <w:szCs w:val="24"/>
        </w:rPr>
        <w:t>按照相应标准对医疗设备进行维护调试直至达到国家要求的标准，检测费用由</w:t>
      </w:r>
      <w:r>
        <w:rPr>
          <w:rFonts w:hint="eastAsia" w:ascii="宋体" w:hAnsi="宋体" w:eastAsia="宋体" w:cs="宋体"/>
          <w:color w:val="auto"/>
          <w:spacing w:val="10"/>
          <w:sz w:val="24"/>
          <w:szCs w:val="24"/>
          <w:lang w:val="en-US" w:eastAsia="zh-CN"/>
        </w:rPr>
        <w:t>供应商</w:t>
      </w:r>
      <w:r>
        <w:rPr>
          <w:rFonts w:hint="eastAsia" w:ascii="宋体" w:hAnsi="宋体" w:eastAsia="宋体" w:cs="宋体"/>
          <w:color w:val="auto"/>
          <w:spacing w:val="10"/>
          <w:sz w:val="24"/>
          <w:szCs w:val="24"/>
        </w:rPr>
        <w:t>承担</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检测达标合格率100%；</w:t>
      </w:r>
    </w:p>
    <w:p w14:paraId="07F4D7E8">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line="360" w:lineRule="auto"/>
        <w:ind w:left="0" w:leftChars="0" w:right="0" w:rightChars="0" w:firstLine="488" w:firstLineChars="200"/>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w:t>
      </w:r>
      <w:r>
        <w:rPr>
          <w:rFonts w:hint="eastAsia" w:ascii="宋体" w:hAnsi="宋体" w:eastAsia="宋体" w:cs="宋体"/>
          <w:color w:val="auto"/>
          <w:spacing w:val="2"/>
          <w:sz w:val="24"/>
          <w:szCs w:val="24"/>
        </w:rPr>
        <w:t>计量设备管理：建立全院医学计量设备台账，</w:t>
      </w:r>
      <w:r>
        <w:rPr>
          <w:rFonts w:hint="eastAsia" w:ascii="宋体" w:hAnsi="宋体" w:eastAsia="宋体" w:cs="宋体"/>
          <w:color w:val="auto"/>
          <w:spacing w:val="17"/>
          <w:sz w:val="24"/>
          <w:szCs w:val="24"/>
        </w:rPr>
        <w:t>为</w:t>
      </w:r>
      <w:r>
        <w:rPr>
          <w:rFonts w:hint="eastAsia" w:ascii="宋体" w:hAnsi="宋体" w:eastAsia="宋体" w:cs="宋体"/>
          <w:color w:val="auto"/>
          <w:spacing w:val="12"/>
          <w:sz w:val="24"/>
          <w:szCs w:val="24"/>
        </w:rPr>
        <w:t>设备的检</w:t>
      </w:r>
      <w:r>
        <w:rPr>
          <w:rFonts w:hint="eastAsia" w:ascii="宋体" w:hAnsi="宋体" w:eastAsia="宋体" w:cs="宋体"/>
          <w:color w:val="auto"/>
          <w:spacing w:val="12"/>
          <w:sz w:val="24"/>
          <w:szCs w:val="24"/>
          <w:lang w:val="en-US" w:eastAsia="zh-CN"/>
        </w:rPr>
        <w:t>测</w:t>
      </w:r>
      <w:r>
        <w:rPr>
          <w:rFonts w:hint="eastAsia" w:ascii="宋体" w:hAnsi="宋体" w:eastAsia="宋体" w:cs="宋体"/>
          <w:color w:val="auto"/>
          <w:spacing w:val="12"/>
          <w:sz w:val="24"/>
          <w:szCs w:val="24"/>
        </w:rPr>
        <w:t>提供全面实时管理</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确保医院使用的计量设备</w:t>
      </w:r>
      <w:r>
        <w:rPr>
          <w:rFonts w:hint="eastAsia" w:ascii="宋体" w:hAnsi="宋体" w:eastAsia="宋体" w:cs="宋体"/>
          <w:color w:val="auto"/>
          <w:spacing w:val="12"/>
          <w:sz w:val="24"/>
          <w:szCs w:val="24"/>
          <w:lang w:val="en-US" w:eastAsia="zh-CN"/>
        </w:rPr>
        <w:t>在</w:t>
      </w:r>
      <w:r>
        <w:rPr>
          <w:rFonts w:hint="eastAsia" w:ascii="宋体" w:hAnsi="宋体" w:eastAsia="宋体" w:cs="宋体"/>
          <w:color w:val="auto"/>
          <w:spacing w:val="12"/>
          <w:sz w:val="24"/>
          <w:szCs w:val="24"/>
        </w:rPr>
        <w:t>检测合格有效</w:t>
      </w:r>
      <w:r>
        <w:rPr>
          <w:rFonts w:hint="eastAsia" w:ascii="宋体" w:hAnsi="宋体" w:eastAsia="宋体" w:cs="宋体"/>
          <w:color w:val="auto"/>
          <w:spacing w:val="3"/>
          <w:sz w:val="24"/>
          <w:szCs w:val="24"/>
        </w:rPr>
        <w:t>期</w:t>
      </w:r>
      <w:r>
        <w:rPr>
          <w:rFonts w:hint="eastAsia" w:ascii="宋体" w:hAnsi="宋体" w:eastAsia="宋体" w:cs="宋体"/>
          <w:color w:val="auto"/>
          <w:spacing w:val="2"/>
          <w:sz w:val="24"/>
          <w:szCs w:val="24"/>
        </w:rPr>
        <w:t>内。</w:t>
      </w:r>
    </w:p>
    <w:p w14:paraId="7C0B4C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12.零配件供货要求</w:t>
      </w:r>
    </w:p>
    <w:p w14:paraId="4C65AA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2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1）供应商可在</w:t>
      </w:r>
      <w:r>
        <w:rPr>
          <w:rFonts w:hint="eastAsia" w:ascii="宋体" w:hAnsi="宋体" w:eastAsia="宋体" w:cs="宋体"/>
          <w:color w:val="auto"/>
          <w:spacing w:val="12"/>
          <w:sz w:val="24"/>
          <w:szCs w:val="24"/>
        </w:rPr>
        <w:t>院</w:t>
      </w:r>
      <w:r>
        <w:rPr>
          <w:rFonts w:hint="eastAsia" w:ascii="宋体" w:hAnsi="宋体" w:eastAsia="宋体" w:cs="宋体"/>
          <w:color w:val="auto"/>
          <w:spacing w:val="8"/>
          <w:sz w:val="24"/>
          <w:szCs w:val="24"/>
        </w:rPr>
        <w:t>内设置常用配件库</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供应商提供实际备件备品品种、数量、价值等相符的清单给院方</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val="en-US" w:eastAsia="zh-CN"/>
        </w:rPr>
        <w:t>院方提供放置场所，</w:t>
      </w:r>
      <w:r>
        <w:rPr>
          <w:rFonts w:hint="eastAsia" w:ascii="宋体" w:hAnsi="宋体" w:eastAsia="宋体" w:cs="宋体"/>
          <w:color w:val="auto"/>
          <w:spacing w:val="8"/>
          <w:sz w:val="24"/>
          <w:szCs w:val="24"/>
        </w:rPr>
        <w:t>保证提供及时准确的备件供应，对于常规医疗设备，保</w:t>
      </w:r>
      <w:r>
        <w:rPr>
          <w:rFonts w:hint="eastAsia" w:ascii="宋体" w:hAnsi="宋体" w:eastAsia="宋体" w:cs="宋体"/>
          <w:color w:val="auto"/>
          <w:spacing w:val="2"/>
          <w:sz w:val="24"/>
          <w:szCs w:val="24"/>
        </w:rPr>
        <w:t>证有在</w:t>
      </w:r>
      <w:r>
        <w:rPr>
          <w:rFonts w:hint="eastAsia" w:ascii="宋体" w:hAnsi="宋体" w:eastAsia="宋体" w:cs="宋体"/>
          <w:color w:val="auto"/>
          <w:spacing w:val="2"/>
          <w:sz w:val="24"/>
          <w:szCs w:val="24"/>
          <w:lang w:val="en-US" w:eastAsia="zh-CN"/>
        </w:rPr>
        <w:t>24</w:t>
      </w:r>
      <w:r>
        <w:rPr>
          <w:rFonts w:hint="eastAsia" w:ascii="宋体" w:hAnsi="宋体" w:eastAsia="宋体" w:cs="宋体"/>
          <w:color w:val="auto"/>
          <w:spacing w:val="2"/>
          <w:sz w:val="24"/>
          <w:szCs w:val="24"/>
        </w:rPr>
        <w:t>小时内提供备品备件的能</w:t>
      </w:r>
      <w:r>
        <w:rPr>
          <w:rFonts w:hint="eastAsia" w:ascii="宋体" w:hAnsi="宋体" w:eastAsia="宋体" w:cs="宋体"/>
          <w:color w:val="auto"/>
          <w:spacing w:val="1"/>
          <w:sz w:val="24"/>
          <w:szCs w:val="24"/>
        </w:rPr>
        <w:t>力</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如需更换备件，经院方审核后方可更换，2000元（含）以内供应商进行更换，超出部分书面上报院方审核同意后进行更换，私自更换维修所产生的费用不予支付；</w:t>
      </w:r>
    </w:p>
    <w:p w14:paraId="2B84C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1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配件</w:t>
      </w:r>
      <w:r>
        <w:rPr>
          <w:rFonts w:hint="eastAsia" w:ascii="宋体" w:hAnsi="宋体" w:eastAsia="宋体" w:cs="宋体"/>
          <w:color w:val="auto"/>
          <w:spacing w:val="8"/>
          <w:sz w:val="24"/>
          <w:szCs w:val="24"/>
        </w:rPr>
        <w:t>产品质量应符合中华人民共和国国家安全质量标准、环保标准、行业标准或货物来源</w:t>
      </w:r>
      <w:r>
        <w:rPr>
          <w:rFonts w:hint="eastAsia" w:ascii="宋体" w:hAnsi="宋体" w:eastAsia="宋体" w:cs="宋体"/>
          <w:color w:val="auto"/>
          <w:spacing w:val="20"/>
          <w:sz w:val="24"/>
          <w:szCs w:val="24"/>
        </w:rPr>
        <w:t>国</w:t>
      </w:r>
      <w:r>
        <w:rPr>
          <w:rFonts w:hint="eastAsia" w:ascii="宋体" w:hAnsi="宋体" w:eastAsia="宋体" w:cs="宋体"/>
          <w:color w:val="auto"/>
          <w:spacing w:val="12"/>
          <w:sz w:val="24"/>
          <w:szCs w:val="24"/>
        </w:rPr>
        <w:t>官方标准；</w:t>
      </w:r>
      <w:r>
        <w:rPr>
          <w:rFonts w:hint="eastAsia" w:ascii="宋体" w:hAnsi="宋体" w:eastAsia="宋体" w:cs="宋体"/>
          <w:color w:val="auto"/>
          <w:spacing w:val="8"/>
          <w:sz w:val="24"/>
          <w:szCs w:val="24"/>
          <w:lang w:val="en-US" w:eastAsia="zh-CN"/>
        </w:rPr>
        <w:t>配件</w:t>
      </w:r>
      <w:r>
        <w:rPr>
          <w:rFonts w:hint="eastAsia" w:ascii="宋体" w:hAnsi="宋体" w:eastAsia="宋体" w:cs="宋体"/>
          <w:color w:val="auto"/>
          <w:spacing w:val="12"/>
          <w:sz w:val="24"/>
          <w:szCs w:val="24"/>
        </w:rPr>
        <w:t>产品所有技术性能规格及参数，应符合生产厂商公开的资料和生产厂</w:t>
      </w:r>
      <w:r>
        <w:rPr>
          <w:rFonts w:hint="eastAsia" w:ascii="宋体" w:hAnsi="宋体" w:eastAsia="宋体" w:cs="宋体"/>
          <w:color w:val="auto"/>
          <w:spacing w:val="14"/>
          <w:sz w:val="24"/>
          <w:szCs w:val="24"/>
        </w:rPr>
        <w:t>商官方</w:t>
      </w:r>
      <w:r>
        <w:rPr>
          <w:rFonts w:hint="eastAsia" w:ascii="宋体" w:hAnsi="宋体" w:eastAsia="宋体" w:cs="宋体"/>
          <w:color w:val="auto"/>
          <w:spacing w:val="9"/>
          <w:sz w:val="24"/>
          <w:szCs w:val="24"/>
        </w:rPr>
        <w:t>网</w:t>
      </w:r>
      <w:r>
        <w:rPr>
          <w:rFonts w:hint="eastAsia" w:ascii="宋体" w:hAnsi="宋体" w:eastAsia="宋体" w:cs="宋体"/>
          <w:color w:val="auto"/>
          <w:spacing w:val="7"/>
          <w:sz w:val="24"/>
          <w:szCs w:val="24"/>
        </w:rPr>
        <w:t>站宣传内容的标准要求。</w:t>
      </w:r>
      <w:r>
        <w:rPr>
          <w:rFonts w:hint="eastAsia" w:ascii="宋体" w:hAnsi="宋体" w:eastAsia="宋体" w:cs="宋体"/>
          <w:color w:val="auto"/>
          <w:spacing w:val="7"/>
          <w:sz w:val="24"/>
          <w:szCs w:val="24"/>
          <w:lang w:val="en-US" w:eastAsia="zh-CN"/>
        </w:rPr>
        <w:t>供应商</w:t>
      </w:r>
      <w:r>
        <w:rPr>
          <w:rFonts w:hint="eastAsia" w:ascii="宋体" w:hAnsi="宋体" w:eastAsia="宋体" w:cs="宋体"/>
          <w:color w:val="auto"/>
          <w:spacing w:val="7"/>
          <w:sz w:val="24"/>
          <w:szCs w:val="24"/>
        </w:rPr>
        <w:t>应保证提供的</w:t>
      </w:r>
      <w:r>
        <w:rPr>
          <w:rFonts w:hint="eastAsia" w:ascii="宋体" w:hAnsi="宋体" w:eastAsia="宋体" w:cs="宋体"/>
          <w:color w:val="auto"/>
          <w:spacing w:val="8"/>
          <w:sz w:val="24"/>
          <w:szCs w:val="24"/>
          <w:lang w:val="en-US" w:eastAsia="zh-CN"/>
        </w:rPr>
        <w:t>配件</w:t>
      </w:r>
      <w:r>
        <w:rPr>
          <w:rFonts w:hint="eastAsia" w:ascii="宋体" w:hAnsi="宋体" w:eastAsia="宋体" w:cs="宋体"/>
          <w:color w:val="auto"/>
          <w:spacing w:val="7"/>
          <w:sz w:val="24"/>
          <w:szCs w:val="24"/>
        </w:rPr>
        <w:t>产品是合格的零部件，</w:t>
      </w:r>
      <w:r>
        <w:rPr>
          <w:rFonts w:hint="eastAsia" w:ascii="宋体" w:hAnsi="宋体" w:eastAsia="宋体" w:cs="宋体"/>
          <w:color w:val="auto"/>
          <w:spacing w:val="9"/>
          <w:sz w:val="24"/>
          <w:szCs w:val="24"/>
        </w:rPr>
        <w:t>无任何缺陷隐患，在中国境内可依常规安全合法使用</w:t>
      </w:r>
      <w:r>
        <w:rPr>
          <w:rFonts w:hint="eastAsia" w:ascii="宋体" w:hAnsi="宋体" w:eastAsia="宋体" w:cs="宋体"/>
          <w:color w:val="auto"/>
          <w:spacing w:val="9"/>
          <w:sz w:val="24"/>
          <w:szCs w:val="24"/>
          <w:lang w:eastAsia="zh-CN"/>
        </w:rPr>
        <w:t>；</w:t>
      </w:r>
    </w:p>
    <w:p w14:paraId="6A629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36"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4"/>
          <w:sz w:val="24"/>
          <w:szCs w:val="24"/>
          <w:lang w:val="en-US" w:eastAsia="zh-CN"/>
        </w:rPr>
        <w:t>3）供应商</w:t>
      </w:r>
      <w:r>
        <w:rPr>
          <w:rFonts w:hint="eastAsia" w:ascii="宋体" w:hAnsi="宋体" w:eastAsia="宋体" w:cs="宋体"/>
          <w:color w:val="auto"/>
          <w:spacing w:val="8"/>
          <w:sz w:val="24"/>
          <w:szCs w:val="24"/>
        </w:rPr>
        <w:t>应保证因维修更换的零配件的任何部分非他人所有或与他人共有，未设有抵押</w:t>
      </w:r>
      <w:r>
        <w:rPr>
          <w:rFonts w:hint="eastAsia" w:ascii="宋体" w:hAnsi="宋体" w:eastAsia="宋体" w:cs="宋体"/>
          <w:color w:val="auto"/>
          <w:spacing w:val="6"/>
          <w:sz w:val="24"/>
          <w:szCs w:val="24"/>
        </w:rPr>
        <w:t>权、租赁权，未侵犯他人的专利权、版权、商标权等知识产权。一旦出现侵权，</w:t>
      </w:r>
      <w:r>
        <w:rPr>
          <w:rFonts w:hint="eastAsia" w:ascii="宋体" w:hAnsi="宋体" w:eastAsia="宋体" w:cs="宋体"/>
          <w:color w:val="auto"/>
          <w:spacing w:val="6"/>
          <w:sz w:val="24"/>
          <w:szCs w:val="24"/>
          <w:lang w:val="en-US" w:eastAsia="zh-CN"/>
        </w:rPr>
        <w:t>供应商</w:t>
      </w:r>
      <w:r>
        <w:rPr>
          <w:rFonts w:hint="eastAsia" w:ascii="宋体" w:hAnsi="宋体" w:eastAsia="宋体" w:cs="宋体"/>
          <w:color w:val="auto"/>
          <w:spacing w:val="8"/>
          <w:sz w:val="24"/>
          <w:szCs w:val="24"/>
        </w:rPr>
        <w:t>应承担全部责任</w:t>
      </w:r>
      <w:r>
        <w:rPr>
          <w:rFonts w:hint="eastAsia" w:ascii="宋体" w:hAnsi="宋体" w:eastAsia="宋体" w:cs="宋体"/>
          <w:color w:val="auto"/>
          <w:spacing w:val="7"/>
          <w:sz w:val="24"/>
          <w:szCs w:val="24"/>
          <w:lang w:eastAsia="zh-CN"/>
        </w:rPr>
        <w:t>；</w:t>
      </w:r>
    </w:p>
    <w:p w14:paraId="435E2F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1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val="en-US" w:eastAsia="zh-CN"/>
        </w:rPr>
        <w:t>4</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针对每一次设备更换配件的情况，对故障进行记录并进行详细分析</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提交院方</w:t>
      </w:r>
      <w:r>
        <w:rPr>
          <w:rFonts w:hint="eastAsia" w:ascii="宋体" w:hAnsi="宋体" w:eastAsia="宋体" w:cs="宋体"/>
          <w:color w:val="auto"/>
          <w:spacing w:val="8"/>
          <w:sz w:val="24"/>
          <w:szCs w:val="24"/>
        </w:rPr>
        <w:t>，在合同</w:t>
      </w:r>
      <w:r>
        <w:rPr>
          <w:rFonts w:hint="eastAsia" w:ascii="宋体" w:hAnsi="宋体" w:eastAsia="宋体" w:cs="宋体"/>
          <w:color w:val="auto"/>
          <w:spacing w:val="9"/>
          <w:sz w:val="24"/>
          <w:szCs w:val="24"/>
        </w:rPr>
        <w:t>期内因故障而需更换的备件，不受数量限制</w:t>
      </w:r>
      <w:r>
        <w:rPr>
          <w:rFonts w:hint="eastAsia" w:ascii="宋体" w:hAnsi="宋体" w:eastAsia="宋体" w:cs="宋体"/>
          <w:color w:val="auto"/>
          <w:spacing w:val="6"/>
          <w:sz w:val="24"/>
          <w:szCs w:val="24"/>
          <w:lang w:eastAsia="zh-CN"/>
        </w:rPr>
        <w:t>；</w:t>
      </w:r>
    </w:p>
    <w:p w14:paraId="656C40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5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pacing w:val="18"/>
          <w:sz w:val="24"/>
          <w:szCs w:val="24"/>
          <w:lang w:val="en-US" w:eastAsia="zh-CN"/>
        </w:rPr>
        <w:t>5</w:t>
      </w:r>
      <w:r>
        <w:rPr>
          <w:rFonts w:hint="eastAsia" w:ascii="宋体" w:hAnsi="宋体" w:eastAsia="宋体" w:cs="宋体"/>
          <w:color w:val="auto"/>
          <w:spacing w:val="18"/>
          <w:sz w:val="24"/>
          <w:szCs w:val="24"/>
          <w:lang w:eastAsia="zh-CN"/>
        </w:rPr>
        <w:t>）</w:t>
      </w:r>
      <w:r>
        <w:rPr>
          <w:rFonts w:hint="eastAsia" w:ascii="宋体" w:hAnsi="宋体" w:eastAsia="宋体" w:cs="宋体"/>
          <w:color w:val="auto"/>
          <w:spacing w:val="18"/>
          <w:sz w:val="24"/>
          <w:szCs w:val="24"/>
        </w:rPr>
        <w:t>服</w:t>
      </w:r>
      <w:r>
        <w:rPr>
          <w:rFonts w:hint="eastAsia" w:ascii="宋体" w:hAnsi="宋体" w:eastAsia="宋体" w:cs="宋体"/>
          <w:color w:val="auto"/>
          <w:spacing w:val="11"/>
          <w:sz w:val="24"/>
          <w:szCs w:val="24"/>
        </w:rPr>
        <w:t>务期内不限次数的故障诊断、维修人工技术服务，全院所有</w:t>
      </w:r>
      <w:r>
        <w:rPr>
          <w:rFonts w:hint="eastAsia" w:ascii="宋体" w:hAnsi="宋体" w:eastAsia="宋体" w:cs="宋体"/>
          <w:color w:val="auto"/>
          <w:spacing w:val="11"/>
          <w:sz w:val="24"/>
          <w:szCs w:val="24"/>
          <w:lang w:val="en-US" w:eastAsia="zh-CN"/>
        </w:rPr>
        <w:t>2000元以下</w:t>
      </w:r>
      <w:r>
        <w:rPr>
          <w:rFonts w:hint="eastAsia" w:ascii="宋体" w:hAnsi="宋体" w:eastAsia="宋体" w:cs="宋体"/>
          <w:color w:val="auto"/>
          <w:spacing w:val="11"/>
          <w:sz w:val="24"/>
          <w:szCs w:val="24"/>
        </w:rPr>
        <w:t>设备的零配件均由</w:t>
      </w:r>
      <w:r>
        <w:rPr>
          <w:rFonts w:hint="eastAsia" w:ascii="宋体" w:hAnsi="宋体" w:eastAsia="宋体" w:cs="宋体"/>
          <w:color w:val="auto"/>
          <w:spacing w:val="11"/>
          <w:sz w:val="24"/>
          <w:szCs w:val="24"/>
          <w:lang w:val="en-US" w:eastAsia="zh-CN"/>
        </w:rPr>
        <w:t>供应商</w:t>
      </w:r>
      <w:r>
        <w:rPr>
          <w:rFonts w:hint="eastAsia" w:ascii="宋体" w:hAnsi="宋体" w:eastAsia="宋体" w:cs="宋体"/>
          <w:color w:val="auto"/>
          <w:spacing w:val="9"/>
          <w:sz w:val="24"/>
          <w:szCs w:val="24"/>
        </w:rPr>
        <w:t>维修或更换。</w:t>
      </w:r>
    </w:p>
    <w:p w14:paraId="4214AE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18" w:firstLineChars="200"/>
        <w:textAlignment w:val="auto"/>
        <w:rPr>
          <w:rFonts w:hint="eastAsia" w:ascii="宋体" w:hAnsi="宋体" w:eastAsia="宋体" w:cs="宋体"/>
          <w:b/>
          <w:bCs/>
          <w:color w:val="auto"/>
          <w:spacing w:val="9"/>
          <w:sz w:val="24"/>
          <w:szCs w:val="24"/>
          <w:highlight w:val="none"/>
          <w:lang w:val="en-US" w:eastAsia="zh-CN"/>
        </w:rPr>
      </w:pPr>
      <w:r>
        <w:rPr>
          <w:rFonts w:hint="eastAsia" w:ascii="宋体" w:hAnsi="宋体" w:eastAsia="宋体" w:cs="宋体"/>
          <w:b/>
          <w:bCs/>
          <w:color w:val="auto"/>
          <w:spacing w:val="9"/>
          <w:sz w:val="24"/>
          <w:szCs w:val="24"/>
          <w:highlight w:val="none"/>
          <w:lang w:val="en-US" w:eastAsia="zh-CN"/>
        </w:rPr>
        <w:t>13.质控能力要求</w:t>
      </w:r>
    </w:p>
    <w:p w14:paraId="4501929D">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提供维修后的质控服务，校定、校准证书并形成报告提交院方，质控设备需包含但不限于以下设备：大型影像类设备、血液透析装置、心电监护仪、医用注射泵和输液泵、呼吸机、麻醉机、高频电刀、婴儿培养箱、除颤仪、经皮起搏器、电气安全等。</w:t>
      </w:r>
    </w:p>
    <w:p w14:paraId="4D2FE488">
      <w:pPr>
        <w:keepNext w:val="0"/>
        <w:keepLines w:val="0"/>
        <w:pageBreakBefore w:val="0"/>
        <w:widowControl/>
        <w:numPr>
          <w:ilvl w:val="0"/>
          <w:numId w:val="0"/>
        </w:numPr>
        <w:suppressLineNumbers w:val="0"/>
        <w:kinsoku/>
        <w:wordWrap/>
        <w:overflowPunct/>
        <w:topLinePunct w:val="0"/>
        <w:bidi w:val="0"/>
        <w:adjustRightInd/>
        <w:snapToGrid/>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14.服务管理软件保障</w:t>
      </w:r>
    </w:p>
    <w:p w14:paraId="0D0F25E9">
      <w:pPr>
        <w:keepNext w:val="0"/>
        <w:keepLines w:val="0"/>
        <w:pageBreakBefore w:val="0"/>
        <w:widowControl/>
        <w:numPr>
          <w:ilvl w:val="0"/>
          <w:numId w:val="0"/>
        </w:numPr>
        <w:suppressLineNumbers w:val="0"/>
        <w:kinsoku/>
        <w:wordWrap/>
        <w:overflowPunct/>
        <w:topLinePunct w:val="0"/>
        <w:bidi w:val="0"/>
        <w:adjustRightInd/>
        <w:snapToGrid/>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供应商提供的服务管理软件较完善，以保证后期优质的维保服务。</w:t>
      </w:r>
    </w:p>
    <w:p w14:paraId="2CC30E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15.其他要求</w:t>
      </w:r>
    </w:p>
    <w:p w14:paraId="6B89C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2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val="en-US" w:eastAsia="zh-CN"/>
        </w:rPr>
        <w:t>1</w:t>
      </w: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lang w:val="en-US" w:eastAsia="zh-CN"/>
        </w:rPr>
        <w:t>供应商</w:t>
      </w:r>
      <w:r>
        <w:rPr>
          <w:rFonts w:hint="eastAsia" w:ascii="宋体" w:hAnsi="宋体" w:eastAsia="宋体" w:cs="宋体"/>
          <w:color w:val="auto"/>
          <w:spacing w:val="10"/>
          <w:sz w:val="24"/>
          <w:szCs w:val="24"/>
        </w:rPr>
        <w:t>须协助医院做好相关质控</w:t>
      </w:r>
      <w:r>
        <w:rPr>
          <w:rFonts w:hint="eastAsia" w:ascii="宋体" w:hAnsi="宋体" w:eastAsia="宋体" w:cs="宋体"/>
          <w:color w:val="auto"/>
          <w:spacing w:val="10"/>
          <w:sz w:val="24"/>
          <w:szCs w:val="24"/>
          <w:lang w:val="en-US" w:eastAsia="zh-CN"/>
        </w:rPr>
        <w:t>等</w:t>
      </w:r>
      <w:r>
        <w:rPr>
          <w:rFonts w:hint="eastAsia" w:ascii="宋体" w:hAnsi="宋体" w:eastAsia="宋体" w:cs="宋体"/>
          <w:color w:val="auto"/>
          <w:spacing w:val="10"/>
          <w:sz w:val="24"/>
          <w:szCs w:val="24"/>
        </w:rPr>
        <w:t>工作</w:t>
      </w:r>
      <w:r>
        <w:rPr>
          <w:rFonts w:hint="eastAsia" w:ascii="宋体" w:hAnsi="宋体" w:eastAsia="宋体" w:cs="宋体"/>
          <w:color w:val="auto"/>
          <w:spacing w:val="8"/>
          <w:sz w:val="24"/>
          <w:szCs w:val="24"/>
          <w:lang w:eastAsia="zh-CN"/>
        </w:rPr>
        <w:t>；</w:t>
      </w:r>
    </w:p>
    <w:p w14:paraId="2617BE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24"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服</w:t>
      </w:r>
      <w:r>
        <w:rPr>
          <w:rFonts w:hint="eastAsia" w:ascii="宋体" w:hAnsi="宋体" w:eastAsia="宋体" w:cs="宋体"/>
          <w:color w:val="auto"/>
          <w:spacing w:val="9"/>
          <w:sz w:val="24"/>
          <w:szCs w:val="24"/>
        </w:rPr>
        <w:t>务质量总体上应达到“及时、到位、可靠、保证和满意”的效果，符合国家、省、</w:t>
      </w:r>
      <w:r>
        <w:rPr>
          <w:rFonts w:hint="eastAsia" w:ascii="宋体" w:hAnsi="宋体" w:eastAsia="宋体" w:cs="宋体"/>
          <w:color w:val="auto"/>
          <w:spacing w:val="18"/>
          <w:sz w:val="24"/>
          <w:szCs w:val="24"/>
        </w:rPr>
        <w:t>市、区</w:t>
      </w:r>
      <w:r>
        <w:rPr>
          <w:rFonts w:hint="eastAsia" w:ascii="宋体" w:hAnsi="宋体" w:eastAsia="宋体" w:cs="宋体"/>
          <w:color w:val="auto"/>
          <w:spacing w:val="11"/>
          <w:sz w:val="24"/>
          <w:szCs w:val="24"/>
        </w:rPr>
        <w:t>等</w:t>
      </w:r>
      <w:r>
        <w:rPr>
          <w:rFonts w:hint="eastAsia" w:ascii="宋体" w:hAnsi="宋体" w:eastAsia="宋体" w:cs="宋体"/>
          <w:color w:val="auto"/>
          <w:spacing w:val="9"/>
          <w:sz w:val="24"/>
          <w:szCs w:val="24"/>
        </w:rPr>
        <w:t>各级组织进行的检查标准，符合医院有关部门和科室的工作时间和工作要求</w:t>
      </w:r>
      <w:r>
        <w:rPr>
          <w:rFonts w:hint="eastAsia" w:ascii="宋体" w:hAnsi="宋体" w:eastAsia="宋体" w:cs="宋体"/>
          <w:color w:val="auto"/>
          <w:spacing w:val="9"/>
          <w:sz w:val="24"/>
          <w:szCs w:val="24"/>
          <w:lang w:eastAsia="zh-CN"/>
        </w:rPr>
        <w:t>；</w:t>
      </w:r>
    </w:p>
    <w:p w14:paraId="3ED7E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24"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lang w:val="en-US" w:eastAsia="zh-CN"/>
        </w:rPr>
        <w:t>供应商</w:t>
      </w:r>
      <w:r>
        <w:rPr>
          <w:rFonts w:hint="eastAsia" w:ascii="宋体" w:hAnsi="宋体" w:eastAsia="宋体" w:cs="宋体"/>
          <w:color w:val="auto"/>
          <w:spacing w:val="9"/>
          <w:sz w:val="24"/>
          <w:szCs w:val="24"/>
        </w:rPr>
        <w:t>围绕医院设备维修制定的各种管理制度、操作规程及其他有关规定，须报</w:t>
      </w:r>
      <w:r>
        <w:rPr>
          <w:rFonts w:hint="eastAsia" w:ascii="宋体" w:hAnsi="宋体" w:eastAsia="宋体" w:cs="宋体"/>
          <w:color w:val="auto"/>
          <w:spacing w:val="13"/>
          <w:sz w:val="24"/>
          <w:szCs w:val="24"/>
        </w:rPr>
        <w:t>院</w:t>
      </w:r>
      <w:r>
        <w:rPr>
          <w:rFonts w:hint="eastAsia" w:ascii="宋体" w:hAnsi="宋体" w:eastAsia="宋体" w:cs="宋体"/>
          <w:color w:val="auto"/>
          <w:spacing w:val="8"/>
          <w:sz w:val="24"/>
          <w:szCs w:val="24"/>
        </w:rPr>
        <w:t>方审定备案后方可实施</w:t>
      </w:r>
      <w:r>
        <w:rPr>
          <w:rFonts w:hint="eastAsia" w:ascii="宋体" w:hAnsi="宋体" w:eastAsia="宋体" w:cs="宋体"/>
          <w:color w:val="auto"/>
          <w:spacing w:val="8"/>
          <w:sz w:val="24"/>
          <w:szCs w:val="24"/>
          <w:lang w:eastAsia="zh-CN"/>
        </w:rPr>
        <w:t>；</w:t>
      </w:r>
    </w:p>
    <w:p w14:paraId="7B07A6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供应商提供</w:t>
      </w:r>
      <w:r>
        <w:rPr>
          <w:rFonts w:hint="eastAsia" w:ascii="宋体" w:hAnsi="宋体" w:eastAsia="宋体" w:cs="宋体"/>
          <w:b w:val="0"/>
          <w:bCs w:val="0"/>
          <w:color w:val="auto"/>
          <w:sz w:val="24"/>
          <w:szCs w:val="24"/>
          <w:highlight w:val="none"/>
          <w:lang w:val="en-US" w:eastAsia="zh-CN"/>
        </w:rPr>
        <w:t>MRI、DSA、CT等大型设备维修资质</w:t>
      </w:r>
      <w:r>
        <w:rPr>
          <w:rFonts w:hint="eastAsia" w:ascii="宋体" w:hAnsi="宋体" w:eastAsia="宋体" w:cs="宋体"/>
          <w:color w:val="auto"/>
          <w:sz w:val="24"/>
          <w:szCs w:val="24"/>
          <w:lang w:eastAsia="zh-CN"/>
        </w:rPr>
        <w:t>；</w:t>
      </w:r>
    </w:p>
    <w:p w14:paraId="3A8A44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16" w:firstLineChars="200"/>
        <w:jc w:val="left"/>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9"/>
          <w:sz w:val="24"/>
          <w:szCs w:val="24"/>
          <w:lang w:val="en-US" w:eastAsia="zh-CN"/>
        </w:rPr>
        <w:t>5</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要</w:t>
      </w:r>
      <w:r>
        <w:rPr>
          <w:rFonts w:hint="eastAsia" w:ascii="宋体" w:hAnsi="宋体" w:eastAsia="宋体" w:cs="宋体"/>
          <w:color w:val="auto"/>
          <w:spacing w:val="6"/>
          <w:sz w:val="24"/>
          <w:szCs w:val="24"/>
        </w:rPr>
        <w:t>求维保人员具有较好的沟通能力，良好的服务意识，积极的工作态度；严格遵守医</w:t>
      </w:r>
      <w:r>
        <w:rPr>
          <w:rFonts w:hint="eastAsia" w:ascii="宋体" w:hAnsi="宋体" w:eastAsia="宋体" w:cs="宋体"/>
          <w:color w:val="auto"/>
          <w:spacing w:val="20"/>
          <w:sz w:val="24"/>
          <w:szCs w:val="24"/>
        </w:rPr>
        <w:t>院</w:t>
      </w:r>
      <w:r>
        <w:rPr>
          <w:rFonts w:hint="eastAsia" w:ascii="宋体" w:hAnsi="宋体" w:eastAsia="宋体" w:cs="宋体"/>
          <w:color w:val="auto"/>
          <w:spacing w:val="10"/>
          <w:sz w:val="24"/>
          <w:szCs w:val="24"/>
        </w:rPr>
        <w:t>的各项规章制度及流程；能熟练使用计算机软件</w:t>
      </w:r>
      <w:r>
        <w:rPr>
          <w:rFonts w:hint="eastAsia" w:ascii="宋体" w:hAnsi="宋体" w:eastAsia="宋体" w:cs="宋体"/>
          <w:color w:val="auto"/>
          <w:spacing w:val="10"/>
          <w:sz w:val="24"/>
          <w:szCs w:val="24"/>
          <w:lang w:eastAsia="zh-CN"/>
        </w:rPr>
        <w:t>；</w:t>
      </w:r>
    </w:p>
    <w:p w14:paraId="7C40C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1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val="en-US" w:eastAsia="zh-CN"/>
        </w:rPr>
        <w:t>6</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对于不在维修范围内(医院已自行买保)</w:t>
      </w:r>
      <w:r>
        <w:rPr>
          <w:rFonts w:hint="eastAsia" w:ascii="宋体" w:hAnsi="宋体" w:eastAsia="宋体" w:cs="宋体"/>
          <w:color w:val="auto"/>
          <w:spacing w:val="8"/>
          <w:sz w:val="24"/>
          <w:szCs w:val="24"/>
          <w:lang w:val="en-US" w:eastAsia="zh-CN"/>
        </w:rPr>
        <w:t>及质保期内</w:t>
      </w:r>
      <w:r>
        <w:rPr>
          <w:rFonts w:hint="eastAsia" w:ascii="宋体" w:hAnsi="宋体" w:eastAsia="宋体" w:cs="宋体"/>
          <w:color w:val="auto"/>
          <w:spacing w:val="8"/>
          <w:sz w:val="24"/>
          <w:szCs w:val="24"/>
        </w:rPr>
        <w:t>的医疗设备，</w:t>
      </w:r>
      <w:r>
        <w:rPr>
          <w:rFonts w:hint="eastAsia" w:ascii="宋体" w:hAnsi="宋体" w:eastAsia="宋体" w:cs="宋体"/>
          <w:color w:val="auto"/>
          <w:spacing w:val="8"/>
          <w:sz w:val="24"/>
          <w:szCs w:val="24"/>
          <w:lang w:val="en-US" w:eastAsia="zh-CN"/>
        </w:rPr>
        <w:t>供应商</w:t>
      </w:r>
      <w:r>
        <w:rPr>
          <w:rFonts w:hint="eastAsia" w:ascii="宋体" w:hAnsi="宋体" w:eastAsia="宋体" w:cs="宋体"/>
          <w:color w:val="auto"/>
          <w:spacing w:val="8"/>
          <w:sz w:val="24"/>
          <w:szCs w:val="24"/>
        </w:rPr>
        <w:t>有义务协助配合</w:t>
      </w:r>
      <w:r>
        <w:rPr>
          <w:rFonts w:hint="eastAsia" w:ascii="宋体" w:hAnsi="宋体" w:eastAsia="宋体" w:cs="宋体"/>
          <w:color w:val="auto"/>
          <w:spacing w:val="20"/>
          <w:sz w:val="24"/>
          <w:szCs w:val="24"/>
        </w:rPr>
        <w:t>厂</w:t>
      </w:r>
      <w:r>
        <w:rPr>
          <w:rFonts w:hint="eastAsia" w:ascii="宋体" w:hAnsi="宋体" w:eastAsia="宋体" w:cs="宋体"/>
          <w:color w:val="auto"/>
          <w:spacing w:val="11"/>
          <w:sz w:val="24"/>
          <w:szCs w:val="24"/>
        </w:rPr>
        <w:t>家</w:t>
      </w:r>
      <w:r>
        <w:rPr>
          <w:rFonts w:hint="eastAsia" w:ascii="宋体" w:hAnsi="宋体" w:eastAsia="宋体" w:cs="宋体"/>
          <w:color w:val="auto"/>
          <w:spacing w:val="10"/>
          <w:sz w:val="24"/>
          <w:szCs w:val="24"/>
        </w:rPr>
        <w:t>技术人员，尽快解决故障，按维保范围内设备</w:t>
      </w:r>
      <w:r>
        <w:rPr>
          <w:rFonts w:hint="eastAsia" w:ascii="宋体" w:hAnsi="宋体" w:eastAsia="宋体" w:cs="宋体"/>
          <w:color w:val="auto"/>
          <w:spacing w:val="10"/>
          <w:sz w:val="24"/>
          <w:szCs w:val="24"/>
          <w:lang w:val="en-US" w:eastAsia="zh-CN"/>
        </w:rPr>
        <w:t>的</w:t>
      </w:r>
      <w:r>
        <w:rPr>
          <w:rFonts w:hint="eastAsia" w:ascii="宋体" w:hAnsi="宋体" w:eastAsia="宋体" w:cs="宋体"/>
          <w:color w:val="auto"/>
          <w:spacing w:val="10"/>
          <w:sz w:val="24"/>
          <w:szCs w:val="24"/>
        </w:rPr>
        <w:t>各项要求管理</w:t>
      </w:r>
      <w:r>
        <w:rPr>
          <w:rFonts w:hint="eastAsia" w:ascii="宋体" w:hAnsi="宋体" w:eastAsia="宋体" w:cs="宋体"/>
          <w:color w:val="auto"/>
          <w:spacing w:val="10"/>
          <w:sz w:val="24"/>
          <w:szCs w:val="24"/>
          <w:lang w:val="en-US" w:eastAsia="zh-CN"/>
        </w:rPr>
        <w:t>并更新设备档案资料，做好台账维护工作</w:t>
      </w:r>
      <w:r>
        <w:rPr>
          <w:rFonts w:hint="eastAsia" w:ascii="宋体" w:hAnsi="宋体" w:eastAsia="宋体" w:cs="宋体"/>
          <w:color w:val="auto"/>
          <w:spacing w:val="10"/>
          <w:sz w:val="24"/>
          <w:szCs w:val="24"/>
          <w:lang w:eastAsia="zh-CN"/>
        </w:rPr>
        <w:t>；</w:t>
      </w:r>
    </w:p>
    <w:p w14:paraId="75234F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7）院方所有设备均需悬挂张贴操作规范流程卡片；</w:t>
      </w:r>
    </w:p>
    <w:p w14:paraId="7383C9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US" w:eastAsia="zh-CN"/>
        </w:rPr>
        <w:t>维保服务具体工作（含考核）由医院医学装备科负责，指定专人与供应商方面做好对接落实；</w:t>
      </w:r>
    </w:p>
    <w:p w14:paraId="10375B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9）根据医院需求制定设备操作人员、设备管理人员、维修人员培训计划，经医院主管部门批准后实行。计划可根据实际需求分为年度、季度、月度；</w:t>
      </w:r>
    </w:p>
    <w:p w14:paraId="59E20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10）建立全院医疗设备全过程档案管理方案并执行；</w:t>
      </w:r>
    </w:p>
    <w:p w14:paraId="4A517C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11）监督考核：根据合同，制定考核指标，进行综合评分。</w:t>
      </w:r>
    </w:p>
    <w:p w14:paraId="4AFC75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应急</w:t>
      </w:r>
      <w:r>
        <w:rPr>
          <w:rFonts w:hint="eastAsia" w:ascii="宋体" w:hAnsi="宋体" w:eastAsia="宋体" w:cs="宋体"/>
          <w:b/>
          <w:bCs/>
          <w:color w:val="auto"/>
          <w:sz w:val="24"/>
          <w:szCs w:val="24"/>
          <w:lang w:val="en-US" w:eastAsia="zh-CN"/>
        </w:rPr>
        <w:t>处置</w:t>
      </w:r>
    </w:p>
    <w:p w14:paraId="494F2D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根据国务院《医疗器械监督管理条例》、卫生部《医疗器械临床使用安全管理规范（试行）》,</w:t>
      </w:r>
      <w:r>
        <w:rPr>
          <w:rFonts w:hint="eastAsia" w:ascii="宋体" w:hAnsi="宋体" w:eastAsia="宋体" w:cs="宋体"/>
          <w:color w:val="auto"/>
          <w:sz w:val="24"/>
          <w:szCs w:val="24"/>
          <w:lang w:val="en-US" w:eastAsia="zh-CN"/>
        </w:rPr>
        <w:t>中标方</w:t>
      </w:r>
      <w:r>
        <w:rPr>
          <w:rFonts w:hint="eastAsia" w:ascii="宋体" w:hAnsi="宋体" w:eastAsia="宋体" w:cs="宋体"/>
          <w:color w:val="auto"/>
          <w:sz w:val="24"/>
          <w:szCs w:val="24"/>
        </w:rPr>
        <w:t>须有能力提供以下应急措施：</w:t>
      </w:r>
    </w:p>
    <w:p w14:paraId="4D87BA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预防措施</w:t>
      </w:r>
      <w:r>
        <w:rPr>
          <w:rFonts w:hint="eastAsia" w:ascii="宋体" w:hAnsi="宋体" w:eastAsia="宋体" w:cs="宋体"/>
          <w:b/>
          <w:bCs/>
          <w:color w:val="auto"/>
          <w:sz w:val="24"/>
          <w:szCs w:val="24"/>
          <w:lang w:eastAsia="zh-CN"/>
        </w:rPr>
        <w:t>：</w:t>
      </w:r>
    </w:p>
    <w:p w14:paraId="42E9116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A.供应商</w:t>
      </w:r>
      <w:r>
        <w:rPr>
          <w:rFonts w:hint="eastAsia" w:ascii="宋体" w:hAnsi="宋体" w:eastAsia="宋体" w:cs="宋体"/>
          <w:color w:val="auto"/>
          <w:sz w:val="24"/>
          <w:szCs w:val="24"/>
        </w:rPr>
        <w:t>工程师熟知所维保医疗设备的操作规程并能熟练操作设备</w:t>
      </w:r>
      <w:r>
        <w:rPr>
          <w:rFonts w:hint="eastAsia" w:ascii="宋体" w:hAnsi="宋体" w:eastAsia="宋体" w:cs="宋体"/>
          <w:color w:val="auto"/>
          <w:sz w:val="24"/>
          <w:szCs w:val="24"/>
          <w:lang w:eastAsia="zh-CN"/>
        </w:rPr>
        <w:t>；</w:t>
      </w:r>
    </w:p>
    <w:p w14:paraId="5D4CF8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B.供应商</w:t>
      </w:r>
      <w:r>
        <w:rPr>
          <w:rFonts w:hint="eastAsia" w:ascii="宋体" w:hAnsi="宋体" w:eastAsia="宋体" w:cs="宋体"/>
          <w:color w:val="auto"/>
          <w:sz w:val="24"/>
          <w:szCs w:val="24"/>
        </w:rPr>
        <w:t>工程师不定期检查所维保医疗设备状况，确保设备处于良好待用状态，发现故障不能自行解决的，应立即向</w:t>
      </w:r>
      <w:r>
        <w:rPr>
          <w:rFonts w:hint="eastAsia" w:ascii="宋体" w:hAnsi="宋体" w:eastAsia="宋体" w:cs="宋体"/>
          <w:color w:val="auto"/>
          <w:sz w:val="24"/>
          <w:szCs w:val="24"/>
          <w:lang w:val="en-US" w:eastAsia="zh-CN"/>
        </w:rPr>
        <w:t>院方及供应商</w:t>
      </w:r>
      <w:r>
        <w:rPr>
          <w:rFonts w:hint="eastAsia" w:ascii="宋体" w:hAnsi="宋体" w:eastAsia="宋体" w:cs="宋体"/>
          <w:color w:val="auto"/>
          <w:sz w:val="24"/>
          <w:szCs w:val="24"/>
        </w:rPr>
        <w:t>报</w:t>
      </w:r>
      <w:r>
        <w:rPr>
          <w:rFonts w:hint="eastAsia" w:ascii="宋体" w:hAnsi="宋体" w:eastAsia="宋体" w:cs="宋体"/>
          <w:color w:val="auto"/>
          <w:sz w:val="24"/>
          <w:szCs w:val="24"/>
          <w:lang w:val="en-US" w:eastAsia="zh-CN"/>
        </w:rPr>
        <w:t>告处理</w:t>
      </w:r>
      <w:r>
        <w:rPr>
          <w:rFonts w:hint="eastAsia" w:ascii="宋体" w:hAnsi="宋体" w:eastAsia="宋体" w:cs="宋体"/>
          <w:color w:val="auto"/>
          <w:sz w:val="24"/>
          <w:szCs w:val="24"/>
          <w:lang w:eastAsia="zh-CN"/>
        </w:rPr>
        <w:t>；</w:t>
      </w:r>
    </w:p>
    <w:p w14:paraId="3D916EC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C.供应商提供必要的备品、备件在医院（提供清单）；</w:t>
      </w:r>
    </w:p>
    <w:p w14:paraId="581812E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应急措施</w:t>
      </w:r>
      <w:r>
        <w:rPr>
          <w:rFonts w:hint="eastAsia" w:ascii="宋体" w:hAnsi="宋体" w:eastAsia="宋体" w:cs="宋体"/>
          <w:b/>
          <w:bCs/>
          <w:color w:val="auto"/>
          <w:sz w:val="24"/>
          <w:szCs w:val="24"/>
          <w:lang w:eastAsia="zh-CN"/>
        </w:rPr>
        <w:t>：</w:t>
      </w:r>
    </w:p>
    <w:p w14:paraId="273E0C5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当发生突发事件时，</w:t>
      </w:r>
      <w:r>
        <w:rPr>
          <w:rFonts w:hint="eastAsia" w:ascii="宋体" w:hAnsi="宋体" w:eastAsia="宋体" w:cs="宋体"/>
          <w:color w:val="auto"/>
          <w:sz w:val="24"/>
          <w:szCs w:val="24"/>
          <w:lang w:val="en-US" w:eastAsia="zh-CN"/>
        </w:rPr>
        <w:t>供应商工程师</w:t>
      </w:r>
      <w:r>
        <w:rPr>
          <w:rFonts w:hint="eastAsia" w:ascii="宋体" w:hAnsi="宋体" w:eastAsia="宋体" w:cs="宋体"/>
          <w:color w:val="auto"/>
          <w:sz w:val="24"/>
          <w:szCs w:val="24"/>
        </w:rPr>
        <w:t>应及时到达现场,服从医院统一指挥，提供技术保障支持</w:t>
      </w:r>
      <w:r>
        <w:rPr>
          <w:rFonts w:hint="eastAsia" w:ascii="宋体" w:hAnsi="宋体" w:eastAsia="宋体" w:cs="宋体"/>
          <w:color w:val="auto"/>
          <w:sz w:val="24"/>
          <w:szCs w:val="24"/>
          <w:lang w:eastAsia="zh-CN"/>
        </w:rPr>
        <w:t>；</w:t>
      </w:r>
    </w:p>
    <w:p w14:paraId="1743F4B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夜间及节假日发生</w:t>
      </w:r>
      <w:r>
        <w:rPr>
          <w:rFonts w:hint="eastAsia" w:ascii="宋体" w:hAnsi="宋体" w:eastAsia="宋体" w:cs="宋体"/>
          <w:color w:val="auto"/>
          <w:sz w:val="24"/>
          <w:szCs w:val="24"/>
          <w:lang w:val="en-US" w:eastAsia="zh-CN"/>
        </w:rPr>
        <w:t>突发</w:t>
      </w:r>
      <w:r>
        <w:rPr>
          <w:rFonts w:hint="eastAsia" w:ascii="宋体" w:hAnsi="宋体" w:eastAsia="宋体" w:cs="宋体"/>
          <w:color w:val="auto"/>
          <w:sz w:val="24"/>
          <w:szCs w:val="24"/>
        </w:rPr>
        <w:t>事件时，</w:t>
      </w:r>
      <w:r>
        <w:rPr>
          <w:rFonts w:hint="eastAsia" w:ascii="宋体" w:hAnsi="宋体" w:eastAsia="宋体" w:cs="宋体"/>
          <w:color w:val="auto"/>
          <w:sz w:val="24"/>
          <w:szCs w:val="24"/>
          <w:lang w:val="en-US" w:eastAsia="zh-CN"/>
        </w:rPr>
        <w:t>若现场工程师不能满足需要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单位</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人员</w:t>
      </w:r>
      <w:r>
        <w:rPr>
          <w:rFonts w:hint="eastAsia" w:ascii="宋体" w:hAnsi="宋体" w:eastAsia="宋体" w:cs="宋体"/>
          <w:color w:val="auto"/>
          <w:sz w:val="24"/>
          <w:szCs w:val="24"/>
          <w:lang w:val="en-US" w:eastAsia="zh-CN"/>
        </w:rPr>
        <w:t>应及时</w:t>
      </w:r>
      <w:r>
        <w:rPr>
          <w:rFonts w:hint="eastAsia" w:ascii="宋体" w:hAnsi="宋体" w:eastAsia="宋体" w:cs="宋体"/>
          <w:color w:val="auto"/>
          <w:sz w:val="24"/>
          <w:szCs w:val="24"/>
        </w:rPr>
        <w:t>提供现场支持</w:t>
      </w:r>
      <w:r>
        <w:rPr>
          <w:rFonts w:hint="eastAsia" w:ascii="宋体" w:hAnsi="宋体" w:eastAsia="宋体" w:cs="宋体"/>
          <w:color w:val="auto"/>
          <w:sz w:val="24"/>
          <w:szCs w:val="24"/>
          <w:lang w:eastAsia="zh-CN"/>
        </w:rPr>
        <w:t>；</w:t>
      </w:r>
    </w:p>
    <w:p w14:paraId="3390D7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当因突发事件</w:t>
      </w:r>
      <w:r>
        <w:rPr>
          <w:rFonts w:hint="eastAsia" w:ascii="宋体" w:hAnsi="宋体" w:eastAsia="宋体" w:cs="宋体"/>
          <w:color w:val="auto"/>
          <w:sz w:val="24"/>
          <w:szCs w:val="24"/>
          <w:lang w:val="en-US" w:eastAsia="zh-CN"/>
        </w:rPr>
        <w:t>导致</w:t>
      </w:r>
      <w:r>
        <w:rPr>
          <w:rFonts w:hint="eastAsia" w:ascii="宋体" w:hAnsi="宋体" w:eastAsia="宋体" w:cs="宋体"/>
          <w:color w:val="auto"/>
          <w:sz w:val="24"/>
          <w:szCs w:val="24"/>
        </w:rPr>
        <w:t>设备无法满足使用时，</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rPr>
        <w:t>工程师应及时报告</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技术负责人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同时报院方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，协调</w:t>
      </w:r>
      <w:r>
        <w:rPr>
          <w:rFonts w:hint="eastAsia" w:ascii="宋体" w:hAnsi="宋体" w:eastAsia="宋体" w:cs="宋体"/>
          <w:color w:val="auto"/>
          <w:sz w:val="24"/>
          <w:szCs w:val="24"/>
          <w:lang w:val="en-US" w:eastAsia="zh-CN"/>
        </w:rPr>
        <w:t>进行院外</w:t>
      </w:r>
      <w:r>
        <w:rPr>
          <w:rFonts w:hint="eastAsia" w:ascii="宋体" w:hAnsi="宋体" w:eastAsia="宋体" w:cs="宋体"/>
          <w:color w:val="auto"/>
          <w:sz w:val="24"/>
          <w:szCs w:val="24"/>
        </w:rPr>
        <w:t>紧急调配</w:t>
      </w:r>
      <w:r>
        <w:rPr>
          <w:rFonts w:hint="eastAsia" w:ascii="宋体" w:hAnsi="宋体" w:eastAsia="宋体" w:cs="宋体"/>
          <w:color w:val="auto"/>
          <w:sz w:val="24"/>
          <w:szCs w:val="24"/>
          <w:lang w:eastAsia="zh-CN"/>
        </w:rPr>
        <w:t>；</w:t>
      </w:r>
    </w:p>
    <w:p w14:paraId="659141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rPr>
        <w:t>突发事件设备故障</w:t>
      </w:r>
      <w:r>
        <w:rPr>
          <w:rFonts w:hint="eastAsia" w:ascii="宋体" w:hAnsi="宋体" w:eastAsia="宋体" w:cs="宋体"/>
          <w:color w:val="auto"/>
          <w:sz w:val="24"/>
          <w:szCs w:val="24"/>
          <w:lang w:val="en-US" w:eastAsia="zh-CN"/>
        </w:rPr>
        <w:t>时，</w:t>
      </w:r>
      <w:r>
        <w:rPr>
          <w:rFonts w:hint="eastAsia" w:ascii="宋体" w:hAnsi="宋体" w:eastAsia="宋体" w:cs="宋体"/>
          <w:color w:val="auto"/>
          <w:sz w:val="24"/>
          <w:szCs w:val="24"/>
        </w:rPr>
        <w:t>及时安排现场紧急维修，以保证病人的救治，使设备故障对病人救治造成的影响程度降至最低。</w:t>
      </w:r>
    </w:p>
    <w:p w14:paraId="51FF0AE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righ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应急处置流程：</w:t>
      </w:r>
    </w:p>
    <w:p w14:paraId="12D85C7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bCs/>
          <w:color w:val="auto"/>
          <w:spacing w:val="8"/>
          <w:sz w:val="24"/>
          <w:szCs w:val="24"/>
          <w:lang w:val="en-US" w:eastAsia="zh-CN"/>
        </w:rPr>
      </w:pPr>
      <w:r>
        <w:rPr>
          <w:rFonts w:hint="eastAsia" w:ascii="宋体" w:hAnsi="宋体" w:eastAsia="宋体" w:cs="宋体"/>
          <w:color w:val="auto"/>
          <w:sz w:val="24"/>
          <w:szCs w:val="24"/>
        </w:rPr>
        <w:t>设备故障→评估→</w:t>
      </w:r>
      <w:r>
        <w:rPr>
          <w:rFonts w:hint="eastAsia" w:ascii="宋体" w:hAnsi="宋体" w:eastAsia="宋体" w:cs="宋体"/>
          <w:color w:val="auto"/>
          <w:sz w:val="24"/>
          <w:szCs w:val="24"/>
          <w:lang w:val="en-US" w:eastAsia="zh-CN"/>
        </w:rPr>
        <w:t>实施</w:t>
      </w:r>
      <w:r>
        <w:rPr>
          <w:rFonts w:hint="eastAsia" w:ascii="宋体" w:hAnsi="宋体" w:eastAsia="宋体" w:cs="宋体"/>
          <w:color w:val="auto"/>
          <w:sz w:val="24"/>
          <w:szCs w:val="24"/>
        </w:rPr>
        <w:t>维修→分析、反馈→总结、改进。</w:t>
      </w:r>
    </w:p>
    <w:p w14:paraId="33C91849">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宋体" w:hAnsi="宋体" w:eastAsia="宋体" w:cs="宋体"/>
          <w:b/>
          <w:bCs/>
          <w:color w:val="auto"/>
          <w:spacing w:val="8"/>
          <w:sz w:val="32"/>
          <w:szCs w:val="32"/>
          <w:lang w:val="en-US" w:eastAsia="zh-CN"/>
        </w:rPr>
      </w:pPr>
      <w:r>
        <w:rPr>
          <w:rFonts w:hint="eastAsia" w:ascii="宋体" w:hAnsi="宋体" w:eastAsia="宋体" w:cs="宋体"/>
          <w:b/>
          <w:bCs/>
          <w:color w:val="auto"/>
          <w:spacing w:val="8"/>
          <w:sz w:val="24"/>
          <w:szCs w:val="24"/>
          <w:lang w:val="en-US" w:eastAsia="zh-CN"/>
        </w:rPr>
        <w:t>附件:</w:t>
      </w:r>
    </w:p>
    <w:tbl>
      <w:tblPr>
        <w:tblStyle w:val="22"/>
        <w:tblW w:w="7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2387"/>
        <w:gridCol w:w="1925"/>
        <w:gridCol w:w="1513"/>
        <w:gridCol w:w="1625"/>
      </w:tblGrid>
      <w:tr w14:paraId="7B03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347" w:type="dxa"/>
            <w:gridSpan w:val="5"/>
            <w:tcBorders>
              <w:top w:val="nil"/>
              <w:left w:val="nil"/>
              <w:bottom w:val="nil"/>
              <w:right w:val="nil"/>
            </w:tcBorders>
            <w:shd w:val="clear" w:color="auto" w:fill="auto"/>
            <w:noWrap/>
            <w:vAlign w:val="center"/>
          </w:tcPr>
          <w:p w14:paraId="632C21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sz w:val="24"/>
                <w:szCs w:val="24"/>
                <w:u w:val="none"/>
              </w:rPr>
              <w:t>《</w:t>
            </w:r>
            <w:r>
              <w:rPr>
                <w:rFonts w:hint="eastAsia" w:ascii="宋体" w:hAnsi="宋体" w:eastAsia="宋体" w:cs="宋体"/>
                <w:b/>
                <w:bCs/>
                <w:i w:val="0"/>
                <w:iCs w:val="0"/>
                <w:color w:val="auto"/>
                <w:sz w:val="24"/>
                <w:szCs w:val="24"/>
                <w:u w:val="none"/>
                <w:lang w:val="en-US" w:eastAsia="zh-CN"/>
              </w:rPr>
              <w:t>海东市第二人民医院医疗设备维保服务采购项目</w:t>
            </w:r>
            <w:r>
              <w:rPr>
                <w:rFonts w:hint="eastAsia" w:ascii="宋体" w:hAnsi="宋体" w:eastAsia="宋体" w:cs="宋体"/>
                <w:b/>
                <w:bCs/>
                <w:i w:val="0"/>
                <w:iCs w:val="0"/>
                <w:color w:val="auto"/>
                <w:sz w:val="24"/>
                <w:szCs w:val="24"/>
                <w:u w:val="none"/>
              </w:rPr>
              <w:t>拟需维保设备明细表</w:t>
            </w:r>
            <w:r>
              <w:rPr>
                <w:rFonts w:hint="eastAsia" w:ascii="宋体" w:hAnsi="宋体" w:eastAsia="宋体" w:cs="宋体"/>
                <w:i w:val="0"/>
                <w:iCs w:val="0"/>
                <w:color w:val="auto"/>
                <w:sz w:val="24"/>
                <w:szCs w:val="24"/>
                <w:u w:val="none"/>
              </w:rPr>
              <w:t>》</w:t>
            </w:r>
          </w:p>
        </w:tc>
      </w:tr>
      <w:tr w14:paraId="504F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95C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D9B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设备一级分类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C77F">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设备二级分类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EB7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设备台次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941B">
            <w:pPr>
              <w:keepNext w:val="0"/>
              <w:keepLines w:val="0"/>
              <w:widowControl/>
              <w:suppressLineNumbers w:val="0"/>
              <w:ind w:left="0" w:leftChars="0" w:firstLine="241" w:firstLineChars="10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4891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489D">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E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医学影像类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FAE5">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CT</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CB0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73F2">
            <w:pPr>
              <w:jc w:val="center"/>
              <w:rPr>
                <w:rFonts w:hint="eastAsia" w:ascii="宋体" w:hAnsi="宋体" w:eastAsia="宋体" w:cs="宋体"/>
                <w:i w:val="0"/>
                <w:iCs w:val="0"/>
                <w:color w:val="auto"/>
                <w:sz w:val="24"/>
                <w:szCs w:val="24"/>
                <w:u w:val="none"/>
              </w:rPr>
            </w:pPr>
          </w:p>
        </w:tc>
      </w:tr>
      <w:tr w14:paraId="4FB8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E54A">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9DB">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095">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MR</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1152">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1CD">
            <w:pPr>
              <w:jc w:val="center"/>
              <w:rPr>
                <w:rFonts w:hint="eastAsia" w:ascii="宋体" w:hAnsi="宋体" w:eastAsia="宋体" w:cs="宋体"/>
                <w:i w:val="0"/>
                <w:iCs w:val="0"/>
                <w:color w:val="auto"/>
                <w:sz w:val="24"/>
                <w:szCs w:val="24"/>
                <w:u w:val="none"/>
              </w:rPr>
            </w:pPr>
          </w:p>
        </w:tc>
      </w:tr>
      <w:tr w14:paraId="2F25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CA0A">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170">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748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DSA</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25BC">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432B">
            <w:pPr>
              <w:jc w:val="center"/>
              <w:rPr>
                <w:rFonts w:hint="eastAsia" w:ascii="宋体" w:hAnsi="宋体" w:eastAsia="宋体" w:cs="宋体"/>
                <w:i w:val="0"/>
                <w:iCs w:val="0"/>
                <w:color w:val="auto"/>
                <w:sz w:val="24"/>
                <w:szCs w:val="24"/>
                <w:u w:val="none"/>
              </w:rPr>
            </w:pPr>
          </w:p>
        </w:tc>
      </w:tr>
      <w:tr w14:paraId="00B9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429E">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CCD2">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819D">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普放</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331">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9D6">
            <w:pPr>
              <w:jc w:val="center"/>
              <w:rPr>
                <w:rFonts w:hint="eastAsia" w:ascii="宋体" w:hAnsi="宋体" w:eastAsia="宋体" w:cs="宋体"/>
                <w:i w:val="0"/>
                <w:iCs w:val="0"/>
                <w:color w:val="auto"/>
                <w:sz w:val="24"/>
                <w:szCs w:val="24"/>
                <w:u w:val="none"/>
              </w:rPr>
            </w:pPr>
          </w:p>
        </w:tc>
      </w:tr>
      <w:tr w14:paraId="45D6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12C7">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106">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超声类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BE0C">
            <w:pPr>
              <w:jc w:val="both"/>
              <w:rPr>
                <w:rFonts w:hint="eastAsia" w:ascii="宋体" w:hAnsi="宋体" w:eastAsia="宋体" w:cs="宋体"/>
                <w:i w:val="0"/>
                <w:iCs w:val="0"/>
                <w:color w:val="auto"/>
                <w:kern w:val="0"/>
                <w:sz w:val="24"/>
                <w:szCs w:val="24"/>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548">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4AF9">
            <w:pPr>
              <w:jc w:val="center"/>
              <w:rPr>
                <w:rFonts w:hint="eastAsia" w:ascii="宋体" w:hAnsi="宋体" w:eastAsia="宋体" w:cs="宋体"/>
                <w:i w:val="0"/>
                <w:iCs w:val="0"/>
                <w:color w:val="auto"/>
                <w:sz w:val="24"/>
                <w:szCs w:val="24"/>
                <w:u w:val="none"/>
              </w:rPr>
            </w:pPr>
          </w:p>
        </w:tc>
      </w:tr>
      <w:tr w14:paraId="0F28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4CB">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4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急救、生命支持类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2C6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监护类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1809">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F75B">
            <w:pPr>
              <w:jc w:val="center"/>
              <w:rPr>
                <w:rFonts w:hint="eastAsia" w:ascii="宋体" w:hAnsi="宋体" w:eastAsia="宋体" w:cs="宋体"/>
                <w:i w:val="0"/>
                <w:iCs w:val="0"/>
                <w:color w:val="auto"/>
                <w:sz w:val="24"/>
                <w:szCs w:val="24"/>
                <w:u w:val="none"/>
              </w:rPr>
            </w:pPr>
          </w:p>
        </w:tc>
      </w:tr>
      <w:tr w14:paraId="5310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473D">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AA6C">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DC2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除颤类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07D3">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E02D">
            <w:pPr>
              <w:jc w:val="center"/>
              <w:rPr>
                <w:rFonts w:hint="eastAsia" w:ascii="宋体" w:hAnsi="宋体" w:eastAsia="宋体" w:cs="宋体"/>
                <w:i w:val="0"/>
                <w:iCs w:val="0"/>
                <w:color w:val="auto"/>
                <w:sz w:val="24"/>
                <w:szCs w:val="24"/>
                <w:u w:val="none"/>
              </w:rPr>
            </w:pPr>
          </w:p>
        </w:tc>
      </w:tr>
      <w:tr w14:paraId="06B8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ACB3">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6AB4">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88B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心电图类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66B8">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8ACB">
            <w:pPr>
              <w:jc w:val="center"/>
              <w:rPr>
                <w:rFonts w:hint="eastAsia" w:ascii="宋体" w:hAnsi="宋体" w:eastAsia="宋体" w:cs="宋体"/>
                <w:i w:val="0"/>
                <w:iCs w:val="0"/>
                <w:color w:val="auto"/>
                <w:sz w:val="24"/>
                <w:szCs w:val="24"/>
                <w:u w:val="none"/>
              </w:rPr>
            </w:pPr>
          </w:p>
        </w:tc>
      </w:tr>
      <w:tr w14:paraId="0607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117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2EF">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32EA">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输注泵类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710">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697D">
            <w:pPr>
              <w:jc w:val="center"/>
              <w:rPr>
                <w:rFonts w:hint="eastAsia" w:ascii="宋体" w:hAnsi="宋体" w:eastAsia="宋体" w:cs="宋体"/>
                <w:i w:val="0"/>
                <w:iCs w:val="0"/>
                <w:color w:val="auto"/>
                <w:sz w:val="24"/>
                <w:szCs w:val="24"/>
                <w:u w:val="none"/>
              </w:rPr>
            </w:pPr>
          </w:p>
        </w:tc>
      </w:tr>
      <w:tr w14:paraId="64DA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A51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DBC0">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6E1">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呼吸类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291D">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105">
            <w:pPr>
              <w:jc w:val="center"/>
              <w:rPr>
                <w:rFonts w:hint="eastAsia" w:ascii="宋体" w:hAnsi="宋体" w:eastAsia="宋体" w:cs="宋体"/>
                <w:i w:val="0"/>
                <w:iCs w:val="0"/>
                <w:color w:val="auto"/>
                <w:sz w:val="24"/>
                <w:szCs w:val="24"/>
                <w:u w:val="none"/>
              </w:rPr>
            </w:pPr>
          </w:p>
        </w:tc>
      </w:tr>
      <w:tr w14:paraId="53CD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50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0944">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82DE">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麻醉类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4E0">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D2C5">
            <w:pPr>
              <w:jc w:val="center"/>
              <w:rPr>
                <w:rFonts w:hint="eastAsia" w:ascii="宋体" w:hAnsi="宋体" w:eastAsia="宋体" w:cs="宋体"/>
                <w:i w:val="0"/>
                <w:iCs w:val="0"/>
                <w:color w:val="auto"/>
                <w:sz w:val="24"/>
                <w:szCs w:val="24"/>
                <w:u w:val="none"/>
              </w:rPr>
            </w:pPr>
          </w:p>
        </w:tc>
      </w:tr>
      <w:tr w14:paraId="12DFE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E292">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15B">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F07">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负压吸引类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F2CE">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5EAE">
            <w:pPr>
              <w:jc w:val="center"/>
              <w:rPr>
                <w:rFonts w:hint="eastAsia" w:ascii="宋体" w:hAnsi="宋体" w:eastAsia="宋体" w:cs="宋体"/>
                <w:i w:val="0"/>
                <w:iCs w:val="0"/>
                <w:color w:val="auto"/>
                <w:sz w:val="24"/>
                <w:szCs w:val="24"/>
                <w:u w:val="none"/>
              </w:rPr>
            </w:pPr>
          </w:p>
        </w:tc>
      </w:tr>
      <w:tr w14:paraId="449D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38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50D">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004D">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喉镜类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6245">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F863">
            <w:pPr>
              <w:jc w:val="center"/>
              <w:rPr>
                <w:rFonts w:hint="eastAsia" w:ascii="宋体" w:hAnsi="宋体" w:eastAsia="宋体" w:cs="宋体"/>
                <w:i w:val="0"/>
                <w:iCs w:val="0"/>
                <w:color w:val="auto"/>
                <w:sz w:val="24"/>
                <w:szCs w:val="24"/>
                <w:u w:val="none"/>
              </w:rPr>
            </w:pPr>
          </w:p>
        </w:tc>
      </w:tr>
      <w:tr w14:paraId="12ED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60C2">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6A54">
            <w:pPr>
              <w:jc w:val="both"/>
              <w:rPr>
                <w:rFonts w:hint="eastAsia" w:ascii="宋体" w:hAnsi="宋体" w:eastAsia="宋体" w:cs="宋体"/>
                <w:i w:val="0"/>
                <w:iCs w:val="0"/>
                <w:color w:val="auto"/>
                <w:sz w:val="24"/>
                <w:szCs w:val="24"/>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BAEF">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洗胃机类</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1007">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6E51">
            <w:pPr>
              <w:jc w:val="center"/>
              <w:rPr>
                <w:rFonts w:hint="eastAsia" w:ascii="宋体" w:hAnsi="宋体" w:eastAsia="宋体" w:cs="宋体"/>
                <w:i w:val="0"/>
                <w:iCs w:val="0"/>
                <w:color w:val="auto"/>
                <w:sz w:val="24"/>
                <w:szCs w:val="24"/>
                <w:u w:val="none"/>
              </w:rPr>
            </w:pPr>
          </w:p>
        </w:tc>
      </w:tr>
      <w:tr w14:paraId="65A5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9EB3">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3242">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内窥镜类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20EE">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9329">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A23F">
            <w:pPr>
              <w:jc w:val="center"/>
              <w:rPr>
                <w:rFonts w:hint="eastAsia" w:ascii="宋体" w:hAnsi="宋体" w:eastAsia="宋体" w:cs="宋体"/>
                <w:i w:val="0"/>
                <w:iCs w:val="0"/>
                <w:color w:val="auto"/>
                <w:sz w:val="24"/>
                <w:szCs w:val="24"/>
                <w:u w:val="none"/>
              </w:rPr>
            </w:pPr>
          </w:p>
        </w:tc>
      </w:tr>
      <w:tr w14:paraId="4523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C96A">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7F29">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空气消毒类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1E18">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91CC">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142</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2B2A">
            <w:pPr>
              <w:jc w:val="center"/>
              <w:rPr>
                <w:rFonts w:hint="eastAsia" w:ascii="宋体" w:hAnsi="宋体" w:eastAsia="宋体" w:cs="宋体"/>
                <w:i w:val="0"/>
                <w:iCs w:val="0"/>
                <w:color w:val="auto"/>
                <w:sz w:val="24"/>
                <w:szCs w:val="24"/>
                <w:u w:val="none"/>
              </w:rPr>
            </w:pPr>
          </w:p>
        </w:tc>
      </w:tr>
      <w:tr w14:paraId="1814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2524">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8C73">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消毒灭菌类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CCD8">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D39C">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F0A">
            <w:pPr>
              <w:jc w:val="center"/>
              <w:rPr>
                <w:rFonts w:hint="eastAsia" w:ascii="宋体" w:hAnsi="宋体" w:eastAsia="宋体" w:cs="宋体"/>
                <w:i w:val="0"/>
                <w:iCs w:val="0"/>
                <w:color w:val="auto"/>
                <w:sz w:val="24"/>
                <w:szCs w:val="24"/>
                <w:u w:val="none"/>
              </w:rPr>
            </w:pPr>
          </w:p>
        </w:tc>
      </w:tr>
      <w:tr w14:paraId="7B32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2E95">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9C5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高频电刀类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C747">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0C7B">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535C">
            <w:pPr>
              <w:jc w:val="center"/>
              <w:rPr>
                <w:rFonts w:hint="eastAsia" w:ascii="宋体" w:hAnsi="宋体" w:eastAsia="宋体" w:cs="宋体"/>
                <w:i w:val="0"/>
                <w:iCs w:val="0"/>
                <w:color w:val="auto"/>
                <w:sz w:val="24"/>
                <w:szCs w:val="24"/>
                <w:u w:val="none"/>
              </w:rPr>
            </w:pPr>
          </w:p>
        </w:tc>
      </w:tr>
      <w:tr w14:paraId="2A0A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DC28">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4E61">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血透类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E09D">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B7CE">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2AA2">
            <w:pPr>
              <w:jc w:val="center"/>
              <w:rPr>
                <w:rFonts w:hint="eastAsia" w:ascii="宋体" w:hAnsi="宋体" w:eastAsia="宋体" w:cs="宋体"/>
                <w:i w:val="0"/>
                <w:iCs w:val="0"/>
                <w:color w:val="auto"/>
                <w:sz w:val="24"/>
                <w:szCs w:val="24"/>
                <w:u w:val="none"/>
              </w:rPr>
            </w:pPr>
          </w:p>
        </w:tc>
      </w:tr>
      <w:tr w14:paraId="46023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5FEB">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843F">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高压氧舱类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3004">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F9E8">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423F">
            <w:pPr>
              <w:jc w:val="center"/>
              <w:rPr>
                <w:rFonts w:hint="eastAsia" w:ascii="宋体" w:hAnsi="宋体" w:eastAsia="宋体" w:cs="宋体"/>
                <w:i w:val="0"/>
                <w:iCs w:val="0"/>
                <w:color w:val="auto"/>
                <w:sz w:val="24"/>
                <w:szCs w:val="24"/>
                <w:u w:val="none"/>
              </w:rPr>
            </w:pPr>
          </w:p>
        </w:tc>
      </w:tr>
      <w:tr w14:paraId="3369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9D6">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9BD7">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常规类</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B06">
            <w:pPr>
              <w:jc w:val="both"/>
              <w:rPr>
                <w:rFonts w:hint="eastAsia" w:ascii="宋体" w:hAnsi="宋体" w:eastAsia="宋体" w:cs="宋体"/>
                <w:i w:val="0"/>
                <w:iCs w:val="0"/>
                <w:color w:val="auto"/>
                <w:sz w:val="24"/>
                <w:szCs w:val="24"/>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987B">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491</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C534">
            <w:pPr>
              <w:jc w:val="center"/>
              <w:rPr>
                <w:rFonts w:hint="eastAsia" w:ascii="宋体" w:hAnsi="宋体" w:eastAsia="宋体" w:cs="宋体"/>
                <w:i w:val="0"/>
                <w:iCs w:val="0"/>
                <w:color w:val="auto"/>
                <w:sz w:val="24"/>
                <w:szCs w:val="24"/>
                <w:u w:val="none"/>
              </w:rPr>
            </w:pPr>
          </w:p>
        </w:tc>
      </w:tr>
      <w:tr w14:paraId="6669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746B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5224">
            <w:pPr>
              <w:keepNext w:val="0"/>
              <w:keepLines w:val="0"/>
              <w:widowControl/>
              <w:suppressLineNumbers w:val="0"/>
              <w:jc w:val="both"/>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1230</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DE3">
            <w:pPr>
              <w:jc w:val="center"/>
              <w:rPr>
                <w:rFonts w:hint="eastAsia" w:ascii="宋体" w:hAnsi="宋体" w:eastAsia="宋体" w:cs="宋体"/>
                <w:b/>
                <w:bCs/>
                <w:i w:val="0"/>
                <w:iCs w:val="0"/>
                <w:color w:val="auto"/>
                <w:sz w:val="24"/>
                <w:szCs w:val="24"/>
                <w:u w:val="none"/>
              </w:rPr>
            </w:pPr>
          </w:p>
        </w:tc>
      </w:tr>
    </w:tbl>
    <w:p w14:paraId="59AF9EBF">
      <w:pPr>
        <w:pStyle w:val="14"/>
        <w:keepNext w:val="0"/>
        <w:keepLines w:val="0"/>
        <w:pageBreakBefore w:val="0"/>
        <w:widowControl w:val="0"/>
        <w:numPr>
          <w:ilvl w:val="0"/>
          <w:numId w:val="0"/>
        </w:numPr>
        <w:kinsoku/>
        <w:wordWrap/>
        <w:overflowPunct/>
        <w:topLinePunct w:val="0"/>
        <w:bidi w:val="0"/>
        <w:adjustRightInd/>
        <w:snapToGrid/>
        <w:spacing w:line="360" w:lineRule="auto"/>
        <w:textAlignment w:val="auto"/>
        <w:rPr>
          <w:rFonts w:hint="eastAsia" w:ascii="宋体" w:hAnsi="宋体" w:eastAsia="宋体" w:cs="宋体"/>
          <w:b/>
          <w:bCs w:val="0"/>
          <w:color w:val="auto"/>
          <w:sz w:val="24"/>
          <w:szCs w:val="24"/>
          <w:lang w:val="en-US" w:eastAsia="zh-CN" w:bidi="ar-SA"/>
        </w:rPr>
      </w:pPr>
      <w:r>
        <w:rPr>
          <w:rFonts w:hint="eastAsia" w:ascii="宋体" w:hAnsi="宋体" w:eastAsia="宋体" w:cs="宋体"/>
          <w:b/>
          <w:bCs w:val="0"/>
          <w:color w:val="auto"/>
          <w:sz w:val="24"/>
          <w:szCs w:val="24"/>
          <w:lang w:val="en-US" w:eastAsia="zh-CN" w:bidi="ar-SA"/>
        </w:rPr>
        <w:t>四、服务要求</w:t>
      </w:r>
    </w:p>
    <w:p w14:paraId="1ECD8F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1.服务</w:t>
      </w:r>
      <w:r>
        <w:rPr>
          <w:rFonts w:hint="eastAsia" w:ascii="宋体" w:hAnsi="宋体" w:eastAsia="宋体" w:cs="宋体"/>
          <w:b w:val="0"/>
          <w:bCs/>
          <w:color w:val="auto"/>
          <w:sz w:val="24"/>
          <w:szCs w:val="24"/>
          <w:lang w:val="zh-CN"/>
        </w:rPr>
        <w:t>期限：</w:t>
      </w:r>
      <w:r>
        <w:rPr>
          <w:rFonts w:hint="eastAsia" w:ascii="宋体" w:hAnsi="宋体" w:eastAsia="宋体" w:cs="宋体"/>
          <w:b/>
          <w:bCs w:val="0"/>
          <w:color w:val="auto"/>
          <w:sz w:val="24"/>
          <w:szCs w:val="24"/>
          <w:lang w:val="zh-CN" w:eastAsia="zh-CN"/>
        </w:rPr>
        <w:t>三年，</w:t>
      </w:r>
      <w:r>
        <w:rPr>
          <w:rFonts w:hint="eastAsia" w:ascii="宋体" w:hAnsi="宋体" w:eastAsia="宋体" w:cs="宋体"/>
          <w:b/>
          <w:bCs w:val="0"/>
          <w:color w:val="auto"/>
          <w:sz w:val="24"/>
          <w:szCs w:val="24"/>
          <w:lang w:val="en-US" w:eastAsia="zh-CN"/>
        </w:rPr>
        <w:t>合同一年一</w:t>
      </w:r>
      <w:r>
        <w:rPr>
          <w:rFonts w:hint="eastAsia" w:ascii="宋体" w:hAnsi="宋体" w:eastAsia="宋体" w:cs="宋体"/>
          <w:b/>
          <w:bCs w:val="0"/>
          <w:color w:val="auto"/>
          <w:sz w:val="24"/>
          <w:szCs w:val="24"/>
          <w:lang w:val="zh-CN" w:eastAsia="zh-CN"/>
        </w:rPr>
        <w:t>签</w:t>
      </w:r>
      <w:r>
        <w:rPr>
          <w:rFonts w:hint="eastAsia" w:ascii="宋体" w:hAnsi="宋体" w:eastAsia="宋体" w:cs="宋体"/>
          <w:b/>
          <w:bCs w:val="0"/>
          <w:color w:val="auto"/>
          <w:sz w:val="24"/>
          <w:szCs w:val="24"/>
          <w:lang w:val="zh-CN" w:eastAsia="zh-CN"/>
        </w:rPr>
        <w:t>。</w:t>
      </w:r>
    </w:p>
    <w:p w14:paraId="31B7813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服务地点：</w:t>
      </w:r>
      <w:r>
        <w:rPr>
          <w:rFonts w:hint="eastAsia" w:ascii="宋体" w:hAnsi="宋体" w:eastAsia="宋体" w:cs="宋体"/>
          <w:b/>
          <w:bCs w:val="0"/>
          <w:color w:val="auto"/>
          <w:sz w:val="24"/>
          <w:szCs w:val="24"/>
          <w:lang w:val="en-US" w:eastAsia="zh-CN"/>
        </w:rPr>
        <w:t>海东市第二人民医院</w:t>
      </w: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40E2">
    <w:pPr>
      <w:pStyle w:val="14"/>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559B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559BE">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710C0">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4F5C">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5445">
    <w:pPr>
      <w:pStyle w:val="14"/>
      <w:ind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281D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8281D4">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053A">
    <w:pPr>
      <w:pStyle w:val="15"/>
      <w:pBdr>
        <w:bottom w:val="none" w:color="auto" w:sz="0" w:space="1"/>
      </w:pBdr>
      <w:ind w:firstLine="0" w:firstLineChars="0"/>
      <w:rPr>
        <w:rFonts w:hint="eastAsia" w:eastAsia="宋体"/>
        <w:b/>
        <w:bCs/>
        <w:lang w:eastAsia="zh-CN"/>
      </w:rPr>
    </w:pPr>
    <w:r>
      <w:rPr>
        <w:rFonts w:hint="eastAsia" w:ascii="宋体" w:hAnsi="宋体" w:eastAsia="宋体" w:cs="宋体"/>
        <w:b/>
        <w:bCs/>
        <w:sz w:val="21"/>
        <w:szCs w:val="21"/>
        <w:u w:val="single"/>
        <w:lang w:eastAsia="zh-CN"/>
      </w:rPr>
      <w:t>青海鼎钊招标代理有限公司</w:t>
    </w:r>
    <w:r>
      <w:rPr>
        <w:rFonts w:hint="eastAsia" w:ascii="宋体" w:hAnsi="宋体" w:eastAsia="宋体" w:cs="宋体"/>
        <w:b/>
        <w:bCs/>
        <w:sz w:val="21"/>
        <w:szCs w:val="21"/>
        <w:u w:val="single"/>
      </w:rPr>
      <w:t xml:space="preserve">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青海鼎钊竞磋（服务）2024-047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8BE1">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8DBD">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cs="宋体"/>
        <w:sz w:val="18"/>
        <w:szCs w:val="18"/>
      </w:rPr>
      <w:id w:val="3"/>
      <w:docPartObj>
        <w:docPartGallery w:val="Table of Contents"/>
        <w:docPartUnique/>
      </w:docPartObj>
    </w:sdtPr>
    <w:sdtEndPr>
      <w:rPr>
        <w:rFonts w:ascii="宋体" w:hAnsi="宋体" w:eastAsia="宋体" w:cs="宋体"/>
        <w:sz w:val="18"/>
        <w:szCs w:val="18"/>
      </w:rPr>
    </w:sdtEndPr>
    <w:sdtContent>
      <w:p w14:paraId="67ED9F01">
        <w:pPr>
          <w:pBdr>
            <w:bottom w:val="none" w:color="auto" w:sz="0" w:space="0"/>
          </w:pBdr>
          <w:spacing w:line="174" w:lineRule="auto"/>
          <w:rPr>
            <w:rFonts w:ascii="宋体" w:hAnsi="宋体" w:eastAsia="宋体" w:cs="宋体"/>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93A9"/>
    <w:multiLevelType w:val="multilevel"/>
    <w:tmpl w:val="F15D93A9"/>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59B11739"/>
    <w:multiLevelType w:val="singleLevel"/>
    <w:tmpl w:val="59B1173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YTkzMTk0NmI0ODFjNGUxMGVmYTUwNmZkODlkMzcifQ=="/>
  </w:docVars>
  <w:rsids>
    <w:rsidRoot w:val="6F3A01D0"/>
    <w:rsid w:val="0011729F"/>
    <w:rsid w:val="002C5D0F"/>
    <w:rsid w:val="002E1E1C"/>
    <w:rsid w:val="0067722F"/>
    <w:rsid w:val="007076D2"/>
    <w:rsid w:val="00796EA1"/>
    <w:rsid w:val="007C2CDB"/>
    <w:rsid w:val="007F6C6F"/>
    <w:rsid w:val="00983BE2"/>
    <w:rsid w:val="009B76F9"/>
    <w:rsid w:val="00A22D1A"/>
    <w:rsid w:val="00AE5A2B"/>
    <w:rsid w:val="00B102E6"/>
    <w:rsid w:val="00D14A56"/>
    <w:rsid w:val="00D656C9"/>
    <w:rsid w:val="00D728E7"/>
    <w:rsid w:val="00E22C49"/>
    <w:rsid w:val="00E24720"/>
    <w:rsid w:val="00EB4D82"/>
    <w:rsid w:val="00F10486"/>
    <w:rsid w:val="00F10986"/>
    <w:rsid w:val="01017684"/>
    <w:rsid w:val="010333FC"/>
    <w:rsid w:val="011D7E3A"/>
    <w:rsid w:val="012D5BC8"/>
    <w:rsid w:val="014622CC"/>
    <w:rsid w:val="01B666C0"/>
    <w:rsid w:val="01BC2907"/>
    <w:rsid w:val="01D036F5"/>
    <w:rsid w:val="020236B3"/>
    <w:rsid w:val="020C4532"/>
    <w:rsid w:val="022E65D5"/>
    <w:rsid w:val="02337D11"/>
    <w:rsid w:val="023668BD"/>
    <w:rsid w:val="025161A5"/>
    <w:rsid w:val="02634F9F"/>
    <w:rsid w:val="02694478"/>
    <w:rsid w:val="026E6F9B"/>
    <w:rsid w:val="029C3B08"/>
    <w:rsid w:val="02F54FC6"/>
    <w:rsid w:val="031A4A2D"/>
    <w:rsid w:val="03782B4D"/>
    <w:rsid w:val="0383077C"/>
    <w:rsid w:val="03863E70"/>
    <w:rsid w:val="03AC1C47"/>
    <w:rsid w:val="03D66BA6"/>
    <w:rsid w:val="03F41C04"/>
    <w:rsid w:val="04227417"/>
    <w:rsid w:val="04543C07"/>
    <w:rsid w:val="0457091C"/>
    <w:rsid w:val="04730898"/>
    <w:rsid w:val="0495080F"/>
    <w:rsid w:val="049F51EA"/>
    <w:rsid w:val="04BE5FB8"/>
    <w:rsid w:val="04C048E2"/>
    <w:rsid w:val="05213046"/>
    <w:rsid w:val="0539593F"/>
    <w:rsid w:val="054144F3"/>
    <w:rsid w:val="05432019"/>
    <w:rsid w:val="05740424"/>
    <w:rsid w:val="05920F04"/>
    <w:rsid w:val="05A07941"/>
    <w:rsid w:val="05BD220F"/>
    <w:rsid w:val="05CD3091"/>
    <w:rsid w:val="05F02CD2"/>
    <w:rsid w:val="060A2B37"/>
    <w:rsid w:val="061F2A86"/>
    <w:rsid w:val="06454043"/>
    <w:rsid w:val="064C75F3"/>
    <w:rsid w:val="065B2521"/>
    <w:rsid w:val="06624721"/>
    <w:rsid w:val="0676069E"/>
    <w:rsid w:val="06813928"/>
    <w:rsid w:val="0748600C"/>
    <w:rsid w:val="07550729"/>
    <w:rsid w:val="078D2A34"/>
    <w:rsid w:val="079324B8"/>
    <w:rsid w:val="07BE62CF"/>
    <w:rsid w:val="07C54232"/>
    <w:rsid w:val="07CA4691"/>
    <w:rsid w:val="07CF228A"/>
    <w:rsid w:val="07E3578E"/>
    <w:rsid w:val="07F92F02"/>
    <w:rsid w:val="080041F1"/>
    <w:rsid w:val="082A74C0"/>
    <w:rsid w:val="08432C65"/>
    <w:rsid w:val="08491FD0"/>
    <w:rsid w:val="08602EE2"/>
    <w:rsid w:val="08611C36"/>
    <w:rsid w:val="086F75C9"/>
    <w:rsid w:val="08712E62"/>
    <w:rsid w:val="08951775"/>
    <w:rsid w:val="089A4646"/>
    <w:rsid w:val="08F40EEB"/>
    <w:rsid w:val="09017684"/>
    <w:rsid w:val="091D7025"/>
    <w:rsid w:val="096133B5"/>
    <w:rsid w:val="097F04D1"/>
    <w:rsid w:val="098175B4"/>
    <w:rsid w:val="09B01C47"/>
    <w:rsid w:val="09B4447A"/>
    <w:rsid w:val="09E85885"/>
    <w:rsid w:val="09EA5816"/>
    <w:rsid w:val="0A193C90"/>
    <w:rsid w:val="0A70061F"/>
    <w:rsid w:val="0A73246A"/>
    <w:rsid w:val="0A7945D4"/>
    <w:rsid w:val="0AA55F2A"/>
    <w:rsid w:val="0AC41E4E"/>
    <w:rsid w:val="0AC91212"/>
    <w:rsid w:val="0ACE28E8"/>
    <w:rsid w:val="0AF10769"/>
    <w:rsid w:val="0AF357C2"/>
    <w:rsid w:val="0B0E131B"/>
    <w:rsid w:val="0B272091"/>
    <w:rsid w:val="0B293A5F"/>
    <w:rsid w:val="0B3A5C6C"/>
    <w:rsid w:val="0B6C09CE"/>
    <w:rsid w:val="0B887EEE"/>
    <w:rsid w:val="0B931985"/>
    <w:rsid w:val="0BCD4D32"/>
    <w:rsid w:val="0BD061CE"/>
    <w:rsid w:val="0BD936D7"/>
    <w:rsid w:val="0BDA2FAB"/>
    <w:rsid w:val="0BEB51B8"/>
    <w:rsid w:val="0BEC70D3"/>
    <w:rsid w:val="0BEF4CA9"/>
    <w:rsid w:val="0BFA7A74"/>
    <w:rsid w:val="0C28640C"/>
    <w:rsid w:val="0C35159A"/>
    <w:rsid w:val="0C443F22"/>
    <w:rsid w:val="0C460641"/>
    <w:rsid w:val="0C5B40EC"/>
    <w:rsid w:val="0C7D22B4"/>
    <w:rsid w:val="0C7F1621"/>
    <w:rsid w:val="0C846CD5"/>
    <w:rsid w:val="0CA710DF"/>
    <w:rsid w:val="0CDA7707"/>
    <w:rsid w:val="0CFB142B"/>
    <w:rsid w:val="0D116EA1"/>
    <w:rsid w:val="0D3A01A5"/>
    <w:rsid w:val="0D5A25F6"/>
    <w:rsid w:val="0D613984"/>
    <w:rsid w:val="0D685587"/>
    <w:rsid w:val="0D7501A0"/>
    <w:rsid w:val="0D817B82"/>
    <w:rsid w:val="0D8B758F"/>
    <w:rsid w:val="0D9F26FE"/>
    <w:rsid w:val="0DA015BB"/>
    <w:rsid w:val="0DA75F99"/>
    <w:rsid w:val="0DCF2D63"/>
    <w:rsid w:val="0DD46331"/>
    <w:rsid w:val="0DE440BD"/>
    <w:rsid w:val="0E302379"/>
    <w:rsid w:val="0E33255C"/>
    <w:rsid w:val="0E472F86"/>
    <w:rsid w:val="0EB421D9"/>
    <w:rsid w:val="0EE77EB9"/>
    <w:rsid w:val="0EED1247"/>
    <w:rsid w:val="0F0C3DC3"/>
    <w:rsid w:val="0F36499C"/>
    <w:rsid w:val="0F4E618A"/>
    <w:rsid w:val="0F630EA8"/>
    <w:rsid w:val="0F657030"/>
    <w:rsid w:val="0F6E2388"/>
    <w:rsid w:val="0F786D63"/>
    <w:rsid w:val="0F7F6343"/>
    <w:rsid w:val="0FA638D0"/>
    <w:rsid w:val="0FBA55CD"/>
    <w:rsid w:val="10023AD4"/>
    <w:rsid w:val="100827DD"/>
    <w:rsid w:val="1030763E"/>
    <w:rsid w:val="10402ABE"/>
    <w:rsid w:val="10437371"/>
    <w:rsid w:val="104533D0"/>
    <w:rsid w:val="10606175"/>
    <w:rsid w:val="10634E18"/>
    <w:rsid w:val="10945E1E"/>
    <w:rsid w:val="109764CF"/>
    <w:rsid w:val="10A71125"/>
    <w:rsid w:val="10CC380A"/>
    <w:rsid w:val="10E24DDC"/>
    <w:rsid w:val="10EA3C90"/>
    <w:rsid w:val="11024BFB"/>
    <w:rsid w:val="111A4579"/>
    <w:rsid w:val="111C2B53"/>
    <w:rsid w:val="1129001A"/>
    <w:rsid w:val="116457F1"/>
    <w:rsid w:val="11800378"/>
    <w:rsid w:val="11934328"/>
    <w:rsid w:val="12107727"/>
    <w:rsid w:val="12307DC9"/>
    <w:rsid w:val="123E0181"/>
    <w:rsid w:val="12623510"/>
    <w:rsid w:val="126D4B79"/>
    <w:rsid w:val="126D7900"/>
    <w:rsid w:val="126E269F"/>
    <w:rsid w:val="126F3EC0"/>
    <w:rsid w:val="127204A3"/>
    <w:rsid w:val="12776593"/>
    <w:rsid w:val="12925110"/>
    <w:rsid w:val="12D4409A"/>
    <w:rsid w:val="1309024B"/>
    <w:rsid w:val="130F5C30"/>
    <w:rsid w:val="1326387E"/>
    <w:rsid w:val="132C6AC6"/>
    <w:rsid w:val="133D02CB"/>
    <w:rsid w:val="135E4911"/>
    <w:rsid w:val="136441CE"/>
    <w:rsid w:val="138D3DF0"/>
    <w:rsid w:val="139A199E"/>
    <w:rsid w:val="13A31C56"/>
    <w:rsid w:val="13AF4D1D"/>
    <w:rsid w:val="13C06F2A"/>
    <w:rsid w:val="13C24A51"/>
    <w:rsid w:val="13EB044B"/>
    <w:rsid w:val="13ED4CBD"/>
    <w:rsid w:val="13FA243C"/>
    <w:rsid w:val="14264FE0"/>
    <w:rsid w:val="14276171"/>
    <w:rsid w:val="1433594E"/>
    <w:rsid w:val="14506500"/>
    <w:rsid w:val="147F6DE6"/>
    <w:rsid w:val="14810582"/>
    <w:rsid w:val="14847F58"/>
    <w:rsid w:val="14AE3227"/>
    <w:rsid w:val="14B24AC5"/>
    <w:rsid w:val="14C111AC"/>
    <w:rsid w:val="14C53F76"/>
    <w:rsid w:val="14D25708"/>
    <w:rsid w:val="14E135FC"/>
    <w:rsid w:val="14F21366"/>
    <w:rsid w:val="150A777D"/>
    <w:rsid w:val="1525173B"/>
    <w:rsid w:val="152626AF"/>
    <w:rsid w:val="1553307A"/>
    <w:rsid w:val="155C7BF4"/>
    <w:rsid w:val="15A308B2"/>
    <w:rsid w:val="15A7459D"/>
    <w:rsid w:val="15B12FCF"/>
    <w:rsid w:val="15BD1974"/>
    <w:rsid w:val="15CA5E3E"/>
    <w:rsid w:val="15D37A49"/>
    <w:rsid w:val="15D54F0F"/>
    <w:rsid w:val="15FF3D3A"/>
    <w:rsid w:val="16041350"/>
    <w:rsid w:val="160F0324"/>
    <w:rsid w:val="161407E8"/>
    <w:rsid w:val="162C08A7"/>
    <w:rsid w:val="16377978"/>
    <w:rsid w:val="163966A8"/>
    <w:rsid w:val="167249BF"/>
    <w:rsid w:val="16751125"/>
    <w:rsid w:val="16775FC6"/>
    <w:rsid w:val="16B05813"/>
    <w:rsid w:val="16EB42BE"/>
    <w:rsid w:val="1715758D"/>
    <w:rsid w:val="173B5246"/>
    <w:rsid w:val="174A5489"/>
    <w:rsid w:val="176E561B"/>
    <w:rsid w:val="176F3141"/>
    <w:rsid w:val="17742506"/>
    <w:rsid w:val="177469AA"/>
    <w:rsid w:val="177D585E"/>
    <w:rsid w:val="17966920"/>
    <w:rsid w:val="182E68ED"/>
    <w:rsid w:val="187D53EA"/>
    <w:rsid w:val="188E3A9B"/>
    <w:rsid w:val="18960420"/>
    <w:rsid w:val="18A45C5D"/>
    <w:rsid w:val="18AE3758"/>
    <w:rsid w:val="18D21BDA"/>
    <w:rsid w:val="18D906A0"/>
    <w:rsid w:val="18DD40DB"/>
    <w:rsid w:val="18E91BA8"/>
    <w:rsid w:val="190B6E9A"/>
    <w:rsid w:val="190F5EFD"/>
    <w:rsid w:val="19121FD6"/>
    <w:rsid w:val="193208CA"/>
    <w:rsid w:val="19362BA0"/>
    <w:rsid w:val="19FE6D49"/>
    <w:rsid w:val="1A0900A3"/>
    <w:rsid w:val="1A2521DD"/>
    <w:rsid w:val="1A27385F"/>
    <w:rsid w:val="1A385A6D"/>
    <w:rsid w:val="1A3E2C9D"/>
    <w:rsid w:val="1A534654"/>
    <w:rsid w:val="1A75281D"/>
    <w:rsid w:val="1AA90718"/>
    <w:rsid w:val="1AF000F5"/>
    <w:rsid w:val="1B097409"/>
    <w:rsid w:val="1B0B4F2F"/>
    <w:rsid w:val="1B3A68FE"/>
    <w:rsid w:val="1B792E95"/>
    <w:rsid w:val="1B854CE1"/>
    <w:rsid w:val="1B9211AC"/>
    <w:rsid w:val="1BAD5FE6"/>
    <w:rsid w:val="1BAF484F"/>
    <w:rsid w:val="1BB43819"/>
    <w:rsid w:val="1BCA6B98"/>
    <w:rsid w:val="1BF73705"/>
    <w:rsid w:val="1BFFC39F"/>
    <w:rsid w:val="1C123D07"/>
    <w:rsid w:val="1C3109C5"/>
    <w:rsid w:val="1C3F14A8"/>
    <w:rsid w:val="1C5B5A42"/>
    <w:rsid w:val="1C775737"/>
    <w:rsid w:val="1C8E16BB"/>
    <w:rsid w:val="1C8F393E"/>
    <w:rsid w:val="1CB021A4"/>
    <w:rsid w:val="1CBF5FD1"/>
    <w:rsid w:val="1CC122B1"/>
    <w:rsid w:val="1CDD7C08"/>
    <w:rsid w:val="1D0205B4"/>
    <w:rsid w:val="1D3B3901"/>
    <w:rsid w:val="1D554B87"/>
    <w:rsid w:val="1D725739"/>
    <w:rsid w:val="1D7C3EC2"/>
    <w:rsid w:val="1D951428"/>
    <w:rsid w:val="1D9751A0"/>
    <w:rsid w:val="1D9A5230"/>
    <w:rsid w:val="1DA36D9A"/>
    <w:rsid w:val="1DB16262"/>
    <w:rsid w:val="1DBA3241"/>
    <w:rsid w:val="1DC51D0D"/>
    <w:rsid w:val="1DE604FF"/>
    <w:rsid w:val="1DE64446"/>
    <w:rsid w:val="1E07408D"/>
    <w:rsid w:val="1E642BAC"/>
    <w:rsid w:val="1E65704C"/>
    <w:rsid w:val="1E6C5291"/>
    <w:rsid w:val="1E8E65A3"/>
    <w:rsid w:val="1EAE0E48"/>
    <w:rsid w:val="1EC73863"/>
    <w:rsid w:val="1ECB0BA8"/>
    <w:rsid w:val="1F0C1276"/>
    <w:rsid w:val="1F0C74C8"/>
    <w:rsid w:val="1F1A514E"/>
    <w:rsid w:val="1F536EA5"/>
    <w:rsid w:val="1F62093A"/>
    <w:rsid w:val="1F647304"/>
    <w:rsid w:val="1F6D7F66"/>
    <w:rsid w:val="1F8F0C22"/>
    <w:rsid w:val="1FD71884"/>
    <w:rsid w:val="1FEA5A5B"/>
    <w:rsid w:val="200731AA"/>
    <w:rsid w:val="20466DF8"/>
    <w:rsid w:val="2048658C"/>
    <w:rsid w:val="20494F46"/>
    <w:rsid w:val="206C6470"/>
    <w:rsid w:val="20755732"/>
    <w:rsid w:val="2076109D"/>
    <w:rsid w:val="208E288A"/>
    <w:rsid w:val="20A0611A"/>
    <w:rsid w:val="20A34372"/>
    <w:rsid w:val="2105452D"/>
    <w:rsid w:val="212A7796"/>
    <w:rsid w:val="213236FF"/>
    <w:rsid w:val="21562C7C"/>
    <w:rsid w:val="219E6AFD"/>
    <w:rsid w:val="21A57604"/>
    <w:rsid w:val="21AF7B35"/>
    <w:rsid w:val="21B63D65"/>
    <w:rsid w:val="21B87493"/>
    <w:rsid w:val="21D50045"/>
    <w:rsid w:val="21DA565B"/>
    <w:rsid w:val="21E53585"/>
    <w:rsid w:val="21FC6C05"/>
    <w:rsid w:val="220F2458"/>
    <w:rsid w:val="221E19EC"/>
    <w:rsid w:val="22394A78"/>
    <w:rsid w:val="22433200"/>
    <w:rsid w:val="22443F9F"/>
    <w:rsid w:val="22671FB6"/>
    <w:rsid w:val="22B81E40"/>
    <w:rsid w:val="22CE22D7"/>
    <w:rsid w:val="22D97467"/>
    <w:rsid w:val="22F95FB5"/>
    <w:rsid w:val="23045B21"/>
    <w:rsid w:val="23121DAA"/>
    <w:rsid w:val="233F7E6C"/>
    <w:rsid w:val="234E64B5"/>
    <w:rsid w:val="235063ED"/>
    <w:rsid w:val="23971A56"/>
    <w:rsid w:val="23A501AD"/>
    <w:rsid w:val="23A67EEB"/>
    <w:rsid w:val="23B43CB0"/>
    <w:rsid w:val="23B87C1E"/>
    <w:rsid w:val="23DC56BB"/>
    <w:rsid w:val="23E35D90"/>
    <w:rsid w:val="23F47ADC"/>
    <w:rsid w:val="23FC09CC"/>
    <w:rsid w:val="246011EC"/>
    <w:rsid w:val="249661B1"/>
    <w:rsid w:val="24B65F0C"/>
    <w:rsid w:val="24BE3F37"/>
    <w:rsid w:val="24CF6FCD"/>
    <w:rsid w:val="24EA3E07"/>
    <w:rsid w:val="25506360"/>
    <w:rsid w:val="25B12B77"/>
    <w:rsid w:val="25BD5036"/>
    <w:rsid w:val="25CB3C39"/>
    <w:rsid w:val="25D40C60"/>
    <w:rsid w:val="261E151D"/>
    <w:rsid w:val="262D2C9E"/>
    <w:rsid w:val="264439EB"/>
    <w:rsid w:val="264D6D44"/>
    <w:rsid w:val="265505E9"/>
    <w:rsid w:val="26806A2A"/>
    <w:rsid w:val="26813488"/>
    <w:rsid w:val="26906C30"/>
    <w:rsid w:val="26A16E16"/>
    <w:rsid w:val="26E52AD8"/>
    <w:rsid w:val="26FD2518"/>
    <w:rsid w:val="270F023A"/>
    <w:rsid w:val="271D56D4"/>
    <w:rsid w:val="27360209"/>
    <w:rsid w:val="273E668C"/>
    <w:rsid w:val="27400656"/>
    <w:rsid w:val="278C389C"/>
    <w:rsid w:val="279462AC"/>
    <w:rsid w:val="27D6206B"/>
    <w:rsid w:val="27E040D7"/>
    <w:rsid w:val="27E64DFD"/>
    <w:rsid w:val="27F219B8"/>
    <w:rsid w:val="27FF372E"/>
    <w:rsid w:val="28053985"/>
    <w:rsid w:val="283C0E1E"/>
    <w:rsid w:val="28442F27"/>
    <w:rsid w:val="285272AD"/>
    <w:rsid w:val="285F27BE"/>
    <w:rsid w:val="287265EE"/>
    <w:rsid w:val="289447B6"/>
    <w:rsid w:val="28CA642A"/>
    <w:rsid w:val="28CD1A76"/>
    <w:rsid w:val="28D948BF"/>
    <w:rsid w:val="291D0CF0"/>
    <w:rsid w:val="293D6BFB"/>
    <w:rsid w:val="29455AB0"/>
    <w:rsid w:val="2959155B"/>
    <w:rsid w:val="295E6B72"/>
    <w:rsid w:val="29763EBB"/>
    <w:rsid w:val="29856970"/>
    <w:rsid w:val="29EC6874"/>
    <w:rsid w:val="29F64FFC"/>
    <w:rsid w:val="29FB37E0"/>
    <w:rsid w:val="29FD4568"/>
    <w:rsid w:val="2A1115B5"/>
    <w:rsid w:val="2A2C3390"/>
    <w:rsid w:val="2A383867"/>
    <w:rsid w:val="2A5E32AB"/>
    <w:rsid w:val="2A6813DA"/>
    <w:rsid w:val="2A862824"/>
    <w:rsid w:val="2AC944BF"/>
    <w:rsid w:val="2AD409FF"/>
    <w:rsid w:val="2B0E45AA"/>
    <w:rsid w:val="2B193698"/>
    <w:rsid w:val="2B195446"/>
    <w:rsid w:val="2B430715"/>
    <w:rsid w:val="2B4C75CA"/>
    <w:rsid w:val="2B715282"/>
    <w:rsid w:val="2B8E4E3B"/>
    <w:rsid w:val="2BB36004"/>
    <w:rsid w:val="2BCE740C"/>
    <w:rsid w:val="2BDD6474"/>
    <w:rsid w:val="2BDF21EC"/>
    <w:rsid w:val="2BE219F2"/>
    <w:rsid w:val="2BF66CC1"/>
    <w:rsid w:val="2BFB4B4C"/>
    <w:rsid w:val="2C0D3E59"/>
    <w:rsid w:val="2C324A12"/>
    <w:rsid w:val="2C46065A"/>
    <w:rsid w:val="2C4958B7"/>
    <w:rsid w:val="2C6A106A"/>
    <w:rsid w:val="2C6D60A4"/>
    <w:rsid w:val="2C8C3BA3"/>
    <w:rsid w:val="2C9A4365"/>
    <w:rsid w:val="2CA43435"/>
    <w:rsid w:val="2CC472B9"/>
    <w:rsid w:val="2D5E3BF4"/>
    <w:rsid w:val="2D776454"/>
    <w:rsid w:val="2DAC4350"/>
    <w:rsid w:val="2DBD030B"/>
    <w:rsid w:val="2DBF0527"/>
    <w:rsid w:val="2DDE64D3"/>
    <w:rsid w:val="2DEA30CA"/>
    <w:rsid w:val="2DEE768F"/>
    <w:rsid w:val="2E100D83"/>
    <w:rsid w:val="2E1F0FC6"/>
    <w:rsid w:val="2E583FB3"/>
    <w:rsid w:val="2E60666A"/>
    <w:rsid w:val="2E6A4C84"/>
    <w:rsid w:val="2E6C6E5B"/>
    <w:rsid w:val="2EB060C2"/>
    <w:rsid w:val="2EDE49DD"/>
    <w:rsid w:val="2EE353EB"/>
    <w:rsid w:val="2F322206"/>
    <w:rsid w:val="2F500B3A"/>
    <w:rsid w:val="2F503401"/>
    <w:rsid w:val="2F596BB6"/>
    <w:rsid w:val="2F5C1DA5"/>
    <w:rsid w:val="2F642A08"/>
    <w:rsid w:val="2F833C37"/>
    <w:rsid w:val="2F8F2AF6"/>
    <w:rsid w:val="2FA379D4"/>
    <w:rsid w:val="2FBF705B"/>
    <w:rsid w:val="2FCE2CA3"/>
    <w:rsid w:val="2FD65F6C"/>
    <w:rsid w:val="2FEC5819"/>
    <w:rsid w:val="30112B90"/>
    <w:rsid w:val="303F4F25"/>
    <w:rsid w:val="30595E14"/>
    <w:rsid w:val="306C426A"/>
    <w:rsid w:val="306E08CA"/>
    <w:rsid w:val="307D6477"/>
    <w:rsid w:val="3082509F"/>
    <w:rsid w:val="309D2676"/>
    <w:rsid w:val="30A25EDE"/>
    <w:rsid w:val="30A77050"/>
    <w:rsid w:val="30C419B0"/>
    <w:rsid w:val="311B08F6"/>
    <w:rsid w:val="31230DCD"/>
    <w:rsid w:val="31501496"/>
    <w:rsid w:val="315076E8"/>
    <w:rsid w:val="31653193"/>
    <w:rsid w:val="316E7B6E"/>
    <w:rsid w:val="31A11CF2"/>
    <w:rsid w:val="31BC5392"/>
    <w:rsid w:val="31BD2FCF"/>
    <w:rsid w:val="31CC3212"/>
    <w:rsid w:val="31DD71CE"/>
    <w:rsid w:val="31EF147B"/>
    <w:rsid w:val="320F30FF"/>
    <w:rsid w:val="321A09C1"/>
    <w:rsid w:val="33240E2C"/>
    <w:rsid w:val="332932E2"/>
    <w:rsid w:val="334943EF"/>
    <w:rsid w:val="33542A82"/>
    <w:rsid w:val="335A484E"/>
    <w:rsid w:val="335C2896"/>
    <w:rsid w:val="335C309B"/>
    <w:rsid w:val="335E17F2"/>
    <w:rsid w:val="33660CCD"/>
    <w:rsid w:val="33AFEC5B"/>
    <w:rsid w:val="33BF2903"/>
    <w:rsid w:val="33E76902"/>
    <w:rsid w:val="33EC194A"/>
    <w:rsid w:val="33F54A0C"/>
    <w:rsid w:val="340F5638"/>
    <w:rsid w:val="34213243"/>
    <w:rsid w:val="34243CCB"/>
    <w:rsid w:val="34694D37"/>
    <w:rsid w:val="348D682D"/>
    <w:rsid w:val="34AF1EA4"/>
    <w:rsid w:val="34CC3529"/>
    <w:rsid w:val="34CE2DFE"/>
    <w:rsid w:val="34E00D75"/>
    <w:rsid w:val="34E40873"/>
    <w:rsid w:val="34EB33C6"/>
    <w:rsid w:val="35004F81"/>
    <w:rsid w:val="351A4295"/>
    <w:rsid w:val="352670DE"/>
    <w:rsid w:val="352E457E"/>
    <w:rsid w:val="35441312"/>
    <w:rsid w:val="35466E38"/>
    <w:rsid w:val="35523A2F"/>
    <w:rsid w:val="3575596F"/>
    <w:rsid w:val="35980BD9"/>
    <w:rsid w:val="35A72150"/>
    <w:rsid w:val="35B37551"/>
    <w:rsid w:val="35B77D36"/>
    <w:rsid w:val="35BC70FA"/>
    <w:rsid w:val="35D41965"/>
    <w:rsid w:val="35D47806"/>
    <w:rsid w:val="362D5DAF"/>
    <w:rsid w:val="36306450"/>
    <w:rsid w:val="36394BEF"/>
    <w:rsid w:val="36415851"/>
    <w:rsid w:val="365932DD"/>
    <w:rsid w:val="36610A6A"/>
    <w:rsid w:val="369167D9"/>
    <w:rsid w:val="36F17277"/>
    <w:rsid w:val="370E607B"/>
    <w:rsid w:val="371B1451"/>
    <w:rsid w:val="374101FF"/>
    <w:rsid w:val="37751C56"/>
    <w:rsid w:val="378974B0"/>
    <w:rsid w:val="3790083E"/>
    <w:rsid w:val="379E73FF"/>
    <w:rsid w:val="37AB1B1C"/>
    <w:rsid w:val="37AC6F17"/>
    <w:rsid w:val="37BF2ED1"/>
    <w:rsid w:val="37C239D4"/>
    <w:rsid w:val="37D01583"/>
    <w:rsid w:val="37ED7A3F"/>
    <w:rsid w:val="38022BDC"/>
    <w:rsid w:val="382673F4"/>
    <w:rsid w:val="386D5023"/>
    <w:rsid w:val="388163D9"/>
    <w:rsid w:val="38983E4E"/>
    <w:rsid w:val="38A74091"/>
    <w:rsid w:val="38C06F01"/>
    <w:rsid w:val="38DF7A7F"/>
    <w:rsid w:val="39350A01"/>
    <w:rsid w:val="393C6ED0"/>
    <w:rsid w:val="39677CC5"/>
    <w:rsid w:val="399565E0"/>
    <w:rsid w:val="399D7F94"/>
    <w:rsid w:val="39AE31FE"/>
    <w:rsid w:val="39BF540B"/>
    <w:rsid w:val="39C62C3D"/>
    <w:rsid w:val="39D07618"/>
    <w:rsid w:val="39E7589A"/>
    <w:rsid w:val="39F552D0"/>
    <w:rsid w:val="39F74BA5"/>
    <w:rsid w:val="39FD5F33"/>
    <w:rsid w:val="3A137505"/>
    <w:rsid w:val="3A26548A"/>
    <w:rsid w:val="3A2B484E"/>
    <w:rsid w:val="3A325BDD"/>
    <w:rsid w:val="3A396F6B"/>
    <w:rsid w:val="3A441E84"/>
    <w:rsid w:val="3A4B3142"/>
    <w:rsid w:val="3A5D5AD7"/>
    <w:rsid w:val="3A7E38B2"/>
    <w:rsid w:val="3A8D158F"/>
    <w:rsid w:val="3A9D4A5A"/>
    <w:rsid w:val="3AB42FBD"/>
    <w:rsid w:val="3ACD3B57"/>
    <w:rsid w:val="3B045A41"/>
    <w:rsid w:val="3B2C4D22"/>
    <w:rsid w:val="3B6224F2"/>
    <w:rsid w:val="3B7F12F6"/>
    <w:rsid w:val="3BD75073"/>
    <w:rsid w:val="3BE64ED1"/>
    <w:rsid w:val="3BEE1C53"/>
    <w:rsid w:val="3C177CC1"/>
    <w:rsid w:val="3C2D0D52"/>
    <w:rsid w:val="3C357C06"/>
    <w:rsid w:val="3C5349E3"/>
    <w:rsid w:val="3C7E15AD"/>
    <w:rsid w:val="3CCD6091"/>
    <w:rsid w:val="3CD70CBD"/>
    <w:rsid w:val="3CE60F00"/>
    <w:rsid w:val="3CE704BC"/>
    <w:rsid w:val="3CF208B5"/>
    <w:rsid w:val="3D314871"/>
    <w:rsid w:val="3DAE0F7D"/>
    <w:rsid w:val="3DBD4357"/>
    <w:rsid w:val="3DBF4E21"/>
    <w:rsid w:val="3DC0640E"/>
    <w:rsid w:val="3DC47494"/>
    <w:rsid w:val="3DCB2BE5"/>
    <w:rsid w:val="3DD376D7"/>
    <w:rsid w:val="3DEB22C0"/>
    <w:rsid w:val="3E39336E"/>
    <w:rsid w:val="3E6A003B"/>
    <w:rsid w:val="3E78202C"/>
    <w:rsid w:val="3EBA4F51"/>
    <w:rsid w:val="3EBC016B"/>
    <w:rsid w:val="3EDB2CE7"/>
    <w:rsid w:val="3EEF22EE"/>
    <w:rsid w:val="3F081602"/>
    <w:rsid w:val="3F082449"/>
    <w:rsid w:val="3F36616F"/>
    <w:rsid w:val="3F4871AE"/>
    <w:rsid w:val="3F4A5777"/>
    <w:rsid w:val="3F514D57"/>
    <w:rsid w:val="3F60143E"/>
    <w:rsid w:val="3F7153F9"/>
    <w:rsid w:val="3F9B5FD2"/>
    <w:rsid w:val="3F9B6B83"/>
    <w:rsid w:val="3FA05CDE"/>
    <w:rsid w:val="3FA82F37"/>
    <w:rsid w:val="3FC01EDD"/>
    <w:rsid w:val="3FD5747A"/>
    <w:rsid w:val="3FFE0A32"/>
    <w:rsid w:val="3FFF2A05"/>
    <w:rsid w:val="400D32E3"/>
    <w:rsid w:val="400F2EC6"/>
    <w:rsid w:val="40251D40"/>
    <w:rsid w:val="405A7C3B"/>
    <w:rsid w:val="408353E4"/>
    <w:rsid w:val="40923879"/>
    <w:rsid w:val="40932860"/>
    <w:rsid w:val="40A11D0E"/>
    <w:rsid w:val="40EC6DDC"/>
    <w:rsid w:val="40F170AA"/>
    <w:rsid w:val="410042A8"/>
    <w:rsid w:val="410B53D9"/>
    <w:rsid w:val="41165E8B"/>
    <w:rsid w:val="413F3272"/>
    <w:rsid w:val="41406E31"/>
    <w:rsid w:val="414553E3"/>
    <w:rsid w:val="41796A32"/>
    <w:rsid w:val="41C061C4"/>
    <w:rsid w:val="41C863AE"/>
    <w:rsid w:val="41E066CC"/>
    <w:rsid w:val="41FB544E"/>
    <w:rsid w:val="421B164C"/>
    <w:rsid w:val="422B5D33"/>
    <w:rsid w:val="42462B6D"/>
    <w:rsid w:val="424A5D19"/>
    <w:rsid w:val="4250579A"/>
    <w:rsid w:val="42674891"/>
    <w:rsid w:val="427E62E2"/>
    <w:rsid w:val="4289147A"/>
    <w:rsid w:val="42A653BA"/>
    <w:rsid w:val="42AD1AEC"/>
    <w:rsid w:val="42DE4B4E"/>
    <w:rsid w:val="42F223AD"/>
    <w:rsid w:val="42F8373B"/>
    <w:rsid w:val="430622FC"/>
    <w:rsid w:val="431E13F4"/>
    <w:rsid w:val="433517D1"/>
    <w:rsid w:val="434B7D0F"/>
    <w:rsid w:val="434D2C25"/>
    <w:rsid w:val="4361198C"/>
    <w:rsid w:val="43993170"/>
    <w:rsid w:val="43C755E8"/>
    <w:rsid w:val="43FE4D82"/>
    <w:rsid w:val="44157B0F"/>
    <w:rsid w:val="4416066E"/>
    <w:rsid w:val="4427252A"/>
    <w:rsid w:val="44376732"/>
    <w:rsid w:val="443C6934"/>
    <w:rsid w:val="443D1D4E"/>
    <w:rsid w:val="443F17B1"/>
    <w:rsid w:val="44507CD3"/>
    <w:rsid w:val="44642C0C"/>
    <w:rsid w:val="44AD0606"/>
    <w:rsid w:val="44B27F70"/>
    <w:rsid w:val="44C71617"/>
    <w:rsid w:val="44F80CE9"/>
    <w:rsid w:val="45010FCD"/>
    <w:rsid w:val="4513485D"/>
    <w:rsid w:val="454A4722"/>
    <w:rsid w:val="457C68A6"/>
    <w:rsid w:val="45837329"/>
    <w:rsid w:val="45984FD7"/>
    <w:rsid w:val="45A02594"/>
    <w:rsid w:val="45BE6EBE"/>
    <w:rsid w:val="45C36283"/>
    <w:rsid w:val="45E00BE3"/>
    <w:rsid w:val="45F46806"/>
    <w:rsid w:val="46260101"/>
    <w:rsid w:val="462C6948"/>
    <w:rsid w:val="462E490D"/>
    <w:rsid w:val="464F42E8"/>
    <w:rsid w:val="465A0995"/>
    <w:rsid w:val="465A2875"/>
    <w:rsid w:val="46850939"/>
    <w:rsid w:val="46B81B60"/>
    <w:rsid w:val="47125265"/>
    <w:rsid w:val="474E6C61"/>
    <w:rsid w:val="47700BE5"/>
    <w:rsid w:val="477C2ED7"/>
    <w:rsid w:val="47A70D1B"/>
    <w:rsid w:val="47B56610"/>
    <w:rsid w:val="47D420AB"/>
    <w:rsid w:val="48180B08"/>
    <w:rsid w:val="48223734"/>
    <w:rsid w:val="483E36C7"/>
    <w:rsid w:val="48776B62"/>
    <w:rsid w:val="487839B2"/>
    <w:rsid w:val="487C662B"/>
    <w:rsid w:val="488937B4"/>
    <w:rsid w:val="48D51A77"/>
    <w:rsid w:val="48FA1FBB"/>
    <w:rsid w:val="49373210"/>
    <w:rsid w:val="4944592C"/>
    <w:rsid w:val="499860A6"/>
    <w:rsid w:val="49F11610"/>
    <w:rsid w:val="4A3027A7"/>
    <w:rsid w:val="4A4C2CEB"/>
    <w:rsid w:val="4ABD14F2"/>
    <w:rsid w:val="4AC26B09"/>
    <w:rsid w:val="4ACE3700"/>
    <w:rsid w:val="4AE01685"/>
    <w:rsid w:val="4AF56EDE"/>
    <w:rsid w:val="4B80314D"/>
    <w:rsid w:val="4BBA69BC"/>
    <w:rsid w:val="4BDB2578"/>
    <w:rsid w:val="4BE16C2F"/>
    <w:rsid w:val="4BE47401"/>
    <w:rsid w:val="4BE8259F"/>
    <w:rsid w:val="4C3707CB"/>
    <w:rsid w:val="4C553F36"/>
    <w:rsid w:val="4C6C2B44"/>
    <w:rsid w:val="4C806D7F"/>
    <w:rsid w:val="4CAC5739"/>
    <w:rsid w:val="4CBD0415"/>
    <w:rsid w:val="4CED2C69"/>
    <w:rsid w:val="4CF66298"/>
    <w:rsid w:val="4D07739D"/>
    <w:rsid w:val="4D2243EF"/>
    <w:rsid w:val="4D2F3ED8"/>
    <w:rsid w:val="4D3C5E91"/>
    <w:rsid w:val="4D7D7304"/>
    <w:rsid w:val="4D9F4273"/>
    <w:rsid w:val="4DB26FA1"/>
    <w:rsid w:val="4DC041CF"/>
    <w:rsid w:val="4DE4148C"/>
    <w:rsid w:val="4DED2394"/>
    <w:rsid w:val="4E2B70BB"/>
    <w:rsid w:val="4E3C3076"/>
    <w:rsid w:val="4E5A7363"/>
    <w:rsid w:val="4E615575"/>
    <w:rsid w:val="4E6B74B7"/>
    <w:rsid w:val="4E7E1C21"/>
    <w:rsid w:val="4E922C96"/>
    <w:rsid w:val="4EB25DBB"/>
    <w:rsid w:val="4F0718D0"/>
    <w:rsid w:val="4F251D5C"/>
    <w:rsid w:val="4FAA76DD"/>
    <w:rsid w:val="4FCC15FF"/>
    <w:rsid w:val="4FD35314"/>
    <w:rsid w:val="4FE055FC"/>
    <w:rsid w:val="4FE535DF"/>
    <w:rsid w:val="4FEE0D10"/>
    <w:rsid w:val="4FFE6835"/>
    <w:rsid w:val="500B2D00"/>
    <w:rsid w:val="5024289C"/>
    <w:rsid w:val="503C735D"/>
    <w:rsid w:val="5043693E"/>
    <w:rsid w:val="504A7CCC"/>
    <w:rsid w:val="50715259"/>
    <w:rsid w:val="50947199"/>
    <w:rsid w:val="50A602ED"/>
    <w:rsid w:val="50BA160C"/>
    <w:rsid w:val="510A120A"/>
    <w:rsid w:val="512A365A"/>
    <w:rsid w:val="51392E48"/>
    <w:rsid w:val="51610292"/>
    <w:rsid w:val="516115B4"/>
    <w:rsid w:val="51630E60"/>
    <w:rsid w:val="5176689F"/>
    <w:rsid w:val="51824063"/>
    <w:rsid w:val="519D3E2C"/>
    <w:rsid w:val="51EE4372"/>
    <w:rsid w:val="51FA127E"/>
    <w:rsid w:val="5207347D"/>
    <w:rsid w:val="52416EAD"/>
    <w:rsid w:val="52860D64"/>
    <w:rsid w:val="52A1794C"/>
    <w:rsid w:val="52B92EE7"/>
    <w:rsid w:val="52BC29D7"/>
    <w:rsid w:val="52D03D8D"/>
    <w:rsid w:val="52D970E6"/>
    <w:rsid w:val="52EF6909"/>
    <w:rsid w:val="53073C53"/>
    <w:rsid w:val="530E3233"/>
    <w:rsid w:val="53165C44"/>
    <w:rsid w:val="53185E60"/>
    <w:rsid w:val="531B78B9"/>
    <w:rsid w:val="53202F66"/>
    <w:rsid w:val="532760A3"/>
    <w:rsid w:val="534327B1"/>
    <w:rsid w:val="5354676C"/>
    <w:rsid w:val="536C721C"/>
    <w:rsid w:val="53702858"/>
    <w:rsid w:val="538B502A"/>
    <w:rsid w:val="538E7ED0"/>
    <w:rsid w:val="53915C12"/>
    <w:rsid w:val="53A45945"/>
    <w:rsid w:val="53A577D0"/>
    <w:rsid w:val="53AA2830"/>
    <w:rsid w:val="53B84F69"/>
    <w:rsid w:val="53BA19C2"/>
    <w:rsid w:val="53CA0834"/>
    <w:rsid w:val="53D72ACA"/>
    <w:rsid w:val="53E915AA"/>
    <w:rsid w:val="53EC0951"/>
    <w:rsid w:val="53EE0EFD"/>
    <w:rsid w:val="53F32429"/>
    <w:rsid w:val="53FD53DF"/>
    <w:rsid w:val="542C1085"/>
    <w:rsid w:val="54384218"/>
    <w:rsid w:val="543F741C"/>
    <w:rsid w:val="54482775"/>
    <w:rsid w:val="54B02D4F"/>
    <w:rsid w:val="54EA3781"/>
    <w:rsid w:val="54ED376F"/>
    <w:rsid w:val="54F2623D"/>
    <w:rsid w:val="55054147"/>
    <w:rsid w:val="55081F04"/>
    <w:rsid w:val="55265A7D"/>
    <w:rsid w:val="552669B6"/>
    <w:rsid w:val="557F3E00"/>
    <w:rsid w:val="5588094F"/>
    <w:rsid w:val="558C6691"/>
    <w:rsid w:val="55B61960"/>
    <w:rsid w:val="55DC0515"/>
    <w:rsid w:val="55FF3307"/>
    <w:rsid w:val="55FF6E63"/>
    <w:rsid w:val="56091A90"/>
    <w:rsid w:val="56253F4F"/>
    <w:rsid w:val="56336B0D"/>
    <w:rsid w:val="563551E8"/>
    <w:rsid w:val="563B3C13"/>
    <w:rsid w:val="56794E67"/>
    <w:rsid w:val="567A0BDF"/>
    <w:rsid w:val="56B45E9F"/>
    <w:rsid w:val="56C7337E"/>
    <w:rsid w:val="56F95FA8"/>
    <w:rsid w:val="570404A9"/>
    <w:rsid w:val="573413CC"/>
    <w:rsid w:val="575F2360"/>
    <w:rsid w:val="577B683B"/>
    <w:rsid w:val="578A30A4"/>
    <w:rsid w:val="578E22E5"/>
    <w:rsid w:val="57B31820"/>
    <w:rsid w:val="57F54A48"/>
    <w:rsid w:val="57F55ADD"/>
    <w:rsid w:val="58496ABB"/>
    <w:rsid w:val="58951D01"/>
    <w:rsid w:val="58BB59C9"/>
    <w:rsid w:val="58CE6FC1"/>
    <w:rsid w:val="58D00F8B"/>
    <w:rsid w:val="58FF6AF9"/>
    <w:rsid w:val="59041A49"/>
    <w:rsid w:val="592F249A"/>
    <w:rsid w:val="59350DEE"/>
    <w:rsid w:val="59464DA9"/>
    <w:rsid w:val="59483BA3"/>
    <w:rsid w:val="596147DC"/>
    <w:rsid w:val="59A541C5"/>
    <w:rsid w:val="59EA607C"/>
    <w:rsid w:val="5A04713E"/>
    <w:rsid w:val="5A292701"/>
    <w:rsid w:val="5A2C3F9F"/>
    <w:rsid w:val="5A30765B"/>
    <w:rsid w:val="5A5B66E3"/>
    <w:rsid w:val="5A5F3EBC"/>
    <w:rsid w:val="5A600625"/>
    <w:rsid w:val="5A6279C1"/>
    <w:rsid w:val="5A751DEA"/>
    <w:rsid w:val="5A7A11AE"/>
    <w:rsid w:val="5A7B493B"/>
    <w:rsid w:val="5A89132E"/>
    <w:rsid w:val="5A8A6DCB"/>
    <w:rsid w:val="5A8C7845"/>
    <w:rsid w:val="5AD20FEA"/>
    <w:rsid w:val="5ADC7773"/>
    <w:rsid w:val="5AE85938"/>
    <w:rsid w:val="5B2829B8"/>
    <w:rsid w:val="5B370E4D"/>
    <w:rsid w:val="5B5A4B3C"/>
    <w:rsid w:val="5B5B6C00"/>
    <w:rsid w:val="5B8A5421"/>
    <w:rsid w:val="5BE371A1"/>
    <w:rsid w:val="5C0276AD"/>
    <w:rsid w:val="5C1271C4"/>
    <w:rsid w:val="5C43431F"/>
    <w:rsid w:val="5C6E7413"/>
    <w:rsid w:val="5CA70BD7"/>
    <w:rsid w:val="5CD64ACB"/>
    <w:rsid w:val="5CD85CEA"/>
    <w:rsid w:val="5CF35248"/>
    <w:rsid w:val="5CF37ADF"/>
    <w:rsid w:val="5D0E2082"/>
    <w:rsid w:val="5D0F205D"/>
    <w:rsid w:val="5D430142"/>
    <w:rsid w:val="5D437F7D"/>
    <w:rsid w:val="5D981878"/>
    <w:rsid w:val="5DBE321D"/>
    <w:rsid w:val="5DCF1811"/>
    <w:rsid w:val="5DD46E27"/>
    <w:rsid w:val="5DE30E18"/>
    <w:rsid w:val="5DE93060"/>
    <w:rsid w:val="5DFB1D6B"/>
    <w:rsid w:val="5E315472"/>
    <w:rsid w:val="5E484884"/>
    <w:rsid w:val="5E58579A"/>
    <w:rsid w:val="5E5A37D0"/>
    <w:rsid w:val="5E6C9980"/>
    <w:rsid w:val="5E7128C8"/>
    <w:rsid w:val="5EA26944"/>
    <w:rsid w:val="5EA70098"/>
    <w:rsid w:val="5ED976DB"/>
    <w:rsid w:val="5EDA66BF"/>
    <w:rsid w:val="5F0B4089"/>
    <w:rsid w:val="5F304BF4"/>
    <w:rsid w:val="5F4A5A61"/>
    <w:rsid w:val="5F5521EA"/>
    <w:rsid w:val="5F6A180A"/>
    <w:rsid w:val="5F8328B3"/>
    <w:rsid w:val="5F893C41"/>
    <w:rsid w:val="5F8D1984"/>
    <w:rsid w:val="602471D7"/>
    <w:rsid w:val="6054383A"/>
    <w:rsid w:val="60716BAF"/>
    <w:rsid w:val="60793CB6"/>
    <w:rsid w:val="60854409"/>
    <w:rsid w:val="609B59DA"/>
    <w:rsid w:val="60A725D1"/>
    <w:rsid w:val="60D4713E"/>
    <w:rsid w:val="60DF6178"/>
    <w:rsid w:val="60EC4488"/>
    <w:rsid w:val="612B1454"/>
    <w:rsid w:val="61A253BE"/>
    <w:rsid w:val="61CF66BD"/>
    <w:rsid w:val="622540F5"/>
    <w:rsid w:val="623468A3"/>
    <w:rsid w:val="624327CD"/>
    <w:rsid w:val="6252656D"/>
    <w:rsid w:val="62707F48"/>
    <w:rsid w:val="62712E97"/>
    <w:rsid w:val="62C56307"/>
    <w:rsid w:val="62F12229"/>
    <w:rsid w:val="630D00D6"/>
    <w:rsid w:val="630F445E"/>
    <w:rsid w:val="633E0520"/>
    <w:rsid w:val="634467FD"/>
    <w:rsid w:val="634B1E4B"/>
    <w:rsid w:val="63864720"/>
    <w:rsid w:val="63B15515"/>
    <w:rsid w:val="63CC234F"/>
    <w:rsid w:val="64504D2E"/>
    <w:rsid w:val="64727679"/>
    <w:rsid w:val="64805613"/>
    <w:rsid w:val="64832A3F"/>
    <w:rsid w:val="64B33C3A"/>
    <w:rsid w:val="64E47800"/>
    <w:rsid w:val="65212235"/>
    <w:rsid w:val="65255F5E"/>
    <w:rsid w:val="65312DB1"/>
    <w:rsid w:val="65387C9C"/>
    <w:rsid w:val="65404DA2"/>
    <w:rsid w:val="655C6080"/>
    <w:rsid w:val="65735178"/>
    <w:rsid w:val="657459E4"/>
    <w:rsid w:val="658A426F"/>
    <w:rsid w:val="658C233E"/>
    <w:rsid w:val="658D448B"/>
    <w:rsid w:val="65B35574"/>
    <w:rsid w:val="65CF759F"/>
    <w:rsid w:val="65DF280D"/>
    <w:rsid w:val="65EC0A86"/>
    <w:rsid w:val="65F52C07"/>
    <w:rsid w:val="6635067F"/>
    <w:rsid w:val="664D59C9"/>
    <w:rsid w:val="66703465"/>
    <w:rsid w:val="667747F4"/>
    <w:rsid w:val="669037AE"/>
    <w:rsid w:val="669058B5"/>
    <w:rsid w:val="66B75538"/>
    <w:rsid w:val="66BB6DD6"/>
    <w:rsid w:val="66C814F3"/>
    <w:rsid w:val="67281F92"/>
    <w:rsid w:val="673821D5"/>
    <w:rsid w:val="6780605E"/>
    <w:rsid w:val="67C55A8E"/>
    <w:rsid w:val="67CB7C26"/>
    <w:rsid w:val="67D5211A"/>
    <w:rsid w:val="67D839B8"/>
    <w:rsid w:val="68202928"/>
    <w:rsid w:val="6821710D"/>
    <w:rsid w:val="68232E85"/>
    <w:rsid w:val="68362CCE"/>
    <w:rsid w:val="68405094"/>
    <w:rsid w:val="68527809"/>
    <w:rsid w:val="68622876"/>
    <w:rsid w:val="686F695A"/>
    <w:rsid w:val="688B27D8"/>
    <w:rsid w:val="68A13DAA"/>
    <w:rsid w:val="68A928FF"/>
    <w:rsid w:val="68C63810"/>
    <w:rsid w:val="68CB7079"/>
    <w:rsid w:val="68E31B1E"/>
    <w:rsid w:val="69074555"/>
    <w:rsid w:val="69164798"/>
    <w:rsid w:val="691B0000"/>
    <w:rsid w:val="6947305B"/>
    <w:rsid w:val="695218D5"/>
    <w:rsid w:val="696574CD"/>
    <w:rsid w:val="696D2228"/>
    <w:rsid w:val="696D4097"/>
    <w:rsid w:val="69731BEA"/>
    <w:rsid w:val="6973469A"/>
    <w:rsid w:val="69DD7064"/>
    <w:rsid w:val="69F47C99"/>
    <w:rsid w:val="69F51147"/>
    <w:rsid w:val="69FF6FDA"/>
    <w:rsid w:val="6A0D6879"/>
    <w:rsid w:val="6A102F95"/>
    <w:rsid w:val="6A2922A9"/>
    <w:rsid w:val="6A3A2708"/>
    <w:rsid w:val="6A4B791D"/>
    <w:rsid w:val="6A8077CB"/>
    <w:rsid w:val="6A8E65B0"/>
    <w:rsid w:val="6AD06BC8"/>
    <w:rsid w:val="6AE14931"/>
    <w:rsid w:val="6AEC0BB1"/>
    <w:rsid w:val="6B0D1BCA"/>
    <w:rsid w:val="6B217424"/>
    <w:rsid w:val="6B295089"/>
    <w:rsid w:val="6B334A90"/>
    <w:rsid w:val="6B752525"/>
    <w:rsid w:val="6B87197D"/>
    <w:rsid w:val="6B9823DF"/>
    <w:rsid w:val="6BA55F62"/>
    <w:rsid w:val="6BB90B20"/>
    <w:rsid w:val="6BDA5F51"/>
    <w:rsid w:val="6BE15A0A"/>
    <w:rsid w:val="6C046B2A"/>
    <w:rsid w:val="6C205F48"/>
    <w:rsid w:val="6C33740F"/>
    <w:rsid w:val="6C523D39"/>
    <w:rsid w:val="6C64581A"/>
    <w:rsid w:val="6C6F2A4C"/>
    <w:rsid w:val="6C9003BD"/>
    <w:rsid w:val="6CA87DFD"/>
    <w:rsid w:val="6CB0493B"/>
    <w:rsid w:val="6CC573C5"/>
    <w:rsid w:val="6CED3A62"/>
    <w:rsid w:val="6CFA0F76"/>
    <w:rsid w:val="6D19473D"/>
    <w:rsid w:val="6D714693"/>
    <w:rsid w:val="6D7221B9"/>
    <w:rsid w:val="6D732E4B"/>
    <w:rsid w:val="6D7D4DE5"/>
    <w:rsid w:val="6DBD3434"/>
    <w:rsid w:val="6DCF72B7"/>
    <w:rsid w:val="6DD45363"/>
    <w:rsid w:val="6E0E705B"/>
    <w:rsid w:val="6E166336"/>
    <w:rsid w:val="6E1C6898"/>
    <w:rsid w:val="6E26547D"/>
    <w:rsid w:val="6E2A65EF"/>
    <w:rsid w:val="6E386F5E"/>
    <w:rsid w:val="6E470F4F"/>
    <w:rsid w:val="6E4F283B"/>
    <w:rsid w:val="6E606037"/>
    <w:rsid w:val="6E614AB8"/>
    <w:rsid w:val="6E76518E"/>
    <w:rsid w:val="6E971ED7"/>
    <w:rsid w:val="6EB5235D"/>
    <w:rsid w:val="6ED315EE"/>
    <w:rsid w:val="6ED8604B"/>
    <w:rsid w:val="6F0D2199"/>
    <w:rsid w:val="6F1C418A"/>
    <w:rsid w:val="6F2B0CA8"/>
    <w:rsid w:val="6F3A01D0"/>
    <w:rsid w:val="6F7C10CD"/>
    <w:rsid w:val="6FA128E1"/>
    <w:rsid w:val="6FAC7C04"/>
    <w:rsid w:val="6FB46AB9"/>
    <w:rsid w:val="6FD748C9"/>
    <w:rsid w:val="6FDD5985"/>
    <w:rsid w:val="700E447F"/>
    <w:rsid w:val="702A0B29"/>
    <w:rsid w:val="7053007F"/>
    <w:rsid w:val="705D0EFE"/>
    <w:rsid w:val="70645DE9"/>
    <w:rsid w:val="708741CD"/>
    <w:rsid w:val="708C3591"/>
    <w:rsid w:val="70906068"/>
    <w:rsid w:val="70974410"/>
    <w:rsid w:val="709D579F"/>
    <w:rsid w:val="70B74010"/>
    <w:rsid w:val="70B743C1"/>
    <w:rsid w:val="70B825D8"/>
    <w:rsid w:val="70E045F5"/>
    <w:rsid w:val="70E64A50"/>
    <w:rsid w:val="70F076DF"/>
    <w:rsid w:val="71123A97"/>
    <w:rsid w:val="71124563"/>
    <w:rsid w:val="711315BD"/>
    <w:rsid w:val="71162F65"/>
    <w:rsid w:val="71171B91"/>
    <w:rsid w:val="711772FF"/>
    <w:rsid w:val="712B6906"/>
    <w:rsid w:val="71494FDF"/>
    <w:rsid w:val="71597917"/>
    <w:rsid w:val="71810C1C"/>
    <w:rsid w:val="71A17E6E"/>
    <w:rsid w:val="71BC7EA6"/>
    <w:rsid w:val="71C54E5B"/>
    <w:rsid w:val="71CF5DCD"/>
    <w:rsid w:val="71D03DC0"/>
    <w:rsid w:val="71E35433"/>
    <w:rsid w:val="71F66F14"/>
    <w:rsid w:val="720535FB"/>
    <w:rsid w:val="7231619E"/>
    <w:rsid w:val="72323CC5"/>
    <w:rsid w:val="726227FC"/>
    <w:rsid w:val="72B06C75"/>
    <w:rsid w:val="72B4703F"/>
    <w:rsid w:val="72C74D55"/>
    <w:rsid w:val="72D80D10"/>
    <w:rsid w:val="730218E9"/>
    <w:rsid w:val="73120080"/>
    <w:rsid w:val="73171838"/>
    <w:rsid w:val="732857F3"/>
    <w:rsid w:val="738B18DE"/>
    <w:rsid w:val="739509AF"/>
    <w:rsid w:val="739B229B"/>
    <w:rsid w:val="73B766DC"/>
    <w:rsid w:val="7420296E"/>
    <w:rsid w:val="74607B5C"/>
    <w:rsid w:val="747131CA"/>
    <w:rsid w:val="7476433D"/>
    <w:rsid w:val="747855EE"/>
    <w:rsid w:val="748C1A26"/>
    <w:rsid w:val="748C590E"/>
    <w:rsid w:val="74A72748"/>
    <w:rsid w:val="7507768A"/>
    <w:rsid w:val="753C7334"/>
    <w:rsid w:val="75491A51"/>
    <w:rsid w:val="75622B13"/>
    <w:rsid w:val="75662603"/>
    <w:rsid w:val="75710B04"/>
    <w:rsid w:val="75866801"/>
    <w:rsid w:val="758D095C"/>
    <w:rsid w:val="75A44ED9"/>
    <w:rsid w:val="75A5137D"/>
    <w:rsid w:val="75AF3FAA"/>
    <w:rsid w:val="75C630A2"/>
    <w:rsid w:val="75D70262"/>
    <w:rsid w:val="75E33C54"/>
    <w:rsid w:val="76085468"/>
    <w:rsid w:val="76285B0A"/>
    <w:rsid w:val="764364A0"/>
    <w:rsid w:val="764C17F9"/>
    <w:rsid w:val="766F3DA0"/>
    <w:rsid w:val="76746FA2"/>
    <w:rsid w:val="76826FE0"/>
    <w:rsid w:val="76870A83"/>
    <w:rsid w:val="76A15AC2"/>
    <w:rsid w:val="76C659F8"/>
    <w:rsid w:val="76E61C4D"/>
    <w:rsid w:val="76E71522"/>
    <w:rsid w:val="76F82369"/>
    <w:rsid w:val="770519A8"/>
    <w:rsid w:val="774A385E"/>
    <w:rsid w:val="77546CC9"/>
    <w:rsid w:val="77847B6B"/>
    <w:rsid w:val="77B16F55"/>
    <w:rsid w:val="77B66F3B"/>
    <w:rsid w:val="77CE623E"/>
    <w:rsid w:val="77EF630B"/>
    <w:rsid w:val="77F816A9"/>
    <w:rsid w:val="77FE6825"/>
    <w:rsid w:val="78197E01"/>
    <w:rsid w:val="783B7D77"/>
    <w:rsid w:val="78652314"/>
    <w:rsid w:val="786D3CA8"/>
    <w:rsid w:val="788D434B"/>
    <w:rsid w:val="78AE0187"/>
    <w:rsid w:val="78BC5321"/>
    <w:rsid w:val="78EC06E7"/>
    <w:rsid w:val="790A7749"/>
    <w:rsid w:val="79182EA4"/>
    <w:rsid w:val="79183C14"/>
    <w:rsid w:val="793C234D"/>
    <w:rsid w:val="793D7B1F"/>
    <w:rsid w:val="79420C91"/>
    <w:rsid w:val="79642D04"/>
    <w:rsid w:val="796706F8"/>
    <w:rsid w:val="79FE330B"/>
    <w:rsid w:val="7A08012D"/>
    <w:rsid w:val="7A1B6F32"/>
    <w:rsid w:val="7A320489"/>
    <w:rsid w:val="7A3E76AA"/>
    <w:rsid w:val="7A424439"/>
    <w:rsid w:val="7A8C54B0"/>
    <w:rsid w:val="7A8F3748"/>
    <w:rsid w:val="7AA40E74"/>
    <w:rsid w:val="7AAD65DE"/>
    <w:rsid w:val="7AB756AF"/>
    <w:rsid w:val="7AC027B5"/>
    <w:rsid w:val="7AC322A6"/>
    <w:rsid w:val="7ACC5CEF"/>
    <w:rsid w:val="7ADE49EA"/>
    <w:rsid w:val="7AF1471D"/>
    <w:rsid w:val="7B0703E4"/>
    <w:rsid w:val="7B2A7C2F"/>
    <w:rsid w:val="7B436B05"/>
    <w:rsid w:val="7B784E3E"/>
    <w:rsid w:val="7B8B2DF6"/>
    <w:rsid w:val="7B8E01BE"/>
    <w:rsid w:val="7B9D6653"/>
    <w:rsid w:val="7BA42612"/>
    <w:rsid w:val="7BA600C3"/>
    <w:rsid w:val="7BA7127F"/>
    <w:rsid w:val="7BC94A41"/>
    <w:rsid w:val="7BD07F2F"/>
    <w:rsid w:val="7BDF4EBD"/>
    <w:rsid w:val="7BE14791"/>
    <w:rsid w:val="7C014E34"/>
    <w:rsid w:val="7C122B9D"/>
    <w:rsid w:val="7C2166BD"/>
    <w:rsid w:val="7C9061B7"/>
    <w:rsid w:val="7C9E462D"/>
    <w:rsid w:val="7CE00EED"/>
    <w:rsid w:val="7CE61163"/>
    <w:rsid w:val="7CF90201"/>
    <w:rsid w:val="7D11554A"/>
    <w:rsid w:val="7D2E7EAA"/>
    <w:rsid w:val="7D3B6123"/>
    <w:rsid w:val="7D625DA6"/>
    <w:rsid w:val="7D7635FF"/>
    <w:rsid w:val="7D890306"/>
    <w:rsid w:val="7DE46300"/>
    <w:rsid w:val="7DEB4668"/>
    <w:rsid w:val="7E002EC9"/>
    <w:rsid w:val="7E024E93"/>
    <w:rsid w:val="7E0E041C"/>
    <w:rsid w:val="7E1352F2"/>
    <w:rsid w:val="7E176B90"/>
    <w:rsid w:val="7E1C193F"/>
    <w:rsid w:val="7E2D63B4"/>
    <w:rsid w:val="7E3239CA"/>
    <w:rsid w:val="7E61605D"/>
    <w:rsid w:val="7E745D91"/>
    <w:rsid w:val="7E9F58CF"/>
    <w:rsid w:val="7EAB3B49"/>
    <w:rsid w:val="7EB77A2B"/>
    <w:rsid w:val="7EC15CA3"/>
    <w:rsid w:val="7EE04211"/>
    <w:rsid w:val="7EF50554"/>
    <w:rsid w:val="7F0D1FD5"/>
    <w:rsid w:val="7F141322"/>
    <w:rsid w:val="7F1C3D32"/>
    <w:rsid w:val="7F250FD5"/>
    <w:rsid w:val="7F477001"/>
    <w:rsid w:val="7F4974F7"/>
    <w:rsid w:val="7F8C0BDE"/>
    <w:rsid w:val="7F967D36"/>
    <w:rsid w:val="7F995383"/>
    <w:rsid w:val="7FA426A6"/>
    <w:rsid w:val="7FB56661"/>
    <w:rsid w:val="7FB81705"/>
    <w:rsid w:val="7FBA3C77"/>
    <w:rsid w:val="7FC11EE8"/>
    <w:rsid w:val="7FC16F0E"/>
    <w:rsid w:val="7FC248DA"/>
    <w:rsid w:val="7FEA5BDF"/>
    <w:rsid w:val="7FF058EB"/>
    <w:rsid w:val="F4ED29D4"/>
    <w:rsid w:val="FCFFE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numPr>
        <w:ilvl w:val="1"/>
        <w:numId w:val="1"/>
      </w:numPr>
      <w:spacing w:before="60" w:beforeLines="0" w:beforeAutospacing="0" w:after="60" w:afterLines="0" w:afterAutospacing="0" w:line="360" w:lineRule="auto"/>
      <w:ind w:left="575" w:hanging="575"/>
      <w:outlineLvl w:val="1"/>
    </w:pPr>
    <w:rPr>
      <w:rFonts w:ascii="Arial" w:hAnsi="Arial" w:eastAsia="宋体" w:cs="Times New Roman"/>
      <w:b/>
      <w:sz w:val="30"/>
    </w:rPr>
  </w:style>
  <w:style w:type="paragraph" w:styleId="4">
    <w:name w:val="heading 3"/>
    <w:basedOn w:val="1"/>
    <w:next w:val="1"/>
    <w:autoRedefine/>
    <w:semiHidden/>
    <w:unhideWhenUsed/>
    <w:qFormat/>
    <w:uiPriority w:val="0"/>
    <w:pPr>
      <w:keepNext/>
      <w:keepLines/>
      <w:numPr>
        <w:ilvl w:val="2"/>
        <w:numId w:val="1"/>
      </w:numPr>
      <w:tabs>
        <w:tab w:val="left" w:pos="0"/>
      </w:tabs>
      <w:spacing w:beforeLines="0" w:beforeAutospacing="0" w:after="50" w:afterLines="50" w:afterAutospacing="0" w:line="360" w:lineRule="auto"/>
      <w:ind w:left="720" w:leftChars="0" w:right="0" w:rightChars="0" w:hanging="720" w:firstLineChars="0"/>
      <w:jc w:val="left"/>
      <w:outlineLvl w:val="2"/>
    </w:pPr>
    <w:rPr>
      <w:rFonts w:ascii="Times New Roman" w:hAnsi="Times New Roman" w:eastAsia="宋体" w:cs="Times New Roman"/>
      <w:b/>
      <w:sz w:val="28"/>
    </w:rPr>
  </w:style>
  <w:style w:type="paragraph" w:styleId="5">
    <w:name w:val="heading 4"/>
    <w:basedOn w:val="1"/>
    <w:next w:val="1"/>
    <w:autoRedefine/>
    <w:semiHidden/>
    <w:unhideWhenUsed/>
    <w:qFormat/>
    <w:uiPriority w:val="0"/>
    <w:pPr>
      <w:keepNext/>
      <w:keepLines/>
      <w:numPr>
        <w:ilvl w:val="3"/>
        <w:numId w:val="1"/>
      </w:numPr>
      <w:spacing w:before="140" w:beforeLines="0" w:beforeAutospacing="0" w:after="140" w:afterLines="0" w:afterAutospacing="0" w:line="360" w:lineRule="auto"/>
      <w:ind w:left="862" w:hanging="862"/>
      <w:outlineLvl w:val="3"/>
    </w:pPr>
    <w:rPr>
      <w:rFonts w:ascii="Arial" w:hAnsi="Arial" w:eastAsia="宋体" w:cs="Times New Roman"/>
      <w:b/>
      <w:sz w:val="24"/>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line="360" w:lineRule="exact"/>
    </w:pPr>
    <w:rPr>
      <w:sz w:val="24"/>
    </w:rPr>
  </w:style>
  <w:style w:type="paragraph" w:styleId="9">
    <w:name w:val="Body Text Indent"/>
    <w:basedOn w:val="1"/>
    <w:next w:val="10"/>
    <w:autoRedefine/>
    <w:qFormat/>
    <w:uiPriority w:val="0"/>
    <w:pPr>
      <w:spacing w:after="120"/>
      <w:ind w:left="420" w:leftChars="200"/>
    </w:pPr>
  </w:style>
  <w:style w:type="paragraph" w:styleId="10">
    <w:name w:val="Body Text First Indent 2"/>
    <w:basedOn w:val="9"/>
    <w:autoRedefine/>
    <w:qFormat/>
    <w:uiPriority w:val="99"/>
    <w:pPr>
      <w:tabs>
        <w:tab w:val="left" w:pos="2160"/>
      </w:tabs>
      <w:spacing w:after="120" w:line="480" w:lineRule="auto"/>
      <w:ind w:left="418" w:leftChars="0" w:firstLine="216"/>
    </w:pPr>
    <w:rPr>
      <w:rFonts w:eastAsia="仿宋_GB2312"/>
      <w:sz w:val="24"/>
    </w:rPr>
  </w:style>
  <w:style w:type="paragraph" w:styleId="11">
    <w:name w:val="toc 3"/>
    <w:basedOn w:val="1"/>
    <w:next w:val="1"/>
    <w:autoRedefine/>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autoRedefine/>
    <w:qFormat/>
    <w:uiPriority w:val="0"/>
    <w:rPr>
      <w:rFonts w:ascii="宋体" w:hAnsi="Courier New"/>
      <w:szCs w:val="20"/>
    </w:rPr>
  </w:style>
  <w:style w:type="paragraph" w:styleId="13">
    <w:name w:val="Balloon Text"/>
    <w:basedOn w:val="1"/>
    <w:link w:val="35"/>
    <w:autoRedefine/>
    <w:qFormat/>
    <w:uiPriority w:val="0"/>
    <w:pPr>
      <w:spacing w:line="240" w:lineRule="auto"/>
    </w:pPr>
    <w:rPr>
      <w:sz w:val="18"/>
      <w:szCs w:val="18"/>
    </w:rPr>
  </w:style>
  <w:style w:type="paragraph" w:styleId="14">
    <w:name w:val="footer"/>
    <w:basedOn w:val="1"/>
    <w:autoRedefine/>
    <w:qFormat/>
    <w:uiPriority w:val="0"/>
    <w:pPr>
      <w:tabs>
        <w:tab w:val="center" w:pos="4153"/>
        <w:tab w:val="right" w:pos="8306"/>
      </w:tabs>
      <w:snapToGrid w:val="0"/>
      <w:jc w:val="left"/>
    </w:pPr>
    <w:rPr>
      <w:sz w:val="18"/>
      <w:szCs w:val="20"/>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spacing w:before="120" w:after="120"/>
      <w:jc w:val="left"/>
    </w:pPr>
    <w:rPr>
      <w:rFonts w:ascii="Calibri" w:hAnsi="Calibri"/>
      <w:b/>
      <w:bCs/>
      <w:caps/>
      <w:sz w:val="20"/>
      <w:szCs w:val="20"/>
    </w:rPr>
  </w:style>
  <w:style w:type="paragraph" w:styleId="17">
    <w:name w:val="toc 6"/>
    <w:basedOn w:val="1"/>
    <w:next w:val="1"/>
    <w:semiHidden/>
    <w:qFormat/>
    <w:uiPriority w:val="0"/>
    <w:pPr>
      <w:ind w:left="1200"/>
    </w:pPr>
    <w:rPr>
      <w:sz w:val="18"/>
      <w:szCs w:val="18"/>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widowControl/>
      <w:spacing w:before="100" w:beforeAutospacing="1" w:after="119"/>
      <w:jc w:val="left"/>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Cambria" w:hAnsi="Cambria"/>
      <w:b/>
      <w:bCs/>
      <w:sz w:val="36"/>
      <w:szCs w:val="32"/>
    </w:rPr>
  </w:style>
  <w:style w:type="paragraph" w:styleId="21">
    <w:name w:val="Body Text First Indent"/>
    <w:basedOn w:val="8"/>
    <w:next w:val="17"/>
    <w:autoRedefine/>
    <w:unhideWhenUsed/>
    <w:qFormat/>
    <w:uiPriority w:val="99"/>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style>
  <w:style w:type="character" w:styleId="26">
    <w:name w:val="page number"/>
    <w:basedOn w:val="24"/>
    <w:autoRedefine/>
    <w:qFormat/>
    <w:uiPriority w:val="0"/>
  </w:style>
  <w:style w:type="character" w:styleId="27">
    <w:name w:val="Hyperlink"/>
    <w:autoRedefine/>
    <w:qFormat/>
    <w:uiPriority w:val="0"/>
    <w:rPr>
      <w:color w:val="000099"/>
      <w:u w:val="none"/>
    </w:rPr>
  </w:style>
  <w:style w:type="paragraph" w:customStyle="1" w:styleId="28">
    <w:name w:val="一级条标题"/>
    <w:basedOn w:val="29"/>
    <w:next w:val="30"/>
    <w:autoRedefine/>
    <w:qFormat/>
    <w:uiPriority w:val="0"/>
    <w:pPr>
      <w:spacing w:line="240" w:lineRule="auto"/>
      <w:ind w:left="420"/>
      <w:outlineLvl w:val="2"/>
    </w:pPr>
  </w:style>
  <w:style w:type="paragraph" w:customStyle="1" w:styleId="29">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30">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样式 标题 3 + 首行缩进:  2 字符"/>
    <w:basedOn w:val="4"/>
    <w:autoRedefine/>
    <w:qFormat/>
    <w:uiPriority w:val="0"/>
    <w:pPr>
      <w:spacing w:before="0" w:after="0" w:line="480" w:lineRule="exact"/>
    </w:pPr>
    <w:rPr>
      <w:sz w:val="28"/>
      <w:szCs w:val="28"/>
      <w:lang w:bidi="ar-DZ"/>
    </w:rPr>
  </w:style>
  <w:style w:type="paragraph" w:customStyle="1" w:styleId="34">
    <w:name w:val="列出段落1"/>
    <w:basedOn w:val="1"/>
    <w:autoRedefine/>
    <w:qFormat/>
    <w:uiPriority w:val="34"/>
    <w:pPr>
      <w:ind w:firstLine="420"/>
    </w:pPr>
    <w:rPr>
      <w:rFonts w:ascii="Calibri" w:hAnsi="Calibri"/>
    </w:rPr>
  </w:style>
  <w:style w:type="character" w:customStyle="1" w:styleId="35">
    <w:name w:val="批注框文本 Char"/>
    <w:basedOn w:val="24"/>
    <w:link w:val="13"/>
    <w:autoRedefine/>
    <w:qFormat/>
    <w:uiPriority w:val="0"/>
    <w:rPr>
      <w:sz w:val="18"/>
      <w:szCs w:val="18"/>
    </w:rPr>
  </w:style>
  <w:style w:type="character" w:customStyle="1" w:styleId="36">
    <w:name w:val="font41"/>
    <w:basedOn w:val="24"/>
    <w:autoRedefine/>
    <w:qFormat/>
    <w:uiPriority w:val="0"/>
    <w:rPr>
      <w:rFonts w:hint="default" w:ascii="Tahoma" w:hAnsi="Tahoma" w:eastAsia="Tahoma" w:cs="Tahoma"/>
      <w:color w:val="000000"/>
      <w:sz w:val="18"/>
      <w:szCs w:val="18"/>
      <w:u w:val="none"/>
    </w:rPr>
  </w:style>
  <w:style w:type="character" w:customStyle="1" w:styleId="37">
    <w:name w:val="font11"/>
    <w:basedOn w:val="24"/>
    <w:autoRedefine/>
    <w:qFormat/>
    <w:uiPriority w:val="0"/>
    <w:rPr>
      <w:rFonts w:hint="eastAsia" w:ascii="宋体" w:hAnsi="宋体" w:eastAsia="宋体" w:cs="宋体"/>
      <w:color w:val="000000"/>
      <w:sz w:val="24"/>
      <w:szCs w:val="24"/>
      <w:u w:val="none"/>
      <w:vertAlign w:val="subscript"/>
    </w:rPr>
  </w:style>
  <w:style w:type="character" w:customStyle="1" w:styleId="38">
    <w:name w:val="int_huang_12_b1"/>
    <w:autoRedefine/>
    <w:qFormat/>
    <w:uiPriority w:val="0"/>
    <w:rPr>
      <w:rFonts w:hint="default" w:ascii="Verdana" w:hAnsi="Verdana"/>
      <w:b/>
      <w:bCs/>
      <w:color w:val="EECC77"/>
      <w:sz w:val="18"/>
      <w:szCs w:val="18"/>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文本缩进 21"/>
    <w:basedOn w:val="1"/>
    <w:autoRedefine/>
    <w:qFormat/>
    <w:uiPriority w:val="0"/>
    <w:pPr>
      <w:spacing w:after="120" w:line="480" w:lineRule="auto"/>
      <w:ind w:left="200" w:leftChars="200"/>
    </w:pPr>
  </w:style>
  <w:style w:type="paragraph" w:customStyle="1" w:styleId="41">
    <w:name w:val="List Paragraph"/>
    <w:basedOn w:val="1"/>
    <w:autoRedefine/>
    <w:qFormat/>
    <w:uiPriority w:val="99"/>
    <w:pPr>
      <w:ind w:firstLine="420" w:firstLineChars="200"/>
    </w:p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59</Pages>
  <Words>6752</Words>
  <Characters>7281</Characters>
  <Lines>32</Lines>
  <Paragraphs>58</Paragraphs>
  <TotalTime>20</TotalTime>
  <ScaleCrop>false</ScaleCrop>
  <LinksUpToDate>false</LinksUpToDate>
  <CharactersWithSpaces>7387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2016-02-18T11:12:00Z</dcterms:created>
  <dc:creator>Administrator</dc:creator>
  <cp:lastModifiedBy>雯曦</cp:lastModifiedBy>
  <cp:lastPrinted>2021-04-09T15:18:00Z</cp:lastPrinted>
  <dcterms:modified xsi:type="dcterms:W3CDTF">2024-11-20T09:58:04Z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5D9FCE52B6DC4F0B932F8530869CEE6F_13</vt:lpwstr>
  </property>
</Properties>
</file>