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A7F15">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02D86325">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261DD25B">
      <w:pPr>
        <w:autoSpaceDE w:val="0"/>
        <w:autoSpaceDN w:val="0"/>
        <w:adjustRightInd w:val="0"/>
        <w:spacing w:line="720" w:lineRule="auto"/>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lang w:val="zh-CN"/>
          <w14:textFill>
            <w14:solidFill>
              <w14:schemeClr w14:val="tx1"/>
            </w14:solidFill>
          </w14:textFill>
        </w:rPr>
        <w:t>竞争性磋商文件</w:t>
      </w:r>
    </w:p>
    <w:p w14:paraId="19BA2EC7">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highlight w:val="none"/>
          <w14:textFill>
            <w14:solidFill>
              <w14:schemeClr w14:val="tx1"/>
            </w14:solidFill>
          </w14:textFill>
        </w:rPr>
      </w:pPr>
    </w:p>
    <w:p w14:paraId="279AFA7A">
      <w:pPr>
        <w:adjustRightInd w:val="0"/>
        <w:spacing w:line="720" w:lineRule="auto"/>
        <w:ind w:firstLine="0" w:firstLineChars="0"/>
        <w:textAlignment w:val="baseline"/>
        <w:rPr>
          <w:rFonts w:ascii="宋体" w:hAnsi="宋体" w:cs="宋体"/>
          <w:b/>
          <w:color w:val="000000" w:themeColor="text1"/>
          <w:sz w:val="24"/>
          <w:szCs w:val="24"/>
          <w:highlight w:val="none"/>
          <w14:textFill>
            <w14:solidFill>
              <w14:schemeClr w14:val="tx1"/>
            </w14:solidFill>
          </w14:textFill>
        </w:rPr>
      </w:pPr>
    </w:p>
    <w:p w14:paraId="0D5EEA13">
      <w:pPr>
        <w:pStyle w:val="10"/>
        <w:spacing w:line="500" w:lineRule="exact"/>
        <w:rPr>
          <w:rFonts w:hint="default" w:ascii="宋体" w:hAnsi="宋体" w:eastAsia="宋体" w:cs="宋体"/>
          <w:b/>
          <w:color w:val="000000" w:themeColor="text1"/>
          <w:sz w:val="32"/>
          <w:szCs w:val="32"/>
          <w:highlight w:val="yellow"/>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采购项目编号：</w:t>
      </w:r>
      <w:r>
        <w:rPr>
          <w:rFonts w:hint="eastAsia" w:ascii="宋体" w:hAnsi="宋体" w:cs="宋体"/>
          <w:b/>
          <w:color w:val="000000" w:themeColor="text1"/>
          <w:sz w:val="32"/>
          <w:szCs w:val="32"/>
          <w:highlight w:val="none"/>
          <w:lang w:eastAsia="zh-CN"/>
          <w14:textFill>
            <w14:solidFill>
              <w14:schemeClr w14:val="tx1"/>
            </w14:solidFill>
          </w14:textFill>
        </w:rPr>
        <w:t>青海</w:t>
      </w:r>
      <w:r>
        <w:rPr>
          <w:rFonts w:hint="eastAsia" w:ascii="宋体" w:hAnsi="宋体" w:cs="宋体"/>
          <w:b/>
          <w:color w:val="000000" w:themeColor="text1"/>
          <w:sz w:val="32"/>
          <w:szCs w:val="32"/>
          <w:highlight w:val="none"/>
          <w:lang w:val="en-US" w:eastAsia="zh-CN"/>
          <w14:textFill>
            <w14:solidFill>
              <w14:schemeClr w14:val="tx1"/>
            </w14:solidFill>
          </w14:textFill>
        </w:rPr>
        <w:t>省招</w:t>
      </w:r>
      <w:r>
        <w:rPr>
          <w:rFonts w:hint="eastAsia" w:ascii="宋体" w:hAnsi="宋体" w:cs="宋体"/>
          <w:b/>
          <w:color w:val="000000" w:themeColor="text1"/>
          <w:sz w:val="32"/>
          <w:szCs w:val="32"/>
          <w:highlight w:val="none"/>
          <w:lang w:eastAsia="zh-CN"/>
          <w14:textFill>
            <w14:solidFill>
              <w14:schemeClr w14:val="tx1"/>
            </w14:solidFill>
          </w14:textFill>
        </w:rPr>
        <w:t>竞磋（服务）202</w:t>
      </w:r>
      <w:r>
        <w:rPr>
          <w:rFonts w:hint="eastAsia" w:ascii="宋体" w:hAnsi="宋体" w:cs="宋体"/>
          <w:b/>
          <w:color w:val="000000" w:themeColor="text1"/>
          <w:sz w:val="32"/>
          <w:szCs w:val="32"/>
          <w:highlight w:val="none"/>
          <w:lang w:val="en-US" w:eastAsia="zh-CN"/>
          <w14:textFill>
            <w14:solidFill>
              <w14:schemeClr w14:val="tx1"/>
            </w14:solidFill>
          </w14:textFill>
        </w:rPr>
        <w:t>5</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003</w:t>
      </w:r>
    </w:p>
    <w:p w14:paraId="3E6FDB8A">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采购项目名称：</w:t>
      </w:r>
      <w:bookmarkStart w:id="401" w:name="_GoBack"/>
      <w:r>
        <w:rPr>
          <w:rFonts w:hint="eastAsia" w:ascii="宋体" w:hAnsi="宋体" w:cs="宋体"/>
          <w:b/>
          <w:color w:val="000000" w:themeColor="text1"/>
          <w:sz w:val="32"/>
          <w:szCs w:val="32"/>
          <w:highlight w:val="none"/>
          <w:lang w:eastAsia="zh-CN"/>
          <w14:textFill>
            <w14:solidFill>
              <w14:schemeClr w14:val="tx1"/>
            </w14:solidFill>
          </w14:textFill>
        </w:rPr>
        <w:t>2025年度国家重点生态功能区县域环境质量考核环境监测项目</w:t>
      </w:r>
      <w:bookmarkEnd w:id="401"/>
      <w:r>
        <w:rPr>
          <w:rFonts w:hint="eastAsia" w:ascii="宋体" w:hAnsi="宋体" w:cs="宋体"/>
          <w:b/>
          <w:color w:val="000000" w:themeColor="text1"/>
          <w:kern w:val="2"/>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w:t>
      </w:r>
    </w:p>
    <w:p w14:paraId="64A44627">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 购 人：</w:t>
      </w:r>
      <w:r>
        <w:rPr>
          <w:rFonts w:hint="eastAsia" w:ascii="宋体" w:hAnsi="宋体" w:cs="宋体"/>
          <w:b/>
          <w:color w:val="000000" w:themeColor="text1"/>
          <w:sz w:val="32"/>
          <w:szCs w:val="32"/>
          <w:highlight w:val="none"/>
          <w:lang w:eastAsia="zh-CN"/>
          <w14:textFill>
            <w14:solidFill>
              <w14:schemeClr w14:val="tx1"/>
            </w14:solidFill>
          </w14:textFill>
        </w:rPr>
        <w:t>称多县生态环境局</w:t>
      </w:r>
      <w:r>
        <w:rPr>
          <w:rFonts w:hint="eastAsia" w:ascii="宋体" w:hAnsi="宋体" w:cs="宋体"/>
          <w:b/>
          <w:color w:val="000000" w:themeColor="text1"/>
          <w:sz w:val="32"/>
          <w:szCs w:val="32"/>
          <w:highlight w:val="none"/>
          <w14:textFill>
            <w14:solidFill>
              <w14:schemeClr w14:val="tx1"/>
            </w14:solidFill>
          </w14:textFill>
        </w:rPr>
        <w:t xml:space="preserve">                        </w:t>
      </w:r>
    </w:p>
    <w:p w14:paraId="2FD3D56E">
      <w:pPr>
        <w:adjustRightInd w:val="0"/>
        <w:spacing w:line="720" w:lineRule="auto"/>
        <w:ind w:firstLine="0" w:firstLineChars="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w:t>
      </w:r>
      <w:r>
        <w:rPr>
          <w:rFonts w:hint="eastAsia" w:ascii="宋体" w:hAnsi="宋体" w:cs="宋体"/>
          <w:b/>
          <w:color w:val="000000" w:themeColor="text1"/>
          <w:sz w:val="32"/>
          <w:szCs w:val="32"/>
          <w:highlight w:val="none"/>
          <w:lang w:eastAsia="zh-CN"/>
          <w14:textFill>
            <w14:solidFill>
              <w14:schemeClr w14:val="tx1"/>
            </w14:solidFill>
          </w14:textFill>
        </w:rPr>
        <w:t>青海省招标有限责任公司</w:t>
      </w:r>
      <w:r>
        <w:rPr>
          <w:rFonts w:hint="eastAsia" w:ascii="宋体" w:hAnsi="宋体" w:cs="宋体"/>
          <w:b/>
          <w:color w:val="000000" w:themeColor="text1"/>
          <w:sz w:val="32"/>
          <w:szCs w:val="32"/>
          <w:highlight w:val="none"/>
          <w14:textFill>
            <w14:solidFill>
              <w14:schemeClr w14:val="tx1"/>
            </w14:solidFill>
          </w14:textFill>
        </w:rPr>
        <w:t xml:space="preserve">                           </w:t>
      </w:r>
    </w:p>
    <w:p w14:paraId="721CC909">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084AD209">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06FC3E4A">
      <w:pPr>
        <w:spacing w:line="720" w:lineRule="auto"/>
        <w:ind w:firstLine="0" w:firstLineChars="0"/>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lang w:eastAsia="zh-CN"/>
          <w14:textFill>
            <w14:solidFill>
              <w14:schemeClr w14:val="tx1"/>
            </w14:solidFill>
          </w14:textFill>
        </w:rPr>
        <w:t>年0</w:t>
      </w:r>
      <w:r>
        <w:rPr>
          <w:rFonts w:hint="eastAsia" w:ascii="宋体" w:hAnsi="宋体" w:cs="宋体"/>
          <w:b/>
          <w:bCs/>
          <w:color w:val="000000" w:themeColor="text1"/>
          <w:sz w:val="32"/>
          <w:szCs w:val="32"/>
          <w:highlight w:val="none"/>
          <w:lang w:val="en-US" w:eastAsia="zh-CN"/>
          <w14:textFill>
            <w14:solidFill>
              <w14:schemeClr w14:val="tx1"/>
            </w14:solidFill>
          </w14:textFill>
        </w:rPr>
        <w:t>1</w:t>
      </w:r>
      <w:r>
        <w:rPr>
          <w:rFonts w:hint="eastAsia" w:ascii="宋体" w:hAnsi="宋体" w:cs="宋体"/>
          <w:b/>
          <w:bCs/>
          <w:color w:val="000000" w:themeColor="text1"/>
          <w:sz w:val="32"/>
          <w:szCs w:val="32"/>
          <w:highlight w:val="none"/>
          <w:lang w:eastAsia="zh-CN"/>
          <w14:textFill>
            <w14:solidFill>
              <w14:schemeClr w14:val="tx1"/>
            </w14:solidFill>
          </w14:textFill>
        </w:rPr>
        <w:t>月</w:t>
      </w:r>
    </w:p>
    <w:p w14:paraId="2EF456C8">
      <w:pPr>
        <w:spacing w:line="440" w:lineRule="exact"/>
        <w:ind w:firstLine="0" w:firstLineChars="0"/>
        <w:jc w:val="left"/>
        <w:rPr>
          <w:rFonts w:ascii="宋体" w:hAnsi="宋体" w:cs="宋体"/>
          <w:b/>
          <w:color w:val="000000" w:themeColor="text1"/>
          <w:sz w:val="40"/>
          <w:szCs w:val="30"/>
          <w:highlight w:val="none"/>
          <w14:textFill>
            <w14:solidFill>
              <w14:schemeClr w14:val="tx1"/>
            </w14:solidFill>
          </w14:textFill>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28073B68">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目 录</w:t>
      </w:r>
    </w:p>
    <w:p w14:paraId="1DDCF076">
      <w:pPr>
        <w:pStyle w:val="19"/>
        <w:tabs>
          <w:tab w:val="right" w:leader="dot" w:pos="9062"/>
        </w:tabs>
        <w:spacing w:line="600" w:lineRule="exact"/>
        <w:ind w:left="141" w:leftChars="67" w:firstLine="1" w:firstLineChars="0"/>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begin"/>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instrText xml:space="preserve"> TOC \o "1-3" \h \z \u </w:instrText>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"_Toc101710027"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第一部分 竞争性磋商公告</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1</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41ED17F4">
      <w:pPr>
        <w:pStyle w:val="19"/>
        <w:tabs>
          <w:tab w:val="right" w:leader="dot" w:pos="9062"/>
        </w:tabs>
        <w:spacing w:line="600" w:lineRule="exact"/>
        <w:ind w:firstLine="94" w:firstLineChars="47"/>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"_Toc101710028"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第二部分 供应商须知</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2EA33EB3">
      <w:pPr>
        <w:pStyle w:val="19"/>
        <w:tabs>
          <w:tab w:val="right" w:leader="dot" w:pos="9062"/>
        </w:tabs>
        <w:spacing w:line="600" w:lineRule="exact"/>
        <w:ind w:firstLine="94" w:firstLineChars="47"/>
        <w:rPr>
          <w:rFonts w:hint="eastAsia"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"_Toc101710029"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第三部分 采购项目合同书</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p>
    <w:p w14:paraId="5CD8F844">
      <w:pPr>
        <w:pStyle w:val="19"/>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"_Toc101710030"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第四部分 响应文件格式</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24</w:t>
      </w:r>
    </w:p>
    <w:p w14:paraId="460B0A3B">
      <w:pPr>
        <w:pStyle w:val="19"/>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"_Toc101710031"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第五部分 服务要求</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45</w:t>
      </w:r>
    </w:p>
    <w:p w14:paraId="78E0141F">
      <w:pPr>
        <w:spacing w:line="600" w:lineRule="exact"/>
        <w:ind w:firstLine="141" w:firstLineChars="47"/>
        <w:jc w:val="center"/>
        <w:rPr>
          <w:rFonts w:ascii="宋体" w:hAnsi="宋体" w:cs="宋体"/>
          <w:bCs/>
          <w:color w:val="000000" w:themeColor="text1"/>
          <w:szCs w:val="24"/>
          <w:highlight w:val="none"/>
          <w:lang w:val="zh-CN"/>
          <w14:textFill>
            <w14:solidFill>
              <w14:schemeClr w14:val="tx1"/>
            </w14:solidFill>
          </w14:textFill>
        </w:rPr>
      </w:pPr>
      <w:r>
        <w:rPr>
          <w:rStyle w:val="35"/>
          <w:rFonts w:hint="eastAsia" w:cs="仿宋_GB2312" w:asciiTheme="minorEastAsia" w:hAnsiTheme="minorEastAsia" w:eastAsiaTheme="minorEastAsia"/>
          <w:bCs/>
          <w:color w:val="000000" w:themeColor="text1"/>
          <w:sz w:val="30"/>
          <w:szCs w:val="30"/>
          <w:highlight w:val="none"/>
          <w:lang w:val="zh-CN"/>
          <w14:textFill>
            <w14:solidFill>
              <w14:schemeClr w14:val="tx1"/>
            </w14:solidFill>
          </w14:textFill>
        </w:rPr>
        <w:fldChar w:fldCharType="end"/>
      </w:r>
    </w:p>
    <w:p w14:paraId="39562DD2">
      <w:pPr>
        <w:pStyle w:val="3"/>
        <w:spacing w:before="60" w:after="20"/>
        <w:jc w:val="center"/>
        <w:rPr>
          <w:rFonts w:ascii="Microsoft YaHei UI" w:hAnsi="Microsoft YaHei UI" w:eastAsia="Microsoft YaHei UI"/>
          <w:color w:val="000000" w:themeColor="text1"/>
          <w:spacing w:val="7"/>
          <w:sz w:val="19"/>
          <w:szCs w:val="19"/>
          <w:highlight w:val="none"/>
          <w14:textFill>
            <w14:solidFill>
              <w14:schemeClr w14:val="tx1"/>
            </w14:solidFill>
          </w14:textFill>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730CD2DF">
      <w:pPr>
        <w:pStyle w:val="3"/>
        <w:spacing w:before="60" w:after="20"/>
        <w:jc w:val="center"/>
        <w:rPr>
          <w:rFonts w:ascii="宋体" w:hAnsi="宋体"/>
          <w:color w:val="000000" w:themeColor="text1"/>
          <w:sz w:val="44"/>
          <w:highlight w:val="none"/>
          <w14:textFill>
            <w14:solidFill>
              <w14:schemeClr w14:val="tx1"/>
            </w14:solidFill>
          </w14:textFill>
        </w:rPr>
      </w:pPr>
      <w:r>
        <w:rPr>
          <w:rFonts w:hint="eastAsia" w:ascii="Microsoft YaHei UI" w:hAnsi="Microsoft YaHei UI" w:eastAsia="Microsoft YaHei UI"/>
          <w:color w:val="000000" w:themeColor="text1"/>
          <w:spacing w:val="7"/>
          <w:sz w:val="19"/>
          <w:szCs w:val="19"/>
          <w:highlight w:val="none"/>
          <w14:textFill>
            <w14:solidFill>
              <w14:schemeClr w14:val="tx1"/>
            </w14:solidFill>
          </w14:textFill>
        </w:rPr>
        <w:t> </w:t>
      </w:r>
      <w:bookmarkStart w:id="0" w:name="_Toc101710027"/>
      <w:r>
        <w:rPr>
          <w:rFonts w:hint="eastAsia" w:ascii="宋体" w:hAnsi="宋体" w:cs="宋体"/>
          <w:bCs w:val="0"/>
          <w:color w:val="000000" w:themeColor="text1"/>
          <w:sz w:val="44"/>
          <w:highlight w:val="none"/>
          <w:lang w:val="zh-CN"/>
          <w14:textFill>
            <w14:solidFill>
              <w14:schemeClr w14:val="tx1"/>
            </w14:solidFill>
          </w14:textFill>
        </w:rPr>
        <w:t>第一部分竞争性磋商公告</w:t>
      </w:r>
      <w:bookmarkEnd w:id="0"/>
    </w:p>
    <w:p w14:paraId="66F0A7C9">
      <w:pPr>
        <w:spacing w:line="520" w:lineRule="exact"/>
        <w:ind w:firstLine="628"/>
        <w:rPr>
          <w:rStyle w:val="34"/>
          <w:rFonts w:ascii="仿宋_GB2312" w:eastAsia="仿宋_GB2312"/>
          <w:b/>
          <w:i w:val="0"/>
          <w:color w:val="000000" w:themeColor="text1"/>
          <w:spacing w:val="7"/>
          <w:kern w:val="2"/>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2025年度国家重点生态功能区县域环境质量考核环境监测项目</w:t>
      </w: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采购项目的潜在供应商应在青海省政府采购网下载采购文件，并于</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14</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（北京时间）前提交响应文件。</w:t>
      </w:r>
    </w:p>
    <w:p w14:paraId="26D4BE6F">
      <w:pPr>
        <w:pStyle w:val="23"/>
        <w:spacing w:line="520" w:lineRule="exact"/>
        <w:ind w:firstLine="630" w:firstLineChars="20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一、项目基本情况</w:t>
      </w:r>
    </w:p>
    <w:p w14:paraId="5628F78E">
      <w:pPr>
        <w:pStyle w:val="23"/>
        <w:spacing w:line="520" w:lineRule="exact"/>
        <w:ind w:firstLine="444"/>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项目编号：</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青海省招竞磋（服务）202</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003</w:t>
      </w:r>
    </w:p>
    <w:p w14:paraId="6808F0CA">
      <w:pPr>
        <w:pStyle w:val="23"/>
        <w:spacing w:line="520" w:lineRule="exact"/>
        <w:ind w:firstLine="444"/>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项目名称：</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2025年度国家重点生态功能区县域环境质量考核环境监测项目</w:t>
      </w:r>
    </w:p>
    <w:p w14:paraId="51109CC7">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采购方式：竞争性磋商</w:t>
      </w:r>
    </w:p>
    <w:p w14:paraId="7419E05D">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预算金额：</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57万元</w:t>
      </w:r>
      <w:r>
        <w:rPr>
          <w:rFonts w:hint="eastAsia" w:ascii="仿宋_GB2312" w:eastAsia="仿宋_GB2312" w:hAnsiTheme="minorEastAsia"/>
          <w:color w:val="000000" w:themeColor="text1"/>
          <w:spacing w:val="7"/>
          <w:sz w:val="30"/>
          <w:szCs w:val="30"/>
          <w:highlight w:val="none"/>
          <w14:textFill>
            <w14:solidFill>
              <w14:schemeClr w14:val="tx1"/>
            </w14:solidFill>
          </w14:textFill>
        </w:rPr>
        <w:t>（大写：</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伍拾柒万元整</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4515179E">
      <w:pPr>
        <w:pStyle w:val="23"/>
        <w:spacing w:line="520" w:lineRule="exact"/>
        <w:ind w:firstLine="444"/>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最高限价：</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57万元</w:t>
      </w:r>
      <w:r>
        <w:rPr>
          <w:rFonts w:hint="eastAsia" w:ascii="仿宋_GB2312" w:eastAsia="仿宋_GB2312" w:hAnsiTheme="minorEastAsia"/>
          <w:color w:val="000000" w:themeColor="text1"/>
          <w:spacing w:val="7"/>
          <w:sz w:val="30"/>
          <w:szCs w:val="30"/>
          <w:highlight w:val="none"/>
          <w14:textFill>
            <w14:solidFill>
              <w14:schemeClr w14:val="tx1"/>
            </w14:solidFill>
          </w14:textFill>
        </w:rPr>
        <w:t>（大写：</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伍拾柒万元整</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0A9B5547">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采购需求：详见第五部分服务要求</w:t>
      </w:r>
    </w:p>
    <w:p w14:paraId="6535E855">
      <w:pPr>
        <w:pStyle w:val="23"/>
        <w:spacing w:line="520" w:lineRule="exact"/>
        <w:ind w:firstLine="444"/>
        <w:rPr>
          <w:rFonts w:ascii="仿宋_GB2312" w:eastAsia="仿宋_GB2312" w:hAnsiTheme="minorEastAsia"/>
          <w:color w:val="000000" w:themeColor="text1"/>
          <w:spacing w:val="7"/>
          <w:sz w:val="30"/>
          <w:szCs w:val="30"/>
          <w:highlight w:val="yellow"/>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合同履行期限：</w:t>
      </w:r>
    </w:p>
    <w:p w14:paraId="0FDFB818">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二、申请人的资格要求：</w:t>
      </w:r>
    </w:p>
    <w:p w14:paraId="5354F4EF">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(1)符合《政府采购法》第 22 条条件，并提供下列材料：</w:t>
      </w:r>
    </w:p>
    <w:p w14:paraId="4B396FE6">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①投标人的营业执照等证明文件，自然人的身份证明。</w:t>
      </w:r>
    </w:p>
    <w:p w14:paraId="7099352E">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②财务状况报告，依法缴纳税收和社会保障资金的相关材料。</w:t>
      </w:r>
    </w:p>
    <w:p w14:paraId="06F02A06">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③具备履行合同所必需的设备和专业技术能力的证明材料。</w:t>
      </w:r>
    </w:p>
    <w:p w14:paraId="30E29F32">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④参加政府采购活动前 3 年内在经营活动中没有重大违法记录的书面声明。</w:t>
      </w:r>
    </w:p>
    <w:p w14:paraId="6C54B2CB">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⑤具备法律、行政法规规定的其他条件的证明材料。</w:t>
      </w:r>
    </w:p>
    <w:p w14:paraId="60165E64">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(2)单位负责人为同一人或者存在直接控股、管理关系的不同投标人，不得参加同一合同项下的政府采购活动。否则，皆取消投标资格；</w:t>
      </w:r>
    </w:p>
    <w:p w14:paraId="6396B92C">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(3)为本采购项目提供整体设计、规范编制或者项目管理、监理</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检测</w:t>
      </w:r>
      <w:r>
        <w:rPr>
          <w:rFonts w:hint="eastAsia" w:ascii="仿宋_GB2312" w:eastAsia="仿宋_GB2312" w:hAnsiTheme="minorEastAsia"/>
          <w:color w:val="000000" w:themeColor="text1"/>
          <w:spacing w:val="7"/>
          <w:sz w:val="30"/>
          <w:szCs w:val="30"/>
          <w:highlight w:val="none"/>
          <w14:textFill>
            <w14:solidFill>
              <w14:schemeClr w14:val="tx1"/>
            </w14:solidFill>
          </w14:textFill>
        </w:rPr>
        <w:t>等服务的投标人，不得再参加该采购项目的其他采购活动；</w:t>
      </w:r>
    </w:p>
    <w:p w14:paraId="6595C53D">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(4)本项目不接受投标人以联合体方式进行投标；</w:t>
      </w:r>
    </w:p>
    <w:p w14:paraId="4FCEB4F9">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p>
    <w:p w14:paraId="7C48EC03">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（6）其他资质：供应商需具有检测检验机构资质认定证书（CMA）并提供青海省生态环境厅关于开展环境监测业务备案的企业的证明材料。</w:t>
      </w:r>
    </w:p>
    <w:p w14:paraId="736C8062">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三、获取采购文件</w:t>
      </w:r>
    </w:p>
    <w:p w14:paraId="2582D2A4">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23</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日至202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6</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14:textFill>
            <w14:solidFill>
              <w14:schemeClr w14:val="tx1"/>
            </w14:solidFill>
          </w14:textFill>
        </w:rPr>
        <w:t>，每天上午</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00:00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至</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12:00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，下午</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12:00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至</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23:59</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（北京时间，法定节假日除外）</w:t>
      </w:r>
    </w:p>
    <w:p w14:paraId="65713E77">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方式：《青海政府采购网》免费下载磋商文件。</w:t>
      </w:r>
    </w:p>
    <w:p w14:paraId="16EA58F3">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73CCA724">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四、响应文件接收</w:t>
      </w:r>
    </w:p>
    <w:p w14:paraId="745F0817">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截止时间：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14</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14:paraId="261FDE43">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地点：政采云平台线上提交</w:t>
      </w:r>
    </w:p>
    <w:p w14:paraId="58747DE6">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五、开启</w:t>
      </w:r>
    </w:p>
    <w:p w14:paraId="580B367B">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开启时间：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14</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14:paraId="1306A9C4">
      <w:pPr>
        <w:spacing w:line="520" w:lineRule="exact"/>
        <w:ind w:firstLine="628"/>
        <w:rPr>
          <w:rFonts w:hint="eastAsia" w:ascii="仿宋_GB2312" w:eastAsia="仿宋_GB2312" w:hAnsiTheme="minorEastAsia"/>
          <w:b/>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青海省招标有限责任公司</w:t>
      </w:r>
    </w:p>
    <w:p w14:paraId="454E5430">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六、公告期限</w:t>
      </w:r>
    </w:p>
    <w:p w14:paraId="3D8F04DB">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自本公告发布之日起5个工作日。</w:t>
      </w:r>
    </w:p>
    <w:p w14:paraId="0EA92AD2">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七、其他补充事宜</w:t>
      </w:r>
    </w:p>
    <w:p w14:paraId="4A23EACA">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 项目公告将在《青海政府采购网》《青海项目信息网》及《</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青海省招标有限责任公司</w:t>
      </w:r>
      <w:r>
        <w:rPr>
          <w:rFonts w:hint="eastAsia" w:ascii="仿宋_GB2312" w:eastAsia="仿宋_GB2312" w:hAnsiTheme="minorEastAsia"/>
          <w:color w:val="000000" w:themeColor="text1"/>
          <w:spacing w:val="7"/>
          <w:sz w:val="30"/>
          <w:szCs w:val="30"/>
          <w:highlight w:val="none"/>
          <w14:textFill>
            <w14:solidFill>
              <w14:schemeClr w14:val="tx1"/>
            </w14:solidFill>
          </w14:textFill>
        </w:rPr>
        <w:t>》门户网站/www.qhcxzb.com同时发布。</w:t>
      </w:r>
    </w:p>
    <w:p w14:paraId="39D0E390">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公告期限：自青海政府采购网发布之日起5个工作日</w:t>
      </w:r>
    </w:p>
    <w:p w14:paraId="4B064077">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6B452053">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14:paraId="76C474E8">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3、线上CA数字证书：PC咨询网址（可及时反馈问题截图，让客服快速定位问题）:http://tseal.cn/k.html，咨询电话：400-0878-198</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14:paraId="7772AC1C">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八、凡对本次采购提出询问，请按以下方式联系。</w:t>
      </w:r>
    </w:p>
    <w:p w14:paraId="135F214D">
      <w:pPr>
        <w:spacing w:line="520" w:lineRule="exact"/>
        <w:ind w:firstLine="630"/>
        <w:rPr>
          <w:rFonts w:ascii="仿宋_GB2312" w:eastAsia="仿宋_GB2312" w:hAnsiTheme="minorEastAsia"/>
          <w:b/>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1.采购人信息</w:t>
      </w:r>
    </w:p>
    <w:p w14:paraId="04BC9610">
      <w:pPr>
        <w:spacing w:line="520" w:lineRule="exact"/>
        <w:ind w:firstLine="628"/>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u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称：</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称多县生态环境局</w:t>
      </w:r>
    </w:p>
    <w:p w14:paraId="3AB7E9CB">
      <w:pPr>
        <w:spacing w:line="520" w:lineRule="exact"/>
        <w:ind w:firstLine="628"/>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联 系 人：</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罗桑久乃</w:t>
      </w:r>
    </w:p>
    <w:p w14:paraId="1862206E">
      <w:pPr>
        <w:spacing w:line="520" w:lineRule="exact"/>
        <w:ind w:firstLine="628"/>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地</w:t>
      </w:r>
      <w:r>
        <w:rPr>
          <w:rFonts w:hint="eastAsia" w:eastAsia="仿宋_GB2312" w:asciiTheme="minorEastAsia" w:hAnsiTheme="minorEastAsia"/>
          <w:color w:val="000000" w:themeColor="text1"/>
          <w:spacing w:val="7"/>
          <w:sz w:val="30"/>
          <w:szCs w:val="30"/>
          <w:highlight w:val="none"/>
          <w:u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址：</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玉树州称多县</w:t>
      </w:r>
    </w:p>
    <w:p w14:paraId="21B6BA28">
      <w:pPr>
        <w:spacing w:line="520" w:lineRule="exact"/>
        <w:ind w:firstLine="628"/>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联系方式：</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0976-7805551</w:t>
      </w:r>
    </w:p>
    <w:p w14:paraId="480E7CFC">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2.采购代理机构信息</w:t>
      </w:r>
    </w:p>
    <w:p w14:paraId="4C0A35FB">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青海省招标有限责任公司</w:t>
      </w:r>
    </w:p>
    <w:p w14:paraId="2C2CE8DA">
      <w:pPr>
        <w:spacing w:line="520" w:lineRule="exact"/>
        <w:ind w:firstLine="628"/>
        <w:rPr>
          <w:rFonts w:hint="default" w:eastAsia="仿宋_GB2312" w:asciiTheme="minorEastAsia" w:hAnsiTheme="minorEastAsia"/>
          <w:color w:val="000000" w:themeColor="text1"/>
          <w:spacing w:val="7"/>
          <w:sz w:val="24"/>
          <w:szCs w:val="24"/>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　　址：青海省西宁市城西区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五四西路65号</w:t>
      </w:r>
    </w:p>
    <w:p w14:paraId="3B52F47D">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项目联系人：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葛景润、贾雪滢</w:t>
      </w:r>
    </w:p>
    <w:p w14:paraId="76489576">
      <w:pPr>
        <w:pStyle w:val="23"/>
        <w:spacing w:line="520" w:lineRule="exact"/>
        <w:ind w:firstLine="628" w:firstLineChars="200"/>
        <w:rPr>
          <w:rFonts w:hint="default" w:eastAsia="仿宋_GB2312" w:asciiTheme="minorEastAsia" w:hAnsiTheme="minorEastAsia"/>
          <w:color w:val="000000" w:themeColor="text1"/>
          <w:spacing w:val="7"/>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电　　 话：</w:t>
      </w:r>
      <w:r>
        <w:rPr>
          <w:rFonts w:hint="eastAsia" w:ascii="仿宋_GB2312" w:eastAsia="仿宋_GB2312" w:hAnsiTheme="minorEastAsia"/>
          <w:color w:val="000000" w:themeColor="text1"/>
          <w:spacing w:val="7"/>
          <w:kern w:val="0"/>
          <w:sz w:val="30"/>
          <w:szCs w:val="30"/>
          <w:highlight w:val="none"/>
          <w:lang w:eastAsia="zh-CN"/>
          <w14:textFill>
            <w14:solidFill>
              <w14:schemeClr w14:val="tx1"/>
            </w14:solidFill>
          </w14:textFill>
        </w:rPr>
        <w:t>0971-</w:t>
      </w:r>
      <w:r>
        <w:rPr>
          <w:rFonts w:hint="eastAsia" w:ascii="仿宋_GB2312" w:eastAsia="仿宋_GB2312" w:hAnsiTheme="minorEastAsia"/>
          <w:color w:val="000000" w:themeColor="text1"/>
          <w:spacing w:val="7"/>
          <w:kern w:val="0"/>
          <w:sz w:val="30"/>
          <w:szCs w:val="30"/>
          <w:highlight w:val="none"/>
          <w:lang w:val="en-US" w:eastAsia="zh-CN"/>
          <w14:textFill>
            <w14:solidFill>
              <w14:schemeClr w14:val="tx1"/>
            </w14:solidFill>
          </w14:textFill>
        </w:rPr>
        <w:t>6327712</w:t>
      </w:r>
    </w:p>
    <w:p w14:paraId="5A58AE30">
      <w:pPr>
        <w:pStyle w:val="23"/>
        <w:spacing w:line="384" w:lineRule="atLeast"/>
        <w:jc w:val="center"/>
        <w:outlineLvl w:val="0"/>
        <w:rPr>
          <w:rFonts w:ascii="宋体" w:hAnsi="宋体" w:cs="宋体"/>
          <w:b/>
          <w:bCs/>
          <w:color w:val="000000" w:themeColor="text1"/>
          <w:sz w:val="44"/>
          <w:szCs w:val="44"/>
          <w:highlight w:val="none"/>
          <w:lang w:val="zh-CN"/>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 w:name="_Toc101710028"/>
      <w:bookmarkStart w:id="2" w:name="_Toc3201"/>
      <w:r>
        <w:rPr>
          <w:rFonts w:hint="eastAsia" w:ascii="宋体" w:hAnsi="宋体" w:cs="宋体"/>
          <w:b/>
          <w:color w:val="000000" w:themeColor="text1"/>
          <w:sz w:val="44"/>
          <w:szCs w:val="44"/>
          <w:highlight w:val="none"/>
          <w:lang w:val="zh-CN"/>
          <w14:textFill>
            <w14:solidFill>
              <w14:schemeClr w14:val="tx1"/>
            </w14:solidFill>
          </w14:textFill>
        </w:rPr>
        <w:t>第二部分供应商须知</w:t>
      </w:r>
      <w:bookmarkEnd w:id="1"/>
    </w:p>
    <w:p w14:paraId="70AB0878">
      <w:pPr>
        <w:spacing w:line="520" w:lineRule="exact"/>
        <w:ind w:firstLine="0" w:firstLineChars="0"/>
        <w:jc w:val="center"/>
        <w:rPr>
          <w:rFonts w:cs="宋体" w:asciiTheme="minorEastAsia" w:hAnsiTheme="minorEastAsia" w:eastAsiaTheme="minorEastAsia"/>
          <w:color w:val="000000" w:themeColor="text1"/>
          <w:sz w:val="32"/>
          <w:szCs w:val="32"/>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t>供应商须知前附表</w:t>
      </w:r>
      <w:bookmarkEnd w:id="2"/>
    </w:p>
    <w:tbl>
      <w:tblPr>
        <w:tblStyle w:val="28"/>
        <w:tblW w:w="9781" w:type="dxa"/>
        <w:jc w:val="center"/>
        <w:tblLayout w:type="fixed"/>
        <w:tblCellMar>
          <w:top w:w="0" w:type="dxa"/>
          <w:left w:w="57" w:type="dxa"/>
          <w:bottom w:w="0" w:type="dxa"/>
          <w:right w:w="57" w:type="dxa"/>
        </w:tblCellMar>
      </w:tblPr>
      <w:tblGrid>
        <w:gridCol w:w="744"/>
        <w:gridCol w:w="2413"/>
        <w:gridCol w:w="6624"/>
      </w:tblGrid>
      <w:tr w14:paraId="42117606">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2300392A">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6123A100">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内容</w:t>
            </w:r>
          </w:p>
        </w:tc>
      </w:tr>
      <w:tr w14:paraId="45EC28F2">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C3E7299">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3E7DF200">
            <w:pPr>
              <w:autoSpaceDE w:val="0"/>
              <w:autoSpaceDN w:val="0"/>
              <w:spacing w:line="520" w:lineRule="exact"/>
              <w:ind w:firstLine="0" w:firstLineChars="0"/>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采购项目编号</w:t>
            </w:r>
          </w:p>
        </w:tc>
        <w:tc>
          <w:tcPr>
            <w:tcW w:w="6624" w:type="dxa"/>
            <w:tcBorders>
              <w:top w:val="single" w:color="000000" w:sz="6" w:space="0"/>
              <w:left w:val="single" w:color="000000" w:sz="6" w:space="0"/>
              <w:bottom w:val="single" w:color="000000" w:sz="6" w:space="0"/>
              <w:right w:val="single" w:color="000000" w:sz="6" w:space="0"/>
            </w:tcBorders>
            <w:vAlign w:val="center"/>
          </w:tcPr>
          <w:p w14:paraId="103CFA65">
            <w:pPr>
              <w:autoSpaceDE w:val="0"/>
              <w:autoSpaceDN w:val="0"/>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青海省招竞磋（服务）202</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lang w:val="zh-CN"/>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003</w:t>
            </w:r>
          </w:p>
        </w:tc>
      </w:tr>
      <w:tr w14:paraId="60A0A3C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DAE27E2">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0BA2D3C4">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采购项目名称</w:t>
            </w:r>
          </w:p>
        </w:tc>
        <w:tc>
          <w:tcPr>
            <w:tcW w:w="6624" w:type="dxa"/>
            <w:tcBorders>
              <w:top w:val="single" w:color="000000" w:sz="6" w:space="0"/>
              <w:left w:val="single" w:color="000000" w:sz="6" w:space="0"/>
              <w:bottom w:val="single" w:color="000000" w:sz="6" w:space="0"/>
              <w:right w:val="single" w:color="000000" w:sz="6" w:space="0"/>
            </w:tcBorders>
          </w:tcPr>
          <w:p w14:paraId="559CB4D7">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eastAsia="zh-CN"/>
                <w14:textFill>
                  <w14:solidFill>
                    <w14:schemeClr w14:val="tx1"/>
                  </w14:solidFill>
                </w14:textFill>
              </w:rPr>
              <w:t>2025年度国家重点生态功能区县域环境质量考核环境监测项目</w:t>
            </w:r>
          </w:p>
        </w:tc>
      </w:tr>
      <w:tr w14:paraId="20AB9DE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F1B73E4">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7A4745AD">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采购人</w:t>
            </w:r>
          </w:p>
        </w:tc>
        <w:tc>
          <w:tcPr>
            <w:tcW w:w="6624" w:type="dxa"/>
            <w:tcBorders>
              <w:top w:val="single" w:color="000000" w:sz="6" w:space="0"/>
              <w:left w:val="single" w:color="000000" w:sz="6" w:space="0"/>
              <w:bottom w:val="single" w:color="000000" w:sz="6" w:space="0"/>
              <w:right w:val="single" w:color="000000" w:sz="6" w:space="0"/>
            </w:tcBorders>
          </w:tcPr>
          <w:p w14:paraId="71073B0C">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eastAsia="zh-CN"/>
                <w14:textFill>
                  <w14:solidFill>
                    <w14:schemeClr w14:val="tx1"/>
                  </w14:solidFill>
                </w14:textFill>
              </w:rPr>
              <w:t>称多县生态环境局</w:t>
            </w:r>
          </w:p>
        </w:tc>
      </w:tr>
      <w:tr w14:paraId="1C9F3BA4">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6041BC1">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7D52E177">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采购代理机构</w:t>
            </w:r>
          </w:p>
        </w:tc>
        <w:tc>
          <w:tcPr>
            <w:tcW w:w="6624" w:type="dxa"/>
            <w:tcBorders>
              <w:top w:val="single" w:color="000000" w:sz="6" w:space="0"/>
              <w:left w:val="single" w:color="000000" w:sz="6" w:space="0"/>
              <w:bottom w:val="single" w:color="000000" w:sz="6" w:space="0"/>
              <w:right w:val="single" w:color="000000" w:sz="6" w:space="0"/>
            </w:tcBorders>
          </w:tcPr>
          <w:p w14:paraId="0E5C0AAD">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青海省招标有限责任公司</w:t>
            </w:r>
          </w:p>
        </w:tc>
      </w:tr>
      <w:tr w14:paraId="370A4B50">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265D2D2">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2.1</w:t>
            </w:r>
          </w:p>
        </w:tc>
        <w:tc>
          <w:tcPr>
            <w:tcW w:w="2413" w:type="dxa"/>
            <w:tcBorders>
              <w:top w:val="single" w:color="000000" w:sz="6" w:space="0"/>
              <w:left w:val="single" w:color="000000" w:sz="6" w:space="0"/>
              <w:bottom w:val="single" w:color="000000" w:sz="6" w:space="0"/>
              <w:right w:val="single" w:color="000000" w:sz="6" w:space="0"/>
            </w:tcBorders>
            <w:vAlign w:val="center"/>
          </w:tcPr>
          <w:p w14:paraId="02A9A8D3">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采购方式</w:t>
            </w:r>
          </w:p>
        </w:tc>
        <w:tc>
          <w:tcPr>
            <w:tcW w:w="6624" w:type="dxa"/>
            <w:tcBorders>
              <w:top w:val="single" w:color="000000" w:sz="6" w:space="0"/>
              <w:left w:val="single" w:color="000000" w:sz="6" w:space="0"/>
              <w:bottom w:val="single" w:color="000000" w:sz="6" w:space="0"/>
              <w:right w:val="single" w:color="000000" w:sz="6" w:space="0"/>
            </w:tcBorders>
          </w:tcPr>
          <w:p w14:paraId="3FAA0835">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竞争性磋商</w:t>
            </w:r>
          </w:p>
        </w:tc>
      </w:tr>
      <w:tr w14:paraId="0B947510">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0A6CBD6">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21FCD01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评审办法</w:t>
            </w:r>
          </w:p>
        </w:tc>
        <w:tc>
          <w:tcPr>
            <w:tcW w:w="6624" w:type="dxa"/>
            <w:tcBorders>
              <w:top w:val="single" w:color="000000" w:sz="6" w:space="0"/>
              <w:left w:val="single" w:color="000000" w:sz="6" w:space="0"/>
              <w:bottom w:val="single" w:color="000000" w:sz="6" w:space="0"/>
              <w:right w:val="single" w:color="000000" w:sz="6" w:space="0"/>
            </w:tcBorders>
          </w:tcPr>
          <w:p w14:paraId="5A3EF593">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综合评分法</w:t>
            </w:r>
          </w:p>
        </w:tc>
      </w:tr>
      <w:tr w14:paraId="76716B8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949AFC0">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7FDAB1A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采购预算</w:t>
            </w:r>
          </w:p>
        </w:tc>
        <w:tc>
          <w:tcPr>
            <w:tcW w:w="6624" w:type="dxa"/>
            <w:tcBorders>
              <w:top w:val="single" w:color="000000" w:sz="6" w:space="0"/>
              <w:left w:val="single" w:color="000000" w:sz="6" w:space="0"/>
              <w:bottom w:val="single" w:color="000000" w:sz="6" w:space="0"/>
              <w:right w:val="single" w:color="000000" w:sz="6" w:space="0"/>
            </w:tcBorders>
            <w:vAlign w:val="center"/>
          </w:tcPr>
          <w:p w14:paraId="1EFE6FEB">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57万元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伍拾柒万元整</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14:paraId="7D08FE33">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D0D375E">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6041E8BB">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最高限价（</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w:t>
            </w:r>
          </w:p>
        </w:tc>
        <w:tc>
          <w:tcPr>
            <w:tcW w:w="6624" w:type="dxa"/>
            <w:tcBorders>
              <w:top w:val="single" w:color="000000" w:sz="6" w:space="0"/>
              <w:left w:val="single" w:color="000000" w:sz="6" w:space="0"/>
              <w:bottom w:val="single" w:color="000000" w:sz="6" w:space="0"/>
              <w:right w:val="single" w:color="000000" w:sz="6" w:space="0"/>
            </w:tcBorders>
            <w:vAlign w:val="center"/>
          </w:tcPr>
          <w:p w14:paraId="2BFAF097">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57万元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伍拾柒万元整</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14:paraId="23AEA2DF">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15C2516">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0BD8A0EC">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项目分包个数</w:t>
            </w:r>
          </w:p>
        </w:tc>
        <w:tc>
          <w:tcPr>
            <w:tcW w:w="6624" w:type="dxa"/>
            <w:tcBorders>
              <w:top w:val="single" w:color="000000" w:sz="6" w:space="0"/>
              <w:left w:val="single" w:color="000000" w:sz="6" w:space="0"/>
              <w:bottom w:val="single" w:color="000000" w:sz="6" w:space="0"/>
              <w:right w:val="single" w:color="000000" w:sz="6" w:space="0"/>
            </w:tcBorders>
            <w:vAlign w:val="center"/>
          </w:tcPr>
          <w:p w14:paraId="5D1E44AC">
            <w:pPr>
              <w:spacing w:line="520" w:lineRule="exact"/>
              <w:ind w:firstLine="0" w:firstLineChars="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p>
        </w:tc>
      </w:tr>
      <w:tr w14:paraId="3059B9F3">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4F4CC75">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4C20861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采购要求</w:t>
            </w:r>
          </w:p>
        </w:tc>
        <w:tc>
          <w:tcPr>
            <w:tcW w:w="6624" w:type="dxa"/>
            <w:tcBorders>
              <w:top w:val="single" w:color="000000" w:sz="6" w:space="0"/>
              <w:left w:val="single" w:color="000000" w:sz="6" w:space="0"/>
              <w:bottom w:val="single" w:color="000000" w:sz="6" w:space="0"/>
              <w:right w:val="single" w:color="000000" w:sz="6" w:space="0"/>
            </w:tcBorders>
            <w:vAlign w:val="center"/>
          </w:tcPr>
          <w:p w14:paraId="01BE458F">
            <w:pPr>
              <w:autoSpaceDE w:val="0"/>
              <w:autoSpaceDN w:val="0"/>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详见磋商文件第五部分</w:t>
            </w:r>
          </w:p>
        </w:tc>
      </w:tr>
      <w:tr w14:paraId="6FD4E47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9129BEB">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2.2</w:t>
            </w:r>
          </w:p>
        </w:tc>
        <w:tc>
          <w:tcPr>
            <w:tcW w:w="2413" w:type="dxa"/>
            <w:tcBorders>
              <w:top w:val="single" w:color="000000" w:sz="6" w:space="0"/>
              <w:left w:val="single" w:color="000000" w:sz="6" w:space="0"/>
              <w:bottom w:val="single" w:color="000000" w:sz="6" w:space="0"/>
              <w:right w:val="single" w:color="000000" w:sz="6" w:space="0"/>
            </w:tcBorders>
            <w:vAlign w:val="center"/>
          </w:tcPr>
          <w:p w14:paraId="2617F7CD">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供应商资格条件</w:t>
            </w:r>
          </w:p>
        </w:tc>
        <w:tc>
          <w:tcPr>
            <w:tcW w:w="6624" w:type="dxa"/>
            <w:tcBorders>
              <w:top w:val="single" w:color="000000" w:sz="6" w:space="0"/>
              <w:left w:val="single" w:color="000000" w:sz="6" w:space="0"/>
              <w:bottom w:val="single" w:color="000000" w:sz="6" w:space="0"/>
              <w:right w:val="single" w:color="000000" w:sz="6" w:space="0"/>
            </w:tcBorders>
            <w:vAlign w:val="center"/>
          </w:tcPr>
          <w:p w14:paraId="17CBB3BA">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(1)符合《政府采购法》第 22 条条件，并提供下列材料：</w:t>
            </w:r>
          </w:p>
          <w:p w14:paraId="1AF077BD">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①投标人的营业执照等证明文件，自然人的身份证明。</w:t>
            </w:r>
          </w:p>
          <w:p w14:paraId="5662748C">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②财务状况报告，依法缴纳税收和社会保障资金的相关材料。</w:t>
            </w:r>
          </w:p>
          <w:p w14:paraId="52983287">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③具备履行合同所必需的设备和专业技术能力的证明材料。</w:t>
            </w:r>
          </w:p>
          <w:p w14:paraId="257F684B">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④参加政府采购活动前 3 年内在经营活动中没有重大违法记录的书面声明。</w:t>
            </w:r>
          </w:p>
          <w:p w14:paraId="3676AABF">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⑤具备法律、行政法规规定的其他条件的证明材料。</w:t>
            </w:r>
          </w:p>
          <w:p w14:paraId="7A673EAC">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(2)单位负责人为同一人或者存在直接控股、管理关系的不同投标人，不得参加同一合同项下的政府采购活动。否则，皆取消投标资格；</w:t>
            </w:r>
          </w:p>
          <w:p w14:paraId="3F7BBF1E">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(3)为本采购项目提供整体设计、规范编制或者项目管理、监理、检测等服务的投标人，不得再参加该采购项目的其他采购活动；</w:t>
            </w:r>
          </w:p>
          <w:p w14:paraId="7485D8AB">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(4)本项目不接受投标人以联合体方式进行投标；</w:t>
            </w:r>
          </w:p>
          <w:p w14:paraId="2CFE1A0B">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p>
          <w:p w14:paraId="0735FCF8">
            <w:pPr>
              <w:pStyle w:val="23"/>
              <w:spacing w:line="520" w:lineRule="exact"/>
              <w:ind w:firstLine="444"/>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（6）其他资质：供应商需具有检测检验机构资质认定证书（CMA）并提供青海省生态环境厅关于开展环境监测业务备案的企业的证明材料。</w:t>
            </w:r>
          </w:p>
        </w:tc>
      </w:tr>
      <w:tr w14:paraId="3C6B9600">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7442A3A">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9</w:t>
            </w:r>
          </w:p>
        </w:tc>
        <w:tc>
          <w:tcPr>
            <w:tcW w:w="2413" w:type="dxa"/>
            <w:tcBorders>
              <w:top w:val="single" w:color="000000" w:sz="6" w:space="0"/>
              <w:left w:val="single" w:color="000000" w:sz="6" w:space="0"/>
              <w:bottom w:val="single" w:color="000000" w:sz="6" w:space="0"/>
              <w:right w:val="single" w:color="000000" w:sz="6" w:space="0"/>
            </w:tcBorders>
            <w:vAlign w:val="center"/>
          </w:tcPr>
          <w:p w14:paraId="27AD7534">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w:t>
            </w:r>
          </w:p>
        </w:tc>
        <w:tc>
          <w:tcPr>
            <w:tcW w:w="6624" w:type="dxa"/>
            <w:tcBorders>
              <w:top w:val="single" w:color="000000" w:sz="6" w:space="0"/>
              <w:left w:val="single" w:color="000000" w:sz="6" w:space="0"/>
              <w:bottom w:val="single" w:color="000000" w:sz="6" w:space="0"/>
              <w:right w:val="single" w:color="000000" w:sz="6" w:space="0"/>
            </w:tcBorders>
          </w:tcPr>
          <w:p w14:paraId="297DDBEF">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（1）银行转账</w:t>
            </w:r>
          </w:p>
          <w:p w14:paraId="5D878278">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投标保证金须从投标人基本账户以转账、电汇方式提交（以到账为准），并注明所投工程名称</w:t>
            </w:r>
          </w:p>
          <w:p w14:paraId="4CE35836">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金  额：：人民币壹万元整</w:t>
            </w:r>
          </w:p>
          <w:p w14:paraId="19B9DE56">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户  名：青海省招标有限责任公司</w:t>
            </w:r>
          </w:p>
          <w:p w14:paraId="0ED79586">
            <w:pPr>
              <w:rPr>
                <w:rFonts w:hint="default"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账  号：63001373637050010313</w:t>
            </w:r>
          </w:p>
          <w:p w14:paraId="5A2E3556">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开户行：建行西宁城西支行</w:t>
            </w:r>
          </w:p>
          <w:p w14:paraId="0E8AFDDB">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退还投标保证金电话：0971-6130259</w:t>
            </w:r>
          </w:p>
          <w:p w14:paraId="78E20694">
            <w:p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（2）银行保函</w:t>
            </w:r>
          </w:p>
          <w:p w14:paraId="110D9500">
            <w:pPr>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（3）保险保单</w:t>
            </w:r>
          </w:p>
        </w:tc>
      </w:tr>
      <w:tr w14:paraId="6C595DC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53C573E">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9.1</w:t>
            </w:r>
          </w:p>
        </w:tc>
        <w:tc>
          <w:tcPr>
            <w:tcW w:w="2413" w:type="dxa"/>
            <w:tcBorders>
              <w:top w:val="single" w:color="000000" w:sz="6" w:space="0"/>
              <w:left w:val="single" w:color="000000" w:sz="6" w:space="0"/>
              <w:bottom w:val="single" w:color="000000" w:sz="6" w:space="0"/>
              <w:right w:val="single" w:color="000000" w:sz="6" w:space="0"/>
            </w:tcBorders>
            <w:vAlign w:val="center"/>
          </w:tcPr>
          <w:p w14:paraId="6E7C4764">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提交方式</w:t>
            </w:r>
          </w:p>
        </w:tc>
        <w:tc>
          <w:tcPr>
            <w:tcW w:w="6624" w:type="dxa"/>
            <w:tcBorders>
              <w:top w:val="single" w:color="000000" w:sz="6" w:space="0"/>
              <w:left w:val="single" w:color="000000" w:sz="6" w:space="0"/>
              <w:bottom w:val="single" w:color="000000" w:sz="6" w:space="0"/>
              <w:right w:val="single" w:color="000000" w:sz="6" w:space="0"/>
            </w:tcBorders>
          </w:tcPr>
          <w:p w14:paraId="3D9B067F">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20D7871F">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2.采用银行保函形式提交的，格式由金融机构提供。</w:t>
            </w:r>
          </w:p>
          <w:p w14:paraId="1D6B608D">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供应商未按照磋商文件要求提交磋商保证金的，响应无效。</w:t>
            </w:r>
          </w:p>
        </w:tc>
      </w:tr>
      <w:tr w14:paraId="44615C4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7695EBE">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9.2</w:t>
            </w:r>
          </w:p>
        </w:tc>
        <w:tc>
          <w:tcPr>
            <w:tcW w:w="2413" w:type="dxa"/>
            <w:tcBorders>
              <w:top w:val="single" w:color="000000" w:sz="6" w:space="0"/>
              <w:left w:val="single" w:color="000000" w:sz="6" w:space="0"/>
              <w:bottom w:val="single" w:color="000000" w:sz="6" w:space="0"/>
              <w:right w:val="single" w:color="000000" w:sz="6" w:space="0"/>
            </w:tcBorders>
            <w:vAlign w:val="center"/>
          </w:tcPr>
          <w:p w14:paraId="4FB18911">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磋商保证金退还</w:t>
            </w:r>
          </w:p>
        </w:tc>
        <w:tc>
          <w:tcPr>
            <w:tcW w:w="6624" w:type="dxa"/>
            <w:tcBorders>
              <w:top w:val="single" w:color="000000" w:sz="6" w:space="0"/>
              <w:left w:val="single" w:color="000000" w:sz="6" w:space="0"/>
              <w:bottom w:val="single" w:color="000000" w:sz="6" w:space="0"/>
              <w:right w:val="single" w:color="000000" w:sz="6" w:space="0"/>
            </w:tcBorders>
          </w:tcPr>
          <w:p w14:paraId="59504CDD">
            <w:pPr>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206C6D0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707C110">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12</w:t>
            </w:r>
          </w:p>
        </w:tc>
        <w:tc>
          <w:tcPr>
            <w:tcW w:w="2413" w:type="dxa"/>
            <w:tcBorders>
              <w:top w:val="single" w:color="000000" w:sz="6" w:space="0"/>
              <w:left w:val="single" w:color="000000" w:sz="6" w:space="0"/>
              <w:bottom w:val="single" w:color="000000" w:sz="6" w:space="0"/>
              <w:right w:val="single" w:color="000000" w:sz="6" w:space="0"/>
            </w:tcBorders>
            <w:vAlign w:val="center"/>
          </w:tcPr>
          <w:p w14:paraId="6F091B4D">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磋商响应文件编制要求</w:t>
            </w:r>
          </w:p>
        </w:tc>
        <w:tc>
          <w:tcPr>
            <w:tcW w:w="6624" w:type="dxa"/>
            <w:tcBorders>
              <w:top w:val="single" w:color="000000" w:sz="6" w:space="0"/>
              <w:left w:val="single" w:color="000000" w:sz="6" w:space="0"/>
              <w:bottom w:val="single" w:color="000000" w:sz="6" w:space="0"/>
              <w:right w:val="single" w:color="000000" w:sz="6" w:space="0"/>
            </w:tcBorders>
          </w:tcPr>
          <w:p w14:paraId="5F1ADBAB">
            <w:pPr>
              <w:autoSpaceDE w:val="0"/>
              <w:autoSpaceDN w:val="0"/>
              <w:spacing w:line="520" w:lineRule="exact"/>
              <w:ind w:firstLine="0" w:firstLineChars="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0C4D26E6">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064719B">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16A892E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响应文件提交方式</w:t>
            </w:r>
          </w:p>
        </w:tc>
        <w:tc>
          <w:tcPr>
            <w:tcW w:w="6624" w:type="dxa"/>
            <w:tcBorders>
              <w:top w:val="single" w:color="000000" w:sz="6" w:space="0"/>
              <w:left w:val="single" w:color="000000" w:sz="6" w:space="0"/>
              <w:bottom w:val="single" w:color="000000" w:sz="6" w:space="0"/>
              <w:right w:val="single" w:color="000000" w:sz="6" w:space="0"/>
            </w:tcBorders>
            <w:vAlign w:val="center"/>
          </w:tcPr>
          <w:p w14:paraId="61EEE89D">
            <w:pPr>
              <w:spacing w:line="520" w:lineRule="exact"/>
              <w:ind w:firstLine="0" w:firstLineChars="0"/>
              <w:rPr>
                <w:rFonts w:ascii="仿宋_GB2312" w:eastAsia="仿宋_GB2312"/>
                <w:iCs/>
                <w:color w:val="000000" w:themeColor="text1"/>
                <w:spacing w:val="7"/>
                <w:kern w:val="2"/>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政采云平台线上提交</w:t>
            </w:r>
          </w:p>
        </w:tc>
      </w:tr>
      <w:tr w14:paraId="63B2D8F1">
        <w:tblPrEx>
          <w:tblCellMar>
            <w:top w:w="0" w:type="dxa"/>
            <w:left w:w="57" w:type="dxa"/>
            <w:bottom w:w="0" w:type="dxa"/>
            <w:right w:w="57" w:type="dxa"/>
          </w:tblCellMar>
        </w:tblPrEx>
        <w:trPr>
          <w:trHeight w:val="646"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4FF1419">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14.1</w:t>
            </w:r>
          </w:p>
        </w:tc>
        <w:tc>
          <w:tcPr>
            <w:tcW w:w="2413" w:type="dxa"/>
            <w:tcBorders>
              <w:top w:val="single" w:color="000000" w:sz="6" w:space="0"/>
              <w:left w:val="single" w:color="000000" w:sz="6" w:space="0"/>
              <w:bottom w:val="single" w:color="000000" w:sz="6" w:space="0"/>
              <w:right w:val="single" w:color="000000" w:sz="6" w:space="0"/>
            </w:tcBorders>
            <w:vAlign w:val="center"/>
          </w:tcPr>
          <w:p w14:paraId="2A898342">
            <w:pPr>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624" w:type="dxa"/>
            <w:tcBorders>
              <w:top w:val="single" w:color="000000" w:sz="6" w:space="0"/>
              <w:left w:val="single" w:color="000000" w:sz="6" w:space="0"/>
              <w:bottom w:val="single" w:color="000000" w:sz="6" w:space="0"/>
              <w:right w:val="single" w:color="000000" w:sz="6" w:space="0"/>
            </w:tcBorders>
            <w:vAlign w:val="center"/>
          </w:tcPr>
          <w:p w14:paraId="03D993F5">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Arial"/>
                <w:color w:val="000000" w:themeColor="text1"/>
                <w:sz w:val="28"/>
                <w:szCs w:val="28"/>
                <w:highlight w:val="none"/>
                <w:lang w:eastAsia="zh-CN"/>
                <w14:textFill>
                  <w14:solidFill>
                    <w14:schemeClr w14:val="tx1"/>
                  </w14:solidFill>
                </w14:textFill>
              </w:rPr>
              <w:t>202</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年</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2</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月</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14</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日</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09</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点30分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14:paraId="7E0A9DCF">
        <w:tblPrEx>
          <w:tblCellMar>
            <w:top w:w="0" w:type="dxa"/>
            <w:left w:w="57" w:type="dxa"/>
            <w:bottom w:w="0" w:type="dxa"/>
            <w:right w:w="57" w:type="dxa"/>
          </w:tblCellMar>
        </w:tblPrEx>
        <w:trPr>
          <w:trHeight w:val="187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CB3C1F2">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29918AD9">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624" w:type="dxa"/>
            <w:tcBorders>
              <w:top w:val="single" w:color="000000" w:sz="6" w:space="0"/>
              <w:left w:val="single" w:color="000000" w:sz="6" w:space="0"/>
              <w:bottom w:val="single" w:color="000000" w:sz="6" w:space="0"/>
              <w:right w:val="single" w:color="000000" w:sz="6" w:space="0"/>
            </w:tcBorders>
          </w:tcPr>
          <w:p w14:paraId="725D6B04">
            <w:pPr>
              <w:autoSpaceDE w:val="0"/>
              <w:autoSpaceDN w:val="0"/>
              <w:adjustRightInd w:val="0"/>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14:paraId="00506938">
            <w:pPr>
              <w:spacing w:line="520" w:lineRule="exact"/>
              <w:ind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14:paraId="3D212A5A">
            <w:pPr>
              <w:spacing w:line="520" w:lineRule="exact"/>
              <w:ind w:firstLine="0" w:firstLineChars="0"/>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服务费金额：按合同约定执行</w:t>
            </w:r>
          </w:p>
          <w:p w14:paraId="570520E1">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lang w:val="en-US" w:eastAsia="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账号：</w:t>
            </w:r>
            <w:r>
              <w:rPr>
                <w:rFonts w:hint="eastAsia" w:ascii="仿宋_GB2312" w:hAnsi="宋体" w:eastAsia="仿宋_GB2312" w:cs="宋体"/>
                <w:bCs/>
                <w:color w:val="000000" w:themeColor="text1"/>
                <w:sz w:val="28"/>
                <w:szCs w:val="28"/>
                <w:lang w:val="en-US" w:eastAsia="zh-CN"/>
                <w14:textFill>
                  <w14:solidFill>
                    <w14:schemeClr w14:val="tx1"/>
                  </w14:solidFill>
                </w14:textFill>
              </w:rPr>
              <w:t>63001373637350019785</w:t>
            </w:r>
          </w:p>
          <w:p w14:paraId="3E3B355B">
            <w:pPr>
              <w:autoSpaceDE w:val="0"/>
              <w:autoSpaceDN w:val="0"/>
              <w:spacing w:line="520" w:lineRule="exact"/>
              <w:ind w:firstLine="0" w:firstLineChars="0"/>
              <w:jc w:val="left"/>
              <w:rPr>
                <w:rFonts w:hint="default" w:ascii="仿宋_GB2312" w:hAnsi="宋体" w:eastAsia="仿宋_GB2312" w:cs="宋体"/>
                <w:bCs/>
                <w:color w:val="000000" w:themeColor="text1"/>
                <w:sz w:val="28"/>
                <w:szCs w:val="28"/>
                <w:lang w:val="en-US" w:eastAsia="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开户行：</w:t>
            </w:r>
            <w:r>
              <w:rPr>
                <w:rFonts w:hint="eastAsia" w:ascii="仿宋_GB2312" w:hAnsi="宋体" w:eastAsia="仿宋_GB2312" w:cs="宋体"/>
                <w:bCs/>
                <w:color w:val="000000" w:themeColor="text1"/>
                <w:sz w:val="28"/>
                <w:szCs w:val="28"/>
                <w:lang w:val="en-US" w:eastAsia="zh-CN"/>
                <w14:textFill>
                  <w14:solidFill>
                    <w14:schemeClr w14:val="tx1"/>
                  </w14:solidFill>
                </w14:textFill>
              </w:rPr>
              <w:t>建行西宁城西支行</w:t>
            </w:r>
          </w:p>
          <w:p w14:paraId="47A74A60">
            <w:pPr>
              <w:pStyle w:val="13"/>
              <w:ind w:left="0" w:leftChars="0" w:firstLine="0" w:firstLineChars="0"/>
              <w:rPr>
                <w:color w:val="000000" w:themeColor="text1"/>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收款人：青海省招标有限责任公司</w:t>
            </w:r>
          </w:p>
        </w:tc>
      </w:tr>
      <w:tr w14:paraId="6E8AC62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D81EC01">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2501F0A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合同签订期限</w:t>
            </w:r>
          </w:p>
        </w:tc>
        <w:tc>
          <w:tcPr>
            <w:tcW w:w="6624" w:type="dxa"/>
            <w:tcBorders>
              <w:top w:val="single" w:color="000000" w:sz="6" w:space="0"/>
              <w:left w:val="single" w:color="000000" w:sz="6" w:space="0"/>
              <w:bottom w:val="single" w:color="000000" w:sz="6" w:space="0"/>
              <w:right w:val="single" w:color="000000" w:sz="6" w:space="0"/>
            </w:tcBorders>
          </w:tcPr>
          <w:p w14:paraId="4210C042">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自成交通知书发出之日起</w:t>
            </w:r>
            <w:r>
              <w:rPr>
                <w:rFonts w:hint="eastAsia" w:ascii="仿宋_GB2312" w:hAnsi="宋体" w:eastAsia="仿宋_GB2312" w:cs="宋体"/>
                <w:color w:val="000000" w:themeColor="text1"/>
                <w:sz w:val="28"/>
                <w:szCs w:val="28"/>
                <w:highlight w:val="none"/>
                <w14:textFill>
                  <w14:solidFill>
                    <w14:schemeClr w14:val="tx1"/>
                  </w14:solidFill>
                </w14:textFill>
              </w:rPr>
              <w:t>30</w:t>
            </w:r>
            <w:r>
              <w:rPr>
                <w:rFonts w:hint="eastAsia" w:ascii="仿宋_GB2312" w:hAnsi="宋体" w:eastAsia="仿宋_GB2312" w:cs="宋体"/>
                <w:color w:val="000000" w:themeColor="text1"/>
                <w:sz w:val="28"/>
                <w:szCs w:val="28"/>
                <w:highlight w:val="none"/>
                <w:lang w:val="zh-CN"/>
                <w14:textFill>
                  <w14:solidFill>
                    <w14:schemeClr w14:val="tx1"/>
                  </w14:solidFill>
                </w14:textFill>
              </w:rPr>
              <w:t>日内与采购人签订采购合同</w:t>
            </w:r>
          </w:p>
        </w:tc>
      </w:tr>
      <w:tr w14:paraId="11BC3869">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4EC43BC">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632BE44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政府采购合同备案</w:t>
            </w:r>
          </w:p>
        </w:tc>
        <w:tc>
          <w:tcPr>
            <w:tcW w:w="6624" w:type="dxa"/>
            <w:tcBorders>
              <w:top w:val="single" w:color="000000" w:sz="6" w:space="0"/>
              <w:left w:val="single" w:color="000000" w:sz="6" w:space="0"/>
              <w:bottom w:val="single" w:color="000000" w:sz="6" w:space="0"/>
              <w:right w:val="single" w:color="000000" w:sz="6" w:space="0"/>
            </w:tcBorders>
          </w:tcPr>
          <w:p w14:paraId="673C4114">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采购合同全数返回采购代理机构签字，盖章。</w:t>
            </w:r>
          </w:p>
          <w:p w14:paraId="5F445673">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采购代理机构留存一份原件备案。</w:t>
            </w:r>
          </w:p>
        </w:tc>
      </w:tr>
      <w:tr w14:paraId="177B068F">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5B0E0DC">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398E2BF2">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响应有效期</w:t>
            </w:r>
          </w:p>
        </w:tc>
        <w:tc>
          <w:tcPr>
            <w:tcW w:w="6624" w:type="dxa"/>
            <w:tcBorders>
              <w:top w:val="single" w:color="000000" w:sz="6" w:space="0"/>
              <w:left w:val="single" w:color="000000" w:sz="6" w:space="0"/>
              <w:bottom w:val="single" w:color="000000" w:sz="6" w:space="0"/>
              <w:right w:val="single" w:color="000000" w:sz="6" w:space="0"/>
            </w:tcBorders>
          </w:tcPr>
          <w:p w14:paraId="34A953C2">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w:t>
            </w:r>
          </w:p>
        </w:tc>
      </w:tr>
      <w:tr w14:paraId="3B2D0D4B">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A742D0A">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3B82A26E">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服务期</w:t>
            </w:r>
          </w:p>
        </w:tc>
        <w:tc>
          <w:tcPr>
            <w:tcW w:w="6624" w:type="dxa"/>
            <w:tcBorders>
              <w:top w:val="single" w:color="000000" w:sz="6" w:space="0"/>
              <w:left w:val="single" w:color="000000" w:sz="6" w:space="0"/>
              <w:bottom w:val="single" w:color="000000" w:sz="6" w:space="0"/>
              <w:right w:val="single" w:color="000000" w:sz="6" w:space="0"/>
            </w:tcBorders>
          </w:tcPr>
          <w:p w14:paraId="01A00E69">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每季度月底结束前，</w:t>
            </w:r>
            <w:r>
              <w:rPr>
                <w:rFonts w:hint="eastAsia" w:ascii="仿宋_GB2312" w:hAnsi="宋体" w:eastAsia="仿宋_GB2312" w:cs="宋体"/>
                <w:color w:val="000000" w:themeColor="text1"/>
                <w:sz w:val="28"/>
                <w:szCs w:val="28"/>
                <w:highlight w:val="none"/>
                <w14:textFill>
                  <w14:solidFill>
                    <w14:schemeClr w14:val="tx1"/>
                  </w14:solidFill>
                </w14:textFill>
              </w:rPr>
              <w:t>完成202</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14:textFill>
                  <w14:solidFill>
                    <w14:schemeClr w14:val="tx1"/>
                  </w14:solidFill>
                </w14:textFill>
              </w:rPr>
              <w:t>年每季度一次的服务工作。</w:t>
            </w:r>
          </w:p>
        </w:tc>
      </w:tr>
      <w:tr w14:paraId="5E3422F1">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4C2CF20">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13" w:type="dxa"/>
            <w:tcBorders>
              <w:top w:val="single" w:color="000000" w:sz="6" w:space="0"/>
              <w:left w:val="single" w:color="000000" w:sz="6" w:space="0"/>
              <w:bottom w:val="single" w:color="000000" w:sz="6" w:space="0"/>
              <w:right w:val="single" w:color="000000" w:sz="6" w:space="0"/>
            </w:tcBorders>
            <w:vAlign w:val="center"/>
          </w:tcPr>
          <w:p w14:paraId="41D47160">
            <w:pPr>
              <w:autoSpaceDE w:val="0"/>
              <w:autoSpaceDN w:val="0"/>
              <w:spacing w:line="520" w:lineRule="exact"/>
              <w:ind w:firstLine="0" w:firstLineChars="0"/>
              <w:jc w:val="left"/>
              <w:rPr>
                <w:rFonts w:ascii="仿宋_GB2312" w:hAnsi="宋体" w:eastAsia="仿宋_GB2312" w:cs="宋体"/>
                <w:b/>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
                <w:bCs/>
                <w:color w:val="000000" w:themeColor="text1"/>
                <w:sz w:val="28"/>
                <w:szCs w:val="28"/>
                <w:highlight w:val="none"/>
                <w:lang w:val="zh-CN"/>
                <w14:textFill>
                  <w14:solidFill>
                    <w14:schemeClr w14:val="tx1"/>
                  </w14:solidFill>
                </w14:textFill>
              </w:rPr>
              <w:t>其他事项</w:t>
            </w:r>
          </w:p>
        </w:tc>
        <w:tc>
          <w:tcPr>
            <w:tcW w:w="6624" w:type="dxa"/>
            <w:tcBorders>
              <w:top w:val="single" w:color="000000" w:sz="6" w:space="0"/>
              <w:left w:val="single" w:color="000000" w:sz="6" w:space="0"/>
              <w:bottom w:val="single" w:color="000000" w:sz="6" w:space="0"/>
              <w:right w:val="single" w:color="000000" w:sz="6" w:space="0"/>
            </w:tcBorders>
          </w:tcPr>
          <w:p w14:paraId="181C15A2">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项目公告将在《青海政府采购网》发布。</w:t>
            </w:r>
          </w:p>
          <w:p w14:paraId="2EA59B6E">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公告期限：自青海政府采购网发布之日起5个工作日</w:t>
            </w:r>
          </w:p>
          <w:p w14:paraId="60989A75">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253D25E2">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2、线上电子化开评标系统操作及办理CA数字证书等相关事宜请咨询政采云：咨询电话：95763；</w:t>
            </w:r>
          </w:p>
          <w:p w14:paraId="1FCC86D5">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3、线上CA数字证书：PC咨询网址（可及时反馈问题截图，让客服快速定位问题）:http://tseal.cn/k.html，咨询电话：400-0878-198；</w:t>
            </w:r>
          </w:p>
          <w:p w14:paraId="2EBD9F2A">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4、注：供应商务必在</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202</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5</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年</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2</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月</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14</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日</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09</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点30分</w:t>
            </w:r>
            <w:r>
              <w:rPr>
                <w:rFonts w:hint="eastAsia" w:ascii="仿宋_GB2312" w:eastAsia="仿宋_GB2312" w:hAnsiTheme="minorEastAsia"/>
                <w:b/>
                <w:color w:val="000000" w:themeColor="text1"/>
                <w:spacing w:val="7"/>
                <w:sz w:val="28"/>
                <w:szCs w:val="28"/>
                <w:highlight w:val="none"/>
                <w14:textFill>
                  <w14:solidFill>
                    <w14:schemeClr w14:val="tx1"/>
                  </w14:solidFill>
                </w14:textFill>
              </w:rPr>
              <w:t>之前进入电子开标系统完成电子签到，如响应文件无法解密或解密不成功的视为放弃参加采购。</w:t>
            </w:r>
          </w:p>
        </w:tc>
      </w:tr>
    </w:tbl>
    <w:p w14:paraId="1ED9C187">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bookmarkStart w:id="3" w:name="_Toc325725997"/>
    </w:p>
    <w:p w14:paraId="3CF75C15">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7B873A16">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2C1B78B0">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01F7E567">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4E60A6E8">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0F4F7045">
      <w:pPr>
        <w:ind w:firstLine="0" w:firstLineChars="0"/>
        <w:jc w:val="center"/>
        <w:rPr>
          <w:rFonts w:ascii="宋体" w:hAnsi="宋体" w:cs="宋体"/>
          <w:b/>
          <w:color w:val="000000" w:themeColor="text1"/>
          <w:kern w:val="28"/>
          <w:sz w:val="32"/>
          <w:szCs w:val="32"/>
          <w:highlight w:val="none"/>
          <w14:textFill>
            <w14:solidFill>
              <w14:schemeClr w14:val="tx1"/>
            </w14:solidFill>
          </w14:textFill>
        </w:rPr>
      </w:pPr>
      <w:r>
        <w:rPr>
          <w:rFonts w:hint="eastAsia" w:ascii="宋体" w:hAnsi="宋体" w:cs="宋体"/>
          <w:b/>
          <w:color w:val="000000" w:themeColor="text1"/>
          <w:kern w:val="28"/>
          <w:sz w:val="32"/>
          <w:szCs w:val="32"/>
          <w:highlight w:val="none"/>
          <w14:textFill>
            <w14:solidFill>
              <w14:schemeClr w14:val="tx1"/>
            </w14:solidFill>
          </w14:textFill>
        </w:rPr>
        <w:t>供应商须知</w:t>
      </w:r>
    </w:p>
    <w:p w14:paraId="7BA9125A">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7A75ED0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 w:name="_Toc24622"/>
      <w:bookmarkStart w:id="5" w:name="_Toc14943"/>
      <w:bookmarkStart w:id="6" w:name="_Toc376936728"/>
      <w:r>
        <w:rPr>
          <w:rFonts w:hint="eastAsia" w:ascii="仿宋_GB2312" w:hAnsi="宋体" w:eastAsia="仿宋_GB2312" w:cs="宋体"/>
          <w:b/>
          <w:bCs/>
          <w:color w:val="000000" w:themeColor="text1"/>
          <w:sz w:val="28"/>
          <w:szCs w:val="28"/>
          <w:highlight w:val="none"/>
          <w14:textFill>
            <w14:solidFill>
              <w14:schemeClr w14:val="tx1"/>
            </w14:solidFill>
          </w14:textFill>
        </w:rPr>
        <w:t>一、说明</w:t>
      </w:r>
      <w:bookmarkEnd w:id="3"/>
      <w:bookmarkEnd w:id="4"/>
      <w:bookmarkEnd w:id="5"/>
      <w:bookmarkEnd w:id="6"/>
    </w:p>
    <w:p w14:paraId="12E758E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 w:name="_Toc376936729"/>
      <w:bookmarkStart w:id="8" w:name="_Toc325725998"/>
      <w:bookmarkStart w:id="9" w:name="_Toc26944"/>
      <w:bookmarkStart w:id="10" w:name="_Toc9770"/>
      <w:r>
        <w:rPr>
          <w:rFonts w:hint="eastAsia" w:ascii="仿宋_GB2312" w:hAnsi="宋体" w:eastAsia="仿宋_GB2312" w:cs="宋体"/>
          <w:b/>
          <w:bCs/>
          <w:color w:val="000000" w:themeColor="text1"/>
          <w:sz w:val="28"/>
          <w:szCs w:val="28"/>
          <w:highlight w:val="none"/>
          <w14:textFill>
            <w14:solidFill>
              <w14:schemeClr w14:val="tx1"/>
            </w14:solidFill>
          </w14:textFill>
        </w:rPr>
        <w:t>1.适用范围</w:t>
      </w:r>
      <w:bookmarkEnd w:id="7"/>
      <w:bookmarkEnd w:id="8"/>
      <w:bookmarkEnd w:id="9"/>
      <w:bookmarkEnd w:id="10"/>
    </w:p>
    <w:p w14:paraId="6958002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本文件仅适用于此次采购项目。</w:t>
      </w:r>
    </w:p>
    <w:p w14:paraId="1454E56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 w:name="_Toc21998"/>
      <w:bookmarkStart w:id="12" w:name="_Toc376936730"/>
      <w:bookmarkStart w:id="13" w:name="_Toc325725999"/>
      <w:bookmarkStart w:id="14" w:name="_Toc31556"/>
      <w:r>
        <w:rPr>
          <w:rFonts w:hint="eastAsia" w:ascii="仿宋_GB2312" w:hAnsi="宋体" w:eastAsia="仿宋_GB2312" w:cs="宋体"/>
          <w:b/>
          <w:bCs/>
          <w:color w:val="000000" w:themeColor="text1"/>
          <w:sz w:val="28"/>
          <w:szCs w:val="28"/>
          <w:highlight w:val="none"/>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4"/>
    </w:p>
    <w:p w14:paraId="0F5CAF8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2.1本次采购采取竞争性磋商方式。</w:t>
      </w:r>
    </w:p>
    <w:p w14:paraId="655684A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2.2供应商资格条件：详见【供应商须知前附表】2.2。</w:t>
      </w:r>
    </w:p>
    <w:p w14:paraId="2AEB8FF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 w:name="_Toc8820"/>
      <w:bookmarkStart w:id="16" w:name="_Toc325726000"/>
      <w:bookmarkStart w:id="17" w:name="_Toc376936731"/>
      <w:bookmarkStart w:id="18" w:name="_Toc8805"/>
      <w:r>
        <w:rPr>
          <w:rFonts w:hint="eastAsia" w:ascii="仿宋_GB2312" w:hAnsi="宋体" w:eastAsia="仿宋_GB2312" w:cs="宋体"/>
          <w:b/>
          <w:bCs/>
          <w:color w:val="000000" w:themeColor="text1"/>
          <w:sz w:val="28"/>
          <w:szCs w:val="28"/>
          <w:highlight w:val="none"/>
          <w14:textFill>
            <w14:solidFill>
              <w14:schemeClr w14:val="tx1"/>
            </w14:solidFill>
          </w14:textFill>
        </w:rPr>
        <w:t>3.磋商费用</w:t>
      </w:r>
      <w:bookmarkEnd w:id="15"/>
      <w:bookmarkEnd w:id="16"/>
      <w:bookmarkEnd w:id="17"/>
      <w:bookmarkEnd w:id="18"/>
    </w:p>
    <w:p w14:paraId="7B8A342E">
      <w:pPr>
        <w:spacing w:line="520" w:lineRule="exact"/>
        <w:ind w:firstLine="560"/>
        <w:rPr>
          <w:rFonts w:ascii="仿宋_GB2312" w:hAnsi="宋体" w:eastAsia="仿宋_GB2312" w:cs="Arial"/>
          <w:color w:val="000000" w:themeColor="text1"/>
          <w:sz w:val="28"/>
          <w:szCs w:val="28"/>
          <w:highlight w:val="none"/>
          <w14:textFill>
            <w14:solidFill>
              <w14:schemeClr w14:val="tx1"/>
            </w14:solidFill>
          </w14:textFill>
        </w:rPr>
      </w:pPr>
      <w:r>
        <w:rPr>
          <w:rFonts w:hint="eastAsia" w:ascii="仿宋_GB2312" w:hAnsi="宋体" w:eastAsia="仿宋_GB2312" w:cs="Arial"/>
          <w:color w:val="000000" w:themeColor="text1"/>
          <w:sz w:val="28"/>
          <w:szCs w:val="28"/>
          <w:highlight w:val="none"/>
          <w14:textFill>
            <w14:solidFill>
              <w14:schemeClr w14:val="tx1"/>
            </w14:solidFill>
          </w14:textFill>
        </w:rPr>
        <w:t>无论磋商采购结果如何，供应商应自愿承担与参加本次磋商有关的费用。采购代理机构对供应商发生的费用不承担任何责任。</w:t>
      </w:r>
      <w:bookmarkStart w:id="19" w:name="_Toc18155"/>
      <w:bookmarkStart w:id="20" w:name="_Toc376936732"/>
      <w:bookmarkStart w:id="21" w:name="_Toc325726001"/>
    </w:p>
    <w:p w14:paraId="509EB25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二、磋商文件说明</w:t>
      </w:r>
      <w:bookmarkEnd w:id="19"/>
      <w:bookmarkEnd w:id="20"/>
      <w:bookmarkEnd w:id="21"/>
    </w:p>
    <w:p w14:paraId="7F3E009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22" w:name="_Toc325726002"/>
      <w:bookmarkStart w:id="23" w:name="_Toc14153"/>
      <w:bookmarkStart w:id="24" w:name="_Toc376936733"/>
      <w:bookmarkStart w:id="25" w:name="_Toc10649"/>
      <w:r>
        <w:rPr>
          <w:rFonts w:hint="eastAsia" w:ascii="仿宋_GB2312" w:hAnsi="宋体" w:eastAsia="仿宋_GB2312" w:cs="宋体"/>
          <w:b/>
          <w:bCs/>
          <w:color w:val="000000" w:themeColor="text1"/>
          <w:sz w:val="28"/>
          <w:szCs w:val="28"/>
          <w:highlight w:val="none"/>
          <w14:textFill>
            <w14:solidFill>
              <w14:schemeClr w14:val="tx1"/>
            </w14:solidFill>
          </w14:textFill>
        </w:rPr>
        <w:t>4.磋商文件的构成</w:t>
      </w:r>
      <w:bookmarkEnd w:id="22"/>
      <w:bookmarkEnd w:id="23"/>
      <w:bookmarkEnd w:id="24"/>
      <w:bookmarkEnd w:id="25"/>
    </w:p>
    <w:p w14:paraId="301D78B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4.1磋商文件包括：</w:t>
      </w:r>
    </w:p>
    <w:p w14:paraId="3A2900B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（1）竞争性磋商公告；</w:t>
      </w:r>
    </w:p>
    <w:p w14:paraId="5306144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供应商须知前附表；</w:t>
      </w:r>
    </w:p>
    <w:p w14:paraId="12FCCF0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（3）供应商须知；</w:t>
      </w:r>
    </w:p>
    <w:p w14:paraId="2CF754C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（4）采购项目合同书；</w:t>
      </w:r>
    </w:p>
    <w:p w14:paraId="423D8E5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（5）响应文件格式（相关附件）；</w:t>
      </w:r>
    </w:p>
    <w:p w14:paraId="6668123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（6）服务要求；</w:t>
      </w:r>
    </w:p>
    <w:p w14:paraId="40B75EB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（7）磋商过程中发生的澄清、变更和补充文件。</w:t>
      </w:r>
    </w:p>
    <w:p w14:paraId="3919890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26" w:name="_Toc325726003"/>
      <w:bookmarkStart w:id="27" w:name="_Toc376936734"/>
      <w:bookmarkStart w:id="28" w:name="_Toc6482"/>
      <w:bookmarkStart w:id="29" w:name="_Toc3451"/>
      <w:r>
        <w:rPr>
          <w:rFonts w:hint="eastAsia" w:ascii="仿宋_GB2312" w:hAnsi="宋体" w:eastAsia="仿宋_GB2312" w:cs="宋体"/>
          <w:color w:val="000000" w:themeColor="text1"/>
          <w:sz w:val="28"/>
          <w:szCs w:val="28"/>
          <w:highlight w:val="none"/>
          <w14:textFill>
            <w14:solidFill>
              <w14:schemeClr w14:val="tx1"/>
            </w14:solidFill>
          </w14:textFill>
        </w:rPr>
        <w:t>4.2供应商应认真阅读磋商文件中列示的事项、格式、条款和要求等内容。供应商应按磋商文件要求提交全部资料，并对磋商文件做出实质性响应。</w:t>
      </w:r>
    </w:p>
    <w:p w14:paraId="6D84F61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highlight w:val="none"/>
          <w14:textFill>
            <w14:solidFill>
              <w14:schemeClr w14:val="tx1"/>
            </w14:solidFill>
          </w14:textFill>
        </w:rPr>
        <w:t>质疑</w:t>
      </w:r>
      <w:bookmarkEnd w:id="28"/>
      <w:bookmarkEnd w:id="29"/>
    </w:p>
    <w:p w14:paraId="2AEB352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5.1供应商对磋商文件有疑问的，可以向采购人、采购代理机构提出询问。</w:t>
      </w:r>
    </w:p>
    <w:p w14:paraId="31081A1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71A5E9F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6BE90F3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0" w:name="_Toc376936735"/>
      <w:bookmarkStart w:id="31" w:name="_Toc26515"/>
      <w:bookmarkStart w:id="32" w:name="_Toc325726004"/>
      <w:bookmarkStart w:id="33" w:name="_Toc13050"/>
      <w:r>
        <w:rPr>
          <w:rFonts w:hint="eastAsia" w:ascii="仿宋_GB2312" w:hAnsi="宋体" w:eastAsia="仿宋_GB2312" w:cs="宋体"/>
          <w:b/>
          <w:bCs/>
          <w:color w:val="000000" w:themeColor="text1"/>
          <w:sz w:val="28"/>
          <w:szCs w:val="28"/>
          <w:highlight w:val="none"/>
          <w14:textFill>
            <w14:solidFill>
              <w14:schemeClr w14:val="tx1"/>
            </w14:solidFill>
          </w14:textFill>
        </w:rPr>
        <w:t>6.磋商文件的澄清、修改</w:t>
      </w:r>
      <w:bookmarkEnd w:id="30"/>
      <w:bookmarkEnd w:id="31"/>
      <w:bookmarkEnd w:id="32"/>
      <w:bookmarkEnd w:id="33"/>
    </w:p>
    <w:p w14:paraId="5EE41F9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6.1</w:t>
      </w:r>
      <w:r>
        <w:rPr>
          <w:rFonts w:hint="eastAsia" w:ascii="仿宋_GB2312" w:hAnsi="宋体" w:eastAsia="仿宋_GB2312" w:cs="宋体"/>
          <w:snapToGrid w:val="0"/>
          <w:color w:val="000000" w:themeColor="text1"/>
          <w:sz w:val="28"/>
          <w:szCs w:val="28"/>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highlight w:val="none"/>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highlight w:val="none"/>
          <w14:textFill>
            <w14:solidFill>
              <w14:schemeClr w14:val="tx1"/>
            </w14:solidFill>
          </w14:textFill>
        </w:rPr>
        <w:t>；不足5日的，采购人、采购代理机构应当顺延提交首次响应文件截止时间。</w:t>
      </w:r>
    </w:p>
    <w:p w14:paraId="526E103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25726005"/>
      <w:bookmarkStart w:id="35" w:name="_Toc376936736"/>
      <w:bookmarkStart w:id="36" w:name="_Toc23340"/>
    </w:p>
    <w:p w14:paraId="3BF674D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三、响应文件的编制</w:t>
      </w:r>
      <w:bookmarkEnd w:id="34"/>
      <w:bookmarkEnd w:id="35"/>
      <w:bookmarkEnd w:id="36"/>
    </w:p>
    <w:p w14:paraId="2D6EBB5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7" w:name="_Toc13057"/>
      <w:bookmarkStart w:id="38" w:name="_Toc9674"/>
      <w:bookmarkStart w:id="39" w:name="_Toc325726006"/>
      <w:bookmarkStart w:id="40" w:name="_Toc376936737"/>
      <w:r>
        <w:rPr>
          <w:rFonts w:hint="eastAsia" w:ascii="仿宋_GB2312" w:hAnsi="宋体" w:eastAsia="仿宋_GB2312" w:cs="宋体"/>
          <w:b/>
          <w:bCs/>
          <w:color w:val="000000" w:themeColor="text1"/>
          <w:sz w:val="28"/>
          <w:szCs w:val="28"/>
          <w:highlight w:val="none"/>
          <w14:textFill>
            <w14:solidFill>
              <w14:schemeClr w14:val="tx1"/>
            </w14:solidFill>
          </w14:textFill>
        </w:rPr>
        <w:t>7.响应文件的语言及计量单位</w:t>
      </w:r>
      <w:bookmarkEnd w:id="37"/>
      <w:bookmarkEnd w:id="38"/>
      <w:bookmarkEnd w:id="39"/>
      <w:bookmarkEnd w:id="40"/>
    </w:p>
    <w:p w14:paraId="06D683F8">
      <w:pPr>
        <w:tabs>
          <w:tab w:val="left" w:pos="3103"/>
        </w:tabs>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7.1供应商提交的响应文件以及供应商与采购代理机构就此磋商发生的所有来往函电均应使用简体中文。</w:t>
      </w:r>
    </w:p>
    <w:p w14:paraId="21F76A9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7.2 除磋商文件中另有规定外，响应文件所使用的计量单位，均须采用国家法定计量单位。</w:t>
      </w:r>
    </w:p>
    <w:p w14:paraId="5B115A6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41BF27F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1" w:name="_Toc376936743"/>
      <w:bookmarkStart w:id="42" w:name="_Toc21569"/>
      <w:bookmarkStart w:id="43" w:name="_Toc17093"/>
      <w:bookmarkStart w:id="44" w:name="_Toc325726012"/>
      <w:r>
        <w:rPr>
          <w:rFonts w:hint="eastAsia" w:ascii="仿宋_GB2312" w:hAnsi="宋体" w:eastAsia="仿宋_GB2312" w:cs="宋体"/>
          <w:b/>
          <w:bCs/>
          <w:color w:val="000000" w:themeColor="text1"/>
          <w:sz w:val="28"/>
          <w:szCs w:val="28"/>
          <w:highlight w:val="none"/>
          <w14:textFill>
            <w14:solidFill>
              <w14:schemeClr w14:val="tx1"/>
            </w14:solidFill>
          </w14:textFill>
        </w:rPr>
        <w:t>8.磋商报价</w:t>
      </w:r>
    </w:p>
    <w:p w14:paraId="50F98AF8">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8.1供应商应当根据磋商文件“分项报价表”逐一报价（如有）；</w:t>
      </w:r>
    </w:p>
    <w:p w14:paraId="699B84DC">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8.2供应商的每次报价均不得超过采购项目预算，否则视为无效响应。采购项目预算见【供应商须知前附表】。</w:t>
      </w:r>
    </w:p>
    <w:p w14:paraId="0DCF046B">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8.3供应商提交的最后报价在合同执行过程中是固定不变的，不得以任何理由予以变更。</w:t>
      </w:r>
    </w:p>
    <w:p w14:paraId="03A096A8">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8.4磋商报价为总价。供应商须按要求填写磋商总报价，最后报价不得出现两个或两个以上的报价方案。 </w:t>
      </w:r>
    </w:p>
    <w:p w14:paraId="04183AE8">
      <w:pPr>
        <w:adjustRightInd w:val="0"/>
        <w:snapToGrid w:val="0"/>
        <w:spacing w:line="520" w:lineRule="exact"/>
        <w:ind w:firstLine="560"/>
        <w:jc w:val="lef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8.5报价币种为人民币。</w:t>
      </w:r>
    </w:p>
    <w:p w14:paraId="28A30394">
      <w:pPr>
        <w:spacing w:line="520" w:lineRule="exact"/>
        <w:ind w:firstLine="562"/>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9.磋商保证金</w:t>
      </w:r>
      <w:bookmarkEnd w:id="41"/>
      <w:bookmarkEnd w:id="42"/>
      <w:bookmarkEnd w:id="43"/>
      <w:bookmarkEnd w:id="44"/>
      <w:r>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t>（</w:t>
      </w:r>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本项目不适用</w:t>
      </w:r>
      <w:r>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t>）</w:t>
      </w:r>
    </w:p>
    <w:p w14:paraId="17958ABC">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9.1磋商保证金采用前附表规定转账方式的，由供应商直接转入“青海省招标有限责任公司”</w:t>
      </w:r>
      <w:r>
        <w:rPr>
          <w:rFonts w:hint="eastAsia" w:ascii="仿宋_GB2312" w:hAnsi="宋体" w:eastAsia="仿宋_GB2312" w:cs="宋体"/>
          <w:color w:val="000000" w:themeColor="text1"/>
          <w:sz w:val="28"/>
          <w:szCs w:val="28"/>
          <w:highlight w:val="none"/>
          <w14:textFill>
            <w14:solidFill>
              <w14:schemeClr w14:val="tx1"/>
            </w14:solidFill>
          </w14:textFill>
        </w:rPr>
        <w:t>保证金专用</w:t>
      </w:r>
      <w:r>
        <w:rPr>
          <w:rFonts w:hint="eastAsia" w:ascii="仿宋_GB2312" w:hAnsi="宋体" w:eastAsia="仿宋_GB2312" w:cs="宋体"/>
          <w:color w:val="000000" w:themeColor="text1"/>
          <w:sz w:val="28"/>
          <w:szCs w:val="28"/>
          <w:highlight w:val="none"/>
          <w:lang w:val="zh-CN"/>
          <w14:textFill>
            <w14:solidFill>
              <w14:schemeClr w14:val="tx1"/>
            </w14:solidFill>
          </w14:textFill>
        </w:rPr>
        <w:t>账户。</w:t>
      </w:r>
    </w:p>
    <w:p w14:paraId="0E7A890D">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0125E02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 xml:space="preserve">.3 </w:t>
      </w: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有下列情形之一的，磋商保证金不予退还：</w:t>
      </w:r>
    </w:p>
    <w:p w14:paraId="6D15991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（1）供应商在提交响应文件截止时间后撤回响应文件的；</w:t>
      </w:r>
    </w:p>
    <w:p w14:paraId="54283D4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（2）供应商在响应文件中提供虚假材料的；</w:t>
      </w:r>
    </w:p>
    <w:p w14:paraId="184077F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（3）除因不可抗力或磋商文件认可的情形以外，成交供应商不与采购人签订合同的；</w:t>
      </w:r>
    </w:p>
    <w:p w14:paraId="2A5C565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（4）供应商与采购人、其他供应商或者采购代理机构恶意串通的；</w:t>
      </w:r>
    </w:p>
    <w:p w14:paraId="5273A53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（5）法律法规规定的其他情形。</w:t>
      </w:r>
    </w:p>
    <w:p w14:paraId="66A8EAE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5" w:name="_Toc22044"/>
      <w:bookmarkStart w:id="46" w:name="_Toc325726013"/>
      <w:bookmarkStart w:id="47" w:name="_Toc32704"/>
      <w:bookmarkStart w:id="48" w:name="_Toc376936744"/>
      <w:r>
        <w:rPr>
          <w:rFonts w:hint="eastAsia" w:ascii="仿宋_GB2312" w:hAnsi="宋体" w:eastAsia="仿宋_GB2312" w:cs="宋体"/>
          <w:b/>
          <w:bCs/>
          <w:color w:val="000000" w:themeColor="text1"/>
          <w:sz w:val="28"/>
          <w:szCs w:val="28"/>
          <w:highlight w:val="none"/>
          <w14:textFill>
            <w14:solidFill>
              <w14:schemeClr w14:val="tx1"/>
            </w14:solidFill>
          </w14:textFill>
        </w:rPr>
        <w:t>10.响应有效期</w:t>
      </w:r>
      <w:bookmarkEnd w:id="45"/>
      <w:bookmarkEnd w:id="46"/>
      <w:bookmarkEnd w:id="47"/>
      <w:bookmarkEnd w:id="48"/>
    </w:p>
    <w:p w14:paraId="48D9531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自提交响应文件截止之日起60个日历日。（供应商须知前附表另有规定的除外）</w:t>
      </w:r>
    </w:p>
    <w:p w14:paraId="110C693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9" w:name="_Toc31915"/>
      <w:bookmarkStart w:id="50" w:name="_Toc325726008"/>
      <w:bookmarkStart w:id="51" w:name="_Toc16445"/>
      <w:bookmarkStart w:id="52" w:name="_Toc376936739"/>
      <w:r>
        <w:rPr>
          <w:rFonts w:hint="eastAsia" w:ascii="仿宋_GB2312" w:hAnsi="宋体" w:eastAsia="仿宋_GB2312" w:cs="宋体"/>
          <w:b/>
          <w:bCs/>
          <w:color w:val="000000" w:themeColor="text1"/>
          <w:sz w:val="28"/>
          <w:szCs w:val="28"/>
          <w:highlight w:val="none"/>
          <w14:textFill>
            <w14:solidFill>
              <w14:schemeClr w14:val="tx1"/>
            </w14:solidFill>
          </w14:textFill>
        </w:rPr>
        <w:t>11.响应文件构成</w:t>
      </w:r>
      <w:bookmarkEnd w:id="49"/>
      <w:bookmarkEnd w:id="50"/>
      <w:bookmarkEnd w:id="51"/>
      <w:bookmarkEnd w:id="52"/>
    </w:p>
    <w:p w14:paraId="101AF62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w:t>
      </w:r>
      <w:r>
        <w:rPr>
          <w:rFonts w:hint="eastAsia" w:ascii="仿宋_GB2312" w:hAnsi="宋体" w:eastAsia="仿宋_GB2312" w:cs="宋体"/>
          <w:color w:val="000000" w:themeColor="text1"/>
          <w:sz w:val="28"/>
          <w:szCs w:val="28"/>
          <w:highlight w:val="none"/>
          <w:lang w:val="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0180667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（1）响应文件封面</w:t>
      </w:r>
    </w:p>
    <w:p w14:paraId="7F0DEBE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（2）目录</w:t>
      </w:r>
    </w:p>
    <w:p w14:paraId="438DE65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（3）磋商函</w:t>
      </w:r>
    </w:p>
    <w:p w14:paraId="75B3E95E">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（4）首次报价</w:t>
      </w:r>
      <w:r>
        <w:rPr>
          <w:rFonts w:hint="eastAsia" w:ascii="仿宋_GB2312" w:hAnsi="宋体" w:eastAsia="仿宋_GB2312" w:cs="宋体"/>
          <w:color w:val="000000" w:themeColor="text1"/>
          <w:sz w:val="28"/>
          <w:szCs w:val="28"/>
          <w:highlight w:val="none"/>
          <w:lang w:val="zh-CN"/>
          <w14:textFill>
            <w14:solidFill>
              <w14:schemeClr w14:val="tx1"/>
            </w14:solidFill>
          </w14:textFill>
        </w:rPr>
        <w:t>一览表</w:t>
      </w:r>
    </w:p>
    <w:p w14:paraId="7614A913">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w:t>
      </w:r>
      <w:r>
        <w:rPr>
          <w:rFonts w:hint="eastAsia" w:ascii="仿宋_GB2312" w:hAnsi="宋体" w:eastAsia="仿宋_GB2312" w:cs="宋体"/>
          <w:color w:val="000000" w:themeColor="text1"/>
          <w:sz w:val="28"/>
          <w:szCs w:val="28"/>
          <w:highlight w:val="none"/>
          <w14:textFill>
            <w14:solidFill>
              <w14:schemeClr w14:val="tx1"/>
            </w14:solidFill>
          </w14:textFill>
        </w:rPr>
        <w:t>5</w:t>
      </w:r>
      <w:r>
        <w:rPr>
          <w:rFonts w:hint="eastAsia" w:ascii="仿宋_GB2312" w:hAnsi="宋体" w:eastAsia="仿宋_GB2312" w:cs="宋体"/>
          <w:color w:val="000000" w:themeColor="text1"/>
          <w:sz w:val="28"/>
          <w:szCs w:val="28"/>
          <w:highlight w:val="none"/>
          <w:lang w:val="zh-CN"/>
          <w14:textFill>
            <w14:solidFill>
              <w14:schemeClr w14:val="tx1"/>
            </w14:solidFill>
          </w14:textFill>
        </w:rPr>
        <w:t>）分项报价表（</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本项目不适用</w:t>
      </w:r>
      <w:r>
        <w:rPr>
          <w:rFonts w:hint="eastAsia" w:ascii="仿宋_GB2312" w:hAnsi="宋体" w:eastAsia="仿宋_GB2312" w:cs="宋体"/>
          <w:color w:val="000000" w:themeColor="text1"/>
          <w:sz w:val="28"/>
          <w:szCs w:val="28"/>
          <w:highlight w:val="none"/>
          <w:lang w:val="zh-CN"/>
          <w14:textFill>
            <w14:solidFill>
              <w14:schemeClr w14:val="tx1"/>
            </w14:solidFill>
          </w14:textFill>
        </w:rPr>
        <w:t>）</w:t>
      </w:r>
    </w:p>
    <w:p w14:paraId="5689E03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（6）法定代表人（非法人组织负责人）证明书</w:t>
      </w:r>
    </w:p>
    <w:p w14:paraId="3A30A38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（7）法定代表人（非法人组织负责人）授权书</w:t>
      </w:r>
    </w:p>
    <w:p w14:paraId="59C1E3E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（8）供应商承诺函</w:t>
      </w:r>
    </w:p>
    <w:p w14:paraId="0657BA8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（9）供应商诚信承诺书</w:t>
      </w:r>
    </w:p>
    <w:p w14:paraId="5472A6F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（10）资格证明材料</w:t>
      </w:r>
    </w:p>
    <w:p w14:paraId="610E8DA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（11）财务状况证明</w:t>
      </w:r>
    </w:p>
    <w:p w14:paraId="3E35CAC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（12）具备履行合同所必须的设备和专业技术能力证明</w:t>
      </w:r>
    </w:p>
    <w:p w14:paraId="393C066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（13）无重大违法记录声明</w:t>
      </w:r>
    </w:p>
    <w:p w14:paraId="566799B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（14）磋商保证金</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本项目不适用</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p>
    <w:p w14:paraId="1FF51CD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14:textFill>
            <w14:solidFill>
              <w14:schemeClr w14:val="tx1"/>
            </w14:solidFill>
          </w14:textFill>
        </w:rPr>
        <w:t>）供应商最后报价表</w:t>
      </w:r>
    </w:p>
    <w:p w14:paraId="769221C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）供应商类似业绩证明材料</w:t>
      </w:r>
    </w:p>
    <w:p w14:paraId="024A2A9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sz w:val="28"/>
          <w:szCs w:val="28"/>
          <w:highlight w:val="none"/>
          <w14:textFill>
            <w14:solidFill>
              <w14:schemeClr w14:val="tx1"/>
            </w14:solidFill>
          </w14:textFill>
        </w:rPr>
        <w:t>）服务方案</w:t>
      </w:r>
    </w:p>
    <w:p w14:paraId="39C6DE7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8</w:t>
      </w:r>
      <w:r>
        <w:rPr>
          <w:rFonts w:hint="eastAsia" w:ascii="仿宋_GB2312" w:hAnsi="宋体" w:eastAsia="仿宋_GB2312" w:cs="宋体"/>
          <w:color w:val="000000" w:themeColor="text1"/>
          <w:sz w:val="28"/>
          <w:szCs w:val="28"/>
          <w:highlight w:val="none"/>
          <w14:textFill>
            <w14:solidFill>
              <w14:schemeClr w14:val="tx1"/>
            </w14:solidFill>
          </w14:textFill>
        </w:rPr>
        <w:t>）享受政府采购政策优惠的证明材料</w:t>
      </w:r>
    </w:p>
    <w:p w14:paraId="4FE8868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19</w:t>
      </w:r>
      <w:r>
        <w:rPr>
          <w:rFonts w:hint="eastAsia" w:ascii="仿宋_GB2312" w:hAnsi="宋体" w:eastAsia="仿宋_GB2312" w:cs="宋体"/>
          <w:color w:val="000000" w:themeColor="text1"/>
          <w:sz w:val="28"/>
          <w:szCs w:val="28"/>
          <w:highlight w:val="none"/>
          <w14:textFill>
            <w14:solidFill>
              <w14:schemeClr w14:val="tx1"/>
            </w14:solidFill>
          </w14:textFill>
        </w:rPr>
        <w:t>）供应商认为在其他方面有必要说明的事项</w:t>
      </w:r>
    </w:p>
    <w:p w14:paraId="50A7896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0CC7B22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53" w:name="_Toc16453"/>
      <w:bookmarkStart w:id="54" w:name="_Toc373392580"/>
      <w:bookmarkStart w:id="55" w:name="_Toc412617729"/>
      <w:bookmarkStart w:id="56" w:name="_Toc11377"/>
      <w:r>
        <w:rPr>
          <w:rFonts w:hint="eastAsia" w:ascii="仿宋_GB2312" w:hAnsi="宋体" w:eastAsia="仿宋_GB2312" w:cs="宋体"/>
          <w:b/>
          <w:bCs/>
          <w:color w:val="000000" w:themeColor="text1"/>
          <w:sz w:val="28"/>
          <w:szCs w:val="28"/>
          <w:highlight w:val="none"/>
          <w14:textFill>
            <w14:solidFill>
              <w14:schemeClr w14:val="tx1"/>
            </w14:solidFill>
          </w14:textFill>
        </w:rPr>
        <w:t>12.电子版响应文件编制和签署</w:t>
      </w:r>
      <w:bookmarkEnd w:id="53"/>
      <w:bookmarkEnd w:id="54"/>
      <w:bookmarkEnd w:id="55"/>
      <w:bookmarkEnd w:id="56"/>
    </w:p>
    <w:p w14:paraId="462028A6">
      <w:pPr>
        <w:spacing w:line="520" w:lineRule="exact"/>
        <w:ind w:firstLine="464" w:firstLineChars="166"/>
        <w:rPr>
          <w:rFonts w:ascii="仿宋_GB2312" w:hAnsi="宋体" w:eastAsia="仿宋_GB2312" w:cs="宋体"/>
          <w:b/>
          <w:bCs/>
          <w:color w:val="000000" w:themeColor="text1"/>
          <w:sz w:val="28"/>
          <w:szCs w:val="28"/>
          <w:highlight w:val="none"/>
          <w14:textFill>
            <w14:solidFill>
              <w14:schemeClr w14:val="tx1"/>
            </w14:solidFill>
          </w14:textFill>
        </w:rPr>
      </w:pPr>
      <w:bookmarkStart w:id="57" w:name="_Toc15102"/>
      <w:bookmarkStart w:id="58" w:name="_Toc412617730"/>
      <w:bookmarkStart w:id="59" w:name="_Toc371090029"/>
      <w:bookmarkStart w:id="60" w:name="_Toc376936748"/>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highlight w:val="none"/>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p w14:paraId="5012FCC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61" w:name="_Toc325726016"/>
      <w:bookmarkStart w:id="62" w:name="_Toc1176"/>
      <w:bookmarkStart w:id="63" w:name="_Toc373392582"/>
      <w:bookmarkStart w:id="64" w:name="_Toc23823"/>
      <w:bookmarkStart w:id="65" w:name="_Toc412617731"/>
      <w:r>
        <w:rPr>
          <w:rFonts w:hint="eastAsia" w:ascii="仿宋_GB2312" w:hAnsi="宋体" w:eastAsia="仿宋_GB2312" w:cs="宋体"/>
          <w:b/>
          <w:bCs/>
          <w:color w:val="000000" w:themeColor="text1"/>
          <w:sz w:val="28"/>
          <w:szCs w:val="28"/>
          <w:highlight w:val="none"/>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bookmarkEnd w:id="59"/>
    <w:bookmarkEnd w:id="60"/>
    <w:p w14:paraId="4FA1C295">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bookmarkStart w:id="66" w:name="_Toc373392583"/>
      <w:bookmarkStart w:id="67" w:name="_Toc412617732"/>
      <w:bookmarkStart w:id="68" w:name="_Toc325726017"/>
      <w:bookmarkStart w:id="69" w:name="_Toc30756"/>
      <w:bookmarkStart w:id="70" w:name="_Toc4009"/>
      <w:bookmarkStart w:id="71" w:name="_Toc376936749"/>
      <w:bookmarkStart w:id="72" w:name="_Toc371090030"/>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highlight w:val="none"/>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highlight w:val="none"/>
          <w14:textFill>
            <w14:solidFill>
              <w14:schemeClr w14:val="tx1"/>
            </w14:solidFill>
          </w14:textFill>
        </w:rPr>
        <w:t>提交响应文件截止时间</w:t>
      </w:r>
    </w:p>
    <w:p w14:paraId="091A072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14.1提交响应文件截止时间及邮箱详见“供应商须知前附表”。</w:t>
      </w:r>
    </w:p>
    <w:p w14:paraId="7A598FF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14.2采购代理机构将拒绝接受在提交响应文件截止时间之后提交的响应文件。</w:t>
      </w:r>
      <w:bookmarkEnd w:id="71"/>
      <w:bookmarkEnd w:id="72"/>
      <w:bookmarkStart w:id="73" w:name="_Toc325726019"/>
      <w:bookmarkStart w:id="74" w:name="_Toc376936750"/>
      <w:bookmarkStart w:id="75" w:name="_Toc9147"/>
    </w:p>
    <w:p w14:paraId="7A1EC2F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highlight w:val="none"/>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5"/>
      <w:bookmarkEnd w:id="76"/>
    </w:p>
    <w:p w14:paraId="5947BA5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7" w:name="_Toc325726020"/>
      <w:bookmarkStart w:id="78" w:name="_Toc376936751"/>
      <w:bookmarkStart w:id="79" w:name="_Toc26723"/>
      <w:bookmarkStart w:id="80" w:name="_Toc15630"/>
      <w:r>
        <w:rPr>
          <w:rFonts w:hint="eastAsia" w:ascii="仿宋_GB2312" w:hAnsi="宋体" w:eastAsia="仿宋_GB2312" w:cs="宋体"/>
          <w:b/>
          <w:bCs/>
          <w:color w:val="000000" w:themeColor="text1"/>
          <w:sz w:val="28"/>
          <w:szCs w:val="28"/>
          <w:highlight w:val="none"/>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9"/>
      <w:bookmarkEnd w:id="80"/>
    </w:p>
    <w:p w14:paraId="7CE5B5E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15.1采购人、采购代理机构按本磋商文件中确定的时间和方式组织本项目的磋商活动。供应商应由其法定代表人或委托代理人参加。</w:t>
      </w:r>
    </w:p>
    <w:p w14:paraId="5D01A48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15.2磋商时，对不同文字文本响应文件的解释发生异议的，以中文文本为准。</w:t>
      </w:r>
    </w:p>
    <w:p w14:paraId="18CCDA3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15.3磋商工作由采购人或采购代理机构组织。</w:t>
      </w:r>
    </w:p>
    <w:p w14:paraId="40FF4FB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15.4磋商过程有专人记录，并存档备查。</w:t>
      </w:r>
    </w:p>
    <w:p w14:paraId="59FC4BA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1" w:name="_Toc325726021"/>
      <w:bookmarkStart w:id="82" w:name="_Toc18107"/>
      <w:bookmarkStart w:id="83" w:name="_Toc19030"/>
      <w:bookmarkStart w:id="84" w:name="_Toc376936752"/>
      <w:r>
        <w:rPr>
          <w:rFonts w:hint="eastAsia" w:ascii="仿宋_GB2312" w:hAnsi="宋体" w:eastAsia="仿宋_GB2312" w:cs="宋体"/>
          <w:b/>
          <w:bCs/>
          <w:color w:val="000000" w:themeColor="text1"/>
          <w:sz w:val="28"/>
          <w:szCs w:val="28"/>
          <w:highlight w:val="none"/>
          <w14:textFill>
            <w14:solidFill>
              <w14:schemeClr w14:val="tx1"/>
            </w14:solidFill>
          </w14:textFill>
        </w:rPr>
        <w:t>六、磋商程序及方法</w:t>
      </w:r>
      <w:bookmarkEnd w:id="81"/>
      <w:bookmarkEnd w:id="82"/>
      <w:bookmarkEnd w:id="83"/>
      <w:bookmarkEnd w:id="84"/>
    </w:p>
    <w:p w14:paraId="7A5DFDD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5" w:name="_Toc26121"/>
      <w:bookmarkStart w:id="86" w:name="_Toc16935"/>
      <w:bookmarkStart w:id="87" w:name="_Toc325726022"/>
      <w:bookmarkStart w:id="88" w:name="_Toc376936753"/>
      <w:r>
        <w:rPr>
          <w:rFonts w:hint="eastAsia" w:ascii="仿宋_GB2312" w:hAnsi="宋体" w:eastAsia="仿宋_GB2312" w:cs="宋体"/>
          <w:b/>
          <w:bCs/>
          <w:color w:val="000000" w:themeColor="text1"/>
          <w:sz w:val="28"/>
          <w:szCs w:val="28"/>
          <w:highlight w:val="none"/>
          <w14:textFill>
            <w14:solidFill>
              <w14:schemeClr w14:val="tx1"/>
            </w14:solidFill>
          </w14:textFill>
        </w:rPr>
        <w:t>16.磋商小组</w:t>
      </w:r>
      <w:bookmarkEnd w:id="85"/>
      <w:bookmarkEnd w:id="86"/>
      <w:bookmarkEnd w:id="87"/>
      <w:bookmarkEnd w:id="88"/>
    </w:p>
    <w:p w14:paraId="516E6BB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62E015F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16.2磋商由采购代理机构负责组织，具体磋商事务由依法组建的磋商小组负责，并独立履行下列职责：</w:t>
      </w:r>
    </w:p>
    <w:p w14:paraId="1AFBAD4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（1）审查响应文件是否符合磋商文件要求，并做出评价；</w:t>
      </w:r>
    </w:p>
    <w:p w14:paraId="337B0A4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（2）要求供应商对响应文件有关事项做出解释或澄清；</w:t>
      </w:r>
    </w:p>
    <w:p w14:paraId="71A74BA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（3）推荐预成交候选供应商；</w:t>
      </w:r>
    </w:p>
    <w:p w14:paraId="4DE315E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（4）对非法干预评审工作的人员和机构进行举报或投诉。</w:t>
      </w:r>
    </w:p>
    <w:p w14:paraId="25C57BA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16.3磋商小组应遵守并履行下列义务：</w:t>
      </w:r>
    </w:p>
    <w:p w14:paraId="5124558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（1）遵纪守法，客观、公平、公正、廉洁地履行职责；</w:t>
      </w:r>
    </w:p>
    <w:p w14:paraId="4142E91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（2）按照磋商文件规定的评审办法和评审标准进行评审，磋商小组成员对评审意见承担责任；</w:t>
      </w:r>
    </w:p>
    <w:p w14:paraId="5CC7A89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（3）对响应文件、磋商情况和磋商中获悉的商业秘密保密；</w:t>
      </w:r>
    </w:p>
    <w:p w14:paraId="46C5069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（4）参与评审报告的起草；</w:t>
      </w:r>
    </w:p>
    <w:p w14:paraId="5C4D709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（5）解答供应商及有关方面的质疑；</w:t>
      </w:r>
    </w:p>
    <w:p w14:paraId="7CA15D8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（6）配合纪检部门进行投诉处理工作。</w:t>
      </w:r>
    </w:p>
    <w:p w14:paraId="1583CEF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16.4磋商小组所有成员应当集中与单一供应商分别进行磋商，并给予所有参加磋商的供应商平等的磋商机会。</w:t>
      </w:r>
    </w:p>
    <w:p w14:paraId="186B26D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16.5磋商工作在严格保密的情况下依法开展，任何单位和个人不得非法干预、影响磋商工作和磋商结果。</w:t>
      </w:r>
    </w:p>
    <w:p w14:paraId="217D9AC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9" w:name="_Toc325726023"/>
      <w:bookmarkStart w:id="90" w:name="_Toc27086"/>
      <w:bookmarkStart w:id="91" w:name="_Toc14694"/>
      <w:bookmarkStart w:id="92" w:name="_Toc376936754"/>
      <w:r>
        <w:rPr>
          <w:rFonts w:hint="eastAsia" w:ascii="仿宋_GB2312" w:hAnsi="宋体" w:eastAsia="仿宋_GB2312" w:cs="宋体"/>
          <w:b/>
          <w:bCs/>
          <w:color w:val="000000" w:themeColor="text1"/>
          <w:sz w:val="28"/>
          <w:szCs w:val="28"/>
          <w:highlight w:val="none"/>
          <w14:textFill>
            <w14:solidFill>
              <w14:schemeClr w14:val="tx1"/>
            </w14:solidFill>
          </w14:textFill>
        </w:rPr>
        <w:t>17.磋商程序</w:t>
      </w:r>
      <w:bookmarkEnd w:id="89"/>
      <w:bookmarkEnd w:id="90"/>
      <w:bookmarkEnd w:id="91"/>
      <w:bookmarkEnd w:id="92"/>
    </w:p>
    <w:p w14:paraId="2AE9AD2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144076A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17.2初审阶段为资格性审查和符合性审查。响应文件在响应磋商文件要求方面出现的偏离，分为实质性偏离和非实质性偏离。</w:t>
      </w:r>
    </w:p>
    <w:p w14:paraId="3789D84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17.2.1实质性偏离是指响应文件未能实质性响应磋商文件的要求。以下情况属于实质性偏离，响应文件有下列情况之一的，按无效响应处理。</w:t>
      </w:r>
    </w:p>
    <w:p w14:paraId="005CFDE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（1）不符合第</w:t>
      </w: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zh-CN"/>
          <w14:textFill>
            <w14:solidFill>
              <w14:schemeClr w14:val="tx1"/>
            </w14:solidFill>
          </w14:textFill>
        </w:rPr>
        <w:t>2款“供应商资格条件”之规定的；</w:t>
      </w:r>
    </w:p>
    <w:p w14:paraId="6995FA7E">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未按磋商文件要求提交或未足额提交磋商保证金的；</w:t>
      </w:r>
    </w:p>
    <w:p w14:paraId="6B0A39C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（3）未按第11.1（1）-（14）要求提供相关资料的；</w:t>
      </w:r>
    </w:p>
    <w:p w14:paraId="3B31B6F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（4）响应文件内容没有按磋商文件规定和要求签字、盖章的；</w:t>
      </w:r>
    </w:p>
    <w:p w14:paraId="4477BBF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（5）响应文件不符合磋商文件规定的格式和顺序要求的；</w:t>
      </w:r>
    </w:p>
    <w:p w14:paraId="3371A85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（6）服务期、响应有效期最终不能满足磋商文件要求的；</w:t>
      </w:r>
    </w:p>
    <w:p w14:paraId="5818262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（7）响应文件完全不满足磋商文件第五部分“服务要求”的；</w:t>
      </w:r>
    </w:p>
    <w:p w14:paraId="48E7317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（8）响应文件中附有采购人不能接受的条件的；</w:t>
      </w:r>
    </w:p>
    <w:p w14:paraId="5B7B8A0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（9）报价超过采购预算额度或最高限价的；</w:t>
      </w:r>
    </w:p>
    <w:p w14:paraId="7B39BC6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（10）法律、法规规定的其他情形。</w:t>
      </w:r>
    </w:p>
    <w:p w14:paraId="020CE8F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8F88E9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5D60C14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17.2.3 响应文件报价出现前后不一致的，按照下列规定修正：</w:t>
      </w:r>
    </w:p>
    <w:p w14:paraId="41B06D0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（1）响应文件中首次报价一览表内容与响应文件中分项报价表相应内容不一致的，以分项报价表为准；（如有）</w:t>
      </w:r>
    </w:p>
    <w:p w14:paraId="0015E1A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（2）大写金额和小写金额不一致的，以大写金额为准；</w:t>
      </w:r>
    </w:p>
    <w:p w14:paraId="72CA261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（3）单价金额小数点或者百分比有明显错位的，以分项报价表的总价为准，并修改单价；</w:t>
      </w:r>
    </w:p>
    <w:p w14:paraId="14DE975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（4）总价金额与按单价汇总金额不一致的，以单价金额计算结果为准。</w:t>
      </w:r>
    </w:p>
    <w:p w14:paraId="0A2F252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同时出现2种以上不一致的，按照前款规定的顺序修正。修正后的报价按17.2.2第二款的规定经供应商确认后产生约束力。</w:t>
      </w:r>
    </w:p>
    <w:p w14:paraId="278704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743CA3B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81A20A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0E54D83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3" w:name="_Toc13668"/>
      <w:bookmarkStart w:id="94" w:name="_Toc325726024"/>
      <w:bookmarkStart w:id="95" w:name="_Toc20611"/>
      <w:bookmarkStart w:id="96" w:name="_Toc376936755"/>
      <w:r>
        <w:rPr>
          <w:rFonts w:hint="eastAsia" w:ascii="仿宋_GB2312" w:hAnsi="宋体" w:eastAsia="仿宋_GB2312" w:cs="宋体"/>
          <w:b/>
          <w:bCs/>
          <w:color w:val="000000" w:themeColor="text1"/>
          <w:sz w:val="28"/>
          <w:szCs w:val="28"/>
          <w:highlight w:val="none"/>
          <w14:textFill>
            <w14:solidFill>
              <w14:schemeClr w14:val="tx1"/>
            </w14:solidFill>
          </w14:textFill>
        </w:rPr>
        <w:t>18.评审办法</w:t>
      </w:r>
      <w:bookmarkEnd w:id="93"/>
      <w:bookmarkEnd w:id="94"/>
      <w:bookmarkEnd w:id="95"/>
      <w:bookmarkEnd w:id="96"/>
    </w:p>
    <w:p w14:paraId="02FEFEF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6AF9F16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18.2评审标准和分值分配：</w:t>
      </w:r>
    </w:p>
    <w:tbl>
      <w:tblPr>
        <w:tblStyle w:val="28"/>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5A89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22965985">
            <w:pPr>
              <w:spacing w:line="520" w:lineRule="exact"/>
              <w:ind w:firstLine="232" w:firstLineChars="83"/>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类别</w:t>
            </w:r>
          </w:p>
        </w:tc>
        <w:tc>
          <w:tcPr>
            <w:tcW w:w="1288" w:type="dxa"/>
            <w:vAlign w:val="center"/>
          </w:tcPr>
          <w:p w14:paraId="7DDB1D1D">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项目</w:t>
            </w:r>
          </w:p>
        </w:tc>
        <w:tc>
          <w:tcPr>
            <w:tcW w:w="858" w:type="dxa"/>
            <w:vAlign w:val="center"/>
          </w:tcPr>
          <w:p w14:paraId="3E9E0E12">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分值</w:t>
            </w:r>
          </w:p>
        </w:tc>
        <w:tc>
          <w:tcPr>
            <w:tcW w:w="6295" w:type="dxa"/>
            <w:vAlign w:val="center"/>
          </w:tcPr>
          <w:p w14:paraId="6194D336">
            <w:pPr>
              <w:spacing w:line="520" w:lineRule="exact"/>
              <w:ind w:firstLine="2940" w:firstLineChars="105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评分标准</w:t>
            </w:r>
          </w:p>
        </w:tc>
      </w:tr>
      <w:tr w14:paraId="2D6A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9" w:type="dxa"/>
            <w:vAlign w:val="center"/>
          </w:tcPr>
          <w:p w14:paraId="2AE9DB56">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磋商报价</w:t>
            </w:r>
          </w:p>
          <w:p w14:paraId="1952BA5B">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10</w:t>
            </w:r>
            <w:r>
              <w:rPr>
                <w:rFonts w:hint="eastAsia" w:ascii="仿宋_GB2312" w:hAnsi="宋体" w:eastAsia="仿宋_GB2312" w:cs="宋体"/>
                <w:color w:val="000000" w:themeColor="text1"/>
                <w:sz w:val="28"/>
                <w:szCs w:val="28"/>
                <w:highlight w:val="none"/>
                <w14:textFill>
                  <w14:solidFill>
                    <w14:schemeClr w14:val="tx1"/>
                  </w14:solidFill>
                </w14:textFill>
              </w:rPr>
              <w:t>分）</w:t>
            </w:r>
          </w:p>
        </w:tc>
        <w:tc>
          <w:tcPr>
            <w:tcW w:w="1288" w:type="dxa"/>
            <w:vAlign w:val="center"/>
          </w:tcPr>
          <w:p w14:paraId="79E9DBEF">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报价分</w:t>
            </w:r>
          </w:p>
        </w:tc>
        <w:tc>
          <w:tcPr>
            <w:tcW w:w="858" w:type="dxa"/>
            <w:vAlign w:val="center"/>
          </w:tcPr>
          <w:p w14:paraId="6C0D9105">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10</w:t>
            </w:r>
            <w:r>
              <w:rPr>
                <w:rFonts w:hint="eastAsia" w:ascii="仿宋_GB2312" w:hAnsi="宋体" w:eastAsia="仿宋_GB2312" w:cs="宋体"/>
                <w:color w:val="000000" w:themeColor="text1"/>
                <w:sz w:val="28"/>
                <w:szCs w:val="28"/>
                <w:highlight w:val="none"/>
                <w14:textFill>
                  <w14:solidFill>
                    <w14:schemeClr w14:val="tx1"/>
                  </w14:solidFill>
                </w14:textFill>
              </w:rPr>
              <w:t>分</w:t>
            </w:r>
          </w:p>
        </w:tc>
        <w:tc>
          <w:tcPr>
            <w:tcW w:w="6295" w:type="dxa"/>
            <w:vAlign w:val="center"/>
          </w:tcPr>
          <w:p w14:paraId="6242E910">
            <w:pPr>
              <w:spacing w:line="520" w:lineRule="exact"/>
              <w:ind w:firstLine="0" w:firstLineChars="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磋商基准值=满足磋商文件要求且最后磋商报价最低的供应商的价格为磋商基准价。</w:t>
            </w:r>
          </w:p>
          <w:p w14:paraId="4BB63143">
            <w:pPr>
              <w:spacing w:line="520" w:lineRule="exact"/>
              <w:ind w:firstLine="0" w:firstLineChars="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磋商报价得分=（磋商基准价/最后磋商报价）×价格权值（</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10</w:t>
            </w:r>
            <w:r>
              <w:rPr>
                <w:rFonts w:hint="eastAsia" w:ascii="仿宋_GB2312" w:hAnsi="宋体" w:eastAsia="仿宋_GB2312"/>
                <w:color w:val="000000" w:themeColor="text1"/>
                <w:sz w:val="28"/>
                <w:szCs w:val="28"/>
                <w:highlight w:val="none"/>
                <w14:textFill>
                  <w14:solidFill>
                    <w14:schemeClr w14:val="tx1"/>
                  </w14:solidFill>
                </w14:textFill>
              </w:rPr>
              <w:t xml:space="preserve"> %）×100（四舍五入后保留小数点后两位）。</w:t>
            </w:r>
          </w:p>
          <w:p w14:paraId="59380ABE">
            <w:pPr>
              <w:spacing w:line="520" w:lineRule="exact"/>
              <w:ind w:firstLine="0" w:firstLineChars="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4AA35D8E">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（残疾人福利性单位属于监狱企业、小型、微型企业的，不重复享受政策。）</w:t>
            </w:r>
          </w:p>
        </w:tc>
      </w:tr>
      <w:tr w14:paraId="2B40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Align w:val="center"/>
          </w:tcPr>
          <w:p w14:paraId="4021A99A">
            <w:pPr>
              <w:spacing w:line="520" w:lineRule="exact"/>
              <w:ind w:firstLine="0" w:firstLineChars="0"/>
              <w:jc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商务评价</w:t>
            </w:r>
          </w:p>
          <w:p w14:paraId="5102EE8A">
            <w:pPr>
              <w:spacing w:line="520" w:lineRule="exact"/>
              <w:ind w:firstLine="0" w:firstLineChars="0"/>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15分</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p>
        </w:tc>
        <w:tc>
          <w:tcPr>
            <w:tcW w:w="1288" w:type="dxa"/>
            <w:vAlign w:val="center"/>
          </w:tcPr>
          <w:p w14:paraId="1AC1A177">
            <w:pPr>
              <w:spacing w:line="520" w:lineRule="exact"/>
              <w:ind w:firstLine="0" w:firstLineChars="0"/>
              <w:jc w:val="center"/>
              <w:rPr>
                <w:rFonts w:ascii="仿宋_GB2312" w:hAnsi="宋体" w:eastAsia="仿宋_GB2312" w:cs="宋体"/>
                <w:color w:val="000000" w:themeColor="text1"/>
                <w:kern w:val="2"/>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14:textFill>
                  <w14:solidFill>
                    <w14:schemeClr w14:val="tx1"/>
                  </w14:solidFill>
                </w14:textFill>
              </w:rPr>
              <w:t>企业业绩</w:t>
            </w:r>
          </w:p>
        </w:tc>
        <w:tc>
          <w:tcPr>
            <w:tcW w:w="858" w:type="dxa"/>
            <w:vAlign w:val="center"/>
          </w:tcPr>
          <w:p w14:paraId="595DB35A">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15</w:t>
            </w:r>
            <w:r>
              <w:rPr>
                <w:rFonts w:hint="eastAsia" w:ascii="仿宋_GB2312" w:hAnsi="宋体" w:eastAsia="仿宋_GB2312" w:cs="宋体"/>
                <w:color w:val="000000" w:themeColor="text1"/>
                <w:kern w:val="2"/>
                <w:sz w:val="28"/>
                <w:szCs w:val="28"/>
                <w:highlight w:val="none"/>
                <w14:textFill>
                  <w14:solidFill>
                    <w14:schemeClr w14:val="tx1"/>
                  </w14:solidFill>
                </w14:textFill>
              </w:rPr>
              <w:t>分</w:t>
            </w:r>
          </w:p>
        </w:tc>
        <w:tc>
          <w:tcPr>
            <w:tcW w:w="6295" w:type="dxa"/>
            <w:vAlign w:val="center"/>
          </w:tcPr>
          <w:p w14:paraId="1F8A4666">
            <w:pPr>
              <w:spacing w:line="520" w:lineRule="exact"/>
              <w:ind w:firstLine="0" w:firstLineChars="0"/>
              <w:rPr>
                <w:rFonts w:hint="eastAsia" w:ascii="仿宋_GB2312" w:hAnsi="宋体" w:eastAsia="仿宋_GB2312" w:cs="宋体"/>
                <w:b/>
                <w:bCs/>
                <w:color w:val="000000" w:themeColor="text1"/>
                <w:kern w:val="2"/>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14:textFill>
                  <w14:solidFill>
                    <w14:schemeClr w14:val="tx1"/>
                  </w14:solidFill>
                </w14:textFill>
              </w:rPr>
              <w:t>供应商（20</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20</w:t>
            </w:r>
            <w:r>
              <w:rPr>
                <w:rFonts w:hint="eastAsia" w:ascii="仿宋_GB2312" w:hAnsi="宋体" w:eastAsia="仿宋_GB2312" w:cs="宋体"/>
                <w:color w:val="000000" w:themeColor="text1"/>
                <w:kern w:val="2"/>
                <w:sz w:val="28"/>
                <w:szCs w:val="28"/>
                <w:highlight w:val="none"/>
                <w14:textFill>
                  <w14:solidFill>
                    <w14:schemeClr w14:val="tx1"/>
                  </w14:solidFill>
                </w14:textFill>
              </w:rPr>
              <w:t xml:space="preserve"> 年至投标截止时间）承担过类似业绩的，每个得</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3</w:t>
            </w:r>
            <w:r>
              <w:rPr>
                <w:rFonts w:hint="eastAsia" w:ascii="仿宋_GB2312" w:hAnsi="宋体" w:eastAsia="仿宋_GB2312" w:cs="宋体"/>
                <w:color w:val="000000" w:themeColor="text1"/>
                <w:kern w:val="2"/>
                <w:sz w:val="28"/>
                <w:szCs w:val="28"/>
                <w:highlight w:val="none"/>
                <w14:textFill>
                  <w14:solidFill>
                    <w14:schemeClr w14:val="tx1"/>
                  </w14:solidFill>
                </w14:textFill>
              </w:rPr>
              <w:t xml:space="preserve">分，本项最高得 </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15</w:t>
            </w:r>
            <w:r>
              <w:rPr>
                <w:rFonts w:hint="eastAsia" w:ascii="仿宋_GB2312" w:hAnsi="宋体" w:eastAsia="仿宋_GB2312" w:cs="宋体"/>
                <w:color w:val="000000" w:themeColor="text1"/>
                <w:kern w:val="2"/>
                <w:sz w:val="28"/>
                <w:szCs w:val="28"/>
                <w:highlight w:val="none"/>
                <w14:textFill>
                  <w14:solidFill>
                    <w14:schemeClr w14:val="tx1"/>
                  </w14:solidFill>
                </w14:textFill>
              </w:rPr>
              <w:t xml:space="preserve"> 分。响应文件中须提供中标通知书或合同复印件并加盖供应商公章</w:t>
            </w:r>
          </w:p>
        </w:tc>
      </w:tr>
      <w:tr w14:paraId="607A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restart"/>
            <w:vAlign w:val="center"/>
          </w:tcPr>
          <w:p w14:paraId="1C511B4B">
            <w:pPr>
              <w:spacing w:line="520" w:lineRule="exact"/>
              <w:ind w:firstLine="0" w:firstLineChars="0"/>
              <w:jc w:val="center"/>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技术评价</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75分</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p>
        </w:tc>
        <w:tc>
          <w:tcPr>
            <w:tcW w:w="1288" w:type="dxa"/>
            <w:vAlign w:val="center"/>
          </w:tcPr>
          <w:p w14:paraId="14676E6F">
            <w:pPr>
              <w:spacing w:line="520" w:lineRule="exact"/>
              <w:ind w:firstLine="0" w:firstLineChars="0"/>
              <w:jc w:val="center"/>
              <w:rPr>
                <w:rFonts w:hint="eastAsia" w:ascii="仿宋_GB2312" w:hAnsi="宋体" w:eastAsia="仿宋_GB2312" w:cs="宋体"/>
                <w:color w:val="000000" w:themeColor="text1"/>
                <w:kern w:val="2"/>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14:textFill>
                  <w14:solidFill>
                    <w14:schemeClr w14:val="tx1"/>
                  </w14:solidFill>
                </w14:textFill>
              </w:rPr>
              <w:t>服务方案</w:t>
            </w:r>
          </w:p>
        </w:tc>
        <w:tc>
          <w:tcPr>
            <w:tcW w:w="858" w:type="dxa"/>
            <w:vAlign w:val="center"/>
          </w:tcPr>
          <w:p w14:paraId="7734FC44">
            <w:pPr>
              <w:spacing w:line="520" w:lineRule="exact"/>
              <w:ind w:firstLine="0" w:firstLineChars="0"/>
              <w:jc w:val="cente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25分</w:t>
            </w:r>
          </w:p>
        </w:tc>
        <w:tc>
          <w:tcPr>
            <w:tcW w:w="6295" w:type="dxa"/>
            <w:vAlign w:val="center"/>
          </w:tcPr>
          <w:p w14:paraId="44F68F42">
            <w:pPr>
              <w:spacing w:line="520" w:lineRule="exact"/>
              <w:ind w:firstLine="0" w:firstLineChars="0"/>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投标人根据本项目特点编制服务方案。评委根据服务方案的合理性、科学性、可实施性等诸多方面打分，内容切实可行、针对性强、与项目要求匹配度高，得 25 分，内容切实可行、针对性一般</w:t>
            </w:r>
          </w:p>
          <w:p w14:paraId="21BCF8FE">
            <w:pPr>
              <w:spacing w:line="520" w:lineRule="exact"/>
              <w:ind w:firstLine="0" w:firstLineChars="0"/>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与项目要求匹配度一般的，得 17 分，内容完善、与项目要求匹配</w:t>
            </w:r>
          </w:p>
          <w:p w14:paraId="3E14B324">
            <w:pPr>
              <w:spacing w:line="520" w:lineRule="exact"/>
              <w:ind w:firstLine="0" w:firstLineChars="0"/>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度差的，得 9 分，没有或未提供的不得分</w:t>
            </w:r>
          </w:p>
        </w:tc>
      </w:tr>
      <w:tr w14:paraId="043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5A462A9A">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p>
        </w:tc>
        <w:tc>
          <w:tcPr>
            <w:tcW w:w="1288" w:type="dxa"/>
            <w:vAlign w:val="center"/>
          </w:tcPr>
          <w:p w14:paraId="63C441A1">
            <w:pPr>
              <w:spacing w:line="520" w:lineRule="exact"/>
              <w:ind w:firstLine="0" w:firstLineChars="0"/>
              <w:jc w:val="center"/>
              <w:rPr>
                <w:rFonts w:hint="eastAsia" w:ascii="仿宋_GB2312" w:hAnsi="宋体" w:eastAsia="仿宋_GB2312" w:cs="宋体"/>
                <w:color w:val="000000" w:themeColor="text1"/>
                <w:kern w:val="2"/>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14:textFill>
                  <w14:solidFill>
                    <w14:schemeClr w14:val="tx1"/>
                  </w14:solidFill>
                </w14:textFill>
              </w:rPr>
              <w:t>安全管理措施</w:t>
            </w:r>
          </w:p>
        </w:tc>
        <w:tc>
          <w:tcPr>
            <w:tcW w:w="858" w:type="dxa"/>
            <w:vAlign w:val="center"/>
          </w:tcPr>
          <w:p w14:paraId="13777202">
            <w:pPr>
              <w:spacing w:line="520" w:lineRule="exact"/>
              <w:ind w:firstLine="0" w:firstLineChars="0"/>
              <w:jc w:val="center"/>
              <w:rPr>
                <w:rFonts w:hint="eastAsia" w:ascii="仿宋_GB2312" w:hAnsi="宋体" w:eastAsia="仿宋_GB2312" w:cs="宋体"/>
                <w:color w:val="000000" w:themeColor="text1"/>
                <w:kern w:val="2"/>
                <w:sz w:val="28"/>
                <w:szCs w:val="28"/>
                <w:highlight w:val="none"/>
                <w14:textFill>
                  <w14:solidFill>
                    <w14:schemeClr w14:val="tx1"/>
                  </w14:solidFill>
                </w14:textFill>
              </w:rPr>
            </w:pPr>
          </w:p>
          <w:p w14:paraId="0E8604FE">
            <w:pPr>
              <w:spacing w:line="520" w:lineRule="exact"/>
              <w:ind w:firstLine="0" w:firstLineChars="0"/>
              <w:jc w:val="cente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10分</w:t>
            </w:r>
          </w:p>
        </w:tc>
        <w:tc>
          <w:tcPr>
            <w:tcW w:w="6295" w:type="dxa"/>
            <w:vAlign w:val="center"/>
          </w:tcPr>
          <w:p w14:paraId="7B4971EA">
            <w:pPr>
              <w:spacing w:line="520" w:lineRule="exact"/>
              <w:ind w:firstLine="0" w:firstLineChars="0"/>
              <w:jc w:val="left"/>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提供针对本项目的安全及消防管理措施方案（包括在实施项目过程中安全目标、安全管理制度，安全考核、突发情况等安全管理措施），安全目标明确、管理制度及措施全面切实可行的得 10分；安全目标较明确、管理制度及措施较全面切实可行的得 7 分安全目标不明确、管理制度及措施不全面基本可行的得 4 分；涉及了安全目标、管理制度及措施可行性差的得 1 分，未提供或其他情况不得分；</w:t>
            </w:r>
          </w:p>
        </w:tc>
      </w:tr>
      <w:tr w14:paraId="0CDC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Align w:val="center"/>
          </w:tcPr>
          <w:p w14:paraId="3F96728E">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bookmarkStart w:id="97" w:name="_Toc376936756"/>
            <w:bookmarkStart w:id="98" w:name="_Toc325726025"/>
            <w:bookmarkStart w:id="99" w:name="_Toc2506"/>
            <w:bookmarkStart w:id="100" w:name="_Toc6689"/>
          </w:p>
        </w:tc>
        <w:tc>
          <w:tcPr>
            <w:tcW w:w="1288" w:type="dxa"/>
            <w:vAlign w:val="center"/>
          </w:tcPr>
          <w:p w14:paraId="47096CBE">
            <w:pPr>
              <w:spacing w:line="520" w:lineRule="exact"/>
              <w:ind w:firstLine="0" w:firstLineChars="0"/>
              <w:jc w:val="center"/>
              <w:rPr>
                <w:rFonts w:hint="eastAsia" w:ascii="仿宋_GB2312" w:hAnsi="宋体" w:eastAsia="仿宋_GB2312" w:cs="宋体"/>
                <w:color w:val="000000" w:themeColor="text1"/>
                <w:kern w:val="2"/>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14:textFill>
                  <w14:solidFill>
                    <w14:schemeClr w14:val="tx1"/>
                  </w14:solidFill>
                </w14:textFill>
              </w:rPr>
              <w:t>监测能力</w:t>
            </w:r>
          </w:p>
        </w:tc>
        <w:tc>
          <w:tcPr>
            <w:tcW w:w="858" w:type="dxa"/>
            <w:vAlign w:val="center"/>
          </w:tcPr>
          <w:p w14:paraId="2FD8FFFD">
            <w:pPr>
              <w:spacing w:line="520" w:lineRule="exact"/>
              <w:ind w:firstLine="0" w:firstLineChars="0"/>
              <w:jc w:val="center"/>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15分</w:t>
            </w:r>
          </w:p>
        </w:tc>
        <w:tc>
          <w:tcPr>
            <w:tcW w:w="6295" w:type="dxa"/>
            <w:vAlign w:val="center"/>
          </w:tcPr>
          <w:p w14:paraId="3D8C9EB6">
            <w:pPr>
              <w:spacing w:line="520" w:lineRule="exact"/>
              <w:ind w:firstLine="0" w:firstLineChars="0"/>
              <w:jc w:val="left"/>
              <w:rPr>
                <w:rFonts w:hint="default" w:ascii="仿宋_GB2312" w:hAnsi="宋体" w:eastAsia="仿宋_GB2312" w:cs="宋体"/>
                <w:b/>
                <w:bCs/>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满足该项目检测分析设备仪器、采样仪器等5台及以上得15分；4台及以上得10分，3台及以上得7分，2台及以上得 5，少于,2台不得0分。（以设备的购置发票或租赁协议的复印件为准）</w:t>
            </w:r>
          </w:p>
        </w:tc>
      </w:tr>
      <w:tr w14:paraId="1B81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Align w:val="center"/>
          </w:tcPr>
          <w:p w14:paraId="59A7BB79">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p>
        </w:tc>
        <w:tc>
          <w:tcPr>
            <w:tcW w:w="1288" w:type="dxa"/>
            <w:vAlign w:val="center"/>
          </w:tcPr>
          <w:p w14:paraId="7969EE4F">
            <w:pPr>
              <w:spacing w:line="520" w:lineRule="exact"/>
              <w:ind w:firstLine="0" w:firstLineChars="0"/>
              <w:jc w:val="center"/>
              <w:rPr>
                <w:rFonts w:hint="eastAsia" w:ascii="仿宋_GB2312" w:hAnsi="宋体" w:eastAsia="仿宋_GB2312" w:cs="宋体"/>
                <w:color w:val="000000" w:themeColor="text1"/>
                <w:kern w:val="2"/>
                <w:sz w:val="28"/>
                <w:szCs w:val="28"/>
                <w:highlight w:val="none"/>
                <w14:textFill>
                  <w14:solidFill>
                    <w14:schemeClr w14:val="tx1"/>
                  </w14:solidFill>
                </w14:textFill>
              </w:rPr>
            </w:pPr>
          </w:p>
          <w:p w14:paraId="28AA6EBD">
            <w:pPr>
              <w:spacing w:line="520" w:lineRule="exact"/>
              <w:ind w:firstLine="0" w:firstLineChars="0"/>
              <w:jc w:val="center"/>
              <w:rPr>
                <w:rFonts w:hint="eastAsia" w:ascii="仿宋_GB2312" w:hAnsi="宋体" w:eastAsia="仿宋_GB2312" w:cs="宋体"/>
                <w:color w:val="000000" w:themeColor="text1"/>
                <w:kern w:val="2"/>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14:textFill>
                  <w14:solidFill>
                    <w14:schemeClr w14:val="tx1"/>
                  </w14:solidFill>
                </w14:textFill>
              </w:rPr>
              <w:t>服务团</w:t>
            </w:r>
          </w:p>
          <w:p w14:paraId="5E02BE50">
            <w:pPr>
              <w:spacing w:line="520" w:lineRule="exact"/>
              <w:ind w:firstLine="0" w:firstLineChars="0"/>
              <w:jc w:val="center"/>
              <w:rPr>
                <w:rFonts w:hint="eastAsia" w:ascii="仿宋_GB2312" w:hAnsi="宋体" w:eastAsia="仿宋_GB2312" w:cs="宋体"/>
                <w:color w:val="000000" w:themeColor="text1"/>
                <w:kern w:val="2"/>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14:textFill>
                  <w14:solidFill>
                    <w14:schemeClr w14:val="tx1"/>
                  </w14:solidFill>
                </w14:textFill>
              </w:rPr>
              <w:t>队配置情况</w:t>
            </w:r>
          </w:p>
        </w:tc>
        <w:tc>
          <w:tcPr>
            <w:tcW w:w="858" w:type="dxa"/>
            <w:vAlign w:val="center"/>
          </w:tcPr>
          <w:p w14:paraId="18534E23">
            <w:pPr>
              <w:spacing w:line="520" w:lineRule="exact"/>
              <w:ind w:firstLine="0" w:firstLineChars="0"/>
              <w:jc w:val="cente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p>
          <w:p w14:paraId="58B48650">
            <w:pPr>
              <w:spacing w:line="520" w:lineRule="exact"/>
              <w:ind w:firstLine="0" w:firstLineChars="0"/>
              <w:jc w:val="center"/>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20分</w:t>
            </w:r>
          </w:p>
        </w:tc>
        <w:tc>
          <w:tcPr>
            <w:tcW w:w="6295" w:type="dxa"/>
            <w:vAlign w:val="center"/>
          </w:tcPr>
          <w:p w14:paraId="5C8D9981">
            <w:pPr>
              <w:spacing w:line="520" w:lineRule="exact"/>
              <w:ind w:firstLine="0" w:firstLineChars="0"/>
              <w:jc w:val="left"/>
              <w:rPr>
                <w:rFonts w:hint="eastAsia" w:ascii="仿宋_GB2312" w:hAnsi="宋体" w:eastAsia="仿宋_GB2312" w:cs="宋体"/>
                <w:b w:val="0"/>
                <w:bCs w:val="0"/>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b w:val="0"/>
                <w:bCs w:val="0"/>
                <w:color w:val="000000" w:themeColor="text1"/>
                <w:kern w:val="2"/>
                <w:sz w:val="28"/>
                <w:szCs w:val="28"/>
                <w:highlight w:val="none"/>
                <w:lang w:val="en-US" w:eastAsia="zh-CN"/>
                <w14:textFill>
                  <w14:solidFill>
                    <w14:schemeClr w14:val="tx1"/>
                  </w14:solidFill>
                </w14:textFill>
              </w:rPr>
              <w:t>按项目人员配备情况，项目负责人、质控技术人员、授权签字人员、技术负责人员，人员配备合理，且拟投入人员配置持有上岗资格证大于 12 人得 20 分；项目负责人、质控技术人员、授权签字人员、技术负责人员，人员配备较为合理，且拟投入人员配置持有上岗资格证 8 人（含）以上得 15 分；项目负责人、质控技术人员、授权签字人员、技术负责人员，人员配备不合理，且拟投入人员配置持有上岗资格证 4 人（含）以上得 10 分，少于 4</w:t>
            </w:r>
          </w:p>
          <w:p w14:paraId="6988EDC0">
            <w:pPr>
              <w:spacing w:line="520" w:lineRule="exact"/>
              <w:ind w:firstLine="0" w:firstLineChars="0"/>
              <w:jc w:val="left"/>
              <w:rPr>
                <w:rFonts w:hint="eastAsia" w:ascii="仿宋_GB2312" w:hAnsi="宋体" w:eastAsia="仿宋_GB2312" w:cs="宋体"/>
                <w:b/>
                <w:bCs/>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b w:val="0"/>
                <w:bCs w:val="0"/>
                <w:color w:val="000000" w:themeColor="text1"/>
                <w:kern w:val="2"/>
                <w:sz w:val="28"/>
                <w:szCs w:val="28"/>
                <w:highlight w:val="none"/>
                <w:lang w:val="en-US" w:eastAsia="zh-CN"/>
                <w14:textFill>
                  <w14:solidFill>
                    <w14:schemeClr w14:val="tx1"/>
                  </w14:solidFill>
                </w14:textFill>
              </w:rPr>
              <w:t>人得 0 分；（以人员合同、上岗证的复印件为准为准）</w:t>
            </w:r>
          </w:p>
        </w:tc>
      </w:tr>
      <w:tr w14:paraId="60BD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Align w:val="center"/>
          </w:tcPr>
          <w:p w14:paraId="1F9B993F">
            <w:pPr>
              <w:spacing w:line="520" w:lineRule="exact"/>
              <w:ind w:firstLine="0" w:firstLineChars="0"/>
              <w:jc w:val="center"/>
              <w:rPr>
                <w:rFonts w:ascii="仿宋_GB2312" w:hAnsi="宋体" w:eastAsia="仿宋_GB2312" w:cs="宋体"/>
                <w:color w:val="000000" w:themeColor="text1"/>
                <w:sz w:val="28"/>
                <w:szCs w:val="28"/>
                <w:highlight w:val="none"/>
                <w14:textFill>
                  <w14:solidFill>
                    <w14:schemeClr w14:val="tx1"/>
                  </w14:solidFill>
                </w14:textFill>
              </w:rPr>
            </w:pPr>
          </w:p>
        </w:tc>
        <w:tc>
          <w:tcPr>
            <w:tcW w:w="1288" w:type="dxa"/>
            <w:vAlign w:val="center"/>
          </w:tcPr>
          <w:p w14:paraId="76B33FA7">
            <w:pPr>
              <w:spacing w:line="520" w:lineRule="exact"/>
              <w:ind w:firstLine="0" w:firstLineChars="0"/>
              <w:jc w:val="center"/>
              <w:rPr>
                <w:rFonts w:hint="eastAsia" w:ascii="仿宋_GB2312" w:hAnsi="宋体" w:eastAsia="仿宋_GB2312" w:cs="宋体"/>
                <w:color w:val="000000" w:themeColor="text1"/>
                <w:kern w:val="2"/>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14:textFill>
                  <w14:solidFill>
                    <w14:schemeClr w14:val="tx1"/>
                  </w14:solidFill>
                </w14:textFill>
              </w:rPr>
              <w:t>售后服务</w:t>
            </w:r>
          </w:p>
        </w:tc>
        <w:tc>
          <w:tcPr>
            <w:tcW w:w="858" w:type="dxa"/>
            <w:vAlign w:val="center"/>
          </w:tcPr>
          <w:p w14:paraId="334E81C8">
            <w:pPr>
              <w:spacing w:line="520" w:lineRule="exact"/>
              <w:ind w:firstLine="0" w:firstLineChars="0"/>
              <w:jc w:val="center"/>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5分</w:t>
            </w:r>
          </w:p>
        </w:tc>
        <w:tc>
          <w:tcPr>
            <w:tcW w:w="6295" w:type="dxa"/>
            <w:vAlign w:val="center"/>
          </w:tcPr>
          <w:p w14:paraId="4F8D10CA">
            <w:pPr>
              <w:spacing w:line="520" w:lineRule="exact"/>
              <w:ind w:firstLine="0" w:firstLineChars="0"/>
              <w:jc w:val="left"/>
              <w:rPr>
                <w:rFonts w:hint="eastAsia" w:ascii="仿宋_GB2312" w:hAnsi="宋体" w:eastAsia="仿宋_GB2312" w:cs="宋体"/>
                <w:b/>
                <w:bCs/>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b w:val="0"/>
                <w:bCs w:val="0"/>
                <w:color w:val="000000" w:themeColor="text1"/>
                <w:kern w:val="2"/>
                <w:sz w:val="28"/>
                <w:szCs w:val="28"/>
                <w:highlight w:val="none"/>
                <w:lang w:val="en-US" w:eastAsia="zh-CN"/>
                <w14:textFill>
                  <w14:solidFill>
                    <w14:schemeClr w14:val="tx1"/>
                  </w14:solidFill>
                </w14:textFill>
              </w:rPr>
              <w:t>针对该项目有详尽的售后服务计划组织验收、售后等方面的服务能力、措施及相关承诺，服务计划详尽、合理、承诺切实的，得 5 分；在服务能力、措施及相关承诺，服务计划大致符合本项目的，得 3 分；在服务能力、措施及相关承诺，服务计划粗略、没有详细体现的得 1 分；未提供或其他情况的不得分。</w:t>
            </w:r>
          </w:p>
        </w:tc>
      </w:tr>
    </w:tbl>
    <w:p w14:paraId="7E3353A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highlight w:val="none"/>
          <w14:textFill>
            <w14:solidFill>
              <w14:schemeClr w14:val="tx1"/>
            </w14:solidFill>
          </w14:textFill>
        </w:rPr>
        <w:t>确定成交供应商</w:t>
      </w:r>
      <w:bookmarkEnd w:id="99"/>
      <w:bookmarkEnd w:id="100"/>
    </w:p>
    <w:p w14:paraId="5C677220">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1" w:name="_Toc376936757"/>
      <w:bookmarkStart w:id="102" w:name="_Toc325726026"/>
      <w:bookmarkStart w:id="103" w:name="_Toc17038"/>
      <w:bookmarkStart w:id="104" w:name="_Toc28889"/>
      <w:r>
        <w:rPr>
          <w:rFonts w:hint="eastAsia" w:ascii="仿宋_GB2312" w:hAnsi="宋体" w:eastAsia="仿宋_GB2312" w:cs="宋体"/>
          <w:b/>
          <w:bCs/>
          <w:color w:val="000000" w:themeColor="text1"/>
          <w:sz w:val="28"/>
          <w:szCs w:val="28"/>
          <w:highlight w:val="none"/>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03"/>
      <w:bookmarkEnd w:id="104"/>
    </w:p>
    <w:p w14:paraId="2DE5DC7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BB80A2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5" w:name="_Toc2963"/>
      <w:bookmarkStart w:id="106" w:name="_Toc376936759"/>
      <w:bookmarkStart w:id="107" w:name="_Toc325726028"/>
      <w:bookmarkStart w:id="108" w:name="_Toc2346"/>
      <w:bookmarkStart w:id="109" w:name="_Toc325726027"/>
      <w:r>
        <w:rPr>
          <w:rFonts w:hint="eastAsia" w:ascii="仿宋_GB2312" w:hAnsi="宋体" w:eastAsia="仿宋_GB2312" w:cs="宋体"/>
          <w:b/>
          <w:bCs/>
          <w:color w:val="000000" w:themeColor="text1"/>
          <w:sz w:val="28"/>
          <w:szCs w:val="28"/>
          <w:highlight w:val="none"/>
          <w14:textFill>
            <w14:solidFill>
              <w14:schemeClr w14:val="tx1"/>
            </w14:solidFill>
          </w14:textFill>
        </w:rPr>
        <w:t>20.成交通知</w:t>
      </w:r>
      <w:bookmarkEnd w:id="105"/>
      <w:bookmarkEnd w:id="106"/>
      <w:bookmarkEnd w:id="107"/>
      <w:bookmarkEnd w:id="108"/>
    </w:p>
    <w:p w14:paraId="214A7F0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20.1采购人或者采购代理机构应当在成交供应商确定后2个工作日内，在青海政府采购网上公告成交结果，同时向成交供应商发出成交通知书。</w:t>
      </w:r>
    </w:p>
    <w:p w14:paraId="425D88A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20.2《成交通知书》发出后，采购人改变成交结果的，或者成交供应商无正当理由放弃成交项目的，依法承担法律责任。</w:t>
      </w:r>
    </w:p>
    <w:p w14:paraId="05BF68A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0" w:name="_Toc5556"/>
      <w:bookmarkStart w:id="111" w:name="_Toc18063"/>
      <w:bookmarkStart w:id="112" w:name="_Toc376936758"/>
      <w:r>
        <w:rPr>
          <w:rFonts w:hint="eastAsia" w:ascii="仿宋_GB2312" w:hAnsi="宋体" w:eastAsia="仿宋_GB2312" w:cs="宋体"/>
          <w:b/>
          <w:bCs/>
          <w:color w:val="000000" w:themeColor="text1"/>
          <w:sz w:val="28"/>
          <w:szCs w:val="28"/>
          <w:highlight w:val="none"/>
          <w14:textFill>
            <w14:solidFill>
              <w14:schemeClr w14:val="tx1"/>
            </w14:solidFill>
          </w14:textFill>
        </w:rPr>
        <w:t>八、授予合同</w:t>
      </w:r>
      <w:bookmarkEnd w:id="109"/>
      <w:bookmarkEnd w:id="110"/>
      <w:bookmarkEnd w:id="111"/>
      <w:bookmarkEnd w:id="112"/>
    </w:p>
    <w:p w14:paraId="679856D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3" w:name="_Toc325726029"/>
      <w:bookmarkStart w:id="114" w:name="_Toc921"/>
      <w:bookmarkStart w:id="115" w:name="_Toc376936760"/>
      <w:bookmarkStart w:id="116" w:name="_Toc28394"/>
      <w:r>
        <w:rPr>
          <w:rFonts w:hint="eastAsia" w:ascii="仿宋_GB2312" w:hAnsi="宋体" w:eastAsia="仿宋_GB2312" w:cs="宋体"/>
          <w:b/>
          <w:bCs/>
          <w:color w:val="000000" w:themeColor="text1"/>
          <w:sz w:val="28"/>
          <w:szCs w:val="28"/>
          <w:highlight w:val="none"/>
          <w14:textFill>
            <w14:solidFill>
              <w14:schemeClr w14:val="tx1"/>
            </w14:solidFill>
          </w14:textFill>
        </w:rPr>
        <w:t>21.签订合同</w:t>
      </w:r>
      <w:bookmarkEnd w:id="113"/>
      <w:bookmarkEnd w:id="114"/>
      <w:bookmarkEnd w:id="115"/>
      <w:bookmarkEnd w:id="116"/>
    </w:p>
    <w:p w14:paraId="5A84D46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117" w:name="_Toc376936761"/>
      <w:bookmarkStart w:id="118" w:name="_Toc325726030"/>
      <w:r>
        <w:rPr>
          <w:rFonts w:hint="eastAsia" w:ascii="仿宋_GB2312" w:hAnsi="宋体" w:eastAsia="仿宋_GB2312" w:cs="宋体"/>
          <w:color w:val="000000" w:themeColor="text1"/>
          <w:sz w:val="28"/>
          <w:szCs w:val="28"/>
          <w:highlight w:val="none"/>
          <w14:textFill>
            <w14:solidFill>
              <w14:schemeClr w14:val="tx1"/>
            </w14:solidFill>
          </w14:textFill>
        </w:rPr>
        <w:t>21.1采购人与成交供应商双方应当自《成交通知书》发出之日起30日内，签订采购合同，送采购代理机构备案。</w:t>
      </w:r>
    </w:p>
    <w:p w14:paraId="03D9BE91">
      <w:pPr>
        <w:spacing w:line="520" w:lineRule="exact"/>
        <w:ind w:firstLine="560"/>
        <w:rPr>
          <w:rFonts w:ascii="仿宋_GB2312" w:hAnsi="宋体" w:eastAsia="仿宋_GB2312" w:cs="宋体"/>
          <w:color w:val="000000" w:themeColor="text1"/>
          <w:sz w:val="28"/>
          <w:szCs w:val="28"/>
          <w:highlight w:val="yellow"/>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w:t>
      </w:r>
      <w:r>
        <w:rPr>
          <w:rFonts w:hint="eastAsia" w:ascii="仿宋_GB2312" w:hAnsi="宋体" w:eastAsia="仿宋_GB2312" w:cs="宋体"/>
          <w:b/>
          <w:color w:val="000000" w:themeColor="text1"/>
          <w:sz w:val="28"/>
          <w:szCs w:val="28"/>
          <w:highlight w:val="none"/>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3B220DB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46FA133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21.4采购人不得向成交供应商提出任何不合理的要求作为订立合同的条件，采购人和成交供应商不得私下订立背离合同实质性内容的协议。</w:t>
      </w:r>
    </w:p>
    <w:p w14:paraId="3F32FEB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21.5磋商文件、成交供应商的响应文件、《成交通知书》及其澄清、说明文件、承诺等，均为签订采购合同的依据，作为采购合同的组成部分。</w:t>
      </w:r>
    </w:p>
    <w:p w14:paraId="41CA4EDB">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22442"/>
      <w:bookmarkStart w:id="120" w:name="_Toc896"/>
    </w:p>
    <w:p w14:paraId="59918350">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1" w:name="_Toc2658_WPSOffice_Level2"/>
      <w:bookmarkStart w:id="122" w:name="_Toc31604_WPSOffice_Level2"/>
      <w:bookmarkStart w:id="123" w:name="_Toc2728"/>
      <w:bookmarkStart w:id="124" w:name="_Toc6881"/>
      <w:bookmarkStart w:id="125" w:name="_Toc32362"/>
      <w:bookmarkStart w:id="126" w:name="_Toc4328"/>
      <w:bookmarkStart w:id="127" w:name="_Toc3517_WPSOffice_Level2"/>
      <w:r>
        <w:rPr>
          <w:rFonts w:hint="eastAsia" w:ascii="仿宋_GB2312" w:hAnsi="宋体" w:eastAsia="仿宋_GB2312" w:cs="宋体"/>
          <w:b/>
          <w:bCs/>
          <w:color w:val="000000" w:themeColor="text1"/>
          <w:sz w:val="28"/>
          <w:szCs w:val="28"/>
          <w:highlight w:val="none"/>
          <w14:textFill>
            <w14:solidFill>
              <w14:schemeClr w14:val="tx1"/>
            </w14:solidFill>
          </w14:textFill>
        </w:rPr>
        <w:t>九、询问与质疑</w:t>
      </w:r>
      <w:bookmarkEnd w:id="121"/>
      <w:bookmarkEnd w:id="122"/>
      <w:bookmarkEnd w:id="123"/>
      <w:bookmarkEnd w:id="124"/>
      <w:bookmarkEnd w:id="125"/>
      <w:bookmarkEnd w:id="126"/>
      <w:bookmarkEnd w:id="127"/>
    </w:p>
    <w:p w14:paraId="0C9BE99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8" w:name="_Toc23314_WPSOffice_Level3"/>
      <w:bookmarkStart w:id="129" w:name="_Toc14109"/>
      <w:bookmarkStart w:id="130" w:name="_Toc25982_WPSOffice_Level3"/>
      <w:bookmarkStart w:id="131" w:name="_Toc21641"/>
      <w:bookmarkStart w:id="132" w:name="_Toc29785"/>
      <w:r>
        <w:rPr>
          <w:rFonts w:hint="eastAsia" w:ascii="仿宋_GB2312" w:hAnsi="宋体" w:eastAsia="仿宋_GB2312" w:cs="宋体"/>
          <w:b/>
          <w:bCs/>
          <w:color w:val="000000" w:themeColor="text1"/>
          <w:sz w:val="28"/>
          <w:szCs w:val="28"/>
          <w:highlight w:val="none"/>
          <w14:textFill>
            <w14:solidFill>
              <w14:schemeClr w14:val="tx1"/>
            </w14:solidFill>
          </w14:textFill>
        </w:rPr>
        <w:t>22.对采购过程、结果的询问及质疑</w:t>
      </w:r>
      <w:bookmarkEnd w:id="128"/>
      <w:bookmarkEnd w:id="129"/>
      <w:bookmarkEnd w:id="130"/>
      <w:bookmarkEnd w:id="131"/>
      <w:bookmarkEnd w:id="132"/>
    </w:p>
    <w:p w14:paraId="00F0F53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22.1供应商对政府采购过程、结果有疑问的，可以向采购人、采购代理机构提出询问。</w:t>
      </w:r>
    </w:p>
    <w:p w14:paraId="3940348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48B1915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22.3供应商应在法定质疑期内一次性提出针对同一采购程序环节的质疑。</w:t>
      </w:r>
    </w:p>
    <w:p w14:paraId="07A0A0C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33" w:name="_Toc9701_WPSOffice_Level2"/>
      <w:bookmarkStart w:id="134" w:name="_Toc22201076"/>
      <w:bookmarkStart w:id="135" w:name="_Toc4534"/>
      <w:bookmarkStart w:id="136" w:name="_Toc21832"/>
      <w:bookmarkStart w:id="137" w:name="_Toc34637771"/>
      <w:bookmarkStart w:id="138" w:name="_Toc22889"/>
      <w:bookmarkStart w:id="139" w:name="_Toc28133"/>
      <w:bookmarkStart w:id="140" w:name="_Toc6866_WPSOffice_Level2"/>
      <w:bookmarkStart w:id="141" w:name="_Toc11509_WPSOffice_Level2"/>
      <w:r>
        <w:rPr>
          <w:rFonts w:hint="eastAsia" w:ascii="仿宋_GB2312" w:hAnsi="宋体" w:eastAsia="仿宋_GB2312" w:cs="宋体"/>
          <w:b/>
          <w:bCs/>
          <w:color w:val="000000" w:themeColor="text1"/>
          <w:sz w:val="28"/>
          <w:szCs w:val="28"/>
          <w:highlight w:val="none"/>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62D79F6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2" w:name="_Toc17253_WPSOffice_Level3"/>
      <w:bookmarkStart w:id="143" w:name="_Toc22921"/>
      <w:bookmarkStart w:id="144" w:name="_Toc19360_WPSOffice_Level3"/>
      <w:bookmarkStart w:id="145" w:name="_Toc27584"/>
      <w:bookmarkStart w:id="146" w:name="_Toc16893"/>
      <w:r>
        <w:rPr>
          <w:rFonts w:hint="eastAsia" w:ascii="仿宋_GB2312" w:hAnsi="宋体" w:eastAsia="仿宋_GB2312" w:cs="宋体"/>
          <w:b/>
          <w:bCs/>
          <w:color w:val="000000" w:themeColor="text1"/>
          <w:sz w:val="28"/>
          <w:szCs w:val="28"/>
          <w:highlight w:val="none"/>
          <w14:textFill>
            <w14:solidFill>
              <w14:schemeClr w14:val="tx1"/>
            </w14:solidFill>
          </w14:textFill>
        </w:rPr>
        <w:t>23.政府采购政策</w:t>
      </w:r>
      <w:bookmarkEnd w:id="142"/>
      <w:bookmarkEnd w:id="143"/>
      <w:bookmarkEnd w:id="144"/>
      <w:bookmarkEnd w:id="145"/>
      <w:bookmarkEnd w:id="146"/>
    </w:p>
    <w:p w14:paraId="5FA6C98D">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23.1价格评审优惠：</w:t>
      </w:r>
    </w:p>
    <w:p w14:paraId="0C22806D">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 xml:space="preserve">规定的中小企业扶持政策: </w:t>
      </w:r>
    </w:p>
    <w:p w14:paraId="693E7A67">
      <w:pPr>
        <w:pStyle w:val="39"/>
        <w:adjustRightInd w:val="0"/>
        <w:snapToGrid w:val="0"/>
        <w:spacing w:line="520" w:lineRule="exact"/>
        <w:ind w:firstLine="560"/>
        <w:jc w:val="lef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（1）在服务采购项目中，服务由中小企业承接，即提供服务的人员为中小企业依照《中华人民共和国劳动</w:t>
      </w: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民法典</w:t>
      </w:r>
      <w:r>
        <w:rPr>
          <w:rFonts w:hint="eastAsia" w:ascii="仿宋_GB2312" w:hAnsi="宋体" w:eastAsia="仿宋_GB2312"/>
          <w:color w:val="000000" w:themeColor="text1"/>
          <w:kern w:val="0"/>
          <w:sz w:val="28"/>
          <w:szCs w:val="28"/>
          <w:highlight w:val="none"/>
          <w14:textFill>
            <w14:solidFill>
              <w14:schemeClr w14:val="tx1"/>
            </w14:solidFill>
          </w14:textFill>
        </w:rPr>
        <w:t>》订立劳动合同的从业人员。</w:t>
      </w:r>
    </w:p>
    <w:p w14:paraId="1016ED01">
      <w:pPr>
        <w:adjustRightInd w:val="0"/>
        <w:snapToGrid w:val="0"/>
        <w:spacing w:line="520" w:lineRule="exact"/>
        <w:ind w:firstLine="700" w:firstLineChars="25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98FC2F4">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规定的小微企业报价给予10%-20%的扣除，用扣除后的价格参加评审。</w:t>
      </w:r>
    </w:p>
    <w:p w14:paraId="4E88BF3C">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48A323E">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0D5227E7">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（5）监狱企业、残疾人福利性单位视同小型、微型企业，享受评审中价格扣除等促进中小企业发展的政府采购政策。 </w:t>
      </w:r>
    </w:p>
    <w:p w14:paraId="250EEE83">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23.2供应商同时符合小型、微型企业及监狱企业、残疾人福利性单位要求的，评审时只有一种类型享受价格评审优惠政策；</w:t>
      </w:r>
    </w:p>
    <w:p w14:paraId="237B8B81">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23.3响应文件符合本章前款规定的，供应商应提供相关证明资料，且所提供资料必须真实可信。如有虚假，将依法承担相应责任。</w:t>
      </w:r>
    </w:p>
    <w:p w14:paraId="3D4CC39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highlight w:val="none"/>
          <w14:textFill>
            <w14:solidFill>
              <w14:schemeClr w14:val="tx1"/>
            </w14:solidFill>
          </w14:textFill>
        </w:rPr>
        <w:t>磋商活动终止</w:t>
      </w:r>
      <w:bookmarkEnd w:id="119"/>
      <w:bookmarkEnd w:id="120"/>
    </w:p>
    <w:p w14:paraId="38CCD32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7" w:name="_Toc11684"/>
      <w:bookmarkStart w:id="148" w:name="_Toc7098"/>
      <w:bookmarkStart w:id="149" w:name="_Toc376936762"/>
      <w:bookmarkStart w:id="150" w:name="_Toc325726031"/>
      <w:r>
        <w:rPr>
          <w:rFonts w:hint="eastAsia" w:ascii="仿宋_GB2312" w:hAnsi="宋体" w:eastAsia="仿宋_GB2312" w:cs="宋体"/>
          <w:b/>
          <w:bCs/>
          <w:color w:val="000000" w:themeColor="text1"/>
          <w:sz w:val="28"/>
          <w:szCs w:val="28"/>
          <w:highlight w:val="none"/>
          <w14:textFill>
            <w14:solidFill>
              <w14:schemeClr w14:val="tx1"/>
            </w14:solidFill>
          </w14:textFill>
        </w:rPr>
        <w:t>24.终止情形</w:t>
      </w:r>
      <w:bookmarkEnd w:id="147"/>
      <w:bookmarkEnd w:id="148"/>
    </w:p>
    <w:p w14:paraId="1F396EE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highlight w:val="none"/>
          <w14:textFill>
            <w14:solidFill>
              <w14:schemeClr w14:val="tx1"/>
            </w14:solidFill>
          </w14:textFill>
        </w:rPr>
        <w:t>出现下列情形之一的，采购人或采购代理机构应当终止竞争性磋商采购活动，发布项目终止公告并说明原因，重新开展采购活动：</w:t>
      </w:r>
    </w:p>
    <w:p w14:paraId="2619E9C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（1）因情况变化，不再符合规定的竞争性磋商采购方式适用情形的；</w:t>
      </w:r>
    </w:p>
    <w:p w14:paraId="70680A2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（2）出现影响采购公正的违法、违规行为的；</w:t>
      </w:r>
    </w:p>
    <w:p w14:paraId="0A30679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28597BD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24.2终止磋商活动后，由采购代理机构发布终止公告并说明原因。</w:t>
      </w:r>
      <w:bookmarkStart w:id="151" w:name="_Toc325726032"/>
    </w:p>
    <w:bookmarkEnd w:id="151"/>
    <w:p w14:paraId="218AB57E">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2" w:name="_Toc19538"/>
      <w:bookmarkStart w:id="153" w:name="_Toc16406"/>
      <w:bookmarkStart w:id="154" w:name="_Toc325726034"/>
      <w:bookmarkStart w:id="155" w:name="_Toc376936765"/>
      <w:r>
        <w:rPr>
          <w:rFonts w:hint="eastAsia" w:ascii="仿宋_GB2312" w:hAnsi="宋体" w:eastAsia="仿宋_GB2312" w:cs="宋体"/>
          <w:b/>
          <w:bCs/>
          <w:color w:val="000000" w:themeColor="text1"/>
          <w:sz w:val="28"/>
          <w:szCs w:val="28"/>
          <w:highlight w:val="none"/>
          <w14:textFill>
            <w14:solidFill>
              <w14:schemeClr w14:val="tx1"/>
            </w14:solidFill>
          </w14:textFill>
        </w:rPr>
        <w:t>处罚</w:t>
      </w:r>
    </w:p>
    <w:p w14:paraId="7CD1DCA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6" w:name="_Toc325726033"/>
      <w:bookmarkStart w:id="157" w:name="_Toc376936764"/>
      <w:bookmarkStart w:id="158" w:name="_Toc6480"/>
      <w:r>
        <w:rPr>
          <w:rFonts w:hint="eastAsia" w:ascii="仿宋_GB2312" w:hAnsi="宋体" w:eastAsia="仿宋_GB2312" w:cs="宋体"/>
          <w:b/>
          <w:bCs/>
          <w:color w:val="000000" w:themeColor="text1"/>
          <w:sz w:val="28"/>
          <w:szCs w:val="28"/>
          <w:highlight w:val="none"/>
          <w14:textFill>
            <w14:solidFill>
              <w14:schemeClr w14:val="tx1"/>
            </w14:solidFill>
          </w14:textFill>
        </w:rPr>
        <w:t>25.处罚情形</w:t>
      </w:r>
      <w:bookmarkEnd w:id="156"/>
      <w:bookmarkEnd w:id="157"/>
      <w:bookmarkEnd w:id="158"/>
    </w:p>
    <w:p w14:paraId="0AE51E3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有下列情形之一的，供应商的磋商保证金不予退还；成交供应商的成交结果无效，履约保证金不予退还。情节严重的，报省财政厅依法进行处理：</w:t>
      </w:r>
    </w:p>
    <w:p w14:paraId="616F22A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25.1供应商在提交响应文件截止时间之后撤回响应文件的。</w:t>
      </w:r>
    </w:p>
    <w:p w14:paraId="6C9372B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25.2供应商在响应文件中提供虚假材料的。</w:t>
      </w:r>
    </w:p>
    <w:p w14:paraId="228B153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25.3采取不正当手段诋毁、排挤其他供应商的。</w:t>
      </w:r>
    </w:p>
    <w:p w14:paraId="4037B91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25.4有恶意串通等不正当竞争行为的。</w:t>
      </w:r>
    </w:p>
    <w:p w14:paraId="2A5B11E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25.5成交后无正当理由拒不与采购人签订采购合同的。</w:t>
      </w:r>
    </w:p>
    <w:p w14:paraId="2F9DDFF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25.6未按照磋商文件、响应文件确定的事项签订采购合同的。</w:t>
      </w:r>
    </w:p>
    <w:p w14:paraId="2A9BDF6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25.7擅自变更、中止或者终止政府采购合同的。</w:t>
      </w:r>
    </w:p>
    <w:p w14:paraId="229A367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25.8成交供应商签订合同后，因种种原因不能履约或无故拖延履约期的。</w:t>
      </w:r>
    </w:p>
    <w:p w14:paraId="1FB2220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25.9法律、法规规定的其他情形的。</w:t>
      </w:r>
    </w:p>
    <w:p w14:paraId="462E3EA8">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w:t>
      </w:r>
      <w:bookmarkEnd w:id="152"/>
      <w:bookmarkEnd w:id="153"/>
      <w:bookmarkEnd w:id="154"/>
      <w:bookmarkEnd w:id="155"/>
    </w:p>
    <w:p w14:paraId="5FC11511">
      <w:pPr>
        <w:spacing w:line="52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0D89A387">
      <w:pPr>
        <w:wordWrap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50BB8C16">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159" w:name="_Toc101710029"/>
      <w:r>
        <w:rPr>
          <w:rFonts w:hint="eastAsia" w:ascii="宋体" w:hAnsi="宋体" w:cs="宋体"/>
          <w:b/>
          <w:color w:val="000000" w:themeColor="text1"/>
          <w:kern w:val="28"/>
          <w:sz w:val="44"/>
          <w:szCs w:val="44"/>
          <w:highlight w:val="none"/>
          <w14:textFill>
            <w14:solidFill>
              <w14:schemeClr w14:val="tx1"/>
            </w14:solidFill>
          </w14:textFill>
        </w:rPr>
        <w:t>第三部分采购项目合同书</w:t>
      </w:r>
      <w:bookmarkEnd w:id="159"/>
    </w:p>
    <w:p w14:paraId="64F5468E">
      <w:pPr>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28"/>
          <w:sz w:val="36"/>
          <w:szCs w:val="20"/>
          <w:highlight w:val="none"/>
          <w14:textFill>
            <w14:solidFill>
              <w14:schemeClr w14:val="tx1"/>
            </w14:solidFill>
          </w14:textFill>
        </w:rPr>
        <w:t>（服务类）</w:t>
      </w:r>
    </w:p>
    <w:p w14:paraId="4690DBA7">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44746FC2">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53D2DDCA">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4BF17AA7">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428599B7">
      <w:pPr>
        <w:autoSpaceDE w:val="0"/>
        <w:autoSpaceDN w:val="0"/>
        <w:spacing w:line="36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lang w:val="zh-CN"/>
          <w14:textFill>
            <w14:solidFill>
              <w14:schemeClr w14:val="tx1"/>
            </w14:solidFill>
          </w14:textFill>
        </w:rPr>
        <w:t>青海省政府采购项目合同书</w:t>
      </w:r>
    </w:p>
    <w:p w14:paraId="3CD2E6EA">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0356EBF0">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3E6A2AB8">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450AD889">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2C66FED1">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青海省招竞磋（服务）202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lang w:eastAsia="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XXX</w:t>
      </w:r>
    </w:p>
    <w:p w14:paraId="29B9745A">
      <w:pPr>
        <w:autoSpaceDE w:val="0"/>
        <w:autoSpaceDN w:val="0"/>
        <w:spacing w:line="600" w:lineRule="exact"/>
        <w:ind w:left="2249" w:hanging="2249" w:hangingChars="700"/>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采购项目名称：</w:t>
      </w:r>
      <w:r>
        <w:rPr>
          <w:rFonts w:hint="eastAsia" w:ascii="宋体" w:hAnsi="宋体" w:cs="宋体"/>
          <w:b/>
          <w:bCs/>
          <w:color w:val="000000" w:themeColor="text1"/>
          <w:sz w:val="32"/>
          <w:szCs w:val="32"/>
          <w:highlight w:val="none"/>
          <w:lang w:eastAsia="zh-CN"/>
          <w14:textFill>
            <w14:solidFill>
              <w14:schemeClr w14:val="tx1"/>
            </w14:solidFill>
          </w14:textFill>
        </w:rPr>
        <w:t>2025年度国家重点生态功能区县域环境质量考核环境监测项目</w:t>
      </w:r>
    </w:p>
    <w:p w14:paraId="29AB2ACF">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w:t>
      </w:r>
      <w:r>
        <w:rPr>
          <w:rFonts w:hint="eastAsia" w:ascii="宋体" w:hAnsi="宋体" w:cs="宋体"/>
          <w:b/>
          <w:bCs/>
          <w:color w:val="000000" w:themeColor="text1"/>
          <w:sz w:val="32"/>
          <w:szCs w:val="32"/>
          <w:highlight w:val="none"/>
          <w:lang w:val="en-US" w:eastAsia="zh-CN"/>
          <w14:textFill>
            <w14:solidFill>
              <w14:schemeClr w14:val="tx1"/>
            </w14:solidFill>
          </w14:textFill>
        </w:rPr>
        <w:t>SZ-</w:t>
      </w:r>
      <w:r>
        <w:rPr>
          <w:rFonts w:ascii="宋体" w:hAnsi="宋体" w:cs="宋体"/>
          <w:b/>
          <w:bCs/>
          <w:color w:val="000000" w:themeColor="text1"/>
          <w:sz w:val="32"/>
          <w:szCs w:val="32"/>
          <w:highlight w:val="none"/>
          <w:lang w:val="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ascii="宋体" w:hAnsi="宋体" w:cs="宋体"/>
          <w:b/>
          <w:bCs/>
          <w:color w:val="000000" w:themeColor="text1"/>
          <w:sz w:val="32"/>
          <w:szCs w:val="32"/>
          <w:highlight w:val="none"/>
          <w:lang w:val="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XXX</w:t>
      </w:r>
    </w:p>
    <w:p w14:paraId="59966AA9">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合同金额（人民币）：</w:t>
      </w:r>
    </w:p>
    <w:p w14:paraId="6CD5FD5B">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采购人（甲方）：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09B0DA2C">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供应商（乙方）：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2CDB61FA">
      <w:pPr>
        <w:autoSpaceDE w:val="0"/>
        <w:autoSpaceDN w:val="0"/>
        <w:spacing w:line="600" w:lineRule="exact"/>
        <w:ind w:firstLine="0" w:firstLineChars="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采购日期：</w:t>
      </w:r>
    </w:p>
    <w:p w14:paraId="2BB426ED">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049F8EDA">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39EBA175">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376EBEDC">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5C9AD074">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14:paraId="05D5C2F5">
      <w:pPr>
        <w:pageBreakBefore/>
        <w:autoSpaceDE w:val="0"/>
        <w:autoSpaceDN w:val="0"/>
        <w:adjustRightInd w:val="0"/>
        <w:spacing w:line="360" w:lineRule="auto"/>
        <w:rPr>
          <w:rFonts w:ascii="仿宋_GB2312" w:hAnsi="仿宋_GB2312" w:eastAsia="仿宋_GB2312" w:cs="仿宋_GB2312"/>
          <w:b/>
          <w:bCs/>
          <w:kern w:val="0"/>
          <w:sz w:val="28"/>
        </w:rPr>
      </w:pPr>
      <w:bookmarkStart w:id="160" w:name="_Toc437_WPSOffice_Level2"/>
      <w:bookmarkStart w:id="161" w:name="_Toc11599_WPSOffice_Level2"/>
      <w:bookmarkStart w:id="162" w:name="_Toc32561_WPSOffice_Level3"/>
      <w:bookmarkStart w:id="163" w:name="_Toc20044_WPSOffice_Level2"/>
      <w:r>
        <w:rPr>
          <w:rFonts w:hint="eastAsia" w:ascii="仿宋_GB2312" w:hAnsi="仿宋_GB2312" w:eastAsia="仿宋_GB2312" w:cs="仿宋_GB2312"/>
          <w:b/>
          <w:bCs/>
          <w:kern w:val="0"/>
          <w:sz w:val="28"/>
          <w:lang w:val="zh-CN"/>
        </w:rPr>
        <w:t>采购人（以下简称甲方）：</w:t>
      </w:r>
      <w:bookmarkEnd w:id="160"/>
      <w:bookmarkEnd w:id="161"/>
      <w:bookmarkEnd w:id="162"/>
      <w:bookmarkEnd w:id="163"/>
    </w:p>
    <w:p w14:paraId="3902CCD2">
      <w:pPr>
        <w:autoSpaceDE w:val="0"/>
        <w:autoSpaceDN w:val="0"/>
        <w:adjustRightInd w:val="0"/>
        <w:spacing w:line="360" w:lineRule="auto"/>
        <w:rPr>
          <w:rFonts w:ascii="仿宋_GB2312" w:hAnsi="仿宋_GB2312" w:eastAsia="仿宋_GB2312" w:cs="仿宋_GB2312"/>
          <w:kern w:val="0"/>
          <w:sz w:val="28"/>
        </w:rPr>
      </w:pPr>
      <w:bookmarkStart w:id="164" w:name="_Toc24806_WPSOffice_Level3"/>
      <w:bookmarkStart w:id="165" w:name="_Toc12347_WPSOffice_Level2"/>
      <w:bookmarkStart w:id="166" w:name="_Toc11188_WPSOffice_Level2"/>
      <w:bookmarkStart w:id="167" w:name="_Toc20183_WPSOffice_Level2"/>
      <w:r>
        <w:rPr>
          <w:rFonts w:hint="eastAsia" w:ascii="仿宋_GB2312" w:hAnsi="仿宋_GB2312" w:eastAsia="仿宋_GB2312" w:cs="仿宋_GB2312"/>
          <w:b/>
          <w:bCs/>
          <w:kern w:val="0"/>
          <w:sz w:val="28"/>
          <w:lang w:val="zh-CN"/>
        </w:rPr>
        <w:t>供应商（以下简称乙方）：</w:t>
      </w:r>
      <w:bookmarkEnd w:id="164"/>
      <w:bookmarkEnd w:id="165"/>
      <w:bookmarkEnd w:id="166"/>
      <w:bookmarkEnd w:id="167"/>
    </w:p>
    <w:p w14:paraId="3A035A9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甲、乙双方根据</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年  月  日2025年度国家重点生态功能区县域环境质量考核环境监测项目（</w:t>
      </w:r>
      <w:r>
        <w:rPr>
          <w:rFonts w:hint="eastAsia" w:ascii="仿宋_GB2312" w:hAnsi="仿宋_GB2312" w:eastAsia="仿宋_GB2312" w:cs="仿宋_GB2312"/>
          <w:kern w:val="0"/>
        </w:rPr>
        <w:t>项目编号：青海省招竞磋（服务）202</w:t>
      </w:r>
      <w:r>
        <w:rPr>
          <w:rFonts w:hint="eastAsia" w:ascii="仿宋_GB2312" w:hAnsi="仿宋_GB2312" w:eastAsia="仿宋_GB2312" w:cs="仿宋_GB2312"/>
          <w:kern w:val="0"/>
          <w:lang w:val="en-US" w:eastAsia="zh-CN"/>
        </w:rPr>
        <w:t>5</w:t>
      </w: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XXX</w:t>
      </w:r>
      <w:r>
        <w:rPr>
          <w:rFonts w:hint="eastAsia" w:ascii="仿宋_GB2312" w:hAnsi="仿宋_GB2312" w:eastAsia="仿宋_GB2312" w:cs="仿宋_GB2312"/>
          <w:kern w:val="0"/>
          <w:lang w:val="zh-CN"/>
        </w:rPr>
        <w:t>）的招标文件要求和《</w:t>
      </w:r>
      <w:r>
        <w:rPr>
          <w:rFonts w:hint="eastAsia" w:ascii="仿宋_GB2312" w:hAnsi="仿宋_GB2312" w:eastAsia="仿宋_GB2312" w:cs="仿宋_GB2312"/>
          <w:kern w:val="0"/>
        </w:rPr>
        <w:t>中标</w:t>
      </w:r>
      <w:r>
        <w:rPr>
          <w:rFonts w:hint="eastAsia" w:ascii="仿宋_GB2312" w:hAnsi="仿宋_GB2312" w:eastAsia="仿宋_GB2312" w:cs="仿宋_GB2312"/>
          <w:kern w:val="0"/>
          <w:lang w:val="zh-CN"/>
        </w:rPr>
        <w:t>通知书》，并经双方协商一致，签订本合同书。</w:t>
      </w:r>
    </w:p>
    <w:p w14:paraId="5D504D8C">
      <w:pPr>
        <w:autoSpaceDE w:val="0"/>
        <w:autoSpaceDN w:val="0"/>
        <w:adjustRightInd w:val="0"/>
        <w:spacing w:line="360" w:lineRule="auto"/>
        <w:rPr>
          <w:rFonts w:ascii="仿宋_GB2312" w:hAnsi="仿宋_GB2312" w:eastAsia="仿宋_GB2312" w:cs="仿宋_GB2312"/>
          <w:kern w:val="0"/>
          <w:lang w:val="zh-CN"/>
        </w:rPr>
      </w:pPr>
      <w:bookmarkStart w:id="168" w:name="_Toc25232_WPSOffice_Level2"/>
      <w:bookmarkStart w:id="169" w:name="_Toc1379_WPSOffice_Level2"/>
      <w:bookmarkStart w:id="170" w:name="_Toc29927_WPSOffice_Level3"/>
      <w:bookmarkStart w:id="171" w:name="_Toc25499_WPSOffice_Level2"/>
      <w:r>
        <w:rPr>
          <w:rFonts w:hint="eastAsia" w:ascii="仿宋_GB2312" w:hAnsi="仿宋_GB2312" w:eastAsia="仿宋_GB2312" w:cs="仿宋_GB2312"/>
          <w:kern w:val="0"/>
          <w:lang w:val="zh-CN"/>
        </w:rPr>
        <w:t>一、签订本政府采购合同的依据</w:t>
      </w:r>
      <w:bookmarkEnd w:id="168"/>
      <w:bookmarkEnd w:id="169"/>
      <w:bookmarkEnd w:id="170"/>
      <w:bookmarkEnd w:id="171"/>
    </w:p>
    <w:p w14:paraId="5BD0CA27">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本政府采购合同所附下列文件是构成本政府采购合同不可分割的部分：</w:t>
      </w:r>
    </w:p>
    <w:p w14:paraId="72D014F4">
      <w:pPr>
        <w:autoSpaceDE w:val="0"/>
        <w:autoSpaceDN w:val="0"/>
        <w:adjustRightInd w:val="0"/>
        <w:spacing w:line="360" w:lineRule="auto"/>
        <w:ind w:firstLine="480"/>
        <w:rPr>
          <w:rFonts w:ascii="仿宋_GB2312" w:hAnsi="仿宋_GB2312" w:eastAsia="仿宋_GB2312" w:cs="仿宋_GB2312"/>
          <w:kern w:val="0"/>
          <w:lang w:val="zh-CN"/>
        </w:rPr>
      </w:pPr>
      <w:bookmarkStart w:id="172" w:name="_Toc23684_WPSOffice_Level3"/>
      <w:r>
        <w:rPr>
          <w:rFonts w:hint="eastAsia" w:ascii="仿宋_GB2312" w:hAnsi="仿宋_GB2312" w:eastAsia="仿宋_GB2312" w:cs="仿宋_GB2312"/>
          <w:kern w:val="0"/>
          <w:lang w:val="zh-CN"/>
        </w:rPr>
        <w:t>1.招标文件；</w:t>
      </w:r>
      <w:bookmarkEnd w:id="172"/>
    </w:p>
    <w:p w14:paraId="27E944AE">
      <w:pPr>
        <w:autoSpaceDE w:val="0"/>
        <w:autoSpaceDN w:val="0"/>
        <w:adjustRightInd w:val="0"/>
        <w:spacing w:line="360" w:lineRule="auto"/>
        <w:ind w:firstLine="480"/>
        <w:rPr>
          <w:rFonts w:ascii="仿宋_GB2312" w:hAnsi="仿宋_GB2312" w:eastAsia="仿宋_GB2312" w:cs="仿宋_GB2312"/>
          <w:kern w:val="0"/>
          <w:lang w:val="zh-CN"/>
        </w:rPr>
      </w:pPr>
      <w:bookmarkStart w:id="173" w:name="_Toc12225_WPSOffice_Level3"/>
      <w:r>
        <w:rPr>
          <w:rFonts w:hint="eastAsia" w:ascii="仿宋_GB2312" w:hAnsi="仿宋_GB2312" w:eastAsia="仿宋_GB2312" w:cs="仿宋_GB2312"/>
          <w:kern w:val="0"/>
          <w:lang w:val="zh-CN"/>
        </w:rPr>
        <w:t>2.招标文件的更正、变更公告；</w:t>
      </w:r>
      <w:bookmarkEnd w:id="173"/>
    </w:p>
    <w:p w14:paraId="3D6A14C2">
      <w:pPr>
        <w:autoSpaceDE w:val="0"/>
        <w:autoSpaceDN w:val="0"/>
        <w:adjustRightInd w:val="0"/>
        <w:spacing w:line="360" w:lineRule="auto"/>
        <w:ind w:firstLine="480"/>
        <w:rPr>
          <w:rFonts w:ascii="仿宋_GB2312" w:hAnsi="仿宋_GB2312" w:eastAsia="仿宋_GB2312" w:cs="仿宋_GB2312"/>
          <w:kern w:val="0"/>
          <w:lang w:val="zh-CN"/>
        </w:rPr>
      </w:pPr>
      <w:bookmarkStart w:id="174" w:name="_Toc4466_WPSOffice_Level3"/>
      <w:r>
        <w:rPr>
          <w:rFonts w:hint="eastAsia" w:ascii="仿宋_GB2312" w:hAnsi="仿宋_GB2312" w:eastAsia="仿宋_GB2312" w:cs="仿宋_GB2312"/>
          <w:kern w:val="0"/>
          <w:lang w:val="zh-CN"/>
        </w:rPr>
        <w:t>3.</w:t>
      </w:r>
      <w:r>
        <w:rPr>
          <w:rFonts w:hint="eastAsia" w:ascii="仿宋_GB2312" w:hAnsi="仿宋_GB2312" w:eastAsia="仿宋_GB2312" w:cs="仿宋_GB2312"/>
          <w:kern w:val="0"/>
        </w:rPr>
        <w:t>成交</w:t>
      </w:r>
      <w:r>
        <w:rPr>
          <w:rFonts w:hint="eastAsia" w:ascii="仿宋_GB2312" w:hAnsi="仿宋_GB2312" w:eastAsia="仿宋_GB2312" w:cs="仿宋_GB2312"/>
          <w:kern w:val="0"/>
          <w:lang w:val="zh-CN"/>
        </w:rPr>
        <w:t>供应商提交的投标文件；</w:t>
      </w:r>
      <w:bookmarkEnd w:id="174"/>
    </w:p>
    <w:p w14:paraId="1AAF48EE">
      <w:pPr>
        <w:autoSpaceDE w:val="0"/>
        <w:autoSpaceDN w:val="0"/>
        <w:adjustRightInd w:val="0"/>
        <w:spacing w:line="360" w:lineRule="auto"/>
        <w:ind w:firstLine="480"/>
        <w:rPr>
          <w:rFonts w:ascii="仿宋_GB2312" w:hAnsi="仿宋_GB2312" w:eastAsia="仿宋_GB2312" w:cs="仿宋_GB2312"/>
          <w:kern w:val="0"/>
          <w:lang w:val="zh-CN"/>
        </w:rPr>
      </w:pPr>
      <w:bookmarkStart w:id="175" w:name="_Toc15893_WPSOffice_Level3"/>
      <w:r>
        <w:rPr>
          <w:rFonts w:hint="eastAsia" w:ascii="仿宋_GB2312" w:hAnsi="仿宋_GB2312" w:eastAsia="仿宋_GB2312" w:cs="仿宋_GB2312"/>
          <w:kern w:val="0"/>
          <w:lang w:val="zh-CN"/>
        </w:rPr>
        <w:t>4.招标文件中规定的政府采购合同通用条款；</w:t>
      </w:r>
      <w:bookmarkEnd w:id="175"/>
    </w:p>
    <w:p w14:paraId="1E6499A1">
      <w:pPr>
        <w:autoSpaceDE w:val="0"/>
        <w:autoSpaceDN w:val="0"/>
        <w:adjustRightInd w:val="0"/>
        <w:spacing w:line="360" w:lineRule="auto"/>
        <w:ind w:firstLine="480"/>
        <w:rPr>
          <w:rFonts w:ascii="仿宋_GB2312" w:hAnsi="仿宋_GB2312" w:eastAsia="仿宋_GB2312" w:cs="仿宋_GB2312"/>
          <w:kern w:val="0"/>
          <w:lang w:val="zh-CN"/>
        </w:rPr>
      </w:pPr>
      <w:bookmarkStart w:id="176" w:name="_Toc22327_WPSOffice_Level3"/>
      <w:r>
        <w:rPr>
          <w:rFonts w:hint="eastAsia" w:ascii="仿宋_GB2312" w:hAnsi="仿宋_GB2312" w:eastAsia="仿宋_GB2312" w:cs="仿宋_GB2312"/>
          <w:kern w:val="0"/>
          <w:lang w:val="zh-CN"/>
        </w:rPr>
        <w:t>5.</w:t>
      </w:r>
      <w:r>
        <w:rPr>
          <w:rFonts w:hint="eastAsia" w:ascii="仿宋_GB2312" w:hAnsi="仿宋_GB2312" w:eastAsia="仿宋_GB2312" w:cs="仿宋_GB2312"/>
          <w:kern w:val="0"/>
        </w:rPr>
        <w:t>成交</w:t>
      </w:r>
      <w:r>
        <w:rPr>
          <w:rFonts w:hint="eastAsia" w:ascii="仿宋_GB2312" w:hAnsi="仿宋_GB2312" w:eastAsia="仿宋_GB2312" w:cs="仿宋_GB2312"/>
          <w:kern w:val="0"/>
          <w:lang w:val="zh-CN"/>
        </w:rPr>
        <w:t>通知书。</w:t>
      </w:r>
      <w:bookmarkEnd w:id="176"/>
    </w:p>
    <w:p w14:paraId="393E7EFB">
      <w:pPr>
        <w:autoSpaceDE w:val="0"/>
        <w:autoSpaceDN w:val="0"/>
        <w:adjustRightInd w:val="0"/>
        <w:spacing w:line="360" w:lineRule="auto"/>
        <w:rPr>
          <w:rFonts w:ascii="仿宋_GB2312" w:hAnsi="仿宋_GB2312" w:eastAsia="仿宋_GB2312" w:cs="仿宋_GB2312"/>
          <w:kern w:val="0"/>
          <w:lang w:val="zh-CN"/>
        </w:rPr>
      </w:pPr>
      <w:bookmarkStart w:id="177" w:name="_Toc2114_WPSOffice_Level2"/>
      <w:bookmarkStart w:id="178" w:name="_Toc11202_WPSOffice_Level2"/>
      <w:bookmarkStart w:id="179" w:name="_Toc12834_WPSOffice_Level2"/>
      <w:bookmarkStart w:id="180" w:name="_Toc10163_WPSOffice_Level3"/>
      <w:r>
        <w:rPr>
          <w:rFonts w:hint="eastAsia" w:ascii="仿宋_GB2312" w:hAnsi="仿宋_GB2312" w:eastAsia="仿宋_GB2312" w:cs="仿宋_GB2312"/>
          <w:kern w:val="0"/>
          <w:lang w:val="zh-CN"/>
        </w:rPr>
        <w:t>二、合同标的及金额                                       单位：元</w:t>
      </w:r>
      <w:bookmarkEnd w:id="177"/>
      <w:bookmarkEnd w:id="178"/>
      <w:bookmarkEnd w:id="179"/>
      <w:bookmarkEnd w:id="180"/>
    </w:p>
    <w:tbl>
      <w:tblPr>
        <w:tblStyle w:val="28"/>
        <w:tblW w:w="0" w:type="auto"/>
        <w:jc w:val="center"/>
        <w:tblLayout w:type="fixed"/>
        <w:tblCellMar>
          <w:top w:w="0" w:type="dxa"/>
          <w:left w:w="56" w:type="dxa"/>
          <w:bottom w:w="0" w:type="dxa"/>
          <w:right w:w="56" w:type="dxa"/>
        </w:tblCellMar>
      </w:tblPr>
      <w:tblGrid>
        <w:gridCol w:w="1046"/>
        <w:gridCol w:w="3191"/>
        <w:gridCol w:w="1371"/>
        <w:gridCol w:w="1411"/>
        <w:gridCol w:w="1258"/>
      </w:tblGrid>
      <w:tr w14:paraId="29553BCE">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6377A507">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序号</w:t>
            </w: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4E3B98A9">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服务内容</w:t>
            </w: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426B7480">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单价</w:t>
            </w: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52F9234E">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总价</w:t>
            </w: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218C26AF">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备注</w:t>
            </w:r>
          </w:p>
        </w:tc>
      </w:tr>
      <w:tr w14:paraId="6F06A9E5">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1C750746">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02F3C635">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61046B15">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496BCF39">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23B92588">
            <w:pPr>
              <w:autoSpaceDE w:val="0"/>
              <w:autoSpaceDN w:val="0"/>
              <w:adjustRightInd w:val="0"/>
              <w:spacing w:line="360" w:lineRule="auto"/>
              <w:jc w:val="center"/>
              <w:rPr>
                <w:rFonts w:ascii="仿宋_GB2312" w:hAnsi="仿宋_GB2312" w:eastAsia="仿宋_GB2312" w:cs="仿宋_GB2312"/>
                <w:kern w:val="0"/>
                <w:sz w:val="22"/>
                <w:szCs w:val="22"/>
                <w:lang w:val="zh-CN"/>
              </w:rPr>
            </w:pPr>
          </w:p>
        </w:tc>
      </w:tr>
      <w:tr w14:paraId="0B38F720">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006FE73F">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20A20383">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239060E1">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45DF4002">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0AA64639">
            <w:pPr>
              <w:autoSpaceDE w:val="0"/>
              <w:autoSpaceDN w:val="0"/>
              <w:adjustRightInd w:val="0"/>
              <w:spacing w:line="360" w:lineRule="auto"/>
              <w:jc w:val="center"/>
              <w:rPr>
                <w:rFonts w:ascii="仿宋_GB2312" w:hAnsi="仿宋_GB2312" w:eastAsia="仿宋_GB2312" w:cs="仿宋_GB2312"/>
                <w:kern w:val="0"/>
                <w:sz w:val="22"/>
                <w:szCs w:val="22"/>
                <w:lang w:val="zh-CN"/>
              </w:rPr>
            </w:pPr>
          </w:p>
        </w:tc>
      </w:tr>
    </w:tbl>
    <w:p w14:paraId="3CE30A9E">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根据上述政府采购合同文件要求，本政府采购合同的总金额为人民币</w:t>
      </w:r>
    </w:p>
    <w:p w14:paraId="33228444">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u w:val="single"/>
          <w:lang w:val="zh-CN"/>
        </w:rPr>
        <w:t xml:space="preserve">    （大写）    元</w:t>
      </w:r>
      <w:r>
        <w:rPr>
          <w:rFonts w:hint="eastAsia" w:ascii="仿宋_GB2312" w:hAnsi="仿宋_GB2312" w:eastAsia="仿宋_GB2312" w:cs="仿宋_GB2312"/>
          <w:kern w:val="0"/>
          <w:lang w:val="zh-CN"/>
        </w:rPr>
        <w:t>。</w:t>
      </w:r>
    </w:p>
    <w:p w14:paraId="210788C1">
      <w:pPr>
        <w:autoSpaceDE w:val="0"/>
        <w:autoSpaceDN w:val="0"/>
        <w:adjustRightInd w:val="0"/>
        <w:spacing w:line="360" w:lineRule="auto"/>
        <w:ind w:firstLine="42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本合同以人民币进行结算，合同总价包括：项目编制服务费、方案编制审核费（专家论证费）、保险费、采购代理服务费、税金及不可预见费等全部费用。</w:t>
      </w:r>
    </w:p>
    <w:p w14:paraId="08A9DABA">
      <w:pPr>
        <w:autoSpaceDE w:val="0"/>
        <w:autoSpaceDN w:val="0"/>
        <w:adjustRightInd w:val="0"/>
        <w:spacing w:line="360" w:lineRule="auto"/>
        <w:rPr>
          <w:rFonts w:ascii="仿宋_GB2312" w:hAnsi="仿宋_GB2312" w:eastAsia="仿宋_GB2312" w:cs="仿宋_GB2312"/>
          <w:kern w:val="0"/>
          <w:lang w:val="zh-CN"/>
        </w:rPr>
      </w:pPr>
      <w:bookmarkStart w:id="181" w:name="_Toc12048_WPSOffice_Level2"/>
      <w:bookmarkStart w:id="182" w:name="_Toc13400_WPSOffice_Level3"/>
      <w:bookmarkStart w:id="183" w:name="_Toc17512_WPSOffice_Level2"/>
      <w:bookmarkStart w:id="184" w:name="_Toc25628_WPSOffice_Level2"/>
      <w:r>
        <w:rPr>
          <w:rFonts w:hint="eastAsia" w:ascii="仿宋_GB2312" w:hAnsi="仿宋_GB2312" w:eastAsia="仿宋_GB2312" w:cs="仿宋_GB2312"/>
          <w:kern w:val="0"/>
          <w:lang w:val="zh-CN"/>
        </w:rPr>
        <w:t>三、服务周期、地点和要求</w:t>
      </w:r>
      <w:bookmarkEnd w:id="181"/>
      <w:bookmarkEnd w:id="182"/>
      <w:bookmarkEnd w:id="183"/>
      <w:bookmarkEnd w:id="184"/>
    </w:p>
    <w:p w14:paraId="39FDCC1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1.服务周期：</w:t>
      </w:r>
      <w:r>
        <w:rPr>
          <w:rFonts w:hint="eastAsia" w:ascii="仿宋_GB2312" w:hAnsi="仿宋_GB2312" w:eastAsia="仿宋_GB2312" w:cs="仿宋_GB2312"/>
          <w:kern w:val="0"/>
          <w:u w:val="single"/>
        </w:rPr>
        <w:t xml:space="preserve"> （具体以合同签订为准）</w:t>
      </w:r>
      <w:r>
        <w:rPr>
          <w:rFonts w:hint="eastAsia" w:ascii="仿宋_GB2312" w:hAnsi="仿宋_GB2312" w:eastAsia="仿宋_GB2312" w:cs="仿宋_GB2312"/>
          <w:kern w:val="0"/>
          <w:lang w:val="zh-CN"/>
        </w:rPr>
        <w:t>；</w:t>
      </w:r>
    </w:p>
    <w:p w14:paraId="0B0F26E5">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规划资料提交地点：</w:t>
      </w:r>
      <w:r>
        <w:rPr>
          <w:rFonts w:hint="eastAsia" w:ascii="仿宋_GB2312" w:hAnsi="仿宋_GB2312" w:eastAsia="仿宋_GB2312" w:cs="仿宋_GB2312"/>
          <w:kern w:val="0"/>
          <w:u w:val="single"/>
        </w:rPr>
        <w:t>采购人指定地点</w:t>
      </w:r>
      <w:r>
        <w:rPr>
          <w:rFonts w:hint="eastAsia" w:ascii="仿宋_GB2312" w:hAnsi="仿宋_GB2312" w:eastAsia="仿宋_GB2312" w:cs="仿宋_GB2312"/>
          <w:kern w:val="0"/>
          <w:lang w:val="zh-CN"/>
        </w:rPr>
        <w:t>。</w:t>
      </w:r>
    </w:p>
    <w:p w14:paraId="330100B1">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2.乙方提供不符合招标文件、投标文件和本合同规定的规划资料，甲方有权拒绝接受，并扣除相应费用。</w:t>
      </w:r>
    </w:p>
    <w:p w14:paraId="5392B30D">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3.乙方应提供的规划资料、其他配套资料等交付给甲方，如有缺失应及时补齐，否则视为逾期交货。</w:t>
      </w:r>
    </w:p>
    <w:p w14:paraId="765C22F3">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4.甲方应当在所有资料齐全后</w:t>
      </w:r>
      <w:r>
        <w:rPr>
          <w:rFonts w:hint="eastAsia" w:ascii="仿宋_GB2312" w:hAnsi="仿宋_GB2312" w:eastAsia="仿宋_GB2312" w:cs="仿宋_GB2312"/>
          <w:kern w:val="0"/>
          <w:u w:val="single"/>
          <w:lang w:val="zh-CN"/>
        </w:rPr>
        <w:t>7</w:t>
      </w:r>
      <w:r>
        <w:rPr>
          <w:rFonts w:hint="eastAsia" w:ascii="仿宋_GB2312" w:hAnsi="仿宋_GB2312" w:eastAsia="仿宋_GB2312" w:cs="仿宋_GB2312"/>
          <w:kern w:val="0"/>
          <w:lang w:val="zh-CN"/>
        </w:rPr>
        <w:t>个工作日内进行验收，逾期不验收的，乙方可视为验收合格。验收合格后，由甲乙双方签署项目验收单并加盖采购人公章，甲乙双方各执一份。</w:t>
      </w:r>
    </w:p>
    <w:p w14:paraId="7931B3AF">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5.甲方在验收过程中发现乙方有违约问题，可按招、投标文件的规定要求乙方及时予以解决。</w:t>
      </w:r>
    </w:p>
    <w:p w14:paraId="344C1CA7">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6.乙方向甲方提供相关完税发票。</w:t>
      </w:r>
    </w:p>
    <w:p w14:paraId="486ADAA1">
      <w:pPr>
        <w:autoSpaceDE w:val="0"/>
        <w:autoSpaceDN w:val="0"/>
        <w:adjustRightInd w:val="0"/>
        <w:spacing w:line="360" w:lineRule="auto"/>
        <w:rPr>
          <w:rFonts w:ascii="仿宋_GB2312" w:hAnsi="仿宋_GB2312" w:eastAsia="仿宋_GB2312" w:cs="仿宋_GB2312"/>
          <w:kern w:val="0"/>
          <w:lang w:val="zh-CN"/>
        </w:rPr>
      </w:pPr>
      <w:bookmarkStart w:id="185" w:name="_Toc2819_WPSOffice_Level3"/>
      <w:bookmarkStart w:id="186" w:name="_Toc9454_WPSOffice_Level2"/>
      <w:bookmarkStart w:id="187" w:name="_Toc20437_WPSOffice_Level2"/>
      <w:bookmarkStart w:id="188" w:name="_Toc7764_WPSOffice_Level2"/>
      <w:r>
        <w:rPr>
          <w:rFonts w:hint="eastAsia" w:ascii="仿宋_GB2312" w:hAnsi="仿宋_GB2312" w:eastAsia="仿宋_GB2312" w:cs="仿宋_GB2312"/>
          <w:kern w:val="0"/>
          <w:lang w:val="zh-CN"/>
        </w:rPr>
        <w:t>四、付款方式</w:t>
      </w:r>
      <w:bookmarkEnd w:id="185"/>
      <w:bookmarkEnd w:id="186"/>
      <w:bookmarkEnd w:id="187"/>
      <w:bookmarkEnd w:id="188"/>
    </w:p>
    <w:p w14:paraId="0927D98F">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由甲乙双方签订合同时另行商议确定，。</w:t>
      </w:r>
    </w:p>
    <w:p w14:paraId="1AA68659">
      <w:pPr>
        <w:autoSpaceDE w:val="0"/>
        <w:autoSpaceDN w:val="0"/>
        <w:adjustRightInd w:val="0"/>
        <w:spacing w:line="360" w:lineRule="auto"/>
        <w:rPr>
          <w:rFonts w:ascii="仿宋_GB2312" w:hAnsi="仿宋_GB2312" w:eastAsia="仿宋_GB2312" w:cs="仿宋_GB2312"/>
          <w:kern w:val="0"/>
          <w:lang w:val="zh-CN"/>
        </w:rPr>
      </w:pPr>
      <w:bookmarkStart w:id="189" w:name="_Toc3617_WPSOffice_Level3"/>
      <w:bookmarkStart w:id="190" w:name="_Toc32616_WPSOffice_Level2"/>
      <w:bookmarkStart w:id="191" w:name="_Toc936_WPSOffice_Level2"/>
      <w:bookmarkStart w:id="192" w:name="_Toc16747_WPSOffice_Level2"/>
      <w:r>
        <w:rPr>
          <w:rFonts w:hint="eastAsia" w:ascii="仿宋_GB2312" w:hAnsi="仿宋_GB2312" w:eastAsia="仿宋_GB2312" w:cs="仿宋_GB2312"/>
          <w:kern w:val="0"/>
          <w:lang w:val="zh-CN"/>
        </w:rPr>
        <w:t>五、合同的变更、终止与转让</w:t>
      </w:r>
      <w:bookmarkEnd w:id="189"/>
      <w:bookmarkEnd w:id="190"/>
      <w:bookmarkEnd w:id="191"/>
      <w:bookmarkEnd w:id="192"/>
    </w:p>
    <w:p w14:paraId="1E75E149">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1.除《中华人民共和国政府采购法》第50条规定的情形外，本合同一经签订，甲乙双方不得擅自变更、中止或终止。</w:t>
      </w:r>
    </w:p>
    <w:p w14:paraId="4E4CDEF5">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2.乙方不得擅自转让其应履行的合同义务。</w:t>
      </w:r>
    </w:p>
    <w:p w14:paraId="20FADD61">
      <w:pPr>
        <w:autoSpaceDE w:val="0"/>
        <w:autoSpaceDN w:val="0"/>
        <w:adjustRightInd w:val="0"/>
        <w:spacing w:line="360" w:lineRule="auto"/>
        <w:rPr>
          <w:rFonts w:ascii="仿宋_GB2312" w:hAnsi="仿宋_GB2312" w:eastAsia="仿宋_GB2312" w:cs="仿宋_GB2312"/>
          <w:kern w:val="0"/>
          <w:lang w:val="zh-CN"/>
        </w:rPr>
      </w:pPr>
      <w:bookmarkStart w:id="193" w:name="_Toc25996_WPSOffice_Level2"/>
      <w:bookmarkStart w:id="194" w:name="_Toc469_WPSOffice_Level2"/>
      <w:bookmarkStart w:id="195" w:name="_Toc14484_WPSOffice_Level3"/>
      <w:bookmarkStart w:id="196" w:name="_Toc9021_WPSOffice_Level2"/>
      <w:r>
        <w:rPr>
          <w:rFonts w:hint="eastAsia" w:ascii="仿宋_GB2312" w:hAnsi="仿宋_GB2312" w:eastAsia="仿宋_GB2312" w:cs="仿宋_GB2312"/>
          <w:kern w:val="0"/>
          <w:lang w:val="zh-CN"/>
        </w:rPr>
        <w:t>六、违约责任</w:t>
      </w:r>
      <w:bookmarkEnd w:id="193"/>
      <w:bookmarkEnd w:id="194"/>
      <w:bookmarkEnd w:id="195"/>
      <w:bookmarkEnd w:id="196"/>
    </w:p>
    <w:p w14:paraId="275AEBAF">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1.乙方所提供的成果及资料不合格的，应及时修改；修改不及时的，按逾期交付处罚；因规划成果不达标导致甲方不同意接收的，乙方赔偿由此引起的甲方的一切经济损失。</w:t>
      </w:r>
    </w:p>
    <w:p w14:paraId="6F8C7B6E">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2.乙方提供的成果及资料如侵犯了第三方权益而引发纠纷或诉讼的，均由乙方负责交涉并承担全部责任。</w:t>
      </w:r>
    </w:p>
    <w:p w14:paraId="6A0B048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3.甲方无故延期接受成果及资料和乙方逾期交付的，每天应向对方偿付总规划费3‰的违约金，但违约金累计不得超过总规划费的5%，超过</w:t>
      </w:r>
      <w:r>
        <w:rPr>
          <w:rFonts w:hint="eastAsia" w:ascii="仿宋_GB2312" w:hAnsi="仿宋_GB2312" w:eastAsia="仿宋_GB2312" w:cs="仿宋_GB2312"/>
          <w:kern w:val="0"/>
          <w:u w:val="single"/>
          <w:lang w:val="zh-CN"/>
        </w:rPr>
        <w:t>20</w:t>
      </w:r>
      <w:r>
        <w:rPr>
          <w:rFonts w:hint="eastAsia" w:ascii="仿宋_GB2312" w:hAnsi="仿宋_GB2312" w:eastAsia="仿宋_GB2312" w:cs="仿宋_GB2312"/>
          <w:kern w:val="0"/>
          <w:lang w:val="zh-CN"/>
        </w:rPr>
        <w:t>天对方有权解除合同，违约方承担因此给对方造成的经济损失。</w:t>
      </w:r>
    </w:p>
    <w:p w14:paraId="7F4855F3">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4.乙方未按本合同和招标文件中规定的服务承诺提供售后服务的，乙方应按本合同合计金额的5%向甲方支付违约金。</w:t>
      </w:r>
    </w:p>
    <w:p w14:paraId="761FCD91">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5.其它违约行为按总规划费的5%收取违约金并赔偿经济损失。</w:t>
      </w:r>
    </w:p>
    <w:p w14:paraId="45CEB9AE">
      <w:pPr>
        <w:autoSpaceDE w:val="0"/>
        <w:autoSpaceDN w:val="0"/>
        <w:adjustRightInd w:val="0"/>
        <w:spacing w:line="360" w:lineRule="auto"/>
        <w:rPr>
          <w:rFonts w:ascii="仿宋_GB2312" w:hAnsi="仿宋_GB2312" w:eastAsia="仿宋_GB2312" w:cs="仿宋_GB2312"/>
          <w:kern w:val="0"/>
          <w:lang w:val="zh-CN"/>
        </w:rPr>
      </w:pPr>
      <w:bookmarkStart w:id="197" w:name="_Toc29436_WPSOffice_Level2"/>
      <w:bookmarkStart w:id="198" w:name="_Toc23300_WPSOffice_Level2"/>
      <w:bookmarkStart w:id="199" w:name="_Toc577_WPSOffice_Level3"/>
      <w:bookmarkStart w:id="200" w:name="_Toc2322_WPSOffice_Level2"/>
      <w:r>
        <w:rPr>
          <w:rFonts w:hint="eastAsia" w:ascii="仿宋_GB2312" w:hAnsi="仿宋_GB2312" w:eastAsia="仿宋_GB2312" w:cs="仿宋_GB2312"/>
          <w:kern w:val="0"/>
          <w:lang w:val="zh-CN"/>
        </w:rPr>
        <w:t>七、不可抗力</w:t>
      </w:r>
      <w:bookmarkEnd w:id="197"/>
      <w:bookmarkEnd w:id="198"/>
      <w:bookmarkEnd w:id="199"/>
      <w:bookmarkEnd w:id="200"/>
    </w:p>
    <w:p w14:paraId="037DFB38">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1.不可抗力使合同的某些内容有变更必要的，双方应通过协商在</w:t>
      </w:r>
      <w:r>
        <w:rPr>
          <w:rFonts w:hint="eastAsia" w:ascii="仿宋_GB2312" w:hAnsi="仿宋_GB2312" w:eastAsia="仿宋_GB2312" w:cs="仿宋_GB2312"/>
          <w:kern w:val="0"/>
          <w:u w:val="single"/>
          <w:lang w:val="zh-CN"/>
        </w:rPr>
        <w:t>15</w:t>
      </w:r>
      <w:r>
        <w:rPr>
          <w:rFonts w:hint="eastAsia" w:ascii="仿宋_GB2312" w:hAnsi="仿宋_GB2312" w:eastAsia="仿宋_GB2312" w:cs="仿宋_GB2312"/>
          <w:kern w:val="0"/>
          <w:lang w:val="zh-CN"/>
        </w:rPr>
        <w:t>天内达成进一步履行合同的协议，因不可抗力致使合同不能履行的，合同终止。</w:t>
      </w:r>
    </w:p>
    <w:p w14:paraId="5325920A">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2.除法律、法规规定的不可抗力情形外，双方约定出现</w:t>
      </w:r>
      <w:r>
        <w:rPr>
          <w:rFonts w:hint="eastAsia" w:ascii="仿宋_GB2312" w:hAnsi="仿宋_GB2312" w:eastAsia="仿宋_GB2312" w:cs="仿宋_GB2312"/>
          <w:kern w:val="0"/>
          <w:u w:val="single"/>
          <w:lang w:val="zh-CN"/>
        </w:rPr>
        <w:t>非人为</w:t>
      </w:r>
      <w:r>
        <w:rPr>
          <w:rFonts w:hint="eastAsia" w:ascii="仿宋_GB2312" w:hAnsi="仿宋_GB2312" w:eastAsia="仿宋_GB2312" w:cs="仿宋_GB2312"/>
          <w:kern w:val="0"/>
          <w:lang w:val="zh-CN"/>
        </w:rPr>
        <w:t>情况亦视为不可抗力。</w:t>
      </w:r>
    </w:p>
    <w:p w14:paraId="115DDCE6">
      <w:pPr>
        <w:autoSpaceDE w:val="0"/>
        <w:autoSpaceDN w:val="0"/>
        <w:adjustRightInd w:val="0"/>
        <w:spacing w:line="360" w:lineRule="auto"/>
        <w:rPr>
          <w:rFonts w:ascii="仿宋_GB2312" w:hAnsi="仿宋_GB2312" w:eastAsia="仿宋_GB2312" w:cs="仿宋_GB2312"/>
          <w:kern w:val="0"/>
          <w:lang w:val="zh-CN"/>
        </w:rPr>
      </w:pPr>
      <w:bookmarkStart w:id="201" w:name="_Toc14514_WPSOffice_Level2"/>
      <w:bookmarkStart w:id="202" w:name="_Toc14834_WPSOffice_Level2"/>
      <w:bookmarkStart w:id="203" w:name="_Toc23772_WPSOffice_Level3"/>
      <w:bookmarkStart w:id="204" w:name="_Toc22796_WPSOffice_Level2"/>
      <w:r>
        <w:rPr>
          <w:rFonts w:hint="eastAsia" w:ascii="仿宋_GB2312" w:hAnsi="仿宋_GB2312" w:eastAsia="仿宋_GB2312" w:cs="仿宋_GB2312"/>
          <w:kern w:val="0"/>
          <w:lang w:val="zh-CN"/>
        </w:rPr>
        <w:t>八、知识产权：</w:t>
      </w:r>
      <w:bookmarkEnd w:id="201"/>
      <w:bookmarkEnd w:id="202"/>
      <w:bookmarkEnd w:id="203"/>
      <w:bookmarkEnd w:id="204"/>
    </w:p>
    <w:p w14:paraId="50BDA2B2">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8.1乙方应保证提交规划方案后不受第三方提出的侵犯专利权、著作权、商标权和设计权等的起诉。</w:t>
      </w:r>
    </w:p>
    <w:p w14:paraId="0657C462">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8.2任何第三方提出侵权指控，乙方须与第三方交涉并承担由此产生的一切责任、费用和经济赔偿。</w:t>
      </w:r>
    </w:p>
    <w:p w14:paraId="5927FD56">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8.3双方应共同遵守国家有关版权、专利、商标等知识产权方面的法律规定，相互尊重对方的知识产权，对本合同内容、对方的技术秘密和商业秘密负有保密责任。如有违反，违约方负相关法律责任。</w:t>
      </w:r>
    </w:p>
    <w:p w14:paraId="16A4520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8.4在本合同生效时已经存在并为各方合法拥有或使用的所有技术、资料和信息的知识产权，仍应属于其各自的原权利人所有或享有，另有约定的除外。</w:t>
      </w:r>
    </w:p>
    <w:p w14:paraId="3ED37227">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8.5乙方保证甲方拥有由其提供的所有规划方案的合法使用权。</w:t>
      </w:r>
    </w:p>
    <w:p w14:paraId="1751BB9B">
      <w:pPr>
        <w:autoSpaceDE w:val="0"/>
        <w:autoSpaceDN w:val="0"/>
        <w:adjustRightInd w:val="0"/>
        <w:spacing w:line="360" w:lineRule="auto"/>
        <w:rPr>
          <w:rFonts w:ascii="仿宋_GB2312" w:hAnsi="仿宋_GB2312" w:eastAsia="仿宋_GB2312" w:cs="仿宋_GB2312"/>
          <w:kern w:val="0"/>
          <w:lang w:val="zh-CN"/>
        </w:rPr>
      </w:pPr>
      <w:bookmarkStart w:id="205" w:name="_Toc19142_WPSOffice_Level2"/>
      <w:bookmarkStart w:id="206" w:name="_Toc29702_WPSOffice_Level2"/>
      <w:bookmarkStart w:id="207" w:name="_Toc11798_WPSOffice_Level3"/>
      <w:bookmarkStart w:id="208" w:name="_Toc15723_WPSOffice_Level2"/>
      <w:r>
        <w:rPr>
          <w:rFonts w:hint="eastAsia" w:ascii="仿宋_GB2312" w:hAnsi="仿宋_GB2312" w:eastAsia="仿宋_GB2312" w:cs="仿宋_GB2312"/>
          <w:kern w:val="0"/>
          <w:lang w:val="zh-CN"/>
        </w:rPr>
        <w:t>九、其他约定：无</w:t>
      </w:r>
      <w:bookmarkEnd w:id="205"/>
      <w:bookmarkEnd w:id="206"/>
      <w:bookmarkEnd w:id="207"/>
      <w:bookmarkEnd w:id="208"/>
    </w:p>
    <w:p w14:paraId="07033BD4">
      <w:pPr>
        <w:autoSpaceDE w:val="0"/>
        <w:autoSpaceDN w:val="0"/>
        <w:adjustRightInd w:val="0"/>
        <w:spacing w:line="360" w:lineRule="auto"/>
        <w:rPr>
          <w:rFonts w:ascii="仿宋_GB2312" w:hAnsi="仿宋_GB2312" w:eastAsia="仿宋_GB2312" w:cs="仿宋_GB2312"/>
          <w:kern w:val="0"/>
          <w:lang w:val="zh-CN"/>
        </w:rPr>
      </w:pPr>
      <w:bookmarkStart w:id="209" w:name="_Toc3560_WPSOffice_Level2"/>
      <w:bookmarkStart w:id="210" w:name="_Toc16243_WPSOffice_Level3"/>
      <w:bookmarkStart w:id="211" w:name="_Toc5205_WPSOffice_Level2"/>
      <w:bookmarkStart w:id="212" w:name="_Toc2133_WPSOffice_Level2"/>
      <w:r>
        <w:rPr>
          <w:rFonts w:hint="eastAsia" w:ascii="仿宋_GB2312" w:hAnsi="仿宋_GB2312" w:eastAsia="仿宋_GB2312" w:cs="仿宋_GB2312"/>
          <w:kern w:val="0"/>
          <w:lang w:val="zh-CN"/>
        </w:rPr>
        <w:t>十、合同争议解决</w:t>
      </w:r>
      <w:bookmarkEnd w:id="209"/>
      <w:bookmarkEnd w:id="210"/>
      <w:bookmarkEnd w:id="211"/>
      <w:bookmarkEnd w:id="212"/>
    </w:p>
    <w:p w14:paraId="4F333D8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1.因规划方案问题发生争议的，应邀请国家认可的相关机构进行鉴定。方案符合标准的，鉴定费由甲方承担；方案不符合标准的，鉴定费由乙方承担。</w:t>
      </w:r>
    </w:p>
    <w:p w14:paraId="2E794841">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2.因履行本合同引起的或与本合同有关的争议，甲乙双方应首先通过友好协商解决，如果协商不能解决，可向甲方所在地人民法院提起诉讼。</w:t>
      </w:r>
    </w:p>
    <w:p w14:paraId="7FF031B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3.诉讼期间，本合同继续履行。</w:t>
      </w:r>
    </w:p>
    <w:p w14:paraId="432E14F0">
      <w:pPr>
        <w:autoSpaceDE w:val="0"/>
        <w:autoSpaceDN w:val="0"/>
        <w:adjustRightInd w:val="0"/>
        <w:spacing w:line="360" w:lineRule="auto"/>
        <w:rPr>
          <w:rFonts w:ascii="仿宋_GB2312" w:hAnsi="仿宋_GB2312" w:eastAsia="仿宋_GB2312" w:cs="仿宋_GB2312"/>
          <w:kern w:val="0"/>
          <w:lang w:val="zh-CN"/>
        </w:rPr>
      </w:pPr>
      <w:bookmarkStart w:id="213" w:name="_Toc23539_WPSOffice_Level2"/>
      <w:bookmarkStart w:id="214" w:name="_Toc17324_WPSOffice_Level3"/>
      <w:bookmarkStart w:id="215" w:name="_Toc3683_WPSOffice_Level2"/>
      <w:bookmarkStart w:id="216" w:name="_Toc29733_WPSOffice_Level2"/>
      <w:r>
        <w:rPr>
          <w:rFonts w:hint="eastAsia" w:ascii="仿宋_GB2312" w:hAnsi="仿宋_GB2312" w:eastAsia="仿宋_GB2312" w:cs="仿宋_GB2312"/>
          <w:kern w:val="0"/>
          <w:lang w:val="zh-CN"/>
        </w:rPr>
        <w:t>十一、合同生效及其它：</w:t>
      </w:r>
      <w:bookmarkEnd w:id="213"/>
      <w:bookmarkEnd w:id="214"/>
      <w:bookmarkEnd w:id="215"/>
      <w:bookmarkEnd w:id="216"/>
    </w:p>
    <w:p w14:paraId="306E34AF">
      <w:pPr>
        <w:autoSpaceDE w:val="0"/>
        <w:autoSpaceDN w:val="0"/>
        <w:adjustRightInd w:val="0"/>
        <w:spacing w:line="360" w:lineRule="auto"/>
        <w:ind w:firstLine="480"/>
        <w:rPr>
          <w:rFonts w:ascii="仿宋_GB2312" w:hAnsi="仿宋_GB2312" w:eastAsia="仿宋_GB2312" w:cs="仿宋_GB2312"/>
          <w:kern w:val="0"/>
          <w:lang w:val="zh-CN"/>
        </w:rPr>
      </w:pPr>
      <w:bookmarkStart w:id="217" w:name="_Toc8000_WPSOffice_Level3"/>
      <w:r>
        <w:rPr>
          <w:rFonts w:hint="eastAsia" w:ascii="仿宋_GB2312" w:hAnsi="仿宋_GB2312" w:eastAsia="仿宋_GB2312" w:cs="仿宋_GB2312"/>
          <w:kern w:val="0"/>
          <w:lang w:val="zh-CN"/>
        </w:rPr>
        <w:t>1.本合同一式</w:t>
      </w:r>
      <w:r>
        <w:rPr>
          <w:rFonts w:hint="eastAsia" w:ascii="仿宋_GB2312" w:hAnsi="仿宋_GB2312" w:eastAsia="仿宋_GB2312" w:cs="仿宋_GB2312"/>
          <w:kern w:val="0"/>
          <w:u w:val="single"/>
          <w:lang w:val="zh-CN"/>
        </w:rPr>
        <w:t>8</w:t>
      </w:r>
      <w:r>
        <w:rPr>
          <w:rFonts w:hint="eastAsia" w:ascii="仿宋_GB2312" w:hAnsi="仿宋_GB2312" w:eastAsia="仿宋_GB2312" w:cs="仿宋_GB2312"/>
          <w:kern w:val="0"/>
          <w:lang w:val="zh-CN"/>
        </w:rPr>
        <w:t>份，经双方签字，并加盖公章即为生效。</w:t>
      </w:r>
      <w:bookmarkEnd w:id="217"/>
    </w:p>
    <w:p w14:paraId="550C9817">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2.本合同未尽事宜，按经济合同法有关规定处理。</w:t>
      </w:r>
    </w:p>
    <w:p w14:paraId="56EA123D">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甲方（盖章）：                         乙方（盖章）：</w:t>
      </w:r>
    </w:p>
    <w:p w14:paraId="4DDF6358">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法定代表人或委托代理人：               法定代表人或委托代理人：</w:t>
      </w:r>
    </w:p>
    <w:p w14:paraId="1D86858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 xml:space="preserve">                                   开户银行：</w:t>
      </w:r>
    </w:p>
    <w:p w14:paraId="1309C838">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联系电话：                             账号：</w:t>
      </w:r>
    </w:p>
    <w:p w14:paraId="6AE0F031">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 xml:space="preserve">                                   联系电话：</w:t>
      </w:r>
    </w:p>
    <w:p w14:paraId="2F8EFE34">
      <w:pPr>
        <w:autoSpaceDE w:val="0"/>
        <w:autoSpaceDN w:val="0"/>
        <w:adjustRightInd w:val="0"/>
        <w:spacing w:line="360" w:lineRule="auto"/>
        <w:rPr>
          <w:rFonts w:ascii="仿宋_GB2312" w:hAnsi="仿宋_GB2312" w:eastAsia="仿宋_GB2312" w:cs="仿宋_GB2312"/>
          <w:kern w:val="0"/>
          <w:lang w:val="zh-CN"/>
        </w:rPr>
      </w:pPr>
    </w:p>
    <w:p w14:paraId="5027EFD2">
      <w:pPr>
        <w:autoSpaceDE w:val="0"/>
        <w:autoSpaceDN w:val="0"/>
        <w:adjustRightInd w:val="0"/>
        <w:spacing w:line="360" w:lineRule="auto"/>
        <w:ind w:firstLine="1320"/>
        <w:rPr>
          <w:rFonts w:ascii="仿宋_GB2312" w:hAnsi="仿宋_GB2312" w:eastAsia="仿宋_GB2312" w:cs="仿宋_GB2312"/>
          <w:kern w:val="0"/>
          <w:lang w:val="zh-CN"/>
        </w:rPr>
      </w:pPr>
      <w:r>
        <w:rPr>
          <w:rFonts w:hint="eastAsia" w:ascii="仿宋_GB2312" w:hAnsi="仿宋_GB2312" w:eastAsia="仿宋_GB2312" w:cs="仿宋_GB2312"/>
          <w:kern w:val="0"/>
          <w:lang w:val="zh-CN"/>
        </w:rPr>
        <w:t>签约时间：        年    月    日</w:t>
      </w:r>
    </w:p>
    <w:p w14:paraId="6AE572DF">
      <w:pPr>
        <w:autoSpaceDE w:val="0"/>
        <w:autoSpaceDN w:val="0"/>
        <w:adjustRightInd w:val="0"/>
        <w:spacing w:line="360" w:lineRule="auto"/>
        <w:rPr>
          <w:rFonts w:ascii="仿宋_GB2312" w:hAnsi="仿宋_GB2312" w:eastAsia="仿宋_GB2312" w:cs="仿宋_GB2312"/>
          <w:kern w:val="0"/>
          <w:lang w:val="zh-CN"/>
        </w:rPr>
      </w:pPr>
    </w:p>
    <w:p w14:paraId="3B11D27A">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采购代理机构：青海省招标有限责任公司</w:t>
      </w:r>
    </w:p>
    <w:p w14:paraId="5BEF38C1">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负责人或经办人：</w:t>
      </w:r>
    </w:p>
    <w:p w14:paraId="4651C6DF">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合同备案时间：        年    月    日</w:t>
      </w:r>
    </w:p>
    <w:p w14:paraId="3C3D2FA1">
      <w:pPr>
        <w:autoSpaceDE w:val="0"/>
        <w:autoSpaceDN w:val="0"/>
        <w:adjustRightInd w:val="0"/>
        <w:spacing w:line="360" w:lineRule="auto"/>
        <w:jc w:val="center"/>
        <w:rPr>
          <w:rFonts w:hint="eastAsia" w:ascii="仿宋_GB2312" w:hAnsi="仿宋_GB2312" w:eastAsia="仿宋_GB2312" w:cs="仿宋_GB2312"/>
          <w:b/>
          <w:bCs/>
          <w:kern w:val="0"/>
          <w:sz w:val="28"/>
          <w:lang w:val="zh-CN"/>
        </w:rPr>
      </w:pPr>
      <w:bookmarkStart w:id="218" w:name="_Toc30661_WPSOffice_Level3"/>
      <w:bookmarkStart w:id="219" w:name="_Toc17207_WPSOffice_Level2"/>
      <w:bookmarkStart w:id="220" w:name="_Toc22453_WPSOffice_Level2"/>
      <w:bookmarkStart w:id="221" w:name="_Toc26344_WPSOffice_Level2"/>
    </w:p>
    <w:p w14:paraId="6C11D4F5">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490182D0">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175E11CB">
      <w:pPr>
        <w:autoSpaceDE w:val="0"/>
        <w:autoSpaceDN w:val="0"/>
        <w:adjustRightInd w:val="0"/>
        <w:spacing w:line="360" w:lineRule="auto"/>
        <w:jc w:val="center"/>
        <w:rPr>
          <w:rFonts w:ascii="仿宋_GB2312" w:hAnsi="仿宋_GB2312" w:eastAsia="仿宋_GB2312" w:cs="仿宋_GB2312"/>
          <w:b/>
          <w:bCs/>
          <w:kern w:val="0"/>
          <w:sz w:val="28"/>
        </w:rPr>
      </w:pPr>
      <w:r>
        <w:rPr>
          <w:rFonts w:hint="eastAsia" w:ascii="仿宋_GB2312" w:hAnsi="仿宋_GB2312" w:eastAsia="仿宋_GB2312" w:cs="仿宋_GB2312"/>
          <w:b/>
          <w:bCs/>
          <w:kern w:val="0"/>
          <w:sz w:val="28"/>
          <w:lang w:val="zh-CN"/>
        </w:rPr>
        <w:t>合同通用条款</w:t>
      </w:r>
      <w:bookmarkEnd w:id="218"/>
      <w:bookmarkEnd w:id="219"/>
      <w:bookmarkEnd w:id="220"/>
      <w:bookmarkEnd w:id="221"/>
    </w:p>
    <w:p w14:paraId="59023687">
      <w:pPr>
        <w:autoSpaceDE w:val="0"/>
        <w:autoSpaceDN w:val="0"/>
        <w:adjustRightInd w:val="0"/>
        <w:spacing w:line="400" w:lineRule="exact"/>
        <w:rPr>
          <w:rFonts w:ascii="仿宋_GB2312" w:hAnsi="仿宋_GB2312" w:eastAsia="仿宋_GB2312" w:cs="仿宋_GB2312"/>
          <w:kern w:val="0"/>
          <w:sz w:val="28"/>
        </w:rPr>
      </w:pPr>
    </w:p>
    <w:p w14:paraId="41EEA75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根据《中华人民共和国合同法》、《中华人民共和国政府采购法》的规定，合同双方经协商达成一致，自愿订立本合同，遵循公平原则明确双方的权利、义务，确保双方诚实守信地履行合同。</w:t>
      </w:r>
    </w:p>
    <w:p w14:paraId="629EE73F">
      <w:pPr>
        <w:autoSpaceDE w:val="0"/>
        <w:autoSpaceDN w:val="0"/>
        <w:adjustRightInd w:val="0"/>
        <w:spacing w:line="400" w:lineRule="exact"/>
        <w:rPr>
          <w:rFonts w:ascii="仿宋_GB2312" w:hAnsi="仿宋_GB2312" w:eastAsia="仿宋_GB2312" w:cs="仿宋_GB2312"/>
          <w:b/>
          <w:bCs/>
          <w:kern w:val="0"/>
          <w:sz w:val="28"/>
        </w:rPr>
      </w:pPr>
      <w:bookmarkStart w:id="222" w:name="_Toc15468_WPSOffice_Level2"/>
      <w:bookmarkStart w:id="223" w:name="_Toc7198_WPSOffice_Level3"/>
      <w:bookmarkStart w:id="224" w:name="_Toc24568_WPSOffice_Level2"/>
      <w:bookmarkStart w:id="225" w:name="_Toc29837_WPSOffice_Level2"/>
      <w:r>
        <w:rPr>
          <w:rFonts w:hint="eastAsia" w:ascii="仿宋_GB2312" w:hAnsi="仿宋_GB2312" w:eastAsia="仿宋_GB2312" w:cs="仿宋_GB2312"/>
          <w:b/>
          <w:bCs/>
          <w:kern w:val="0"/>
          <w:sz w:val="28"/>
        </w:rPr>
        <w:t>1.</w:t>
      </w:r>
      <w:r>
        <w:rPr>
          <w:rFonts w:hint="eastAsia" w:ascii="仿宋_GB2312" w:hAnsi="仿宋_GB2312" w:eastAsia="仿宋_GB2312" w:cs="仿宋_GB2312"/>
          <w:b/>
          <w:bCs/>
          <w:kern w:val="0"/>
          <w:sz w:val="28"/>
          <w:lang w:val="zh-CN"/>
        </w:rPr>
        <w:t>定义</w:t>
      </w:r>
      <w:bookmarkEnd w:id="222"/>
      <w:bookmarkEnd w:id="223"/>
      <w:bookmarkEnd w:id="224"/>
      <w:bookmarkEnd w:id="225"/>
    </w:p>
    <w:p w14:paraId="40D28F3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本合同中的下列术语应解释为：</w:t>
      </w:r>
    </w:p>
    <w:p w14:paraId="0F9B5FF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 </w:t>
      </w:r>
      <w:r>
        <w:rPr>
          <w:rFonts w:hint="eastAsia" w:ascii="仿宋_GB2312" w:hAnsi="仿宋_GB2312" w:eastAsia="仿宋_GB2312" w:cs="仿宋_GB2312"/>
          <w:kern w:val="0"/>
          <w:lang w:val="zh-CN"/>
        </w:rPr>
        <w:t>“合同”指甲乙双方签署的、载明的甲乙双方权利义务的协议，包括所有的附件、附录和上述文件所提到的构成合同的所有文件。</w:t>
      </w:r>
    </w:p>
    <w:p w14:paraId="3082BC5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1.2 </w:t>
      </w:r>
      <w:r>
        <w:rPr>
          <w:rFonts w:hint="eastAsia" w:ascii="仿宋_GB2312" w:hAnsi="仿宋_GB2312" w:eastAsia="仿宋_GB2312" w:cs="仿宋_GB2312"/>
          <w:kern w:val="0"/>
          <w:lang w:val="zh-CN"/>
        </w:rPr>
        <w:t>“合同金额”指根据合同规定，乙方在正确地完全履行合同义务后甲方应付给乙方的价款。</w:t>
      </w:r>
    </w:p>
    <w:p w14:paraId="718B9B6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 </w:t>
      </w:r>
      <w:r>
        <w:rPr>
          <w:rFonts w:hint="eastAsia" w:ascii="仿宋_GB2312" w:hAnsi="仿宋_GB2312" w:eastAsia="仿宋_GB2312" w:cs="仿宋_GB2312"/>
          <w:kern w:val="0"/>
          <w:lang w:val="zh-CN"/>
        </w:rPr>
        <w:t>“合同条款”指本合同条款。</w:t>
      </w:r>
    </w:p>
    <w:p w14:paraId="1CE4971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 </w:t>
      </w:r>
      <w:r>
        <w:rPr>
          <w:rFonts w:hint="eastAsia" w:ascii="仿宋_GB2312" w:hAnsi="仿宋_GB2312" w:eastAsia="仿宋_GB2312" w:cs="仿宋_GB2312"/>
          <w:kern w:val="0"/>
          <w:lang w:val="zh-CN"/>
        </w:rPr>
        <w:t>“货物”指乙方根据合同约定须向甲方提供的一切产品、设备、机械、仪表、备件等，包括辅助工具、使用手册等相关资料。</w:t>
      </w:r>
    </w:p>
    <w:p w14:paraId="1DFEB06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 </w:t>
      </w:r>
      <w:r>
        <w:rPr>
          <w:rFonts w:hint="eastAsia" w:ascii="仿宋_GB2312" w:hAnsi="仿宋_GB2312" w:eastAsia="仿宋_GB2312" w:cs="仿宋_GB2312"/>
          <w:kern w:val="0"/>
          <w:lang w:val="zh-CN"/>
        </w:rPr>
        <w:t>“服务”指根据本合同规定乙方承担与供货有关的辅助服务，如运输、保险及安装、调试、提供技术援助、培训和合同中规定乙方应承担的其它义务。</w:t>
      </w:r>
    </w:p>
    <w:p w14:paraId="2629C70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1.6 </w:t>
      </w:r>
      <w:r>
        <w:rPr>
          <w:rFonts w:hint="eastAsia" w:ascii="仿宋_GB2312" w:hAnsi="仿宋_GB2312" w:eastAsia="仿宋_GB2312" w:cs="仿宋_GB2312"/>
          <w:kern w:val="0"/>
          <w:lang w:val="zh-CN"/>
        </w:rPr>
        <w:t>“甲方”指购买货物和服务的单位。</w:t>
      </w:r>
    </w:p>
    <w:p w14:paraId="1D066AF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1.7 </w:t>
      </w:r>
      <w:r>
        <w:rPr>
          <w:rFonts w:hint="eastAsia" w:ascii="仿宋_GB2312" w:hAnsi="仿宋_GB2312" w:eastAsia="仿宋_GB2312" w:cs="仿宋_GB2312"/>
          <w:kern w:val="0"/>
          <w:lang w:val="zh-CN"/>
        </w:rPr>
        <w:t>“乙方”指提供本合同条款下货物和服务的公司或其他实体。</w:t>
      </w:r>
    </w:p>
    <w:p w14:paraId="5619710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1.8 </w:t>
      </w:r>
      <w:r>
        <w:rPr>
          <w:rFonts w:hint="eastAsia" w:ascii="仿宋_GB2312" w:hAnsi="仿宋_GB2312" w:eastAsia="仿宋_GB2312" w:cs="仿宋_GB2312"/>
          <w:kern w:val="0"/>
          <w:lang w:val="zh-CN"/>
        </w:rPr>
        <w:t>“现场”指合同规定货物将要运至和安装的地点。</w:t>
      </w:r>
    </w:p>
    <w:p w14:paraId="3D1571A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1.9 </w:t>
      </w:r>
      <w:r>
        <w:rPr>
          <w:rFonts w:hint="eastAsia" w:ascii="仿宋_GB2312" w:hAnsi="仿宋_GB2312" w:eastAsia="仿宋_GB2312" w:cs="仿宋_GB2312"/>
          <w:kern w:val="0"/>
          <w:lang w:val="zh-CN"/>
        </w:rPr>
        <w:t>“验收”指合同双方依据强制性的国家技术质量规范和合同约定，确认合同条款下的货物符合合同规定的活动。</w:t>
      </w:r>
    </w:p>
    <w:p w14:paraId="6B3E75B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1.10</w:t>
      </w:r>
      <w:r>
        <w:rPr>
          <w:rFonts w:hint="eastAsia" w:ascii="仿宋_GB2312" w:hAnsi="仿宋_GB2312" w:eastAsia="仿宋_GB2312" w:cs="仿宋_GB2312"/>
          <w:kern w:val="0"/>
          <w:lang w:val="zh-CN"/>
        </w:rPr>
        <w:t>原厂商：产品制造商或其在中国境内设立的办事或技术服务机构。除另有说明外，本合同文件所述的制造商、产品制造商、制造厂家、产品制造厂家均为原厂商。</w:t>
      </w:r>
    </w:p>
    <w:p w14:paraId="406ADD6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 </w:t>
      </w:r>
      <w:r>
        <w:rPr>
          <w:rFonts w:hint="eastAsia" w:ascii="仿宋_GB2312" w:hAnsi="仿宋_GB2312" w:eastAsia="仿宋_GB2312" w:cs="仿宋_GB2312"/>
          <w:kern w:val="0"/>
          <w:lang w:val="zh-CN"/>
        </w:rPr>
        <w:t>原产地：指产品的生产地，或提供服务的来源地。</w:t>
      </w:r>
    </w:p>
    <w:p w14:paraId="6F2C318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 </w:t>
      </w:r>
      <w:r>
        <w:rPr>
          <w:rFonts w:hint="eastAsia" w:ascii="仿宋_GB2312" w:hAnsi="仿宋_GB2312" w:eastAsia="仿宋_GB2312" w:cs="仿宋_GB2312"/>
          <w:kern w:val="0"/>
          <w:lang w:val="zh-CN"/>
        </w:rPr>
        <w:t>“工作日”指国家法定工作日，“天”指日历天数。</w:t>
      </w:r>
    </w:p>
    <w:p w14:paraId="010BA29F">
      <w:pPr>
        <w:autoSpaceDE w:val="0"/>
        <w:autoSpaceDN w:val="0"/>
        <w:adjustRightInd w:val="0"/>
        <w:spacing w:line="400" w:lineRule="exact"/>
        <w:rPr>
          <w:rFonts w:ascii="仿宋_GB2312" w:hAnsi="仿宋_GB2312" w:eastAsia="仿宋_GB2312" w:cs="仿宋_GB2312"/>
          <w:b/>
          <w:bCs/>
          <w:kern w:val="0"/>
          <w:sz w:val="28"/>
        </w:rPr>
      </w:pPr>
      <w:bookmarkStart w:id="226" w:name="_Toc11113_WPSOffice_Level2"/>
      <w:bookmarkStart w:id="227" w:name="_Toc16454_WPSOffice_Level2"/>
      <w:bookmarkStart w:id="228" w:name="_Toc32166_WPSOffice_Level2"/>
      <w:bookmarkStart w:id="229" w:name="_Toc9302_WPSOffice_Level3"/>
      <w:r>
        <w:rPr>
          <w:rFonts w:hint="eastAsia" w:ascii="仿宋_GB2312" w:hAnsi="仿宋_GB2312" w:eastAsia="仿宋_GB2312" w:cs="仿宋_GB2312"/>
          <w:b/>
          <w:bCs/>
          <w:kern w:val="0"/>
          <w:sz w:val="28"/>
        </w:rPr>
        <w:t>2.</w:t>
      </w:r>
      <w:r>
        <w:rPr>
          <w:rFonts w:hint="eastAsia" w:ascii="仿宋_GB2312" w:hAnsi="仿宋_GB2312" w:eastAsia="仿宋_GB2312" w:cs="仿宋_GB2312"/>
          <w:b/>
          <w:bCs/>
          <w:kern w:val="0"/>
          <w:sz w:val="28"/>
          <w:lang w:val="zh-CN"/>
        </w:rPr>
        <w:t>技术规格要求</w:t>
      </w:r>
      <w:bookmarkEnd w:id="226"/>
      <w:bookmarkEnd w:id="227"/>
      <w:bookmarkEnd w:id="228"/>
      <w:bookmarkEnd w:id="229"/>
    </w:p>
    <w:p w14:paraId="5FBC2EC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2.1 </w:t>
      </w:r>
      <w:r>
        <w:rPr>
          <w:rFonts w:hint="eastAsia" w:ascii="仿宋_GB2312" w:hAnsi="仿宋_GB2312" w:eastAsia="仿宋_GB2312" w:cs="仿宋_GB2312"/>
          <w:kern w:val="0"/>
          <w:lang w:val="zh-CN"/>
        </w:rPr>
        <w:t>本合同条款下提交货物的技术规格要求应等于或优于谈判标文件技术规格要求。若技术规格要求中无相应规定，则应符合相应的国家有关部门最新颁布的相应正式标准。</w:t>
      </w:r>
    </w:p>
    <w:p w14:paraId="450753F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2.2 </w:t>
      </w:r>
      <w:r>
        <w:rPr>
          <w:rFonts w:hint="eastAsia" w:ascii="仿宋_GB2312" w:hAnsi="仿宋_GB2312" w:eastAsia="仿宋_GB2312" w:cs="仿宋_GB2312"/>
          <w:kern w:val="0"/>
          <w:lang w:val="zh-CN"/>
        </w:rPr>
        <w:t>乙方应向甲方提供货物及服务有关的标准的中文文本。</w:t>
      </w:r>
    </w:p>
    <w:p w14:paraId="16C051F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2.3 </w:t>
      </w:r>
      <w:r>
        <w:rPr>
          <w:rFonts w:hint="eastAsia" w:ascii="仿宋_GB2312" w:hAnsi="仿宋_GB2312" w:eastAsia="仿宋_GB2312" w:cs="仿宋_GB2312"/>
          <w:kern w:val="0"/>
          <w:lang w:val="zh-CN"/>
        </w:rPr>
        <w:t>除非技术规范中另有规定，计量单位均采用中华人民共和国法定计量单位。</w:t>
      </w:r>
    </w:p>
    <w:p w14:paraId="765B29B9">
      <w:pPr>
        <w:autoSpaceDE w:val="0"/>
        <w:autoSpaceDN w:val="0"/>
        <w:adjustRightInd w:val="0"/>
        <w:spacing w:line="400" w:lineRule="exact"/>
        <w:rPr>
          <w:rFonts w:ascii="仿宋_GB2312" w:hAnsi="仿宋_GB2312" w:eastAsia="仿宋_GB2312" w:cs="仿宋_GB2312"/>
          <w:b/>
          <w:bCs/>
          <w:kern w:val="0"/>
          <w:sz w:val="28"/>
        </w:rPr>
      </w:pPr>
      <w:bookmarkStart w:id="230" w:name="_Toc10662_WPSOffice_Level2"/>
      <w:bookmarkStart w:id="231" w:name="_Toc18003_WPSOffice_Level3"/>
      <w:bookmarkStart w:id="232" w:name="_Toc23565_WPSOffice_Level2"/>
      <w:bookmarkStart w:id="233" w:name="_Toc16016_WPSOffice_Level2"/>
      <w:r>
        <w:rPr>
          <w:rFonts w:hint="eastAsia" w:ascii="仿宋_GB2312" w:hAnsi="仿宋_GB2312" w:eastAsia="仿宋_GB2312" w:cs="仿宋_GB2312"/>
          <w:b/>
          <w:bCs/>
          <w:kern w:val="0"/>
          <w:sz w:val="28"/>
        </w:rPr>
        <w:t>3.</w:t>
      </w:r>
      <w:r>
        <w:rPr>
          <w:rFonts w:hint="eastAsia" w:ascii="仿宋_GB2312" w:hAnsi="仿宋_GB2312" w:eastAsia="仿宋_GB2312" w:cs="仿宋_GB2312"/>
          <w:b/>
          <w:bCs/>
          <w:kern w:val="0"/>
          <w:sz w:val="28"/>
          <w:lang w:val="zh-CN"/>
        </w:rPr>
        <w:t>合同范围</w:t>
      </w:r>
      <w:bookmarkEnd w:id="230"/>
      <w:bookmarkEnd w:id="231"/>
      <w:bookmarkEnd w:id="232"/>
      <w:bookmarkEnd w:id="233"/>
    </w:p>
    <w:p w14:paraId="1D89BDB4">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3.1 </w:t>
      </w:r>
      <w:r>
        <w:rPr>
          <w:rFonts w:hint="eastAsia" w:ascii="仿宋_GB2312" w:hAnsi="仿宋_GB2312" w:eastAsia="仿宋_GB2312" w:cs="仿宋_GB2312"/>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FE8797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3.2 </w:t>
      </w:r>
      <w:r>
        <w:rPr>
          <w:rFonts w:hint="eastAsia" w:ascii="仿宋_GB2312" w:hAnsi="仿宋_GB2312" w:eastAsia="仿宋_GB2312" w:cs="仿宋_GB2312"/>
          <w:kern w:val="0"/>
          <w:lang w:val="zh-CN"/>
        </w:rPr>
        <w:t>乙方应负责培训甲方的技术人员。</w:t>
      </w:r>
    </w:p>
    <w:p w14:paraId="6BFAC4E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3.3 </w:t>
      </w:r>
      <w:r>
        <w:rPr>
          <w:rFonts w:hint="eastAsia" w:ascii="仿宋_GB2312" w:hAnsi="仿宋_GB2312" w:eastAsia="仿宋_GB2312" w:cs="仿宋_GB2312"/>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76BF886">
      <w:pPr>
        <w:autoSpaceDE w:val="0"/>
        <w:autoSpaceDN w:val="0"/>
        <w:adjustRightInd w:val="0"/>
        <w:spacing w:line="400" w:lineRule="exact"/>
        <w:rPr>
          <w:rFonts w:ascii="仿宋_GB2312" w:hAnsi="仿宋_GB2312" w:eastAsia="仿宋_GB2312" w:cs="仿宋_GB2312"/>
          <w:b/>
          <w:bCs/>
          <w:kern w:val="0"/>
          <w:sz w:val="28"/>
        </w:rPr>
      </w:pPr>
      <w:bookmarkStart w:id="234" w:name="_Toc18952_WPSOffice_Level2"/>
      <w:bookmarkStart w:id="235" w:name="_Toc8450_WPSOffice_Level2"/>
      <w:bookmarkStart w:id="236" w:name="_Toc31793_WPSOffice_Level2"/>
      <w:bookmarkStart w:id="237" w:name="_Toc8478_WPSOffice_Level3"/>
      <w:r>
        <w:rPr>
          <w:rFonts w:hint="eastAsia" w:ascii="仿宋_GB2312" w:hAnsi="仿宋_GB2312" w:eastAsia="仿宋_GB2312" w:cs="仿宋_GB2312"/>
          <w:b/>
          <w:bCs/>
          <w:kern w:val="0"/>
          <w:sz w:val="28"/>
        </w:rPr>
        <w:t>4.</w:t>
      </w:r>
      <w:r>
        <w:rPr>
          <w:rFonts w:hint="eastAsia" w:ascii="仿宋_GB2312" w:hAnsi="仿宋_GB2312" w:eastAsia="仿宋_GB2312" w:cs="仿宋_GB2312"/>
          <w:b/>
          <w:bCs/>
          <w:kern w:val="0"/>
          <w:sz w:val="28"/>
          <w:lang w:val="zh-CN"/>
        </w:rPr>
        <w:t>合同文件和资料</w:t>
      </w:r>
      <w:bookmarkEnd w:id="234"/>
      <w:bookmarkEnd w:id="235"/>
      <w:bookmarkEnd w:id="236"/>
      <w:bookmarkEnd w:id="237"/>
    </w:p>
    <w:p w14:paraId="5B52A55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4.1</w:t>
      </w:r>
      <w:r>
        <w:rPr>
          <w:rFonts w:hint="eastAsia" w:ascii="仿宋_GB2312" w:hAnsi="仿宋_GB2312" w:eastAsia="仿宋_GB2312" w:cs="仿宋_GB2312"/>
          <w:kern w:val="0"/>
          <w:lang w:val="zh-CN"/>
        </w:rPr>
        <w:t>乙方在提供仪器设备时应同时提供中文版相关的技术资料，如目录索引、图纸、操作手册、使用指南、维修指南、服务手册等。</w:t>
      </w:r>
    </w:p>
    <w:p w14:paraId="6B0CD26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4.2</w:t>
      </w:r>
      <w:r>
        <w:rPr>
          <w:rFonts w:hint="eastAsia" w:ascii="仿宋_GB2312" w:hAnsi="仿宋_GB2312" w:eastAsia="仿宋_GB2312" w:cs="仿宋_GB2312"/>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C9BDC90">
      <w:pPr>
        <w:autoSpaceDE w:val="0"/>
        <w:autoSpaceDN w:val="0"/>
        <w:adjustRightInd w:val="0"/>
        <w:spacing w:line="400" w:lineRule="exact"/>
        <w:rPr>
          <w:rFonts w:ascii="仿宋_GB2312" w:hAnsi="仿宋_GB2312" w:eastAsia="仿宋_GB2312" w:cs="仿宋_GB2312"/>
          <w:b/>
          <w:bCs/>
          <w:kern w:val="0"/>
          <w:sz w:val="28"/>
        </w:rPr>
      </w:pPr>
      <w:bookmarkStart w:id="238" w:name="_Toc22070_WPSOffice_Level2"/>
      <w:bookmarkStart w:id="239" w:name="_Toc4088_WPSOffice_Level2"/>
      <w:bookmarkStart w:id="240" w:name="_Toc7336_WPSOffice_Level2"/>
      <w:bookmarkStart w:id="241" w:name="_Toc15463_WPSOffice_Level3"/>
      <w:r>
        <w:rPr>
          <w:rFonts w:hint="eastAsia" w:ascii="仿宋_GB2312" w:hAnsi="仿宋_GB2312" w:eastAsia="仿宋_GB2312" w:cs="仿宋_GB2312"/>
          <w:b/>
          <w:bCs/>
          <w:kern w:val="0"/>
          <w:sz w:val="28"/>
        </w:rPr>
        <w:t>5.</w:t>
      </w:r>
      <w:r>
        <w:rPr>
          <w:rFonts w:hint="eastAsia" w:ascii="仿宋_GB2312" w:hAnsi="仿宋_GB2312" w:eastAsia="仿宋_GB2312" w:cs="仿宋_GB2312"/>
          <w:b/>
          <w:bCs/>
          <w:kern w:val="0"/>
          <w:sz w:val="28"/>
          <w:lang w:val="zh-CN"/>
        </w:rPr>
        <w:t>知识产权</w:t>
      </w:r>
      <w:bookmarkEnd w:id="238"/>
      <w:bookmarkEnd w:id="239"/>
      <w:bookmarkEnd w:id="240"/>
      <w:bookmarkEnd w:id="241"/>
    </w:p>
    <w:p w14:paraId="689823D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5.1</w:t>
      </w:r>
      <w:r>
        <w:rPr>
          <w:rFonts w:hint="eastAsia" w:ascii="仿宋_GB2312" w:hAnsi="仿宋_GB2312" w:eastAsia="仿宋_GB2312" w:cs="仿宋_GB2312"/>
          <w:kern w:val="0"/>
          <w:lang w:val="zh-CN"/>
        </w:rPr>
        <w:t>乙方应保证甲方在使用该货物或其任何一部分时不受第三方提出的侵犯专利权、著作权、商标权和工业设计权等的起诉。</w:t>
      </w:r>
    </w:p>
    <w:p w14:paraId="10B5C80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5.2</w:t>
      </w:r>
      <w:r>
        <w:rPr>
          <w:rFonts w:hint="eastAsia" w:ascii="仿宋_GB2312" w:hAnsi="仿宋_GB2312" w:eastAsia="仿宋_GB2312" w:cs="仿宋_GB2312"/>
          <w:kern w:val="0"/>
          <w:lang w:val="zh-CN"/>
        </w:rPr>
        <w:t>任何第三方提出侵权指控，乙方须与第三方交涉并承担由此产生的一切责任、费用和经济赔偿。</w:t>
      </w:r>
    </w:p>
    <w:p w14:paraId="20E8A28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5.3</w:t>
      </w:r>
      <w:r>
        <w:rPr>
          <w:rFonts w:hint="eastAsia" w:ascii="仿宋_GB2312" w:hAnsi="仿宋_GB2312" w:eastAsia="仿宋_GB2312" w:cs="仿宋_GB2312"/>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B5B441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5.4</w:t>
      </w:r>
      <w:r>
        <w:rPr>
          <w:rFonts w:hint="eastAsia" w:ascii="仿宋_GB2312" w:hAnsi="仿宋_GB2312" w:eastAsia="仿宋_GB2312" w:cs="仿宋_GB2312"/>
          <w:kern w:val="0"/>
          <w:lang w:val="zh-CN"/>
        </w:rPr>
        <w:t>在本合同生效时已经存在并为各方合法拥有或使用的所有技术、资料和信息的知识产权，仍应属于其各自的原权利人所有或享有，另有约定的除外。</w:t>
      </w:r>
    </w:p>
    <w:p w14:paraId="031957A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5.5</w:t>
      </w:r>
      <w:r>
        <w:rPr>
          <w:rFonts w:hint="eastAsia" w:ascii="仿宋_GB2312" w:hAnsi="仿宋_GB2312" w:eastAsia="仿宋_GB2312" w:cs="仿宋_GB2312"/>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78C0D7B">
      <w:pPr>
        <w:autoSpaceDE w:val="0"/>
        <w:autoSpaceDN w:val="0"/>
        <w:adjustRightInd w:val="0"/>
        <w:spacing w:line="400" w:lineRule="exact"/>
        <w:rPr>
          <w:rFonts w:ascii="仿宋_GB2312" w:hAnsi="仿宋_GB2312" w:eastAsia="仿宋_GB2312" w:cs="仿宋_GB2312"/>
          <w:b/>
          <w:bCs/>
          <w:kern w:val="0"/>
          <w:sz w:val="28"/>
        </w:rPr>
      </w:pPr>
      <w:bookmarkStart w:id="242" w:name="_Toc20473_WPSOffice_Level2"/>
      <w:bookmarkStart w:id="243" w:name="_Toc24005_WPSOffice_Level3"/>
      <w:bookmarkStart w:id="244" w:name="_Toc6366_WPSOffice_Level2"/>
      <w:bookmarkStart w:id="245" w:name="_Toc6721_WPSOffice_Level2"/>
      <w:r>
        <w:rPr>
          <w:rFonts w:hint="eastAsia" w:ascii="仿宋_GB2312" w:hAnsi="仿宋_GB2312" w:eastAsia="仿宋_GB2312" w:cs="仿宋_GB2312"/>
          <w:b/>
          <w:bCs/>
          <w:kern w:val="0"/>
          <w:sz w:val="28"/>
        </w:rPr>
        <w:t>6.</w:t>
      </w:r>
      <w:r>
        <w:rPr>
          <w:rFonts w:hint="eastAsia" w:ascii="仿宋_GB2312" w:hAnsi="仿宋_GB2312" w:eastAsia="仿宋_GB2312" w:cs="仿宋_GB2312"/>
          <w:b/>
          <w:bCs/>
          <w:kern w:val="0"/>
          <w:sz w:val="28"/>
          <w:lang w:val="zh-CN"/>
        </w:rPr>
        <w:t>保密</w:t>
      </w:r>
      <w:bookmarkEnd w:id="242"/>
      <w:bookmarkEnd w:id="243"/>
      <w:bookmarkEnd w:id="244"/>
      <w:bookmarkEnd w:id="245"/>
    </w:p>
    <w:p w14:paraId="661FF8E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6.1</w:t>
      </w:r>
      <w:r>
        <w:rPr>
          <w:rFonts w:hint="eastAsia" w:ascii="仿宋_GB2312" w:hAnsi="仿宋_GB2312" w:eastAsia="仿宋_GB2312" w:cs="仿宋_GB2312"/>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211672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w:t>
      </w:r>
      <w:r>
        <w:rPr>
          <w:rFonts w:hint="eastAsia" w:ascii="仿宋_GB2312" w:hAnsi="仿宋_GB2312" w:eastAsia="仿宋_GB2312" w:cs="仿宋_GB2312"/>
          <w:kern w:val="0"/>
          <w:lang w:val="zh-CN"/>
        </w:rPr>
        <w:t>保密信息指任何一方因履行本合同所知悉的任何以口头、书面、图表或电子形式存在的对方信息，具体包括：</w:t>
      </w:r>
    </w:p>
    <w:p w14:paraId="08CD5AB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6.2.1</w:t>
      </w:r>
      <w:r>
        <w:rPr>
          <w:rFonts w:hint="eastAsia" w:ascii="仿宋_GB2312" w:hAnsi="仿宋_GB2312" w:eastAsia="仿宋_GB2312" w:cs="仿宋_GB2312"/>
          <w:kern w:val="0"/>
          <w:lang w:val="zh-CN"/>
        </w:rPr>
        <w:t>任何涉及对方过去、现在或将来的商业计划、规章制度、操作规程、处理手段、财务信息；</w:t>
      </w:r>
    </w:p>
    <w:p w14:paraId="2D46B9C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6.2.2</w:t>
      </w:r>
      <w:r>
        <w:rPr>
          <w:rFonts w:hint="eastAsia" w:ascii="仿宋_GB2312" w:hAnsi="仿宋_GB2312" w:eastAsia="仿宋_GB2312" w:cs="仿宋_GB2312"/>
          <w:kern w:val="0"/>
          <w:lang w:val="zh-CN"/>
        </w:rPr>
        <w:t>任何对方的技术措施、技术方案、软件应用及开发，硬件设备的品种、质量、数量、品牌等；</w:t>
      </w:r>
    </w:p>
    <w:p w14:paraId="427AF21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6.2.3</w:t>
      </w:r>
      <w:r>
        <w:rPr>
          <w:rFonts w:hint="eastAsia" w:ascii="仿宋_GB2312" w:hAnsi="仿宋_GB2312" w:eastAsia="仿宋_GB2312" w:cs="仿宋_GB2312"/>
          <w:kern w:val="0"/>
          <w:lang w:val="zh-CN"/>
        </w:rPr>
        <w:t>任何对方的技术秘密或专有知识、文件、报告、数据、客户软件、流程图、数据库、发明、知识、贸易秘密。</w:t>
      </w:r>
    </w:p>
    <w:p w14:paraId="11EDD86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6.3</w:t>
      </w:r>
      <w:r>
        <w:rPr>
          <w:rFonts w:hint="eastAsia" w:ascii="仿宋_GB2312" w:hAnsi="仿宋_GB2312" w:eastAsia="仿宋_GB2312" w:cs="仿宋_GB2312"/>
          <w:kern w:val="0"/>
          <w:lang w:val="zh-CN"/>
        </w:rPr>
        <w:t>乙方应根据甲方的要求签署相应的保密协议，保密协议与本条款存在不一致的，以保密协议为准。</w:t>
      </w:r>
    </w:p>
    <w:p w14:paraId="6C72DF2A">
      <w:pPr>
        <w:autoSpaceDE w:val="0"/>
        <w:autoSpaceDN w:val="0"/>
        <w:adjustRightInd w:val="0"/>
        <w:spacing w:line="400" w:lineRule="exact"/>
        <w:rPr>
          <w:rFonts w:ascii="仿宋_GB2312" w:hAnsi="仿宋_GB2312" w:eastAsia="仿宋_GB2312" w:cs="仿宋_GB2312"/>
          <w:b/>
          <w:bCs/>
          <w:kern w:val="0"/>
          <w:sz w:val="28"/>
        </w:rPr>
      </w:pPr>
      <w:bookmarkStart w:id="246" w:name="_Toc5005_WPSOffice_Level2"/>
      <w:bookmarkStart w:id="247" w:name="_Toc32113_WPSOffice_Level3"/>
      <w:bookmarkStart w:id="248" w:name="_Toc21936_WPSOffice_Level2"/>
      <w:bookmarkStart w:id="249" w:name="_Toc15914_WPSOffice_Level2"/>
      <w:r>
        <w:rPr>
          <w:rFonts w:hint="eastAsia" w:ascii="仿宋_GB2312" w:hAnsi="仿宋_GB2312" w:eastAsia="仿宋_GB2312" w:cs="仿宋_GB2312"/>
          <w:b/>
          <w:bCs/>
          <w:kern w:val="0"/>
          <w:sz w:val="28"/>
        </w:rPr>
        <w:t xml:space="preserve">7. </w:t>
      </w:r>
      <w:r>
        <w:rPr>
          <w:rFonts w:hint="eastAsia" w:ascii="仿宋_GB2312" w:hAnsi="仿宋_GB2312" w:eastAsia="仿宋_GB2312" w:cs="仿宋_GB2312"/>
          <w:b/>
          <w:bCs/>
          <w:kern w:val="0"/>
          <w:sz w:val="28"/>
          <w:lang w:val="zh-CN"/>
        </w:rPr>
        <w:t>质量保证</w:t>
      </w:r>
      <w:bookmarkEnd w:id="246"/>
      <w:bookmarkEnd w:id="247"/>
      <w:bookmarkEnd w:id="248"/>
      <w:bookmarkEnd w:id="249"/>
    </w:p>
    <w:p w14:paraId="266970B0">
      <w:pPr>
        <w:autoSpaceDE w:val="0"/>
        <w:autoSpaceDN w:val="0"/>
        <w:adjustRightInd w:val="0"/>
        <w:spacing w:line="400" w:lineRule="exact"/>
        <w:ind w:firstLine="480"/>
        <w:rPr>
          <w:rFonts w:ascii="仿宋_GB2312" w:hAnsi="仿宋_GB2312" w:eastAsia="仿宋_GB2312" w:cs="仿宋_GB2312"/>
          <w:kern w:val="0"/>
        </w:rPr>
      </w:pPr>
      <w:bookmarkStart w:id="250" w:name="_Toc6608_WPSOffice_Level3"/>
      <w:r>
        <w:rPr>
          <w:rFonts w:hint="eastAsia" w:ascii="仿宋_GB2312" w:hAnsi="仿宋_GB2312" w:eastAsia="仿宋_GB2312" w:cs="仿宋_GB2312"/>
          <w:kern w:val="0"/>
        </w:rPr>
        <w:t>7.1</w:t>
      </w:r>
      <w:r>
        <w:rPr>
          <w:rFonts w:hint="eastAsia" w:ascii="仿宋_GB2312" w:hAnsi="仿宋_GB2312" w:eastAsia="仿宋_GB2312" w:cs="仿宋_GB2312"/>
          <w:kern w:val="0"/>
          <w:lang w:val="zh-CN"/>
        </w:rPr>
        <w:t>货物质量保证</w:t>
      </w:r>
      <w:bookmarkEnd w:id="250"/>
    </w:p>
    <w:p w14:paraId="48BD170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7.1.1</w:t>
      </w:r>
      <w:r>
        <w:rPr>
          <w:rFonts w:hint="eastAsia" w:ascii="仿宋_GB2312" w:hAnsi="仿宋_GB2312" w:eastAsia="仿宋_GB2312" w:cs="仿宋_GB2312"/>
          <w:kern w:val="0"/>
          <w:lang w:val="zh-CN"/>
        </w:rPr>
        <w:t>乙方必须保证货物是全新、未使用过的，并完全符合强制性的国家技术质量规范和合同规定的质量、规格、性能和技术规范等的要求。</w:t>
      </w:r>
    </w:p>
    <w:p w14:paraId="024ADFF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7.1.2</w:t>
      </w:r>
      <w:r>
        <w:rPr>
          <w:rFonts w:hint="eastAsia" w:ascii="仿宋_GB2312" w:hAnsi="仿宋_GB2312" w:eastAsia="仿宋_GB2312" w:cs="仿宋_GB2312"/>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5B64FE4">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8FC780">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E804E5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7.1.5 </w:t>
      </w:r>
      <w:r>
        <w:rPr>
          <w:rFonts w:hint="eastAsia" w:ascii="仿宋_GB2312" w:hAnsi="仿宋_GB2312" w:eastAsia="仿宋_GB2312" w:cs="仿宋_GB2312"/>
          <w:kern w:val="0"/>
          <w:lang w:val="zh-CN"/>
        </w:rPr>
        <w:t>合同条款下货物的质量保证期自货物通过最终验收起算，合同另行规定除外。</w:t>
      </w:r>
    </w:p>
    <w:p w14:paraId="298CE049">
      <w:pPr>
        <w:autoSpaceDE w:val="0"/>
        <w:autoSpaceDN w:val="0"/>
        <w:adjustRightInd w:val="0"/>
        <w:spacing w:line="400" w:lineRule="exact"/>
        <w:ind w:firstLine="480"/>
        <w:rPr>
          <w:rFonts w:ascii="仿宋_GB2312" w:hAnsi="仿宋_GB2312" w:eastAsia="仿宋_GB2312" w:cs="仿宋_GB2312"/>
          <w:kern w:val="0"/>
        </w:rPr>
      </w:pPr>
      <w:bookmarkStart w:id="251" w:name="_Toc10562_WPSOffice_Level3"/>
      <w:r>
        <w:rPr>
          <w:rFonts w:hint="eastAsia" w:ascii="仿宋_GB2312" w:hAnsi="仿宋_GB2312" w:eastAsia="仿宋_GB2312" w:cs="仿宋_GB2312"/>
          <w:kern w:val="0"/>
        </w:rPr>
        <w:t>7.2</w:t>
      </w:r>
      <w:r>
        <w:rPr>
          <w:rFonts w:hint="eastAsia" w:ascii="仿宋_GB2312" w:hAnsi="仿宋_GB2312" w:eastAsia="仿宋_GB2312" w:cs="仿宋_GB2312"/>
          <w:kern w:val="0"/>
          <w:lang w:val="zh-CN"/>
        </w:rPr>
        <w:t>辅助服务质量保证</w:t>
      </w:r>
      <w:bookmarkEnd w:id="251"/>
    </w:p>
    <w:p w14:paraId="532C96E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7.2.1</w:t>
      </w:r>
      <w:r>
        <w:rPr>
          <w:rFonts w:hint="eastAsia" w:ascii="仿宋_GB2312" w:hAnsi="仿宋_GB2312" w:eastAsia="仿宋_GB2312" w:cs="仿宋_GB2312"/>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BF7AA3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7.2.2</w:t>
      </w:r>
      <w:r>
        <w:rPr>
          <w:rFonts w:hint="eastAsia" w:ascii="仿宋_GB2312" w:hAnsi="仿宋_GB2312" w:eastAsia="仿宋_GB2312" w:cs="仿宋_GB2312"/>
          <w:kern w:val="0"/>
          <w:lang w:val="zh-CN"/>
        </w:rPr>
        <w:t>乙方应保证合同条款下所提供的服务包括培训、安装指导、单机调试、系统联调和试验等，按合同规定方式进行，并保证不存在因乙方工作人员的过失、错误或疏忽而产生的缺陷。</w:t>
      </w:r>
    </w:p>
    <w:p w14:paraId="3528A591">
      <w:pPr>
        <w:autoSpaceDE w:val="0"/>
        <w:autoSpaceDN w:val="0"/>
        <w:adjustRightInd w:val="0"/>
        <w:spacing w:line="400" w:lineRule="exact"/>
        <w:rPr>
          <w:rFonts w:ascii="仿宋_GB2312" w:hAnsi="仿宋_GB2312" w:eastAsia="仿宋_GB2312" w:cs="仿宋_GB2312"/>
          <w:b/>
          <w:bCs/>
          <w:kern w:val="0"/>
          <w:sz w:val="28"/>
        </w:rPr>
      </w:pPr>
      <w:bookmarkStart w:id="252" w:name="_Toc15050_WPSOffice_Level3"/>
      <w:bookmarkStart w:id="253" w:name="_Toc28220_WPSOffice_Level2"/>
      <w:bookmarkStart w:id="254" w:name="_Toc27174_WPSOffice_Level2"/>
      <w:bookmarkStart w:id="255" w:name="_Toc10302_WPSOffice_Level2"/>
      <w:r>
        <w:rPr>
          <w:rFonts w:hint="eastAsia" w:ascii="仿宋_GB2312" w:hAnsi="仿宋_GB2312" w:eastAsia="仿宋_GB2312" w:cs="仿宋_GB2312"/>
          <w:b/>
          <w:bCs/>
          <w:kern w:val="0"/>
          <w:sz w:val="28"/>
        </w:rPr>
        <w:t>8.</w:t>
      </w:r>
      <w:r>
        <w:rPr>
          <w:rFonts w:hint="eastAsia" w:ascii="仿宋_GB2312" w:hAnsi="仿宋_GB2312" w:eastAsia="仿宋_GB2312" w:cs="仿宋_GB2312"/>
          <w:b/>
          <w:bCs/>
          <w:kern w:val="0"/>
          <w:sz w:val="28"/>
          <w:lang w:val="zh-CN"/>
        </w:rPr>
        <w:t>包装要求</w:t>
      </w:r>
      <w:bookmarkEnd w:id="252"/>
      <w:bookmarkEnd w:id="253"/>
      <w:bookmarkEnd w:id="254"/>
      <w:bookmarkEnd w:id="255"/>
    </w:p>
    <w:p w14:paraId="1D11DCA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8.1 </w:t>
      </w:r>
      <w:r>
        <w:rPr>
          <w:rFonts w:hint="eastAsia" w:ascii="仿宋_GB2312" w:hAnsi="仿宋_GB2312" w:eastAsia="仿宋_GB2312" w:cs="仿宋_GB2312"/>
          <w:kern w:val="0"/>
          <w:lang w:val="zh-CN"/>
        </w:rPr>
        <w:t>除合同另有约定外</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乙方提供的全部货物</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均应采用本行业通用的方式进行包装，且该包装应符合国家有关包装的法律、法规的规定。</w:t>
      </w:r>
    </w:p>
    <w:p w14:paraId="2405616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8.2 </w:t>
      </w:r>
      <w:r>
        <w:rPr>
          <w:rFonts w:hint="eastAsia" w:ascii="仿宋_GB2312" w:hAnsi="仿宋_GB2312" w:eastAsia="仿宋_GB2312" w:cs="仿宋_GB2312"/>
          <w:kern w:val="0"/>
          <w:lang w:val="zh-CN"/>
        </w:rPr>
        <w:t>包装应适应于远距离运输，并有良好的防潮、防震、防锈和防粗暴装卸等保护措施，以确保货物安全运抵现场。由于包装不善所引起的货物锈蚀、损坏和损失均由乙方承担。</w:t>
      </w:r>
    </w:p>
    <w:p w14:paraId="0EB0303B">
      <w:pPr>
        <w:autoSpaceDE w:val="0"/>
        <w:autoSpaceDN w:val="0"/>
        <w:adjustRightInd w:val="0"/>
        <w:spacing w:line="400" w:lineRule="exact"/>
        <w:rPr>
          <w:rFonts w:ascii="仿宋_GB2312" w:hAnsi="仿宋_GB2312" w:eastAsia="仿宋_GB2312" w:cs="仿宋_GB2312"/>
          <w:kern w:val="0"/>
        </w:rPr>
      </w:pPr>
      <w:r>
        <w:rPr>
          <w:rFonts w:hint="eastAsia" w:ascii="仿宋_GB2312" w:hAnsi="仿宋_GB2312" w:eastAsia="仿宋_GB2312" w:cs="仿宋_GB2312"/>
          <w:kern w:val="0"/>
          <w:lang w:val="zh-CN"/>
        </w:rPr>
        <w:t>乙方应提供货物运至合同规定的最终目的地所需要的包装，以防止货物在转运中损坏或变质。</w:t>
      </w:r>
    </w:p>
    <w:p w14:paraId="3BDBAAA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8.3 </w:t>
      </w:r>
      <w:r>
        <w:rPr>
          <w:rFonts w:hint="eastAsia" w:ascii="仿宋_GB2312" w:hAnsi="仿宋_GB2312" w:eastAsia="仿宋_GB2312" w:cs="仿宋_GB2312"/>
          <w:kern w:val="0"/>
          <w:lang w:val="zh-CN"/>
        </w:rPr>
        <w:t>乙方所提供的货物包装均为出厂时原包装。</w:t>
      </w:r>
    </w:p>
    <w:p w14:paraId="10CD1AD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8.4 </w:t>
      </w:r>
      <w:r>
        <w:rPr>
          <w:rFonts w:hint="eastAsia" w:ascii="仿宋_GB2312" w:hAnsi="仿宋_GB2312" w:eastAsia="仿宋_GB2312" w:cs="仿宋_GB2312"/>
          <w:kern w:val="0"/>
          <w:lang w:val="zh-CN"/>
        </w:rPr>
        <w:t>乙方所提供货物必须附有质量合格证，装箱清单，主机、附件、各种零部件和消耗品，有清楚的与装箱单相对应的名称和编号。</w:t>
      </w:r>
    </w:p>
    <w:p w14:paraId="339F5D5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8.5 </w:t>
      </w:r>
      <w:r>
        <w:rPr>
          <w:rFonts w:hint="eastAsia" w:ascii="仿宋_GB2312" w:hAnsi="仿宋_GB2312" w:eastAsia="仿宋_GB2312" w:cs="仿宋_GB2312"/>
          <w:kern w:val="0"/>
          <w:lang w:val="zh-CN"/>
        </w:rPr>
        <w:t>货物运输中的运输费用和保险费用均由乙方承担。运输过程中的一切损失、损坏均由乙方负责。</w:t>
      </w:r>
    </w:p>
    <w:p w14:paraId="313FB765">
      <w:pPr>
        <w:autoSpaceDE w:val="0"/>
        <w:autoSpaceDN w:val="0"/>
        <w:adjustRightInd w:val="0"/>
        <w:spacing w:line="400" w:lineRule="exact"/>
        <w:rPr>
          <w:rFonts w:ascii="仿宋_GB2312" w:hAnsi="仿宋_GB2312" w:eastAsia="仿宋_GB2312" w:cs="仿宋_GB2312"/>
          <w:b/>
          <w:bCs/>
          <w:kern w:val="0"/>
          <w:sz w:val="28"/>
        </w:rPr>
      </w:pPr>
      <w:bookmarkStart w:id="256" w:name="_Toc20045_WPSOffice_Level2"/>
      <w:bookmarkStart w:id="257" w:name="_Toc19829_WPSOffice_Level2"/>
      <w:bookmarkStart w:id="258" w:name="_Toc30358_WPSOffice_Level3"/>
      <w:bookmarkStart w:id="259" w:name="_Toc6142_WPSOffice_Level2"/>
      <w:r>
        <w:rPr>
          <w:rFonts w:hint="eastAsia" w:ascii="仿宋_GB2312" w:hAnsi="仿宋_GB2312" w:eastAsia="仿宋_GB2312" w:cs="仿宋_GB2312"/>
          <w:b/>
          <w:bCs/>
          <w:kern w:val="0"/>
          <w:sz w:val="28"/>
        </w:rPr>
        <w:t xml:space="preserve">9. </w:t>
      </w:r>
      <w:r>
        <w:rPr>
          <w:rFonts w:hint="eastAsia" w:ascii="仿宋_GB2312" w:hAnsi="仿宋_GB2312" w:eastAsia="仿宋_GB2312" w:cs="仿宋_GB2312"/>
          <w:b/>
          <w:bCs/>
          <w:kern w:val="0"/>
          <w:sz w:val="28"/>
          <w:lang w:val="zh-CN"/>
        </w:rPr>
        <w:t>价格</w:t>
      </w:r>
      <w:bookmarkEnd w:id="256"/>
      <w:bookmarkEnd w:id="257"/>
      <w:bookmarkEnd w:id="258"/>
      <w:bookmarkEnd w:id="259"/>
    </w:p>
    <w:p w14:paraId="7E6024D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9.1</w:t>
      </w:r>
      <w:r>
        <w:rPr>
          <w:rFonts w:hint="eastAsia" w:ascii="仿宋_GB2312" w:hAnsi="仿宋_GB2312" w:eastAsia="仿宋_GB2312" w:cs="仿宋_GB2312"/>
          <w:kern w:val="0"/>
          <w:lang w:val="zh-CN"/>
        </w:rPr>
        <w:t>本合同价格为固定价格，包括了乙方履行合同全过程产生的所有成本和费用以及乙方应承担的一切税费。</w:t>
      </w:r>
    </w:p>
    <w:p w14:paraId="66C7A53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9.2</w:t>
      </w:r>
      <w:r>
        <w:rPr>
          <w:rFonts w:hint="eastAsia" w:ascii="仿宋_GB2312" w:hAnsi="仿宋_GB2312" w:eastAsia="仿宋_GB2312" w:cs="仿宋_GB2312"/>
          <w:kern w:val="0"/>
          <w:lang w:val="zh-CN"/>
        </w:rPr>
        <w:t>检验费用</w:t>
      </w:r>
    </w:p>
    <w:p w14:paraId="68809F74">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9.3.1 </w:t>
      </w:r>
      <w:r>
        <w:rPr>
          <w:rFonts w:hint="eastAsia" w:ascii="仿宋_GB2312" w:hAnsi="仿宋_GB2312" w:eastAsia="仿宋_GB2312" w:cs="仿宋_GB2312"/>
          <w:kern w:val="0"/>
          <w:lang w:val="zh-CN"/>
        </w:rPr>
        <w:t>乙方必须负担本条款下属于乙方负责的检验、测试、调试、试运行和验收的所有费用，并负责乙方派往买方组织的检验、测试和验收人员的所有费用。</w:t>
      </w:r>
    </w:p>
    <w:p w14:paraId="6CB1A62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9.3.2 </w:t>
      </w:r>
      <w:r>
        <w:rPr>
          <w:rFonts w:hint="eastAsia" w:ascii="仿宋_GB2312" w:hAnsi="仿宋_GB2312" w:eastAsia="仿宋_GB2312" w:cs="仿宋_GB2312"/>
          <w:kern w:val="0"/>
          <w:lang w:val="zh-CN"/>
        </w:rPr>
        <w:t>甲方按合同计划参加在乙方工厂所在地检验、测试和验收的费用全部由乙方负责并已包含在合同总价中。</w:t>
      </w:r>
    </w:p>
    <w:p w14:paraId="58AFBEE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9.3.3</w:t>
      </w:r>
      <w:r>
        <w:rPr>
          <w:rFonts w:hint="eastAsia" w:ascii="仿宋_GB2312" w:hAnsi="仿宋_GB2312" w:eastAsia="仿宋_GB2312" w:cs="仿宋_GB2312"/>
          <w:kern w:val="0"/>
          <w:lang w:val="zh-CN"/>
        </w:rPr>
        <w:t>甲方检验人员已到卖方所在地，测试无法依照合同进行，而引起甲方人员延长逗留时间，所有由此产生的包括甲方人员在内的直接费用及成本由乙方承担。</w:t>
      </w:r>
    </w:p>
    <w:p w14:paraId="64BB8ABB">
      <w:pPr>
        <w:autoSpaceDE w:val="0"/>
        <w:autoSpaceDN w:val="0"/>
        <w:adjustRightInd w:val="0"/>
        <w:spacing w:line="400" w:lineRule="exact"/>
        <w:rPr>
          <w:rFonts w:ascii="仿宋_GB2312" w:hAnsi="仿宋_GB2312" w:eastAsia="仿宋_GB2312" w:cs="仿宋_GB2312"/>
          <w:b/>
          <w:bCs/>
          <w:kern w:val="0"/>
          <w:sz w:val="28"/>
        </w:rPr>
      </w:pPr>
      <w:bookmarkStart w:id="260" w:name="_Toc864_WPSOffice_Level2"/>
      <w:bookmarkStart w:id="261" w:name="_Toc16991_WPSOffice_Level2"/>
      <w:bookmarkStart w:id="262" w:name="_Toc6316_WPSOffice_Level2"/>
      <w:bookmarkStart w:id="263" w:name="_Toc19675_WPSOffice_Level3"/>
      <w:r>
        <w:rPr>
          <w:rFonts w:hint="eastAsia" w:ascii="仿宋_GB2312" w:hAnsi="仿宋_GB2312" w:eastAsia="仿宋_GB2312" w:cs="仿宋_GB2312"/>
          <w:b/>
          <w:bCs/>
          <w:kern w:val="0"/>
          <w:sz w:val="28"/>
        </w:rPr>
        <w:t>10.</w:t>
      </w:r>
      <w:r>
        <w:rPr>
          <w:rFonts w:hint="eastAsia" w:ascii="仿宋_GB2312" w:hAnsi="仿宋_GB2312" w:eastAsia="仿宋_GB2312" w:cs="仿宋_GB2312"/>
          <w:b/>
          <w:bCs/>
          <w:kern w:val="0"/>
          <w:sz w:val="28"/>
          <w:lang w:val="zh-CN"/>
        </w:rPr>
        <w:t>交货方式及交货日期</w:t>
      </w:r>
      <w:bookmarkEnd w:id="260"/>
      <w:bookmarkEnd w:id="261"/>
      <w:bookmarkEnd w:id="262"/>
      <w:bookmarkEnd w:id="263"/>
    </w:p>
    <w:p w14:paraId="0A7E643A">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交货方式：现场交货，乙方负责办理运输和保险，将货物运抵现场。</w:t>
      </w:r>
    </w:p>
    <w:p w14:paraId="23BC7CA5">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交货期应根据产品的特点实事求是填写，进口产品90个工作日内，国产产品60个工作日内。特殊产品交货期需说明。</w:t>
      </w:r>
    </w:p>
    <w:p w14:paraId="0DFE41B1">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交货日期：所有货物运抵现场并经双方开箱验收合格之日。</w:t>
      </w:r>
    </w:p>
    <w:p w14:paraId="6D2C298B">
      <w:pPr>
        <w:autoSpaceDE w:val="0"/>
        <w:autoSpaceDN w:val="0"/>
        <w:adjustRightInd w:val="0"/>
        <w:spacing w:line="400" w:lineRule="exact"/>
        <w:ind w:firstLine="480"/>
        <w:rPr>
          <w:rFonts w:ascii="仿宋_GB2312" w:hAnsi="仿宋_GB2312" w:eastAsia="仿宋_GB2312" w:cs="仿宋_GB2312"/>
          <w:kern w:val="0"/>
          <w:lang w:val="zh-CN"/>
        </w:rPr>
      </w:pPr>
      <w:bookmarkStart w:id="264" w:name="_Toc15436_WPSOffice_Level2"/>
      <w:bookmarkStart w:id="265" w:name="_Toc1945_WPSOffice_Level2"/>
      <w:bookmarkStart w:id="266" w:name="_Toc22323_WPSOffice_Level2"/>
      <w:bookmarkStart w:id="267" w:name="_Toc15745_WPSOffice_Level3"/>
      <w:r>
        <w:rPr>
          <w:rFonts w:hint="eastAsia" w:ascii="仿宋_GB2312" w:hAnsi="仿宋_GB2312" w:eastAsia="仿宋_GB2312" w:cs="仿宋_GB2312"/>
          <w:kern w:val="0"/>
          <w:lang w:val="zh-CN"/>
        </w:rPr>
        <w:t>11.检验和验收</w:t>
      </w:r>
      <w:bookmarkEnd w:id="264"/>
      <w:bookmarkEnd w:id="265"/>
      <w:bookmarkEnd w:id="266"/>
      <w:bookmarkEnd w:id="267"/>
    </w:p>
    <w:p w14:paraId="3C796691">
      <w:pPr>
        <w:autoSpaceDE w:val="0"/>
        <w:autoSpaceDN w:val="0"/>
        <w:adjustRightInd w:val="0"/>
        <w:spacing w:line="400" w:lineRule="exact"/>
        <w:ind w:firstLine="480"/>
        <w:rPr>
          <w:rFonts w:ascii="仿宋_GB2312" w:hAnsi="仿宋_GB2312" w:eastAsia="仿宋_GB2312" w:cs="仿宋_GB2312"/>
          <w:kern w:val="0"/>
        </w:rPr>
      </w:pPr>
      <w:bookmarkStart w:id="268" w:name="_Toc3521_WPSOffice_Level3"/>
      <w:r>
        <w:rPr>
          <w:rFonts w:hint="eastAsia" w:ascii="仿宋_GB2312" w:hAnsi="仿宋_GB2312" w:eastAsia="仿宋_GB2312" w:cs="仿宋_GB2312"/>
          <w:kern w:val="0"/>
        </w:rPr>
        <w:t>11.1</w:t>
      </w:r>
      <w:r>
        <w:rPr>
          <w:rFonts w:hint="eastAsia" w:ascii="仿宋_GB2312" w:hAnsi="仿宋_GB2312" w:eastAsia="仿宋_GB2312" w:cs="仿宋_GB2312"/>
          <w:kern w:val="0"/>
          <w:lang w:val="zh-CN"/>
        </w:rPr>
        <w:t>开箱验收</w:t>
      </w:r>
      <w:bookmarkEnd w:id="268"/>
    </w:p>
    <w:p w14:paraId="36B1C78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11.1.1</w:t>
      </w:r>
      <w:r>
        <w:rPr>
          <w:rFonts w:hint="eastAsia" w:ascii="仿宋_GB2312" w:hAnsi="仿宋_GB2312" w:eastAsia="仿宋_GB2312" w:cs="仿宋_GB2312"/>
          <w:kern w:val="0"/>
          <w:lang w:val="zh-CN"/>
        </w:rPr>
        <w:t>货物运抵现场后，双方应及时开箱验收，并制作验收记录，以确认与本合同约定的数量、型号等是否一致。</w:t>
      </w:r>
    </w:p>
    <w:p w14:paraId="380DA31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11.1.2 </w:t>
      </w:r>
      <w:r>
        <w:rPr>
          <w:rFonts w:hint="eastAsia" w:ascii="仿宋_GB2312" w:hAnsi="仿宋_GB2312" w:eastAsia="仿宋_GB2312" w:cs="仿宋_GB2312"/>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1A9A0C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11.1.3 </w:t>
      </w:r>
      <w:r>
        <w:rPr>
          <w:rFonts w:hint="eastAsia" w:ascii="仿宋_GB2312" w:hAnsi="仿宋_GB2312" w:eastAsia="仿宋_GB2312" w:cs="仿宋_GB2312"/>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61844E0A">
      <w:pPr>
        <w:autoSpaceDE w:val="0"/>
        <w:autoSpaceDN w:val="0"/>
        <w:adjustRightInd w:val="0"/>
        <w:spacing w:line="400" w:lineRule="exact"/>
        <w:ind w:firstLine="480"/>
        <w:rPr>
          <w:rFonts w:ascii="仿宋_GB2312" w:hAnsi="仿宋_GB2312" w:eastAsia="仿宋_GB2312" w:cs="仿宋_GB2312"/>
          <w:kern w:val="0"/>
        </w:rPr>
      </w:pPr>
      <w:bookmarkStart w:id="269" w:name="_Toc14377_WPSOffice_Level3"/>
      <w:r>
        <w:rPr>
          <w:rFonts w:hint="eastAsia" w:ascii="仿宋_GB2312" w:hAnsi="仿宋_GB2312" w:eastAsia="仿宋_GB2312" w:cs="仿宋_GB2312"/>
          <w:kern w:val="0"/>
        </w:rPr>
        <w:t xml:space="preserve">11.2  </w:t>
      </w:r>
      <w:r>
        <w:rPr>
          <w:rFonts w:hint="eastAsia" w:ascii="仿宋_GB2312" w:hAnsi="仿宋_GB2312" w:eastAsia="仿宋_GB2312" w:cs="仿宋_GB2312"/>
          <w:kern w:val="0"/>
          <w:lang w:val="zh-CN"/>
        </w:rPr>
        <w:t>检验验收</w:t>
      </w:r>
      <w:bookmarkEnd w:id="269"/>
    </w:p>
    <w:p w14:paraId="28E98A0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11.2.1 </w:t>
      </w:r>
      <w:r>
        <w:rPr>
          <w:rFonts w:hint="eastAsia" w:ascii="仿宋_GB2312" w:hAnsi="仿宋_GB2312" w:eastAsia="仿宋_GB2312" w:cs="仿宋_GB2312"/>
          <w:kern w:val="0"/>
          <w:lang w:val="zh-CN"/>
        </w:rPr>
        <w:t>交货完成后，乙方应及时组装、调试、试运行，按照合同专用条款规定的试运行完成后，双方及时组织对货物检验验收。合同双方均须派人参加合同要求双方参加的试验、检验。</w:t>
      </w:r>
    </w:p>
    <w:p w14:paraId="6EB417C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11.2.2 </w:t>
      </w:r>
      <w:r>
        <w:rPr>
          <w:rFonts w:hint="eastAsia" w:ascii="仿宋_GB2312" w:hAnsi="仿宋_GB2312" w:eastAsia="仿宋_GB2312" w:cs="仿宋_GB2312"/>
          <w:kern w:val="0"/>
          <w:lang w:val="zh-CN"/>
        </w:rPr>
        <w:t>在具体实施合同规定的检验验收之前，乙方需提前提交相应的测试计划（包括测试程序、测试内容和检验标准、试验时间安排等）供甲方确认。</w:t>
      </w:r>
    </w:p>
    <w:p w14:paraId="58C6649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11.2.3  </w:t>
      </w:r>
      <w:r>
        <w:rPr>
          <w:rFonts w:hint="eastAsia" w:ascii="仿宋_GB2312" w:hAnsi="仿宋_GB2312" w:eastAsia="仿宋_GB2312" w:cs="仿宋_GB2312"/>
          <w:kern w:val="0"/>
          <w:lang w:val="zh-CN"/>
        </w:rPr>
        <w:t>除需甲方确认的试验验收外，乙方还应对所有检验验收测试的结果、步骤、原始数据等作妥善记录。如甲方要求，乙方应提供这些记录给买方。</w:t>
      </w:r>
    </w:p>
    <w:p w14:paraId="69EA7AA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11.2.4  </w:t>
      </w:r>
      <w:r>
        <w:rPr>
          <w:rFonts w:hint="eastAsia" w:ascii="仿宋_GB2312" w:hAnsi="仿宋_GB2312" w:eastAsia="仿宋_GB2312" w:cs="仿宋_GB2312"/>
          <w:kern w:val="0"/>
          <w:lang w:val="zh-CN"/>
        </w:rPr>
        <w:t>检验测试出现全部或部分未达到本合同所约定的技术指标，甲方有权选择下列任一处理方式：</w:t>
      </w:r>
    </w:p>
    <w:p w14:paraId="2502BCD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a.</w:t>
      </w:r>
      <w:r>
        <w:rPr>
          <w:rFonts w:hint="eastAsia" w:ascii="仿宋_GB2312" w:hAnsi="仿宋_GB2312" w:eastAsia="仿宋_GB2312" w:cs="仿宋_GB2312"/>
          <w:kern w:val="0"/>
          <w:lang w:val="zh-CN"/>
        </w:rPr>
        <w:t>重新测试直至合格为止；</w:t>
      </w:r>
    </w:p>
    <w:p w14:paraId="2F546CF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b.</w:t>
      </w:r>
      <w:r>
        <w:rPr>
          <w:rFonts w:hint="eastAsia" w:ascii="仿宋_GB2312" w:hAnsi="仿宋_GB2312" w:eastAsia="仿宋_GB2312" w:cs="仿宋_GB2312"/>
          <w:kern w:val="0"/>
          <w:lang w:val="zh-CN"/>
        </w:rPr>
        <w:t>要求乙方对货物进行免费更换，然后重新测试直至合格为止；</w:t>
      </w:r>
    </w:p>
    <w:p w14:paraId="7F553608">
      <w:pPr>
        <w:autoSpaceDE w:val="0"/>
        <w:autoSpaceDN w:val="0"/>
        <w:adjustRightInd w:val="0"/>
        <w:spacing w:line="400" w:lineRule="exact"/>
        <w:rPr>
          <w:rFonts w:ascii="仿宋_GB2312" w:hAnsi="仿宋_GB2312" w:eastAsia="仿宋_GB2312" w:cs="仿宋_GB2312"/>
          <w:kern w:val="0"/>
        </w:rPr>
      </w:pPr>
      <w:r>
        <w:rPr>
          <w:rFonts w:hint="eastAsia" w:ascii="仿宋_GB2312" w:hAnsi="仿宋_GB2312" w:eastAsia="仿宋_GB2312" w:cs="仿宋_GB2312"/>
          <w:kern w:val="0"/>
          <w:lang w:val="zh-CN"/>
        </w:rPr>
        <w:t>无论选择何种方式，甲方因此而发生的因卖方原因引起的所有费用均由乙方负担。</w:t>
      </w:r>
    </w:p>
    <w:p w14:paraId="18B5F5B3">
      <w:pPr>
        <w:autoSpaceDE w:val="0"/>
        <w:autoSpaceDN w:val="0"/>
        <w:adjustRightInd w:val="0"/>
        <w:spacing w:line="400" w:lineRule="exact"/>
        <w:ind w:firstLine="480"/>
        <w:rPr>
          <w:rFonts w:ascii="仿宋_GB2312" w:hAnsi="仿宋_GB2312" w:eastAsia="仿宋_GB2312" w:cs="仿宋_GB2312"/>
          <w:kern w:val="0"/>
        </w:rPr>
      </w:pPr>
      <w:bookmarkStart w:id="270" w:name="_Toc1830_WPSOffice_Level3"/>
      <w:r>
        <w:rPr>
          <w:rFonts w:hint="eastAsia" w:ascii="仿宋_GB2312" w:hAnsi="仿宋_GB2312" w:eastAsia="仿宋_GB2312" w:cs="仿宋_GB2312"/>
          <w:kern w:val="0"/>
        </w:rPr>
        <w:t xml:space="preserve">11.3  </w:t>
      </w:r>
      <w:r>
        <w:rPr>
          <w:rFonts w:hint="eastAsia" w:ascii="仿宋_GB2312" w:hAnsi="仿宋_GB2312" w:eastAsia="仿宋_GB2312" w:cs="仿宋_GB2312"/>
          <w:kern w:val="0"/>
          <w:lang w:val="zh-CN"/>
        </w:rPr>
        <w:t>使用过程检验</w:t>
      </w:r>
      <w:bookmarkEnd w:id="270"/>
    </w:p>
    <w:p w14:paraId="5B6E830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11.3.1</w:t>
      </w:r>
      <w:r>
        <w:rPr>
          <w:rFonts w:hint="eastAsia" w:ascii="仿宋_GB2312" w:hAnsi="仿宋_GB2312" w:eastAsia="仿宋_GB2312" w:cs="仿宋_GB2312"/>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EDB8314">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11.3.2</w:t>
      </w:r>
      <w:r>
        <w:rPr>
          <w:rFonts w:hint="eastAsia" w:ascii="仿宋_GB2312" w:hAnsi="仿宋_GB2312" w:eastAsia="仿宋_GB2312" w:cs="仿宋_GB2312"/>
          <w:kern w:val="0"/>
          <w:lang w:val="zh-CN"/>
        </w:rPr>
        <w:t>如果合同双方对乙方提供的上述试验结果报告的解释有分歧，双方须于出现分歧后</w:t>
      </w:r>
      <w:r>
        <w:rPr>
          <w:rFonts w:hint="eastAsia" w:ascii="仿宋_GB2312" w:hAnsi="仿宋_GB2312" w:eastAsia="仿宋_GB2312" w:cs="仿宋_GB2312"/>
          <w:kern w:val="0"/>
        </w:rPr>
        <w:t>10</w:t>
      </w:r>
      <w:r>
        <w:rPr>
          <w:rFonts w:hint="eastAsia" w:ascii="仿宋_GB2312" w:hAnsi="仿宋_GB2312" w:eastAsia="仿宋_GB2312" w:cs="仿宋_GB2312"/>
          <w:kern w:val="0"/>
          <w:lang w:val="zh-CN"/>
        </w:rPr>
        <w:t>天内给对方声明，以陈述己方的观点。声明须附有关证据。分歧应通过协商解决。</w:t>
      </w:r>
    </w:p>
    <w:p w14:paraId="53016E75">
      <w:pPr>
        <w:autoSpaceDE w:val="0"/>
        <w:autoSpaceDN w:val="0"/>
        <w:adjustRightInd w:val="0"/>
        <w:spacing w:line="400" w:lineRule="exact"/>
        <w:rPr>
          <w:rFonts w:ascii="仿宋_GB2312" w:hAnsi="仿宋_GB2312" w:eastAsia="仿宋_GB2312" w:cs="仿宋_GB2312"/>
          <w:b/>
          <w:bCs/>
          <w:kern w:val="0"/>
          <w:sz w:val="28"/>
        </w:rPr>
      </w:pPr>
      <w:bookmarkStart w:id="271" w:name="_Toc17982_WPSOffice_Level2"/>
      <w:bookmarkStart w:id="272" w:name="_Toc1449_WPSOffice_Level2"/>
      <w:bookmarkStart w:id="273" w:name="_Toc8163_WPSOffice_Level3"/>
      <w:bookmarkStart w:id="274" w:name="_Toc16690_WPSOffice_Level2"/>
      <w:r>
        <w:rPr>
          <w:rFonts w:hint="eastAsia" w:ascii="仿宋_GB2312" w:hAnsi="仿宋_GB2312" w:eastAsia="仿宋_GB2312" w:cs="仿宋_GB2312"/>
          <w:b/>
          <w:bCs/>
          <w:kern w:val="0"/>
          <w:sz w:val="28"/>
        </w:rPr>
        <w:t>12.</w:t>
      </w:r>
      <w:r>
        <w:rPr>
          <w:rFonts w:hint="eastAsia" w:ascii="仿宋_GB2312" w:hAnsi="仿宋_GB2312" w:eastAsia="仿宋_GB2312" w:cs="仿宋_GB2312"/>
          <w:b/>
          <w:bCs/>
          <w:kern w:val="0"/>
          <w:sz w:val="28"/>
          <w:lang w:val="zh-CN"/>
        </w:rPr>
        <w:t>付款条件</w:t>
      </w:r>
      <w:bookmarkEnd w:id="271"/>
      <w:bookmarkEnd w:id="272"/>
      <w:bookmarkEnd w:id="273"/>
      <w:bookmarkEnd w:id="274"/>
    </w:p>
    <w:p w14:paraId="400E5204">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本合同条款下的付款方法和条件在“青海省政府采购合同书”中具体规定。</w:t>
      </w:r>
    </w:p>
    <w:p w14:paraId="3690F24E">
      <w:pPr>
        <w:autoSpaceDE w:val="0"/>
        <w:autoSpaceDN w:val="0"/>
        <w:adjustRightInd w:val="0"/>
        <w:spacing w:line="400" w:lineRule="exact"/>
        <w:rPr>
          <w:rFonts w:ascii="仿宋_GB2312" w:hAnsi="仿宋_GB2312" w:eastAsia="仿宋_GB2312" w:cs="仿宋_GB2312"/>
          <w:b/>
          <w:bCs/>
          <w:kern w:val="0"/>
          <w:sz w:val="28"/>
        </w:rPr>
      </w:pPr>
      <w:bookmarkStart w:id="275" w:name="_Toc19493_WPSOffice_Level2"/>
      <w:bookmarkStart w:id="276" w:name="_Toc188_WPSOffice_Level2"/>
      <w:bookmarkStart w:id="277" w:name="_Toc9326_WPSOffice_Level2"/>
      <w:bookmarkStart w:id="278" w:name="_Toc28593_WPSOffice_Level3"/>
      <w:r>
        <w:rPr>
          <w:rFonts w:hint="eastAsia" w:ascii="仿宋_GB2312" w:hAnsi="仿宋_GB2312" w:eastAsia="仿宋_GB2312" w:cs="仿宋_GB2312"/>
          <w:b/>
          <w:bCs/>
          <w:kern w:val="0"/>
          <w:sz w:val="28"/>
        </w:rPr>
        <w:t>13.</w:t>
      </w:r>
      <w:r>
        <w:rPr>
          <w:rFonts w:hint="eastAsia" w:ascii="仿宋_GB2312" w:hAnsi="仿宋_GB2312" w:eastAsia="仿宋_GB2312" w:cs="仿宋_GB2312"/>
          <w:b/>
          <w:bCs/>
          <w:kern w:val="0"/>
          <w:sz w:val="28"/>
          <w:lang w:val="zh-CN"/>
        </w:rPr>
        <w:t>履约保证金</w:t>
      </w:r>
      <w:bookmarkEnd w:id="275"/>
      <w:bookmarkEnd w:id="276"/>
      <w:bookmarkEnd w:id="277"/>
      <w:bookmarkEnd w:id="278"/>
    </w:p>
    <w:p w14:paraId="5D8979F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13.1</w:t>
      </w:r>
      <w:r>
        <w:rPr>
          <w:rFonts w:hint="eastAsia" w:ascii="仿宋_GB2312" w:hAnsi="仿宋_GB2312" w:eastAsia="仿宋_GB2312" w:cs="仿宋_GB2312"/>
          <w:kern w:val="0"/>
          <w:lang w:val="zh-CN"/>
        </w:rPr>
        <w:t>乙方应在合同签订前，按谈判文件第三部分“八 授予合同”中第22.2项的约定提交履约保证金。</w:t>
      </w:r>
    </w:p>
    <w:p w14:paraId="197C4A7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13.2</w:t>
      </w:r>
      <w:r>
        <w:rPr>
          <w:rFonts w:hint="eastAsia" w:ascii="仿宋_GB2312" w:hAnsi="仿宋_GB2312" w:eastAsia="仿宋_GB2312" w:cs="仿宋_GB2312"/>
          <w:kern w:val="0"/>
          <w:lang w:val="zh-CN"/>
        </w:rPr>
        <w:t>履约保证金用于补偿甲方因乙方不能履行其合同义务而蒙受的损失。</w:t>
      </w:r>
    </w:p>
    <w:p w14:paraId="03F87CA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13.3</w:t>
      </w:r>
      <w:r>
        <w:rPr>
          <w:rFonts w:hint="eastAsia" w:ascii="仿宋_GB2312" w:hAnsi="仿宋_GB2312" w:eastAsia="仿宋_GB2312" w:cs="仿宋_GB2312"/>
          <w:kern w:val="0"/>
          <w:lang w:val="zh-CN"/>
        </w:rPr>
        <w:t>履约保证金应使用本合同货币，按下述方式之一提交（谈判文件中另有约定的除外）：</w:t>
      </w:r>
    </w:p>
    <w:p w14:paraId="5A61E04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13.3.1</w:t>
      </w:r>
      <w:r>
        <w:rPr>
          <w:rFonts w:hint="eastAsia" w:ascii="仿宋_GB2312" w:hAnsi="仿宋_GB2312" w:eastAsia="仿宋_GB2312" w:cs="仿宋_GB2312"/>
          <w:kern w:val="0"/>
          <w:lang w:val="zh-CN"/>
        </w:rPr>
        <w:t>甲方可接受的在中华人民共和国注册和营业的银行出具的履约保函；</w:t>
      </w:r>
    </w:p>
    <w:p w14:paraId="418F65D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13.3.2 </w:t>
      </w:r>
      <w:r>
        <w:rPr>
          <w:rFonts w:hint="eastAsia" w:ascii="仿宋_GB2312" w:hAnsi="仿宋_GB2312" w:eastAsia="仿宋_GB2312" w:cs="仿宋_GB2312"/>
          <w:kern w:val="0"/>
          <w:lang w:val="zh-CN"/>
        </w:rPr>
        <w:t>支票或汇票。</w:t>
      </w:r>
    </w:p>
    <w:p w14:paraId="4063B18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13.4</w:t>
      </w:r>
      <w:r>
        <w:rPr>
          <w:rFonts w:hint="eastAsia" w:ascii="仿宋_GB2312" w:hAnsi="仿宋_GB2312" w:eastAsia="仿宋_GB2312" w:cs="仿宋_GB2312"/>
          <w:kern w:val="0"/>
          <w:lang w:val="zh-CN"/>
        </w:rPr>
        <w:t>乙方未能按合同规定履行其义务，甲方有权从履约保证金中取得补偿。货物验收合格后，甲方将履约保证金退还乙方或转为质量保证金。</w:t>
      </w:r>
    </w:p>
    <w:p w14:paraId="30126AA6">
      <w:pPr>
        <w:autoSpaceDE w:val="0"/>
        <w:autoSpaceDN w:val="0"/>
        <w:adjustRightInd w:val="0"/>
        <w:spacing w:line="400" w:lineRule="exact"/>
        <w:rPr>
          <w:rFonts w:ascii="仿宋_GB2312" w:hAnsi="仿宋_GB2312" w:eastAsia="仿宋_GB2312" w:cs="仿宋_GB2312"/>
          <w:b/>
          <w:bCs/>
          <w:kern w:val="0"/>
          <w:sz w:val="28"/>
        </w:rPr>
      </w:pPr>
      <w:bookmarkStart w:id="279" w:name="_Toc8092_WPSOffice_Level3"/>
      <w:bookmarkStart w:id="280" w:name="_Toc4892_WPSOffice_Level2"/>
      <w:bookmarkStart w:id="281" w:name="_Toc25120_WPSOffice_Level2"/>
      <w:bookmarkStart w:id="282" w:name="_Toc13858_WPSOffice_Level2"/>
      <w:r>
        <w:rPr>
          <w:rFonts w:hint="eastAsia" w:ascii="仿宋_GB2312" w:hAnsi="仿宋_GB2312" w:eastAsia="仿宋_GB2312" w:cs="仿宋_GB2312"/>
          <w:b/>
          <w:bCs/>
          <w:kern w:val="0"/>
          <w:sz w:val="28"/>
        </w:rPr>
        <w:t>14.</w:t>
      </w:r>
      <w:r>
        <w:rPr>
          <w:rFonts w:hint="eastAsia" w:ascii="仿宋_GB2312" w:hAnsi="仿宋_GB2312" w:eastAsia="仿宋_GB2312" w:cs="仿宋_GB2312"/>
          <w:b/>
          <w:bCs/>
          <w:kern w:val="0"/>
          <w:sz w:val="28"/>
          <w:lang w:val="zh-CN"/>
        </w:rPr>
        <w:t>索赔</w:t>
      </w:r>
      <w:bookmarkEnd w:id="279"/>
      <w:bookmarkEnd w:id="280"/>
      <w:bookmarkEnd w:id="281"/>
      <w:bookmarkEnd w:id="282"/>
    </w:p>
    <w:p w14:paraId="20EB9DB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14.1</w:t>
      </w:r>
      <w:r>
        <w:rPr>
          <w:rFonts w:hint="eastAsia" w:ascii="仿宋_GB2312" w:hAnsi="仿宋_GB2312" w:eastAsia="仿宋_GB2312" w:cs="仿宋_GB2312"/>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328492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w:t>
      </w:r>
      <w:r>
        <w:rPr>
          <w:rFonts w:hint="eastAsia" w:ascii="仿宋_GB2312" w:hAnsi="仿宋_GB2312" w:eastAsia="仿宋_GB2312" w:cs="仿宋_GB2312"/>
          <w:kern w:val="0"/>
          <w:lang w:val="zh-CN"/>
        </w:rPr>
        <w:t>在履约保证期和检验期内，乙方对甲方提出的索赔负有责任，乙方应按照甲方同意的下列一种或多种方式解决索赔事宜：</w:t>
      </w:r>
    </w:p>
    <w:p w14:paraId="4C474C0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14.2.1</w:t>
      </w:r>
      <w:r>
        <w:rPr>
          <w:rFonts w:hint="eastAsia" w:ascii="仿宋_GB2312" w:hAnsi="仿宋_GB2312" w:eastAsia="仿宋_GB2312" w:cs="仿宋_GB2312"/>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BEAED1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14.2.2</w:t>
      </w:r>
      <w:r>
        <w:rPr>
          <w:rFonts w:hint="eastAsia" w:ascii="仿宋_GB2312" w:hAnsi="仿宋_GB2312" w:eastAsia="仿宋_GB2312" w:cs="仿宋_GB2312"/>
          <w:kern w:val="0"/>
          <w:lang w:val="zh-CN"/>
        </w:rPr>
        <w:t>根据货物低劣程度、损坏程度以及甲方所遭受损失的数额，经甲乙双方商定降低货物的价格，或由有资质的中介机构评估，以降低后的价格或评估价格为准。</w:t>
      </w:r>
    </w:p>
    <w:p w14:paraId="0427B21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14.2.3</w:t>
      </w:r>
      <w:r>
        <w:rPr>
          <w:rFonts w:hint="eastAsia" w:ascii="仿宋_GB2312" w:hAnsi="仿宋_GB2312" w:eastAsia="仿宋_GB2312" w:cs="仿宋_GB2312"/>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E65340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14.3</w:t>
      </w:r>
      <w:r>
        <w:rPr>
          <w:rFonts w:hint="eastAsia" w:ascii="仿宋_GB2312" w:hAnsi="仿宋_GB2312" w:eastAsia="仿宋_GB2312" w:cs="仿宋_GB2312"/>
          <w:kern w:val="0"/>
          <w:lang w:val="zh-CN"/>
        </w:rPr>
        <w:t>乙方收到甲方发出的索赔通知之日起</w:t>
      </w:r>
      <w:r>
        <w:rPr>
          <w:rFonts w:hint="eastAsia" w:ascii="仿宋_GB2312" w:hAnsi="仿宋_GB2312" w:eastAsia="仿宋_GB2312" w:cs="仿宋_GB2312"/>
          <w:kern w:val="0"/>
        </w:rPr>
        <w:t>5</w:t>
      </w:r>
      <w:r>
        <w:rPr>
          <w:rFonts w:hint="eastAsia" w:ascii="仿宋_GB2312" w:hAnsi="仿宋_GB2312" w:eastAsia="仿宋_GB2312" w:cs="仿宋_GB2312"/>
          <w:kern w:val="0"/>
          <w:lang w:val="zh-CN"/>
        </w:rPr>
        <w:t>个工作日内未作答复的，甲方可从合同款或履约保证金中扣回索赔金额，如金额不足以补偿索赔金额，乙方应补足差额部分。</w:t>
      </w:r>
    </w:p>
    <w:p w14:paraId="2A1F805B">
      <w:pPr>
        <w:autoSpaceDE w:val="0"/>
        <w:autoSpaceDN w:val="0"/>
        <w:adjustRightInd w:val="0"/>
        <w:spacing w:line="400" w:lineRule="exact"/>
        <w:rPr>
          <w:rFonts w:ascii="仿宋_GB2312" w:hAnsi="仿宋_GB2312" w:eastAsia="仿宋_GB2312" w:cs="仿宋_GB2312"/>
          <w:b/>
          <w:bCs/>
          <w:kern w:val="0"/>
          <w:sz w:val="28"/>
        </w:rPr>
      </w:pPr>
      <w:bookmarkStart w:id="283" w:name="_Toc17088_WPSOffice_Level2"/>
      <w:bookmarkStart w:id="284" w:name="_Toc25928_WPSOffice_Level3"/>
      <w:bookmarkStart w:id="285" w:name="_Toc31557_WPSOffice_Level2"/>
      <w:bookmarkStart w:id="286" w:name="_Toc6565_WPSOffice_Level2"/>
      <w:r>
        <w:rPr>
          <w:rFonts w:hint="eastAsia" w:ascii="仿宋_GB2312" w:hAnsi="仿宋_GB2312" w:eastAsia="仿宋_GB2312" w:cs="仿宋_GB2312"/>
          <w:b/>
          <w:bCs/>
          <w:kern w:val="0"/>
          <w:sz w:val="28"/>
        </w:rPr>
        <w:t>15.</w:t>
      </w:r>
      <w:r>
        <w:rPr>
          <w:rFonts w:hint="eastAsia" w:ascii="仿宋_GB2312" w:hAnsi="仿宋_GB2312" w:eastAsia="仿宋_GB2312" w:cs="仿宋_GB2312"/>
          <w:b/>
          <w:bCs/>
          <w:kern w:val="0"/>
          <w:sz w:val="28"/>
          <w:lang w:val="zh-CN"/>
        </w:rPr>
        <w:t>迟延交货</w:t>
      </w:r>
      <w:bookmarkEnd w:id="283"/>
      <w:bookmarkEnd w:id="284"/>
      <w:bookmarkEnd w:id="285"/>
      <w:bookmarkEnd w:id="286"/>
    </w:p>
    <w:p w14:paraId="7B18F8E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15.1 </w:t>
      </w:r>
      <w:r>
        <w:rPr>
          <w:rFonts w:hint="eastAsia" w:ascii="仿宋_GB2312" w:hAnsi="仿宋_GB2312" w:eastAsia="仿宋_GB2312" w:cs="仿宋_GB2312"/>
          <w:kern w:val="0"/>
          <w:lang w:val="zh-CN"/>
        </w:rPr>
        <w:t>乙方应按照合同约定的时间交货和提供服务。</w:t>
      </w:r>
    </w:p>
    <w:p w14:paraId="5DC6C70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15.2 </w:t>
      </w:r>
      <w:r>
        <w:rPr>
          <w:rFonts w:hint="eastAsia" w:ascii="仿宋_GB2312" w:hAnsi="仿宋_GB2312" w:eastAsia="仿宋_GB2312" w:cs="仿宋_GB2312"/>
          <w:kern w:val="0"/>
          <w:lang w:val="zh-CN"/>
        </w:rPr>
        <w:t>除不可抗力因素外，乙方迟延交货，甲方有权提出违约损失赔偿或解除合同。</w:t>
      </w:r>
    </w:p>
    <w:p w14:paraId="67572DC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15.3</w:t>
      </w:r>
      <w:r>
        <w:rPr>
          <w:rFonts w:hint="eastAsia" w:ascii="仿宋_GB2312" w:hAnsi="仿宋_GB2312" w:eastAsia="仿宋_GB2312" w:cs="仿宋_GB2312"/>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5F82B75">
      <w:pPr>
        <w:autoSpaceDE w:val="0"/>
        <w:autoSpaceDN w:val="0"/>
        <w:adjustRightInd w:val="0"/>
        <w:spacing w:line="400" w:lineRule="exact"/>
        <w:rPr>
          <w:rFonts w:ascii="仿宋_GB2312" w:hAnsi="仿宋_GB2312" w:eastAsia="仿宋_GB2312" w:cs="仿宋_GB2312"/>
          <w:b/>
          <w:bCs/>
          <w:kern w:val="0"/>
          <w:sz w:val="28"/>
        </w:rPr>
      </w:pPr>
      <w:bookmarkStart w:id="287" w:name="_Toc13227_WPSOffice_Level2"/>
      <w:bookmarkStart w:id="288" w:name="_Toc17446_WPSOffice_Level2"/>
      <w:bookmarkStart w:id="289" w:name="_Toc14763_WPSOffice_Level3"/>
      <w:bookmarkStart w:id="290" w:name="_Toc24536_WPSOffice_Level2"/>
      <w:r>
        <w:rPr>
          <w:rFonts w:hint="eastAsia" w:ascii="仿宋_GB2312" w:hAnsi="仿宋_GB2312" w:eastAsia="仿宋_GB2312" w:cs="仿宋_GB2312"/>
          <w:b/>
          <w:bCs/>
          <w:kern w:val="0"/>
          <w:sz w:val="28"/>
        </w:rPr>
        <w:t>16.</w:t>
      </w:r>
      <w:r>
        <w:rPr>
          <w:rFonts w:hint="eastAsia" w:ascii="仿宋_GB2312" w:hAnsi="仿宋_GB2312" w:eastAsia="仿宋_GB2312" w:cs="仿宋_GB2312"/>
          <w:b/>
          <w:bCs/>
          <w:kern w:val="0"/>
          <w:sz w:val="28"/>
          <w:lang w:val="zh-CN"/>
        </w:rPr>
        <w:t>违约赔偿</w:t>
      </w:r>
      <w:bookmarkEnd w:id="287"/>
      <w:bookmarkEnd w:id="288"/>
      <w:bookmarkEnd w:id="289"/>
      <w:bookmarkEnd w:id="290"/>
    </w:p>
    <w:p w14:paraId="634EFEF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除不可抗力因素外，乙方没有按照合同规定的时间交货和提供服务，甲方可要求乙方支付违约金。违约金每日按合同总价款的千分之五计收。</w:t>
      </w:r>
    </w:p>
    <w:p w14:paraId="6A12D37C">
      <w:pPr>
        <w:autoSpaceDE w:val="0"/>
        <w:autoSpaceDN w:val="0"/>
        <w:adjustRightInd w:val="0"/>
        <w:spacing w:line="400" w:lineRule="exact"/>
        <w:rPr>
          <w:rFonts w:ascii="仿宋_GB2312" w:hAnsi="仿宋_GB2312" w:eastAsia="仿宋_GB2312" w:cs="仿宋_GB2312"/>
          <w:b/>
          <w:bCs/>
          <w:kern w:val="0"/>
          <w:sz w:val="28"/>
        </w:rPr>
      </w:pPr>
      <w:bookmarkStart w:id="291" w:name="_Toc6972_WPSOffice_Level3"/>
      <w:bookmarkStart w:id="292" w:name="_Toc23779_WPSOffice_Level2"/>
      <w:bookmarkStart w:id="293" w:name="_Toc290_WPSOffice_Level2"/>
      <w:bookmarkStart w:id="294" w:name="_Toc28170_WPSOffice_Level2"/>
      <w:r>
        <w:rPr>
          <w:rFonts w:hint="eastAsia" w:ascii="仿宋_GB2312" w:hAnsi="仿宋_GB2312" w:eastAsia="仿宋_GB2312" w:cs="仿宋_GB2312"/>
          <w:b/>
          <w:bCs/>
          <w:kern w:val="0"/>
          <w:sz w:val="28"/>
        </w:rPr>
        <w:t>17.</w:t>
      </w:r>
      <w:r>
        <w:rPr>
          <w:rFonts w:hint="eastAsia" w:ascii="仿宋_GB2312" w:hAnsi="仿宋_GB2312" w:eastAsia="仿宋_GB2312" w:cs="仿宋_GB2312"/>
          <w:b/>
          <w:bCs/>
          <w:kern w:val="0"/>
          <w:sz w:val="28"/>
          <w:lang w:val="zh-CN"/>
        </w:rPr>
        <w:t>不可抗力</w:t>
      </w:r>
      <w:bookmarkEnd w:id="291"/>
      <w:bookmarkEnd w:id="292"/>
      <w:bookmarkEnd w:id="293"/>
      <w:bookmarkEnd w:id="294"/>
    </w:p>
    <w:p w14:paraId="1CB4FEF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17.1.</w:t>
      </w:r>
      <w:r>
        <w:rPr>
          <w:rFonts w:hint="eastAsia" w:ascii="仿宋_GB2312" w:hAnsi="仿宋_GB2312" w:eastAsia="仿宋_GB2312" w:cs="仿宋_GB2312"/>
          <w:kern w:val="0"/>
          <w:lang w:val="zh-CN"/>
        </w:rPr>
        <w:t>双方中任何一方遭遇法律规定的不可抗力，致使合同履行受阻时，履行合同的期限应予延长，延长的期限应相当于不可抗力所影响的时间。</w:t>
      </w:r>
    </w:p>
    <w:p w14:paraId="2BFD6A9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17.2</w:t>
      </w:r>
      <w:r>
        <w:rPr>
          <w:rFonts w:hint="eastAsia" w:ascii="仿宋_GB2312" w:hAnsi="仿宋_GB2312" w:eastAsia="仿宋_GB2312" w:cs="仿宋_GB2312"/>
          <w:kern w:val="0"/>
          <w:lang w:val="zh-CN"/>
        </w:rPr>
        <w:t>受事故影响的一方应在不可抗力的事故发生后以书面形式通知另一方。</w:t>
      </w:r>
    </w:p>
    <w:p w14:paraId="4E5189F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17.3</w:t>
      </w:r>
      <w:r>
        <w:rPr>
          <w:rFonts w:hint="eastAsia" w:ascii="仿宋_GB2312" w:hAnsi="仿宋_GB2312" w:eastAsia="仿宋_GB2312" w:cs="仿宋_GB2312"/>
          <w:kern w:val="0"/>
          <w:lang w:val="zh-CN"/>
        </w:rPr>
        <w:t>不可抗力使合同的某些内容有变更必要的，双方应通过协商达成进一步履行合同的协议，因不可抗力致使合同不能履行的，合同终止。</w:t>
      </w:r>
    </w:p>
    <w:p w14:paraId="101FD8D8">
      <w:pPr>
        <w:autoSpaceDE w:val="0"/>
        <w:autoSpaceDN w:val="0"/>
        <w:adjustRightInd w:val="0"/>
        <w:spacing w:line="400" w:lineRule="exact"/>
        <w:rPr>
          <w:rFonts w:ascii="仿宋_GB2312" w:hAnsi="仿宋_GB2312" w:eastAsia="仿宋_GB2312" w:cs="仿宋_GB2312"/>
          <w:b/>
          <w:bCs/>
          <w:kern w:val="0"/>
          <w:sz w:val="28"/>
        </w:rPr>
      </w:pPr>
      <w:bookmarkStart w:id="295" w:name="_Toc15056_WPSOffice_Level2"/>
      <w:bookmarkStart w:id="296" w:name="_Toc27624_WPSOffice_Level2"/>
      <w:bookmarkStart w:id="297" w:name="_Toc11657_WPSOffice_Level3"/>
      <w:bookmarkStart w:id="298" w:name="_Toc8661_WPSOffice_Level2"/>
      <w:r>
        <w:rPr>
          <w:rFonts w:hint="eastAsia" w:ascii="仿宋_GB2312" w:hAnsi="仿宋_GB2312" w:eastAsia="仿宋_GB2312" w:cs="仿宋_GB2312"/>
          <w:b/>
          <w:bCs/>
          <w:kern w:val="0"/>
          <w:sz w:val="28"/>
        </w:rPr>
        <w:t>18.</w:t>
      </w:r>
      <w:r>
        <w:rPr>
          <w:rFonts w:hint="eastAsia" w:ascii="仿宋_GB2312" w:hAnsi="仿宋_GB2312" w:eastAsia="仿宋_GB2312" w:cs="仿宋_GB2312"/>
          <w:b/>
          <w:bCs/>
          <w:kern w:val="0"/>
          <w:sz w:val="28"/>
          <w:lang w:val="zh-CN"/>
        </w:rPr>
        <w:t>税费</w:t>
      </w:r>
      <w:bookmarkEnd w:id="295"/>
      <w:bookmarkEnd w:id="296"/>
      <w:bookmarkEnd w:id="297"/>
      <w:bookmarkEnd w:id="298"/>
    </w:p>
    <w:p w14:paraId="7A4901D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与本合同有关的一切税费均由乙方承担。</w:t>
      </w:r>
    </w:p>
    <w:p w14:paraId="72D8C6EC">
      <w:pPr>
        <w:autoSpaceDE w:val="0"/>
        <w:autoSpaceDN w:val="0"/>
        <w:adjustRightInd w:val="0"/>
        <w:spacing w:line="400" w:lineRule="exact"/>
        <w:rPr>
          <w:rFonts w:ascii="仿宋_GB2312" w:hAnsi="仿宋_GB2312" w:eastAsia="仿宋_GB2312" w:cs="仿宋_GB2312"/>
          <w:b/>
          <w:bCs/>
          <w:kern w:val="0"/>
          <w:sz w:val="28"/>
        </w:rPr>
      </w:pPr>
      <w:bookmarkStart w:id="299" w:name="_Toc6165_WPSOffice_Level3"/>
      <w:bookmarkStart w:id="300" w:name="_Toc5629_WPSOffice_Level2"/>
      <w:bookmarkStart w:id="301" w:name="_Toc9313_WPSOffice_Level2"/>
      <w:bookmarkStart w:id="302" w:name="_Toc10035_WPSOffice_Level2"/>
      <w:r>
        <w:rPr>
          <w:rFonts w:hint="eastAsia" w:ascii="仿宋_GB2312" w:hAnsi="仿宋_GB2312" w:eastAsia="仿宋_GB2312" w:cs="仿宋_GB2312"/>
          <w:b/>
          <w:bCs/>
          <w:kern w:val="0"/>
          <w:sz w:val="28"/>
        </w:rPr>
        <w:t>19.</w:t>
      </w:r>
      <w:r>
        <w:rPr>
          <w:rFonts w:hint="eastAsia" w:ascii="仿宋_GB2312" w:hAnsi="仿宋_GB2312" w:eastAsia="仿宋_GB2312" w:cs="仿宋_GB2312"/>
          <w:b/>
          <w:bCs/>
          <w:kern w:val="0"/>
          <w:sz w:val="28"/>
          <w:lang w:val="zh-CN"/>
        </w:rPr>
        <w:t>合同争议的解决</w:t>
      </w:r>
      <w:bookmarkEnd w:id="299"/>
      <w:bookmarkEnd w:id="300"/>
      <w:bookmarkEnd w:id="301"/>
      <w:bookmarkEnd w:id="302"/>
    </w:p>
    <w:p w14:paraId="25CB96A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19.1</w:t>
      </w:r>
      <w:r>
        <w:rPr>
          <w:rFonts w:hint="eastAsia" w:ascii="仿宋_GB2312" w:hAnsi="仿宋_GB2312" w:eastAsia="仿宋_GB2312" w:cs="仿宋_GB2312"/>
          <w:kern w:val="0"/>
          <w:lang w:val="zh-CN"/>
        </w:rPr>
        <w:t>甲方和乙方由于本合同的履行而发生任何争议时，双方可先通过协商解决。</w:t>
      </w:r>
    </w:p>
    <w:p w14:paraId="0C273DE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19.2</w:t>
      </w:r>
      <w:r>
        <w:rPr>
          <w:rFonts w:hint="eastAsia" w:ascii="仿宋_GB2312" w:hAnsi="仿宋_GB2312" w:eastAsia="仿宋_GB2312" w:cs="仿宋_GB2312"/>
          <w:kern w:val="0"/>
          <w:lang w:val="zh-CN"/>
        </w:rPr>
        <w:t>任何一方不愿通过协商或通过协商仍不能解决争议，则双方中任何一方均应向甲方所在地人民法院起诉。</w:t>
      </w:r>
    </w:p>
    <w:p w14:paraId="5FEC528B">
      <w:pPr>
        <w:autoSpaceDE w:val="0"/>
        <w:autoSpaceDN w:val="0"/>
        <w:adjustRightInd w:val="0"/>
        <w:spacing w:line="400" w:lineRule="exact"/>
        <w:rPr>
          <w:rFonts w:ascii="仿宋_GB2312" w:hAnsi="仿宋_GB2312" w:eastAsia="仿宋_GB2312" w:cs="仿宋_GB2312"/>
          <w:b/>
          <w:bCs/>
          <w:kern w:val="0"/>
          <w:sz w:val="28"/>
        </w:rPr>
      </w:pPr>
      <w:bookmarkStart w:id="303" w:name="_Toc24719_WPSOffice_Level2"/>
      <w:bookmarkStart w:id="304" w:name="_Toc21866_WPSOffice_Level2"/>
      <w:bookmarkStart w:id="305" w:name="_Toc24774_WPSOffice_Level3"/>
      <w:bookmarkStart w:id="306" w:name="_Toc8811_WPSOffice_Level2"/>
      <w:r>
        <w:rPr>
          <w:rFonts w:hint="eastAsia" w:ascii="仿宋_GB2312" w:hAnsi="仿宋_GB2312" w:eastAsia="仿宋_GB2312" w:cs="仿宋_GB2312"/>
          <w:b/>
          <w:bCs/>
          <w:kern w:val="0"/>
          <w:sz w:val="28"/>
        </w:rPr>
        <w:t>20.</w:t>
      </w:r>
      <w:r>
        <w:rPr>
          <w:rFonts w:hint="eastAsia" w:ascii="仿宋_GB2312" w:hAnsi="仿宋_GB2312" w:eastAsia="仿宋_GB2312" w:cs="仿宋_GB2312"/>
          <w:b/>
          <w:bCs/>
          <w:kern w:val="0"/>
          <w:sz w:val="28"/>
          <w:lang w:val="zh-CN"/>
        </w:rPr>
        <w:t>违约解除合同</w:t>
      </w:r>
      <w:bookmarkEnd w:id="303"/>
      <w:bookmarkEnd w:id="304"/>
      <w:bookmarkEnd w:id="305"/>
      <w:bookmarkEnd w:id="306"/>
    </w:p>
    <w:p w14:paraId="4E1AA97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w:t>
      </w:r>
      <w:r>
        <w:rPr>
          <w:rFonts w:hint="eastAsia" w:ascii="仿宋_GB2312" w:hAnsi="仿宋_GB2312" w:eastAsia="仿宋_GB2312" w:cs="仿宋_GB2312"/>
          <w:kern w:val="0"/>
          <w:lang w:val="zh-CN"/>
        </w:rPr>
        <w:t>出现下列情形之一的，视为乙方违约。甲方可向乙方发出书面通知，部分或全部终止合同，同时保留向乙方索赔的权利。</w:t>
      </w:r>
    </w:p>
    <w:p w14:paraId="78AEC1A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20.1.1</w:t>
      </w:r>
      <w:r>
        <w:rPr>
          <w:rFonts w:hint="eastAsia" w:ascii="仿宋_GB2312" w:hAnsi="仿宋_GB2312" w:eastAsia="仿宋_GB2312" w:cs="仿宋_GB2312"/>
          <w:kern w:val="0"/>
          <w:lang w:val="zh-CN"/>
        </w:rPr>
        <w:t>乙方未能在合同规定的限期或甲方同意延长的限期内，提供全部或部分货物的；</w:t>
      </w:r>
    </w:p>
    <w:p w14:paraId="170673C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20.1.2</w:t>
      </w:r>
      <w:r>
        <w:rPr>
          <w:rFonts w:hint="eastAsia" w:ascii="仿宋_GB2312" w:hAnsi="仿宋_GB2312" w:eastAsia="仿宋_GB2312" w:cs="仿宋_GB2312"/>
          <w:kern w:val="0"/>
          <w:lang w:val="zh-CN"/>
        </w:rPr>
        <w:t>乙方未能履行合同规定的其它主要义务的；</w:t>
      </w:r>
    </w:p>
    <w:p w14:paraId="75A25EF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20.1.3</w:t>
      </w:r>
      <w:r>
        <w:rPr>
          <w:rFonts w:hint="eastAsia" w:ascii="仿宋_GB2312" w:hAnsi="仿宋_GB2312" w:eastAsia="仿宋_GB2312" w:cs="仿宋_GB2312"/>
          <w:kern w:val="0"/>
          <w:lang w:val="zh-CN"/>
        </w:rPr>
        <w:t>乙方在本合同履行过程中有欺诈行为的。</w:t>
      </w:r>
    </w:p>
    <w:p w14:paraId="5584047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20.2</w:t>
      </w:r>
      <w:r>
        <w:rPr>
          <w:rFonts w:hint="eastAsia" w:ascii="仿宋_GB2312" w:hAnsi="仿宋_GB2312" w:eastAsia="仿宋_GB2312" w:cs="仿宋_GB2312"/>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E62106B">
      <w:pPr>
        <w:autoSpaceDE w:val="0"/>
        <w:autoSpaceDN w:val="0"/>
        <w:adjustRightInd w:val="0"/>
        <w:spacing w:line="400" w:lineRule="exact"/>
        <w:rPr>
          <w:rFonts w:ascii="仿宋_GB2312" w:hAnsi="仿宋_GB2312" w:eastAsia="仿宋_GB2312" w:cs="仿宋_GB2312"/>
          <w:b/>
          <w:bCs/>
          <w:kern w:val="0"/>
          <w:sz w:val="28"/>
        </w:rPr>
      </w:pPr>
      <w:bookmarkStart w:id="307" w:name="_Toc26530_WPSOffice_Level3"/>
      <w:bookmarkStart w:id="308" w:name="_Toc31674_WPSOffice_Level2"/>
      <w:bookmarkStart w:id="309" w:name="_Toc14558_WPSOffice_Level2"/>
      <w:bookmarkStart w:id="310" w:name="_Toc29125_WPSOffice_Level2"/>
      <w:r>
        <w:rPr>
          <w:rFonts w:hint="eastAsia" w:ascii="仿宋_GB2312" w:hAnsi="仿宋_GB2312" w:eastAsia="仿宋_GB2312" w:cs="仿宋_GB2312"/>
          <w:b/>
          <w:bCs/>
          <w:kern w:val="0"/>
          <w:sz w:val="28"/>
        </w:rPr>
        <w:t>21.</w:t>
      </w:r>
      <w:r>
        <w:rPr>
          <w:rFonts w:hint="eastAsia" w:ascii="仿宋_GB2312" w:hAnsi="仿宋_GB2312" w:eastAsia="仿宋_GB2312" w:cs="仿宋_GB2312"/>
          <w:b/>
          <w:bCs/>
          <w:kern w:val="0"/>
          <w:sz w:val="28"/>
          <w:lang w:val="zh-CN"/>
        </w:rPr>
        <w:t>破产终止合同</w:t>
      </w:r>
      <w:bookmarkEnd w:id="307"/>
      <w:bookmarkEnd w:id="308"/>
      <w:bookmarkEnd w:id="309"/>
      <w:bookmarkEnd w:id="310"/>
    </w:p>
    <w:p w14:paraId="76E7F6C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48EED3DB">
      <w:pPr>
        <w:autoSpaceDE w:val="0"/>
        <w:autoSpaceDN w:val="0"/>
        <w:adjustRightInd w:val="0"/>
        <w:spacing w:line="400" w:lineRule="exact"/>
        <w:rPr>
          <w:rFonts w:ascii="仿宋_GB2312" w:hAnsi="仿宋_GB2312" w:eastAsia="仿宋_GB2312" w:cs="仿宋_GB2312"/>
          <w:b/>
          <w:bCs/>
          <w:kern w:val="0"/>
          <w:sz w:val="28"/>
        </w:rPr>
      </w:pPr>
      <w:bookmarkStart w:id="311" w:name="_Toc28417_WPSOffice_Level2"/>
      <w:bookmarkStart w:id="312" w:name="_Toc19459_WPSOffice_Level2"/>
      <w:bookmarkStart w:id="313" w:name="_Toc16866_WPSOffice_Level2"/>
      <w:bookmarkStart w:id="314" w:name="_Toc626_WPSOffice_Level3"/>
      <w:r>
        <w:rPr>
          <w:rFonts w:hint="eastAsia" w:ascii="仿宋_GB2312" w:hAnsi="仿宋_GB2312" w:eastAsia="仿宋_GB2312" w:cs="仿宋_GB2312"/>
          <w:b/>
          <w:bCs/>
          <w:kern w:val="0"/>
          <w:sz w:val="28"/>
        </w:rPr>
        <w:t>22.</w:t>
      </w:r>
      <w:r>
        <w:rPr>
          <w:rFonts w:hint="eastAsia" w:ascii="仿宋_GB2312" w:hAnsi="仿宋_GB2312" w:eastAsia="仿宋_GB2312" w:cs="仿宋_GB2312"/>
          <w:b/>
          <w:bCs/>
          <w:kern w:val="0"/>
          <w:sz w:val="28"/>
          <w:lang w:val="zh-CN"/>
        </w:rPr>
        <w:t>转让和分包</w:t>
      </w:r>
      <w:bookmarkEnd w:id="311"/>
      <w:bookmarkEnd w:id="312"/>
      <w:bookmarkEnd w:id="313"/>
      <w:bookmarkEnd w:id="314"/>
    </w:p>
    <w:p w14:paraId="0EB82C74">
      <w:pPr>
        <w:autoSpaceDE w:val="0"/>
        <w:autoSpaceDN w:val="0"/>
        <w:adjustRightInd w:val="0"/>
        <w:spacing w:line="400" w:lineRule="exact"/>
        <w:ind w:firstLine="360"/>
        <w:rPr>
          <w:rFonts w:ascii="仿宋_GB2312" w:hAnsi="仿宋_GB2312" w:eastAsia="仿宋_GB2312" w:cs="仿宋_GB2312"/>
          <w:kern w:val="0"/>
        </w:rPr>
      </w:pPr>
      <w:r>
        <w:rPr>
          <w:rFonts w:hint="eastAsia" w:ascii="仿宋_GB2312" w:hAnsi="仿宋_GB2312" w:eastAsia="仿宋_GB2312" w:cs="仿宋_GB2312"/>
          <w:kern w:val="0"/>
        </w:rPr>
        <w:t>22.1</w:t>
      </w:r>
      <w:r>
        <w:rPr>
          <w:rFonts w:hint="eastAsia" w:ascii="仿宋_GB2312" w:hAnsi="仿宋_GB2312" w:eastAsia="仿宋_GB2312" w:cs="仿宋_GB2312"/>
          <w:kern w:val="0"/>
          <w:lang w:val="zh-CN"/>
        </w:rPr>
        <w:t>政府采购合同不能转让。</w:t>
      </w:r>
    </w:p>
    <w:p w14:paraId="562EDD66">
      <w:pPr>
        <w:autoSpaceDE w:val="0"/>
        <w:autoSpaceDN w:val="0"/>
        <w:adjustRightInd w:val="0"/>
        <w:spacing w:line="400" w:lineRule="exact"/>
        <w:ind w:firstLine="360"/>
        <w:rPr>
          <w:rFonts w:ascii="仿宋_GB2312" w:hAnsi="仿宋_GB2312" w:eastAsia="仿宋_GB2312" w:cs="仿宋_GB2312"/>
          <w:kern w:val="0"/>
        </w:rPr>
      </w:pPr>
      <w:r>
        <w:rPr>
          <w:rFonts w:hint="eastAsia" w:ascii="仿宋_GB2312" w:hAnsi="仿宋_GB2312" w:eastAsia="仿宋_GB2312" w:cs="仿宋_GB2312"/>
          <w:kern w:val="0"/>
        </w:rPr>
        <w:t>22.2</w:t>
      </w:r>
      <w:r>
        <w:rPr>
          <w:rFonts w:hint="eastAsia" w:ascii="仿宋_GB2312" w:hAnsi="仿宋_GB2312" w:eastAsia="仿宋_GB2312" w:cs="仿宋_GB2312"/>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68A2D69">
      <w:pPr>
        <w:autoSpaceDE w:val="0"/>
        <w:autoSpaceDN w:val="0"/>
        <w:adjustRightInd w:val="0"/>
        <w:spacing w:line="400" w:lineRule="exact"/>
        <w:rPr>
          <w:rFonts w:ascii="仿宋_GB2312" w:hAnsi="仿宋_GB2312" w:eastAsia="仿宋_GB2312" w:cs="仿宋_GB2312"/>
          <w:b/>
          <w:bCs/>
          <w:kern w:val="0"/>
          <w:sz w:val="28"/>
        </w:rPr>
      </w:pPr>
      <w:bookmarkStart w:id="315" w:name="_Toc27976_WPSOffice_Level3"/>
      <w:bookmarkStart w:id="316" w:name="_Toc7824_WPSOffice_Level2"/>
      <w:bookmarkStart w:id="317" w:name="_Toc32377_WPSOffice_Level2"/>
      <w:bookmarkStart w:id="318" w:name="_Toc21362_WPSOffice_Level2"/>
      <w:r>
        <w:rPr>
          <w:rFonts w:hint="eastAsia" w:ascii="仿宋_GB2312" w:hAnsi="仿宋_GB2312" w:eastAsia="仿宋_GB2312" w:cs="仿宋_GB2312"/>
          <w:b/>
          <w:bCs/>
          <w:kern w:val="0"/>
          <w:sz w:val="28"/>
        </w:rPr>
        <w:t>23.</w:t>
      </w:r>
      <w:r>
        <w:rPr>
          <w:rFonts w:hint="eastAsia" w:ascii="仿宋_GB2312" w:hAnsi="仿宋_GB2312" w:eastAsia="仿宋_GB2312" w:cs="仿宋_GB2312"/>
          <w:b/>
          <w:bCs/>
          <w:kern w:val="0"/>
          <w:sz w:val="28"/>
          <w:lang w:val="zh-CN"/>
        </w:rPr>
        <w:t>合同修改</w:t>
      </w:r>
      <w:bookmarkEnd w:id="315"/>
      <w:bookmarkEnd w:id="316"/>
      <w:bookmarkEnd w:id="317"/>
      <w:bookmarkEnd w:id="318"/>
    </w:p>
    <w:p w14:paraId="0F8EFD05">
      <w:pPr>
        <w:autoSpaceDE w:val="0"/>
        <w:autoSpaceDN w:val="0"/>
        <w:adjustRightInd w:val="0"/>
        <w:spacing w:line="400" w:lineRule="exact"/>
        <w:rPr>
          <w:rFonts w:ascii="仿宋_GB2312" w:hAnsi="仿宋_GB2312" w:eastAsia="仿宋_GB2312" w:cs="仿宋_GB2312"/>
          <w:kern w:val="0"/>
        </w:rPr>
      </w:pPr>
      <w:r>
        <w:rPr>
          <w:rFonts w:hint="eastAsia" w:ascii="仿宋_GB2312" w:hAnsi="仿宋_GB2312" w:eastAsia="仿宋_GB2312" w:cs="仿宋_GB2312"/>
          <w:kern w:val="0"/>
          <w:lang w:val="zh-CN"/>
        </w:rPr>
        <w:t>甲方和乙方都不得擅自变更本合同，但合同继续履行将损害国家和社会公共利益的除外。如必须对合同条款进行改动时，当事人双方须共同签署书面文件，做为合同的补充。</w:t>
      </w:r>
    </w:p>
    <w:p w14:paraId="4B122788">
      <w:pPr>
        <w:autoSpaceDE w:val="0"/>
        <w:autoSpaceDN w:val="0"/>
        <w:adjustRightInd w:val="0"/>
        <w:spacing w:line="400" w:lineRule="exact"/>
        <w:rPr>
          <w:rFonts w:ascii="仿宋_GB2312" w:hAnsi="仿宋_GB2312" w:eastAsia="仿宋_GB2312" w:cs="仿宋_GB2312"/>
          <w:b/>
          <w:bCs/>
          <w:kern w:val="0"/>
          <w:sz w:val="28"/>
        </w:rPr>
      </w:pPr>
      <w:bookmarkStart w:id="319" w:name="_Toc1213_WPSOffice_Level2"/>
      <w:bookmarkStart w:id="320" w:name="_Toc7847_WPSOffice_Level2"/>
      <w:bookmarkStart w:id="321" w:name="_Toc8980_WPSOffice_Level2"/>
      <w:bookmarkStart w:id="322" w:name="_Toc24231_WPSOffice_Level3"/>
      <w:r>
        <w:rPr>
          <w:rFonts w:hint="eastAsia" w:ascii="仿宋_GB2312" w:hAnsi="仿宋_GB2312" w:eastAsia="仿宋_GB2312" w:cs="仿宋_GB2312"/>
          <w:b/>
          <w:bCs/>
          <w:kern w:val="0"/>
          <w:sz w:val="28"/>
        </w:rPr>
        <w:t>24.</w:t>
      </w:r>
      <w:r>
        <w:rPr>
          <w:rFonts w:hint="eastAsia" w:ascii="仿宋_GB2312" w:hAnsi="仿宋_GB2312" w:eastAsia="仿宋_GB2312" w:cs="仿宋_GB2312"/>
          <w:b/>
          <w:bCs/>
          <w:kern w:val="0"/>
          <w:sz w:val="28"/>
          <w:lang w:val="zh-CN"/>
        </w:rPr>
        <w:t>通知</w:t>
      </w:r>
      <w:bookmarkEnd w:id="319"/>
      <w:bookmarkEnd w:id="320"/>
      <w:bookmarkEnd w:id="321"/>
      <w:bookmarkEnd w:id="322"/>
    </w:p>
    <w:p w14:paraId="713E4C3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本合同任何一方给另一方的通知，都应以书面形式发送，而另一方也应以书面形式确认并发送到对方明确的地址。</w:t>
      </w:r>
    </w:p>
    <w:p w14:paraId="4B0D1A66">
      <w:pPr>
        <w:autoSpaceDE w:val="0"/>
        <w:autoSpaceDN w:val="0"/>
        <w:adjustRightInd w:val="0"/>
        <w:spacing w:line="400" w:lineRule="exact"/>
        <w:rPr>
          <w:rFonts w:ascii="仿宋_GB2312" w:hAnsi="仿宋_GB2312" w:eastAsia="仿宋_GB2312" w:cs="仿宋_GB2312"/>
          <w:b/>
          <w:bCs/>
          <w:kern w:val="0"/>
          <w:sz w:val="28"/>
        </w:rPr>
      </w:pPr>
      <w:bookmarkStart w:id="323" w:name="_Toc9224_WPSOffice_Level2"/>
      <w:bookmarkStart w:id="324" w:name="_Toc20347_WPSOffice_Level2"/>
      <w:bookmarkStart w:id="325" w:name="_Toc2519_WPSOffice_Level3"/>
      <w:bookmarkStart w:id="326" w:name="_Toc15325_WPSOffice_Level2"/>
      <w:r>
        <w:rPr>
          <w:rFonts w:hint="eastAsia" w:ascii="仿宋_GB2312" w:hAnsi="仿宋_GB2312" w:eastAsia="仿宋_GB2312" w:cs="仿宋_GB2312"/>
          <w:b/>
          <w:bCs/>
          <w:kern w:val="0"/>
          <w:sz w:val="28"/>
        </w:rPr>
        <w:t>25.</w:t>
      </w:r>
      <w:r>
        <w:rPr>
          <w:rFonts w:hint="eastAsia" w:ascii="仿宋_GB2312" w:hAnsi="仿宋_GB2312" w:eastAsia="仿宋_GB2312" w:cs="仿宋_GB2312"/>
          <w:b/>
          <w:bCs/>
          <w:kern w:val="0"/>
          <w:sz w:val="28"/>
          <w:lang w:val="zh-CN"/>
        </w:rPr>
        <w:t>计量单位</w:t>
      </w:r>
      <w:bookmarkEnd w:id="323"/>
      <w:bookmarkEnd w:id="324"/>
      <w:bookmarkEnd w:id="325"/>
      <w:bookmarkEnd w:id="326"/>
    </w:p>
    <w:p w14:paraId="51F3559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除技术规范中另有规定外</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计量单位均使用国家法定计量单位。</w:t>
      </w:r>
    </w:p>
    <w:p w14:paraId="2D8D2E4E">
      <w:pPr>
        <w:autoSpaceDE w:val="0"/>
        <w:autoSpaceDN w:val="0"/>
        <w:adjustRightInd w:val="0"/>
        <w:spacing w:line="400" w:lineRule="exact"/>
        <w:rPr>
          <w:rFonts w:ascii="仿宋_GB2312" w:hAnsi="仿宋_GB2312" w:eastAsia="仿宋_GB2312" w:cs="仿宋_GB2312"/>
          <w:b/>
          <w:bCs/>
          <w:kern w:val="0"/>
          <w:sz w:val="28"/>
        </w:rPr>
      </w:pPr>
      <w:bookmarkStart w:id="327" w:name="_Toc11559_WPSOffice_Level2"/>
      <w:bookmarkStart w:id="328" w:name="_Toc20754_WPSOffice_Level2"/>
      <w:bookmarkStart w:id="329" w:name="_Toc32427_WPSOffice_Level2"/>
      <w:bookmarkStart w:id="330" w:name="_Toc2956_WPSOffice_Level3"/>
      <w:r>
        <w:rPr>
          <w:rFonts w:hint="eastAsia" w:ascii="仿宋_GB2312" w:hAnsi="仿宋_GB2312" w:eastAsia="仿宋_GB2312" w:cs="仿宋_GB2312"/>
          <w:b/>
          <w:bCs/>
          <w:kern w:val="0"/>
          <w:sz w:val="28"/>
        </w:rPr>
        <w:t>26.</w:t>
      </w:r>
      <w:r>
        <w:rPr>
          <w:rFonts w:hint="eastAsia" w:ascii="仿宋_GB2312" w:hAnsi="仿宋_GB2312" w:eastAsia="仿宋_GB2312" w:cs="仿宋_GB2312"/>
          <w:b/>
          <w:bCs/>
          <w:kern w:val="0"/>
          <w:sz w:val="28"/>
          <w:lang w:val="zh-CN"/>
        </w:rPr>
        <w:t>适用法律</w:t>
      </w:r>
      <w:bookmarkEnd w:id="327"/>
      <w:bookmarkEnd w:id="328"/>
      <w:bookmarkEnd w:id="329"/>
      <w:bookmarkEnd w:id="330"/>
    </w:p>
    <w:p w14:paraId="25D33621">
      <w:pPr>
        <w:autoSpaceDE w:val="0"/>
        <w:autoSpaceDN w:val="0"/>
        <w:adjustRightInd w:val="0"/>
        <w:spacing w:line="400" w:lineRule="exact"/>
        <w:ind w:firstLine="480"/>
        <w:rPr>
          <w:rFonts w:ascii="仿宋_GB2312" w:hAnsi="仿宋_GB2312" w:eastAsia="仿宋_GB2312" w:cs="仿宋_GB2312"/>
          <w:kern w:val="0"/>
          <w:sz w:val="28"/>
        </w:rPr>
      </w:pPr>
      <w:r>
        <w:rPr>
          <w:rFonts w:hint="eastAsia" w:ascii="仿宋_GB2312" w:hAnsi="仿宋_GB2312" w:eastAsia="仿宋_GB2312" w:cs="仿宋_GB2312"/>
          <w:kern w:val="0"/>
          <w:lang w:val="zh-CN"/>
        </w:rPr>
        <w:t>本合同按照中华人民共和国的相关法律进行解释。</w:t>
      </w:r>
    </w:p>
    <w:p w14:paraId="56DD95C7">
      <w:pPr>
        <w:pStyle w:val="24"/>
        <w:spacing w:line="460" w:lineRule="exact"/>
        <w:rPr>
          <w:rFonts w:hint="eastAsia"/>
          <w:lang w:val="zh-CN"/>
        </w:rPr>
        <w:sectPr>
          <w:footnotePr>
            <w:numFmt w:val="decimal"/>
          </w:footnotePr>
          <w:pgSz w:w="11900" w:h="16840"/>
          <w:pgMar w:top="1284" w:right="1722" w:bottom="1243" w:left="1646" w:header="856" w:footer="3" w:gutter="0"/>
          <w:cols w:space="720" w:num="1"/>
          <w:rtlGutter w:val="0"/>
          <w:docGrid w:linePitch="360" w:charSpace="0"/>
        </w:sectPr>
      </w:pPr>
    </w:p>
    <w:p w14:paraId="260F1319">
      <w:pPr>
        <w:widowControl/>
        <w:spacing w:line="240" w:lineRule="auto"/>
        <w:ind w:firstLine="0" w:firstLineChars="0"/>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2FFF16EE">
      <w:pPr>
        <w:autoSpaceDE w:val="0"/>
        <w:autoSpaceDN w:val="0"/>
        <w:spacing w:line="520" w:lineRule="exact"/>
        <w:ind w:firstLine="0" w:firstLineChars="0"/>
        <w:jc w:val="left"/>
        <w:rPr>
          <w:rFonts w:ascii="宋体" w:hAnsi="宋体" w:cs="宋体"/>
          <w:b/>
          <w:bCs/>
          <w:color w:val="000000" w:themeColor="text1"/>
          <w:sz w:val="24"/>
          <w:szCs w:val="24"/>
          <w:highlight w:val="none"/>
          <w:lang w:val="zh-CN"/>
          <w14:textFill>
            <w14:solidFill>
              <w14:schemeClr w14:val="tx1"/>
            </w14:solidFill>
          </w14:textFill>
        </w:rPr>
      </w:pPr>
    </w:p>
    <w:p w14:paraId="6A5ACEF6">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331" w:name="_Toc101710030"/>
      <w:r>
        <w:rPr>
          <w:rFonts w:hint="eastAsia" w:ascii="宋体" w:hAnsi="宋体" w:cs="宋体"/>
          <w:b/>
          <w:color w:val="000000" w:themeColor="text1"/>
          <w:kern w:val="28"/>
          <w:sz w:val="44"/>
          <w:szCs w:val="44"/>
          <w:highlight w:val="none"/>
          <w14:textFill>
            <w14:solidFill>
              <w14:schemeClr w14:val="tx1"/>
            </w14:solidFill>
          </w14:textFill>
        </w:rPr>
        <w:t>第四部分响应文件格式</w:t>
      </w:r>
      <w:bookmarkEnd w:id="331"/>
    </w:p>
    <w:p w14:paraId="19C60099">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highlight w:val="none"/>
          <w14:textFill>
            <w14:solidFill>
              <w14:schemeClr w14:val="tx1"/>
            </w14:solidFill>
          </w14:textFill>
        </w:rPr>
      </w:pPr>
    </w:p>
    <w:p w14:paraId="3B903F9D">
      <w:pPr>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332" w:name="_Toc16431"/>
      <w:bookmarkStart w:id="333" w:name="_Toc9848"/>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cs="宋体" w:asciiTheme="minorEastAsia" w:hAnsiTheme="minorEastAsia" w:eastAsiaTheme="minorEastAsia"/>
          <w:b/>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：响应文件封面</w:t>
      </w:r>
      <w:bookmarkEnd w:id="332"/>
      <w:bookmarkEnd w:id="333"/>
    </w:p>
    <w:p w14:paraId="461FF312">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2867B723">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3FC2692D">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6FB13FB4">
      <w:pPr>
        <w:spacing w:line="360" w:lineRule="auto"/>
        <w:ind w:firstLine="2364" w:firstLineChars="327"/>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响应文件</w:t>
      </w:r>
    </w:p>
    <w:p w14:paraId="21F2A0B3">
      <w:pPr>
        <w:adjustRightInd w:val="0"/>
        <w:spacing w:line="360" w:lineRule="auto"/>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3992D487">
      <w:pPr>
        <w:pStyle w:val="10"/>
        <w:spacing w:line="600" w:lineRule="exact"/>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采购项目编号</w:t>
      </w:r>
      <w:r>
        <w:rPr>
          <w:rFonts w:hint="eastAsia" w:ascii="宋体" w:hAnsi="宋体" w:cs="宋体"/>
          <w:b/>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eastAsia="zh-CN"/>
          <w14:textFill>
            <w14:solidFill>
              <w14:schemeClr w14:val="tx1"/>
            </w14:solidFill>
          </w14:textFill>
        </w:rPr>
        <w:t>青海省招竞磋（服务）202</w:t>
      </w:r>
      <w:r>
        <w:rPr>
          <w:rFonts w:hint="eastAsia" w:ascii="宋体" w:hAnsi="宋体" w:cs="宋体"/>
          <w:b/>
          <w:bCs/>
          <w:color w:val="000000" w:themeColor="text1"/>
          <w:sz w:val="36"/>
          <w:szCs w:val="36"/>
          <w:highlight w:val="none"/>
          <w:lang w:val="en-US" w:eastAsia="zh-CN"/>
          <w14:textFill>
            <w14:solidFill>
              <w14:schemeClr w14:val="tx1"/>
            </w14:solidFill>
          </w14:textFill>
        </w:rPr>
        <w:t>5</w:t>
      </w:r>
      <w:r>
        <w:rPr>
          <w:rFonts w:hint="eastAsia" w:ascii="宋体" w:hAnsi="宋体" w:cs="宋体"/>
          <w:b/>
          <w:bCs/>
          <w:color w:val="000000" w:themeColor="text1"/>
          <w:sz w:val="36"/>
          <w:szCs w:val="36"/>
          <w:highlight w:val="none"/>
          <w:lang w:eastAsia="zh-CN"/>
          <w14:textFill>
            <w14:solidFill>
              <w14:schemeClr w14:val="tx1"/>
            </w14:solidFill>
          </w14:textFill>
        </w:rPr>
        <w:t>-</w:t>
      </w:r>
      <w:r>
        <w:rPr>
          <w:rFonts w:hint="eastAsia" w:ascii="宋体" w:hAnsi="宋体" w:cs="宋体"/>
          <w:b/>
          <w:bCs/>
          <w:color w:val="000000" w:themeColor="text1"/>
          <w:sz w:val="36"/>
          <w:szCs w:val="36"/>
          <w:highlight w:val="none"/>
          <w:lang w:val="en-US" w:eastAsia="zh-CN"/>
          <w14:textFill>
            <w14:solidFill>
              <w14:schemeClr w14:val="tx1"/>
            </w14:solidFill>
          </w14:textFill>
        </w:rPr>
        <w:t>XXX</w:t>
      </w:r>
    </w:p>
    <w:p w14:paraId="0DEB78DF">
      <w:pPr>
        <w:adjustRightInd w:val="0"/>
        <w:spacing w:line="600" w:lineRule="exact"/>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41831CF5">
      <w:pPr>
        <w:adjustRightInd w:val="0"/>
        <w:spacing w:line="600" w:lineRule="exact"/>
        <w:ind w:left="2530" w:hanging="2530" w:hangingChars="700"/>
        <w:textAlignment w:val="baseline"/>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采购项目名称：</w:t>
      </w:r>
      <w:r>
        <w:rPr>
          <w:rFonts w:hint="eastAsia" w:ascii="宋体" w:hAnsi="宋体" w:cs="宋体"/>
          <w:b/>
          <w:bCs/>
          <w:color w:val="000000" w:themeColor="text1"/>
          <w:sz w:val="36"/>
          <w:szCs w:val="36"/>
          <w:highlight w:val="none"/>
          <w:lang w:eastAsia="zh-CN"/>
          <w14:textFill>
            <w14:solidFill>
              <w14:schemeClr w14:val="tx1"/>
            </w14:solidFill>
          </w14:textFill>
        </w:rPr>
        <w:t>2025年度国家重点生态功能区县域环境质量考核环境监测项目</w:t>
      </w:r>
    </w:p>
    <w:p w14:paraId="2954CBCC">
      <w:pPr>
        <w:adjustRightInd w:val="0"/>
        <w:spacing w:line="600" w:lineRule="exact"/>
        <w:ind w:left="2530" w:hanging="2530" w:hangingChars="700"/>
        <w:textAlignment w:val="baseline"/>
        <w:rPr>
          <w:rFonts w:ascii="宋体" w:hAnsi="宋体" w:cs="宋体"/>
          <w:b/>
          <w:bCs/>
          <w:color w:val="000000" w:themeColor="text1"/>
          <w:sz w:val="36"/>
          <w:szCs w:val="36"/>
          <w:highlight w:val="none"/>
          <w14:textFill>
            <w14:solidFill>
              <w14:schemeClr w14:val="tx1"/>
            </w14:solidFill>
          </w14:textFill>
        </w:rPr>
      </w:pPr>
    </w:p>
    <w:p w14:paraId="2B728656">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供应商名称</w:t>
      </w:r>
      <w:r>
        <w:rPr>
          <w:rFonts w:hint="eastAsia" w:ascii="宋体" w:hAnsi="宋体" w:cs="宋体"/>
          <w:b/>
          <w:color w:val="000000" w:themeColor="text1"/>
          <w:sz w:val="36"/>
          <w:szCs w:val="36"/>
          <w:highlight w:val="none"/>
          <w14:textFill>
            <w14:solidFill>
              <w14:schemeClr w14:val="tx1"/>
            </w14:solidFill>
          </w14:textFill>
        </w:rPr>
        <w:t>：</w:t>
      </w:r>
    </w:p>
    <w:p w14:paraId="0409EA80">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p>
    <w:p w14:paraId="14ADE945">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供应商：（公章）</w:t>
      </w:r>
    </w:p>
    <w:p w14:paraId="2F3B2D53">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法定代表人或委托代理人：（签字或盖章）</w:t>
      </w:r>
    </w:p>
    <w:p w14:paraId="670E0552">
      <w:pPr>
        <w:spacing w:line="600" w:lineRule="exact"/>
        <w:ind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年  月  日</w:t>
      </w:r>
    </w:p>
    <w:p w14:paraId="2B9C1D68">
      <w:pPr>
        <w:wordWrap w:val="0"/>
        <w:spacing w:line="360" w:lineRule="auto"/>
        <w:ind w:firstLine="0" w:firstLineChars="0"/>
        <w:rPr>
          <w:rFonts w:ascii="宋体" w:hAnsi="宋体" w:cs="宋体"/>
          <w:b/>
          <w:color w:val="000000" w:themeColor="text1"/>
          <w:sz w:val="28"/>
          <w:szCs w:val="28"/>
          <w:highlight w:val="none"/>
          <w14:textFill>
            <w14:solidFill>
              <w14:schemeClr w14:val="tx1"/>
            </w14:solidFill>
          </w14:textFill>
        </w:rPr>
      </w:pPr>
      <w:bookmarkStart w:id="334" w:name="_Toc30269"/>
      <w:bookmarkStart w:id="335" w:name="_Toc17238"/>
    </w:p>
    <w:p w14:paraId="7ECCD456">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6B137753">
      <w:pPr>
        <w:spacing w:line="600" w:lineRule="exact"/>
        <w:ind w:firstLine="0" w:firstLineChars="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w:t>
      </w:r>
      <w:r>
        <w:rPr>
          <w:rFonts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14:textFill>
            <w14:solidFill>
              <w14:schemeClr w14:val="tx1"/>
            </w14:solidFill>
          </w14:textFill>
        </w:rPr>
        <w:t>：目录</w:t>
      </w:r>
    </w:p>
    <w:p w14:paraId="00E7F026">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）响应文件封面........................................所在页码</w:t>
      </w:r>
    </w:p>
    <w:p w14:paraId="35274EF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）目录................................................所在页码</w:t>
      </w:r>
    </w:p>
    <w:p w14:paraId="0D64C0D7">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（3）磋商函........................................ ... .所在页码</w:t>
      </w:r>
    </w:p>
    <w:p w14:paraId="66CA43BE">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（4）首次报价</w:t>
      </w:r>
      <w:r>
        <w:rPr>
          <w:rFonts w:hint="eastAsia" w:ascii="宋体" w:hAnsi="宋体" w:cs="宋体"/>
          <w:color w:val="000000" w:themeColor="text1"/>
          <w:sz w:val="28"/>
          <w:szCs w:val="28"/>
          <w:highlight w:val="none"/>
          <w:lang w:val="zh-CN"/>
          <w14:textFill>
            <w14:solidFill>
              <w14:schemeClr w14:val="tx1"/>
            </w14:solidFill>
          </w14:textFill>
        </w:rPr>
        <w:t>一览表</w:t>
      </w:r>
      <w:r>
        <w:rPr>
          <w:rFonts w:hint="eastAsia" w:ascii="宋体" w:hAnsi="宋体" w:cs="宋体"/>
          <w:color w:val="000000" w:themeColor="text1"/>
          <w:sz w:val="28"/>
          <w:szCs w:val="28"/>
          <w:highlight w:val="none"/>
          <w14:textFill>
            <w14:solidFill>
              <w14:schemeClr w14:val="tx1"/>
            </w14:solidFill>
          </w14:textFill>
        </w:rPr>
        <w:t>.................................. ...所在页码</w:t>
      </w:r>
    </w:p>
    <w:p w14:paraId="4D22012E">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（5）分项报价表.................................. ...    所在页码</w:t>
      </w:r>
    </w:p>
    <w:p w14:paraId="656D2570">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（6）法定代表人（非法人组织负责人）证明书............. ..所在页码</w:t>
      </w:r>
    </w:p>
    <w:p w14:paraId="38073F36">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（7）法定代表人（非法人组织负责人）授权书............. ..所在页码</w:t>
      </w:r>
    </w:p>
    <w:p w14:paraId="76F864F8">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（8）供应商承诺函.................................. .....所在页码</w:t>
      </w:r>
    </w:p>
    <w:p w14:paraId="14CEC8DB">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（9）供应商诚信承诺书......................... ..... ....所在页码</w:t>
      </w:r>
    </w:p>
    <w:p w14:paraId="0F45DAE3">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（10）资格证明材料.................................. ....所在页码</w:t>
      </w:r>
    </w:p>
    <w:p w14:paraId="1293F099">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（11）财务状况证明.......................................所在页码</w:t>
      </w:r>
    </w:p>
    <w:p w14:paraId="74ED054F">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（12）具备履行合同所必须的设备和专业技术能力证明...... ..所在页码</w:t>
      </w:r>
    </w:p>
    <w:p w14:paraId="185E9E5B">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（13）无重大违法记录声明.............................. ..所在页码</w:t>
      </w:r>
    </w:p>
    <w:p w14:paraId="59CE3B57">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（14）磋商保证金...................................... ..所在页码</w:t>
      </w:r>
    </w:p>
    <w:p w14:paraId="0BAD1537">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（15）供应商最后报价表..................... ........ ....所在页码</w:t>
      </w:r>
    </w:p>
    <w:p w14:paraId="6682DC75">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（16）供应商的类似业绩证明材料.................... ... ..所在页码 </w:t>
      </w:r>
    </w:p>
    <w:p w14:paraId="1BCCDA11">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17</w:t>
      </w:r>
      <w:r>
        <w:rPr>
          <w:rFonts w:ascii="宋体" w:hAnsi="宋体" w:cs="宋体"/>
          <w:color w:val="000000" w:themeColor="text1"/>
          <w:sz w:val="28"/>
          <w:szCs w:val="28"/>
          <w:highlight w:val="none"/>
          <w14:textFill>
            <w14:solidFill>
              <w14:schemeClr w14:val="tx1"/>
            </w14:solidFill>
          </w14:textFill>
        </w:rPr>
        <w:t>）服务方案</w:t>
      </w:r>
      <w:r>
        <w:rPr>
          <w:rFonts w:hint="eastAsia" w:ascii="宋体" w:hAnsi="宋体" w:cs="宋体"/>
          <w:color w:val="000000" w:themeColor="text1"/>
          <w:sz w:val="28"/>
          <w:szCs w:val="28"/>
          <w:highlight w:val="none"/>
          <w14:textFill>
            <w14:solidFill>
              <w14:schemeClr w14:val="tx1"/>
            </w14:solidFill>
          </w14:textFill>
        </w:rPr>
        <w:t>........................................ ..所在页码</w:t>
      </w:r>
    </w:p>
    <w:p w14:paraId="6075EC88">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（18）享受政府采购政策优惠的证明材料.................. ..所在页码</w:t>
      </w:r>
    </w:p>
    <w:p w14:paraId="4C98C700">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（19）供应商认为在其他方面有必要说明的事项............. .所在页码</w:t>
      </w:r>
    </w:p>
    <w:p w14:paraId="1A4DEA11">
      <w:pPr>
        <w:spacing w:line="60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23D07DB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36" w:name="_Toc376936768"/>
      <w:bookmarkStart w:id="337" w:name="_Toc32572603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3：磋商函</w:t>
      </w:r>
      <w:bookmarkEnd w:id="334"/>
      <w:bookmarkEnd w:id="335"/>
      <w:bookmarkEnd w:id="336"/>
      <w:bookmarkEnd w:id="337"/>
    </w:p>
    <w:p w14:paraId="356D52B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EF9FD7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磋商函</w:t>
      </w:r>
    </w:p>
    <w:p w14:paraId="03D7B2F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153CE98">
      <w:pPr>
        <w:spacing w:line="520" w:lineRule="exact"/>
        <w:ind w:firstLine="0" w:firstLineChars="0"/>
        <w:textAlignment w:val="baseline"/>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青海省招标有限责任公司</w:t>
      </w:r>
    </w:p>
    <w:p w14:paraId="357091D4">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843D468">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我们收到</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highlight w:val="none"/>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文件，经研究，法定代表人（姓名、职务）正式授权（委托代理人姓名、职务）代表供应商（供应商名称、地址）提交响应文件。</w:t>
      </w:r>
    </w:p>
    <w:p w14:paraId="0CF68603">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据此函，签字代表宣布同意如下：</w:t>
      </w:r>
    </w:p>
    <w:p w14:paraId="7061438A">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、我方已详阅磋商文件的全部内容，包括澄清、修改条款等有关附件，承诺对其完全理解并接受。</w:t>
      </w:r>
    </w:p>
    <w:p w14:paraId="217FABA5">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t>60</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个日历日。如果在规定的磋商时间后，我方在响应有效期内撤回磋商响应文件或成交后不签约的，磋商保证金将不予退还。</w:t>
      </w:r>
    </w:p>
    <w:p w14:paraId="33F78CB2">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、我方同意按照贵方要求提供与磋商有关的一切数据或资料，理解并接受贵方制定的评标办法。</w:t>
      </w:r>
    </w:p>
    <w:p w14:paraId="068028A3">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、与本磋商有关的一切正式往来通讯请寄：</w:t>
      </w:r>
    </w:p>
    <w:p w14:paraId="50991DCE">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地址：</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邮编：</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6C759AD8">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电话：</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传真：</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4A255E24">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法定代表人姓名：</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职务：</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1C943339">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51BC8B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4B146C9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0EEF3BF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1D8FC35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338" w:name="_Toc31069"/>
      <w:bookmarkStart w:id="339" w:name="_Toc2695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附件4：首次报价一览表</w:t>
      </w:r>
      <w:bookmarkEnd w:id="338"/>
      <w:bookmarkEnd w:id="339"/>
    </w:p>
    <w:p w14:paraId="1507735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59FB8CD">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一览表</w:t>
      </w:r>
    </w:p>
    <w:p w14:paraId="4E5F0331">
      <w:pPr>
        <w:autoSpaceDE w:val="0"/>
        <w:autoSpaceDN w:val="0"/>
        <w:spacing w:line="520" w:lineRule="exact"/>
        <w:ind w:firstLine="413" w:firstLineChars="147"/>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t>元</w:t>
      </w:r>
    </w:p>
    <w:tbl>
      <w:tblPr>
        <w:tblStyle w:val="2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18D2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15B63FAF">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12736EA0">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3A88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5D7538EA">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7E52D5FD">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1BD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1C809C1F">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31164D5A">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2CA0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E5A7266">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26E556C8">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6B8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44CE1CC0">
            <w:pPr>
              <w:pStyle w:val="8"/>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服务承诺及其他：</w:t>
            </w:r>
          </w:p>
          <w:p w14:paraId="3263C987">
            <w:pPr>
              <w:pStyle w:val="8"/>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08D2E8CE">
            <w:pPr>
              <w:pStyle w:val="8"/>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040CCA87">
      <w:pPr>
        <w:pStyle w:val="64"/>
        <w:spacing w:line="520" w:lineRule="exact"/>
        <w:ind w:firstLine="562" w:firstLineChars="200"/>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注：本项目磋商报价按总价报价，不得超过项目最高限价</w:t>
      </w:r>
    </w:p>
    <w:p w14:paraId="06A522A4">
      <w:pPr>
        <w:pStyle w:val="64"/>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719E5756">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8E1DE76">
      <w:pPr>
        <w:spacing w:line="520" w:lineRule="exact"/>
        <w:ind w:firstLine="0" w:firstLineChars="0"/>
        <w:jc w:val="both"/>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w:t>
      </w:r>
    </w:p>
    <w:p w14:paraId="7D881C2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3B5260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2657B7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627BE79C">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035BD68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0" w:name="_Toc14675"/>
      <w:bookmarkStart w:id="341" w:name="_Toc13693"/>
    </w:p>
    <w:p w14:paraId="2239072C">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附件5：分项报价表</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本项目不适用</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p>
    <w:p w14:paraId="779E467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C4E088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分项报价表</w:t>
      </w:r>
    </w:p>
    <w:p w14:paraId="306AAAB1">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 xml:space="preserve">供应商名称：                                      </w:t>
      </w:r>
    </w:p>
    <w:tbl>
      <w:tblPr>
        <w:tblStyle w:val="28"/>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56536098">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2B0175F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323C375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5E3C539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184E17E8">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备注</w:t>
            </w:r>
          </w:p>
        </w:tc>
      </w:tr>
      <w:tr w14:paraId="4A2E3874">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1585D97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5FE09E6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3E0FC4A6">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9E9982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31DE3ABC">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2EB3CA4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4C2EF65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3F2369C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2798C95D">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5E2DECA6">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0198BFD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30FA225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6DED8EB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4D8A4A7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11C69868">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6DD46C43">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23264A48">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7B6D7EE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894931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5F9BCFB2">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2DE7A8FD">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0413AD6E">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601A2A7A">
      <w:pPr>
        <w:pStyle w:val="64"/>
        <w:spacing w:line="520" w:lineRule="exact"/>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注：若分项费用的计算依据、过程和公式不便在表中表述，可单独另附表格或描述进行说明。</w:t>
      </w:r>
    </w:p>
    <w:p w14:paraId="3416C062">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2502985">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99D550D">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D999B6D">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784249A">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B38ECC0">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64DE56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7C89C8B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233F594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75E7E10C">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BA3C1A9">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B8D8564">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42" w:name="_Toc376936774"/>
      <w:bookmarkStart w:id="343" w:name="_Toc325726043"/>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6：法定代表人（非法人组织负责人）证明书</w:t>
      </w:r>
      <w:bookmarkEnd w:id="340"/>
      <w:bookmarkEnd w:id="341"/>
      <w:bookmarkEnd w:id="342"/>
      <w:bookmarkEnd w:id="343"/>
    </w:p>
    <w:p w14:paraId="5E0C4DAD">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7DF9DABA">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法定代表人（非法人组织负责人）证明书</w:t>
      </w:r>
    </w:p>
    <w:p w14:paraId="2AFD2695">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271E5E91">
      <w:pPr>
        <w:autoSpaceDE w:val="0"/>
        <w:autoSpaceDN w:val="0"/>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4515B40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62A5630">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现任我单位职务，为法定代表人（非法人组织的负责人），特此证明。</w:t>
      </w:r>
    </w:p>
    <w:p w14:paraId="5E43E1C7">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1BEBA2C7">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法定代表人（非法人组织的负责人）基本情况：</w:t>
      </w:r>
    </w:p>
    <w:p w14:paraId="0B627DE9">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性别：年龄： 民族：</w:t>
      </w:r>
    </w:p>
    <w:p w14:paraId="5F354D60">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地址：</w:t>
      </w:r>
    </w:p>
    <w:p w14:paraId="282D5FF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身份证号码：</w:t>
      </w:r>
    </w:p>
    <w:p w14:paraId="5F8E5902">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0219EBA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附法定代表人第二代身份证双面扫描（或复印）件</w:t>
      </w:r>
    </w:p>
    <w:p w14:paraId="233BCFD3">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B96DBEF">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14C6B74">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BF377DE">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CBBCCD2">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（非法人组织的负责人）</w:t>
      </w:r>
    </w:p>
    <w:p w14:paraId="0B56B40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或委托代理人：（签字或盖章）</w:t>
      </w:r>
    </w:p>
    <w:p w14:paraId="12CD283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2E5A70A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4" w:name="_Toc201287639"/>
      <w:bookmarkStart w:id="345" w:name="_Toc324756736"/>
      <w:bookmarkStart w:id="346" w:name="_Toc31614"/>
      <w:bookmarkStart w:id="347" w:name="_Toc2920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End w:id="344"/>
      <w:bookmarkEnd w:id="345"/>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7：法定代表人（非法人组织负责人）授权书</w:t>
      </w:r>
      <w:bookmarkEnd w:id="346"/>
      <w:bookmarkEnd w:id="347"/>
    </w:p>
    <w:p w14:paraId="523BB9E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596B1E7">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法定代表人（非法人组织负责人）授权书</w:t>
      </w:r>
    </w:p>
    <w:p w14:paraId="4516EB29">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0AC23617">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7F382802">
      <w:pPr>
        <w:spacing w:line="520" w:lineRule="exact"/>
        <w:ind w:firstLine="0" w:firstLineChars="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p>
    <w:p w14:paraId="02388FA2">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系中华人民共和国合法企业，法定地址。</w:t>
      </w:r>
    </w:p>
    <w:p w14:paraId="68B61A18">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highlight w:val="none"/>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代表我单位全权办理项目的磋商、答疑等具体工作，并签署全部有关的文件、资料。</w:t>
      </w:r>
    </w:p>
    <w:p w14:paraId="642B54DD">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我单位对被授权人的签名负全部责任。</w:t>
      </w:r>
    </w:p>
    <w:p w14:paraId="6F00C0E2">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 xml:space="preserve">被授权人联系电话： </w:t>
      </w:r>
    </w:p>
    <w:p w14:paraId="7D47385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被授权人（委托代理人）签字：</w:t>
      </w:r>
    </w:p>
    <w:p w14:paraId="04D7FAE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1915BD9E">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授权人（法定代表人或非法人组织的负责人）签字：</w:t>
      </w:r>
    </w:p>
    <w:p w14:paraId="420CF409">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5E7E0F4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78219A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附被授权人第二代身份证双面扫描（或复印）件</w:t>
      </w:r>
    </w:p>
    <w:p w14:paraId="3BBFC2B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BFA0347">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6076E046">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6E1F000">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BB601C5">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0CBB2C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1C22360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2C8C0CE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8" w:name="_Toc25884"/>
      <w:bookmarkStart w:id="349" w:name="_Toc302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附件8：供应商承诺函</w:t>
      </w:r>
      <w:bookmarkEnd w:id="348"/>
      <w:bookmarkEnd w:id="349"/>
    </w:p>
    <w:p w14:paraId="6886E979">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40C07E81">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供应商承诺函</w:t>
      </w:r>
    </w:p>
    <w:p w14:paraId="731A4B2D">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4E522F79">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444EC5B4">
      <w:pPr>
        <w:autoSpaceDE w:val="0"/>
        <w:autoSpaceDN w:val="0"/>
        <w:spacing w:line="520" w:lineRule="exact"/>
        <w:ind w:firstLine="523" w:firstLineChars="187"/>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05513CA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1.完全理解和接受磋商文件的一切规定和要求；</w:t>
      </w:r>
    </w:p>
    <w:p w14:paraId="5CF80E8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2.若成交，我方将按照磋商文件的具体规定与采购人签订采购合同，并且严格履行合同义务，按时提供优质的服务；</w:t>
      </w:r>
    </w:p>
    <w:p w14:paraId="6DCD837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3.在整个磋商过程中我方若有违规行为，贵方可按磋商文件之规定给予处罚，我方完全接受；</w:t>
      </w:r>
    </w:p>
    <w:p w14:paraId="744A093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4.若成交，本承诺将成为合同不可分割的一部分，与合同具有同等的法律效力。</w:t>
      </w:r>
    </w:p>
    <w:p w14:paraId="0D47A341">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A791E03">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288122E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165DE21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69271D1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755D6F2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50" w:name="_Toc11173"/>
      <w:bookmarkStart w:id="351" w:name="_Toc113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52" w:name="_Toc376936779"/>
      <w:bookmarkStart w:id="353" w:name="_Toc351475542"/>
      <w:bookmarkStart w:id="354" w:name="_Toc3650195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9：供应商诚信承诺书</w:t>
      </w:r>
      <w:bookmarkEnd w:id="350"/>
      <w:bookmarkEnd w:id="351"/>
      <w:bookmarkEnd w:id="352"/>
      <w:bookmarkEnd w:id="353"/>
      <w:bookmarkEnd w:id="354"/>
    </w:p>
    <w:p w14:paraId="5F8915F4">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供应商诚信承诺书</w:t>
      </w:r>
    </w:p>
    <w:p w14:paraId="3B875CA1">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1CCE3287">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为了诚实、客观、有序地参与青海省政府采购活动，愿就以下内容作出承诺：</w:t>
      </w:r>
    </w:p>
    <w:p w14:paraId="5AAA2EA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一、自觉遵守各项法律、法规、规章、制度以及社会公德，维护廉洁环境，与同场竞争的供应商平等参加政府采购活动。</w:t>
      </w:r>
    </w:p>
    <w:p w14:paraId="21A06B31">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二、参加</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青海省招标有限责任公司</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组织的政府采购活动时，严格按照磋商文件的规定和要求提供所需的相关材料，并对所提供的各类资料的真实性负责，不虚假应标，不虚列业绩。</w:t>
      </w:r>
    </w:p>
    <w:p w14:paraId="5E3DF289">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三、尊重参与政府采购活动各相关方的合法行为，接受政府采购活动依法形成的意见、结果。</w:t>
      </w:r>
    </w:p>
    <w:p w14:paraId="011E6574">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highlight w:val="none"/>
          <w14:textFill>
            <w14:solidFill>
              <w14:schemeClr w14:val="tx1"/>
            </w14:solidFill>
          </w14:textFill>
        </w:rPr>
        <w:t>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其他供应商</w:t>
      </w:r>
      <w:r>
        <w:rPr>
          <w:rFonts w:cs="宋体" w:asciiTheme="minorEastAsia" w:hAnsiTheme="minorEastAsia" w:eastAsiaTheme="minorEastAsia"/>
          <w:color w:val="000000" w:themeColor="text1"/>
          <w:sz w:val="28"/>
          <w:szCs w:val="28"/>
          <w:highlight w:val="none"/>
          <w14:textFill>
            <w14:solidFill>
              <w14:schemeClr w14:val="tx1"/>
            </w14:solidFill>
          </w14:textFill>
        </w:rPr>
        <w:t>、采购人</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，维护市场秩序。</w:t>
      </w:r>
    </w:p>
    <w:p w14:paraId="60EFDE6B">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4B3D6847">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六、认真履行成交供应商应承担的责任和义务，全面执行采购合同规定的各项内容，保质保量地提供服务。</w:t>
      </w:r>
    </w:p>
    <w:p w14:paraId="45522DD2">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若本企业（单位）发生有悖于上述承诺的行为，愿意接受《中华人民共和国政府采购法》和《政府采购法实施条例》中对供应商的相关处理。</w:t>
      </w:r>
    </w:p>
    <w:p w14:paraId="0D56F6A0">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本承诺是采购项目响应文件的组成部分。</w:t>
      </w:r>
    </w:p>
    <w:p w14:paraId="0800AC8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5D9D7E7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0143D98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7C56A1E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55" w:name="_Toc25993"/>
      <w:bookmarkStart w:id="356" w:name="_Toc7486"/>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附件10：资格证明材料</w:t>
      </w:r>
      <w:bookmarkEnd w:id="355"/>
      <w:bookmarkEnd w:id="356"/>
    </w:p>
    <w:p w14:paraId="2756E612">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C8F3943">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资格证明材料</w:t>
      </w:r>
    </w:p>
    <w:p w14:paraId="10C0346F">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27C547E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资格证明材料包括：</w:t>
      </w:r>
    </w:p>
    <w:p w14:paraId="1B3AC23B">
      <w:pPr>
        <w:numPr>
          <w:ilvl w:val="0"/>
          <w:numId w:val="5"/>
        </w:numPr>
        <w:spacing w:line="520" w:lineRule="exact"/>
        <w:ind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提供有效的营业执照、税务登记证、机构代码证或三证（五证）合一统一社会代码证及其他资格证明文件（扫描或复印件）；</w:t>
      </w:r>
    </w:p>
    <w:p w14:paraId="108F3752">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B47BFBE">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（2）磋商文件规定的有关资格证书、许可证书、认证等；</w:t>
      </w:r>
    </w:p>
    <w:p w14:paraId="690ECA5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（3）供应商认为有必要提供的其他资格证明文件。</w:t>
      </w:r>
    </w:p>
    <w:p w14:paraId="23EB7978">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550AA9D">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57" w:name="_Toc19128"/>
      <w:bookmarkStart w:id="358" w:name="_Toc3213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附件11：财务状况证明</w:t>
      </w:r>
      <w:bookmarkEnd w:id="357"/>
      <w:bookmarkEnd w:id="358"/>
    </w:p>
    <w:p w14:paraId="5DBAC386">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344CF14">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财务状况证明</w:t>
      </w:r>
    </w:p>
    <w:p w14:paraId="21B11FAA">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80DDEDF">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1138737D">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1、投标人是法人的，提供基本开户银行近三个月内出具的资信证明（同时提供基本存款账户开户许可证）或20</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23</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w:t>
      </w:r>
    </w:p>
    <w:p w14:paraId="147082E8">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投标人是其他组织和自然人或者新成立的投标人，没有经审计的财务报告， 可以提供基本开户银行出具的资信证明（同时提供基本存款账户开户许可证）。</w:t>
      </w:r>
    </w:p>
    <w:p w14:paraId="4F61DF0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47B02765">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bookmarkStart w:id="359" w:name="_Toc23114"/>
      <w:bookmarkStart w:id="360" w:name="_Toc271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附件12：具备履行合同所必须的设备和专业技术能力证明</w:t>
      </w:r>
    </w:p>
    <w:p w14:paraId="40364B6B">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8725B4B">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具备履行合同所必须的设备和专业技术能力证明</w:t>
      </w:r>
    </w:p>
    <w:p w14:paraId="7AB05AD7">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lang w:val="zh-CN"/>
          <w14:textFill>
            <w14:solidFill>
              <w14:schemeClr w14:val="tx1"/>
            </w14:solidFill>
          </w14:textFill>
        </w:rPr>
      </w:pPr>
    </w:p>
    <w:p w14:paraId="67542F03">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69DF32A7">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62DE63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0BD3B3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CBDB4F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F7A2B9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7FF54C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36AE76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5FFF69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F7F7D3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3B7557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CE4D3B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BC7481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96B94E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1F3AC6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B1144E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635332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34736A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8660F2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B8CD77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3C56C5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61" w:name="_Toc376936781"/>
      <w:bookmarkStart w:id="362" w:name="_Toc3257260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13：</w:t>
      </w:r>
      <w:bookmarkEnd w:id="361"/>
      <w:bookmarkEnd w:id="362"/>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无重大违法记录声明</w:t>
      </w:r>
      <w:bookmarkEnd w:id="359"/>
      <w:bookmarkEnd w:id="360"/>
    </w:p>
    <w:p w14:paraId="08EA4E1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8D55F7B">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无重大违法记录声明</w:t>
      </w:r>
    </w:p>
    <w:p w14:paraId="598082E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1CD7693">
      <w:pPr>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28B24E40">
      <w:pPr>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38D731BB">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我单位近三年内在经营活动中没有重大违法记，特此声明。</w:t>
      </w:r>
    </w:p>
    <w:p w14:paraId="470EE260">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40BC38B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D09B9AC">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326E7C2">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44B6E7C">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0FEA9B3E">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6AE47D8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7B8DD5F8">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63" w:name="_Toc24531"/>
      <w:bookmarkStart w:id="364" w:name="_Toc2295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附件14：磋商保证金</w:t>
      </w:r>
      <w:bookmarkEnd w:id="363"/>
      <w:bookmarkEnd w:id="364"/>
    </w:p>
    <w:p w14:paraId="4BB9E38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磋商保证金</w:t>
      </w:r>
    </w:p>
    <w:p w14:paraId="06529DF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1794672">
      <w:pPr>
        <w:spacing w:line="520" w:lineRule="exact"/>
        <w:ind w:firstLine="56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1、将银行开具的针对本项目提交的磋商保证金交款证明彩色扫描（或复印）件粘贴后加盖公章。</w:t>
      </w:r>
    </w:p>
    <w:p w14:paraId="1693A8CE">
      <w:pPr>
        <w:spacing w:line="520" w:lineRule="exact"/>
        <w:ind w:left="480" w:firstLine="0" w:firstLineChars="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2、</w:t>
      </w:r>
      <w:r>
        <w:rPr>
          <w:rFonts w:cs="宋体" w:asciiTheme="minorEastAsia" w:hAnsiTheme="minorEastAsia" w:eastAsiaTheme="minorEastAsia"/>
          <w:bCs/>
          <w:color w:val="000000" w:themeColor="text1"/>
          <w:sz w:val="28"/>
          <w:szCs w:val="28"/>
          <w:highlight w:val="none"/>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担保</w:t>
      </w:r>
      <w:r>
        <w:rPr>
          <w:rFonts w:cs="宋体" w:asciiTheme="minorEastAsia" w:hAnsiTheme="minorEastAsia" w:eastAsiaTheme="minorEastAsia"/>
          <w:bCs/>
          <w:color w:val="000000" w:themeColor="text1"/>
          <w:sz w:val="28"/>
          <w:szCs w:val="28"/>
          <w:highlight w:val="none"/>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0DDDB9C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65" w:name="_Toc1224"/>
    </w:p>
    <w:p w14:paraId="6AEF9866">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5474C9CC">
      <w:pPr>
        <w:spacing w:line="520" w:lineRule="exact"/>
        <w:ind w:firstLine="0" w:firstLineChars="0"/>
        <w:rPr>
          <w:rFonts w:cs="宋体" w:asciiTheme="minorEastAsia" w:hAnsiTheme="minorEastAsia" w:eastAsiaTheme="minorEastAsia"/>
          <w:b/>
          <w:color w:val="000000"/>
          <w:sz w:val="28"/>
          <w:szCs w:val="28"/>
        </w:rPr>
      </w:pPr>
    </w:p>
    <w:p w14:paraId="6B10971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供应商最后报价表</w:t>
      </w:r>
    </w:p>
    <w:p w14:paraId="7025748A">
      <w:pPr>
        <w:spacing w:line="520" w:lineRule="exact"/>
        <w:ind w:firstLine="0" w:firstLineChars="0"/>
        <w:rPr>
          <w:rFonts w:cs="宋体" w:asciiTheme="minorEastAsia" w:hAnsiTheme="minorEastAsia" w:eastAsiaTheme="minorEastAsia"/>
          <w:b/>
          <w:color w:val="000000"/>
          <w:sz w:val="28"/>
          <w:szCs w:val="28"/>
        </w:rPr>
      </w:pPr>
    </w:p>
    <w:p w14:paraId="5907967E">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p>
    <w:tbl>
      <w:tblPr>
        <w:tblStyle w:val="2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87A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2ADEFF7D">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233" w:type="dxa"/>
            <w:tcBorders>
              <w:top w:val="single" w:color="auto" w:sz="4" w:space="0"/>
              <w:left w:val="single" w:color="auto" w:sz="4" w:space="0"/>
              <w:bottom w:val="single" w:color="auto" w:sz="4" w:space="0"/>
              <w:right w:val="single" w:color="auto" w:sz="4" w:space="0"/>
            </w:tcBorders>
            <w:vAlign w:val="center"/>
          </w:tcPr>
          <w:p w14:paraId="6AD9F394">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5857D259">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581" w:type="dxa"/>
            <w:tcBorders>
              <w:top w:val="single" w:color="auto" w:sz="4" w:space="0"/>
              <w:left w:val="single" w:color="auto" w:sz="4" w:space="0"/>
              <w:bottom w:val="single" w:color="auto" w:sz="4" w:space="0"/>
              <w:right w:val="single" w:color="auto" w:sz="4" w:space="0"/>
            </w:tcBorders>
            <w:vAlign w:val="center"/>
          </w:tcPr>
          <w:p w14:paraId="42A05E6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7F7C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69F388DF">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07F0EE57">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47038892">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2770CC45">
            <w:pPr>
              <w:spacing w:line="520" w:lineRule="exact"/>
              <w:ind w:firstLine="0" w:firstLineChars="0"/>
              <w:rPr>
                <w:rFonts w:cs="宋体" w:asciiTheme="minorEastAsia" w:hAnsiTheme="minorEastAsia" w:eastAsiaTheme="minorEastAsia"/>
                <w:color w:val="000000"/>
                <w:sz w:val="28"/>
                <w:szCs w:val="28"/>
              </w:rPr>
            </w:pPr>
          </w:p>
        </w:tc>
      </w:tr>
      <w:tr w14:paraId="124D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7C0A1B10">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208BEA60">
            <w:pPr>
              <w:spacing w:line="520" w:lineRule="exact"/>
              <w:ind w:firstLine="0" w:firstLineChars="0"/>
              <w:rPr>
                <w:rFonts w:cs="宋体" w:asciiTheme="minorEastAsia" w:hAnsiTheme="minorEastAsia" w:eastAsiaTheme="minorEastAsia"/>
                <w:color w:val="000000"/>
                <w:sz w:val="28"/>
                <w:szCs w:val="28"/>
              </w:rPr>
            </w:pPr>
          </w:p>
          <w:p w14:paraId="6853B8BB">
            <w:pPr>
              <w:spacing w:line="520" w:lineRule="exact"/>
              <w:ind w:firstLine="0" w:firstLineChars="0"/>
              <w:rPr>
                <w:rFonts w:cs="宋体" w:asciiTheme="minorEastAsia" w:hAnsiTheme="minorEastAsia" w:eastAsiaTheme="minorEastAsia"/>
                <w:color w:val="000000"/>
                <w:sz w:val="28"/>
                <w:szCs w:val="28"/>
              </w:rPr>
            </w:pPr>
          </w:p>
          <w:p w14:paraId="7F7D0E69">
            <w:pPr>
              <w:spacing w:line="520" w:lineRule="exact"/>
              <w:ind w:firstLine="0" w:firstLineChars="0"/>
              <w:rPr>
                <w:rFonts w:cs="宋体" w:asciiTheme="minorEastAsia" w:hAnsiTheme="minorEastAsia" w:eastAsiaTheme="minorEastAsia"/>
                <w:color w:val="000000"/>
                <w:sz w:val="28"/>
                <w:szCs w:val="28"/>
              </w:rPr>
            </w:pPr>
          </w:p>
          <w:p w14:paraId="614D1EAA">
            <w:pPr>
              <w:spacing w:line="520" w:lineRule="exact"/>
              <w:ind w:firstLine="0" w:firstLineChars="0"/>
              <w:rPr>
                <w:rFonts w:cs="宋体" w:asciiTheme="minorEastAsia" w:hAnsiTheme="minorEastAsia" w:eastAsiaTheme="minorEastAsia"/>
                <w:color w:val="000000"/>
                <w:sz w:val="28"/>
                <w:szCs w:val="28"/>
              </w:rPr>
            </w:pPr>
          </w:p>
        </w:tc>
      </w:tr>
    </w:tbl>
    <w:p w14:paraId="03CA5428">
      <w:pPr>
        <w:spacing w:line="52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注：最后</w:t>
      </w:r>
      <w:r>
        <w:rPr>
          <w:rFonts w:asciiTheme="minorEastAsia" w:hAnsiTheme="minorEastAsia" w:eastAsiaTheme="minorEastAsia"/>
          <w:sz w:val="28"/>
          <w:szCs w:val="28"/>
        </w:rPr>
        <w:t>报价表作为响应文件的组成部分，不</w:t>
      </w:r>
      <w:r>
        <w:rPr>
          <w:rFonts w:hint="eastAsia" w:asciiTheme="minorEastAsia" w:hAnsiTheme="minorEastAsia" w:eastAsiaTheme="minorEastAsia"/>
          <w:sz w:val="28"/>
          <w:szCs w:val="28"/>
        </w:rPr>
        <w:t>与响应文件同时提交。由资格审查合格的供应商填写最后报价表并签字、盖章。</w:t>
      </w:r>
    </w:p>
    <w:p w14:paraId="65EBB933">
      <w:pPr>
        <w:spacing w:line="520" w:lineRule="exact"/>
        <w:ind w:firstLine="562"/>
        <w:rPr>
          <w:rFonts w:cs="宋体" w:asciiTheme="minorEastAsia" w:hAnsiTheme="minorEastAsia" w:eastAsiaTheme="minorEastAsia"/>
          <w:b/>
          <w:bCs/>
          <w:color w:val="000000"/>
          <w:sz w:val="28"/>
          <w:szCs w:val="28"/>
        </w:rPr>
      </w:pPr>
    </w:p>
    <w:p w14:paraId="703763FE">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37E50D1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3561D8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62AA22A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B97875F">
      <w:pPr>
        <w:spacing w:line="520" w:lineRule="exact"/>
        <w:ind w:firstLine="0" w:firstLineChars="0"/>
        <w:jc w:val="center"/>
        <w:rPr>
          <w:rFonts w:cs="宋体" w:asciiTheme="minorEastAsia" w:hAnsiTheme="minorEastAsia" w:eastAsiaTheme="minorEastAsia"/>
          <w:b/>
          <w:color w:val="000000"/>
          <w:sz w:val="28"/>
          <w:szCs w:val="28"/>
        </w:rPr>
      </w:pPr>
    </w:p>
    <w:p w14:paraId="4F197B18">
      <w:pPr>
        <w:spacing w:line="520" w:lineRule="exact"/>
        <w:ind w:firstLine="0" w:firstLineChars="0"/>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附件16：供应商的类似业绩证明材料</w:t>
      </w:r>
    </w:p>
    <w:p w14:paraId="4FDA3456">
      <w:pPr>
        <w:spacing w:line="520" w:lineRule="exact"/>
        <w:ind w:firstLine="2263" w:firstLineChars="805"/>
        <w:rPr>
          <w:rFonts w:asciiTheme="minorEastAsia" w:hAnsiTheme="minorEastAsia" w:eastAsiaTheme="minorEastAsia"/>
          <w:b/>
          <w:color w:val="000000" w:themeColor="text1"/>
          <w:sz w:val="28"/>
          <w:szCs w:val="28"/>
          <w:highlight w:val="none"/>
          <w14:textFill>
            <w14:solidFill>
              <w14:schemeClr w14:val="tx1"/>
            </w14:solidFill>
          </w14:textFill>
        </w:rPr>
      </w:pPr>
    </w:p>
    <w:p w14:paraId="057EC585">
      <w:pPr>
        <w:spacing w:line="520" w:lineRule="exact"/>
        <w:ind w:firstLine="155" w:firstLineChars="55"/>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供应商的类似业绩证明材料</w:t>
      </w:r>
    </w:p>
    <w:p w14:paraId="57FB7B81">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highlight w:val="none"/>
          <w14:textFill>
            <w14:solidFill>
              <w14:schemeClr w14:val="tx1"/>
            </w14:solidFill>
          </w14:textFill>
        </w:rPr>
      </w:pPr>
    </w:p>
    <w:p w14:paraId="6489FB56">
      <w:pPr>
        <w:spacing w:line="520" w:lineRule="exact"/>
        <w:ind w:firstLine="56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20</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（业绩以合同或中标通知书复印件为准）</w:t>
      </w:r>
    </w:p>
    <w:bookmarkEnd w:id="365"/>
    <w:p w14:paraId="5565DAD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B053B8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BF5D60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FF7D08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0462DB6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4B0AE38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1AD4FE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4C2E628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66" w:name="_Toc4925"/>
      <w:bookmarkStart w:id="367" w:name="_Toc31301_WPSOffice_Level3"/>
      <w:bookmarkStart w:id="368" w:name="_Toc11887"/>
      <w:bookmarkStart w:id="369" w:name="_Toc3146_WPSOffice_Level3"/>
      <w:bookmarkStart w:id="370" w:name="_Toc17566"/>
      <w:bookmarkStart w:id="371" w:name="_Toc10368"/>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附件17：服务方案</w:t>
      </w:r>
    </w:p>
    <w:p w14:paraId="09ED99E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6A20355">
      <w:pPr>
        <w:spacing w:line="520" w:lineRule="exact"/>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049FCC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（其他内容格式自拟）</w:t>
      </w:r>
    </w:p>
    <w:p w14:paraId="06246CC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EA9B17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ABA741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521524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ED21FC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75FF4E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7A6764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7051E8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3BBCC0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CF52B3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04C6B63">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7DB8599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：享受政府采购政策优惠的证明资料</w:t>
      </w:r>
      <w:bookmarkEnd w:id="366"/>
      <w:bookmarkEnd w:id="367"/>
      <w:bookmarkEnd w:id="368"/>
      <w:bookmarkEnd w:id="369"/>
      <w:bookmarkEnd w:id="370"/>
      <w:bookmarkEnd w:id="371"/>
    </w:p>
    <w:p w14:paraId="76CC617C">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bookmarkStart w:id="372" w:name="_Toc6454"/>
      <w:bookmarkStart w:id="373" w:name="_Toc22784_WPSOffice_Level3"/>
      <w:bookmarkStart w:id="374" w:name="_Toc31539"/>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1.中小企业声明函</w:t>
      </w:r>
      <w:bookmarkEnd w:id="372"/>
      <w:bookmarkEnd w:id="373"/>
      <w:bookmarkEnd w:id="374"/>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（服务）</w:t>
      </w:r>
    </w:p>
    <w:p w14:paraId="52DF60DD">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bookmarkStart w:id="375" w:name="_Toc1901_WPSOffice_Level3"/>
      <w:bookmarkStart w:id="376" w:name="_Toc301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(不满足以下条件的无需填写)</w:t>
      </w:r>
      <w:bookmarkEnd w:id="375"/>
      <w:bookmarkEnd w:id="376"/>
    </w:p>
    <w:p w14:paraId="552FDE88">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p>
    <w:p w14:paraId="21C8ABC5">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采购活动，提供的服务的（全部）供应商符合政策要求的中小企业，相关企业（含联合体中的中小企业、签订分包意向协议的中小企业）具体情况如下：</w:t>
      </w:r>
    </w:p>
    <w:p w14:paraId="49FA916E">
      <w:pPr>
        <w:widowControl/>
        <w:numPr>
          <w:ilvl w:val="0"/>
          <w:numId w:val="6"/>
        </w:numPr>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（采购文件中明确的所属行业）行业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56087C37">
      <w:pPr>
        <w:widowControl/>
        <w:adjustRightInd w:val="0"/>
        <w:snapToGrid w:val="0"/>
        <w:spacing w:line="520" w:lineRule="exact"/>
        <w:ind w:firstLine="584"/>
        <w:jc w:val="lef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（采购文件中明确的所属行业）行业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59F2FC3B">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w:t>
      </w:r>
    </w:p>
    <w:p w14:paraId="62DE06E9">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14F4792D">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本企业对上述声明内容的真实性负责。如有虚假，将依法承担相应责任。</w:t>
      </w:r>
    </w:p>
    <w:p w14:paraId="443C141A">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77" w:name="_Toc21636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企业名称（公章）：</w:t>
      </w:r>
      <w:bookmarkEnd w:id="377"/>
    </w:p>
    <w:p w14:paraId="5AF2E59D">
      <w:pPr>
        <w:spacing w:beforeLines="50" w:line="520" w:lineRule="exact"/>
        <w:ind w:firstLine="560"/>
        <w:jc w:val="center"/>
        <w:rPr>
          <w:rFonts w:asciiTheme="minorEastAsia" w:hAnsiTheme="minorEastAsia" w:eastAsiaTheme="minorEastAsia"/>
          <w:b/>
          <w:color w:val="000000" w:themeColor="text1"/>
          <w:sz w:val="28"/>
          <w:szCs w:val="28"/>
          <w:highlight w:val="none"/>
          <w14:textFill>
            <w14:solidFill>
              <w14:schemeClr w14:val="tx1"/>
            </w14:solidFill>
          </w14:textFill>
        </w:rPr>
      </w:pPr>
      <w:bookmarkStart w:id="378" w:name="_Toc20470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 xml:space="preserve">      日期：</w:t>
      </w:r>
      <w:bookmarkEnd w:id="378"/>
    </w:p>
    <w:p w14:paraId="4C26C23B">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6198AC8F">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4AE64150">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79" w:name="_Toc14211_WPSOffice_Level3"/>
      <w:bookmarkStart w:id="380" w:name="_Toc12160"/>
      <w:bookmarkStart w:id="381" w:name="_Toc11740"/>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2.残疾人福利性单位声明函</w:t>
      </w:r>
      <w:bookmarkEnd w:id="379"/>
      <w:bookmarkEnd w:id="380"/>
      <w:bookmarkEnd w:id="381"/>
    </w:p>
    <w:p w14:paraId="40D006BD">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2" w:name="_Toc17469_WPSOffice_Level3"/>
      <w:bookmarkStart w:id="383" w:name="_Toc1207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(不属于残疾人福利性单位的无需填写)</w:t>
      </w:r>
      <w:bookmarkEnd w:id="382"/>
      <w:bookmarkEnd w:id="383"/>
    </w:p>
    <w:p w14:paraId="3EAE3233">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466B44D4">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本单位对上述声明的真实性负责。如有虚假，将依法承担相应责任。</w:t>
      </w:r>
    </w:p>
    <w:p w14:paraId="7791F314">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4" w:name="_Toc17628_WPSOffice_Level3"/>
    </w:p>
    <w:p w14:paraId="7EC5BC27">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单位名称：（公章）</w:t>
      </w:r>
      <w:bookmarkEnd w:id="384"/>
    </w:p>
    <w:p w14:paraId="7950E374">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5" w:name="_Toc32124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法定代表人或委托代理人：（签字或盖章）</w:t>
      </w:r>
      <w:bookmarkEnd w:id="385"/>
    </w:p>
    <w:p w14:paraId="5B0D6544">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6" w:name="_Toc1871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年   月  日</w:t>
      </w:r>
      <w:bookmarkEnd w:id="386"/>
    </w:p>
    <w:p w14:paraId="33664F83">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065D53B1">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4A26F343">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60169543">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125C37FE">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10331DF1">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2979735D">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001BD9FB">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068BD4B6">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0FB67815">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73096944">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87" w:name="_Toc9477"/>
      <w:bookmarkStart w:id="388" w:name="_Toc30801"/>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3.监狱企业证明资料</w:t>
      </w:r>
      <w:bookmarkEnd w:id="387"/>
      <w:bookmarkEnd w:id="388"/>
    </w:p>
    <w:p w14:paraId="12E61578">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bookmarkStart w:id="389" w:name="_Toc28022_WPSOffice_Level3"/>
      <w:bookmarkStart w:id="390" w:name="_Toc25903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(不属于监狱企业的无需提供)</w:t>
      </w:r>
      <w:bookmarkEnd w:id="389"/>
      <w:bookmarkEnd w:id="390"/>
    </w:p>
    <w:p w14:paraId="05E6BFB0">
      <w:pPr>
        <w:adjustRightInd w:val="0"/>
        <w:snapToGrid w:val="0"/>
        <w:spacing w:line="520" w:lineRule="exact"/>
        <w:ind w:firstLine="584"/>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highlight w:val="none"/>
          <w14:textFill>
            <w14:solidFill>
              <w14:schemeClr w14:val="tx1"/>
            </w14:solidFill>
          </w14:textFill>
        </w:rPr>
        <w:t>备注：</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财政部 司法部关于政府采购支持监狱企业发展有关问题的通知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(财库〔2014〕68号)文件规定提供证明文件（复印件）。</w:t>
      </w:r>
    </w:p>
    <w:p w14:paraId="0504FE42">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224F6A1E">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3C687EAF">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91" w:name="_Toc22071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单位名称：（公章）</w:t>
      </w:r>
      <w:bookmarkEnd w:id="391"/>
    </w:p>
    <w:p w14:paraId="4781F4A8">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92" w:name="_Toc11539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法定代表人或委托代理人：（签字或盖章）</w:t>
      </w:r>
      <w:bookmarkEnd w:id="392"/>
    </w:p>
    <w:p w14:paraId="6AF7FE78">
      <w:pPr>
        <w:spacing w:beforeLines="50" w:line="520" w:lineRule="exact"/>
        <w:ind w:firstLine="560"/>
        <w:jc w:val="center"/>
        <w:rPr>
          <w:rFonts w:asciiTheme="minorEastAsia" w:hAnsiTheme="minorEastAsia" w:eastAsiaTheme="minorEastAsia"/>
          <w:color w:val="000000" w:themeColor="text1"/>
          <w:spacing w:val="6"/>
          <w:sz w:val="28"/>
          <w:szCs w:val="28"/>
          <w:highlight w:val="none"/>
          <w14:textFill>
            <w14:solidFill>
              <w14:schemeClr w14:val="tx1"/>
            </w14:solidFill>
          </w14:textFill>
        </w:rPr>
      </w:pPr>
      <w:bookmarkStart w:id="393" w:name="_Toc3285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年   月  日</w:t>
      </w:r>
      <w:bookmarkEnd w:id="393"/>
    </w:p>
    <w:p w14:paraId="64EA50BF">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0309279D">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30BFD1F2">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CCE3B24">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BFD16D1">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5A003615">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04E57C8A">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113015C4">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1660E58">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732ACFA1">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14F8E8F8">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02286F71">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4C58E01">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A9DAECB">
      <w:pPr>
        <w:spacing w:line="520" w:lineRule="exact"/>
        <w:ind w:firstLineChars="71"/>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19</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72BDD4E0">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99C8DDF">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3D30B4C2">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2EEB7D2D">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1FD6334A">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E286C12">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99DB758">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070005B2">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44D80DE">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1B38B557">
      <w:pPr>
        <w:ind w:firstLine="420"/>
        <w:rPr>
          <w:rFonts w:ascii="宋体" w:hAnsi="宋体"/>
          <w:color w:val="000000" w:themeColor="text1"/>
          <w:highlight w:val="none"/>
          <w14:textFill>
            <w14:solidFill>
              <w14:schemeClr w14:val="tx1"/>
            </w14:solidFill>
          </w14:textFill>
        </w:rPr>
      </w:pPr>
    </w:p>
    <w:p w14:paraId="773D4DE8">
      <w:pPr>
        <w:ind w:firstLine="420"/>
        <w:rPr>
          <w:rFonts w:ascii="宋体" w:hAnsi="宋体"/>
          <w:color w:val="000000" w:themeColor="text1"/>
          <w:highlight w:val="none"/>
          <w14:textFill>
            <w14:solidFill>
              <w14:schemeClr w14:val="tx1"/>
            </w14:solidFill>
          </w14:textFill>
        </w:rPr>
      </w:pPr>
    </w:p>
    <w:p w14:paraId="5D426DC2">
      <w:pPr>
        <w:ind w:firstLine="420"/>
        <w:rPr>
          <w:rFonts w:ascii="宋体" w:hAnsi="宋体"/>
          <w:color w:val="000000" w:themeColor="text1"/>
          <w:highlight w:val="none"/>
          <w14:textFill>
            <w14:solidFill>
              <w14:schemeClr w14:val="tx1"/>
            </w14:solidFill>
          </w14:textFill>
        </w:rPr>
      </w:pPr>
    </w:p>
    <w:p w14:paraId="2A291226">
      <w:pPr>
        <w:pStyle w:val="24"/>
        <w:spacing w:line="240" w:lineRule="auto"/>
        <w:ind w:firstLine="0" w:firstLineChars="0"/>
        <w:outlineLvl w:val="9"/>
        <w:rPr>
          <w:rFonts w:ascii="宋体" w:hAnsi="宋体" w:cs="宋体"/>
          <w:b w:val="0"/>
          <w:color w:val="000000" w:themeColor="text1"/>
          <w:sz w:val="24"/>
          <w:szCs w:val="24"/>
          <w:highlight w:val="none"/>
          <w14:textFill>
            <w14:solidFill>
              <w14:schemeClr w14:val="tx1"/>
            </w14:solidFill>
          </w14:textFill>
        </w:rPr>
      </w:pPr>
    </w:p>
    <w:p w14:paraId="210C1CB0">
      <w:pPr>
        <w:pStyle w:val="24"/>
        <w:spacing w:line="240" w:lineRule="auto"/>
        <w:ind w:firstLine="0" w:firstLineChars="0"/>
        <w:outlineLvl w:val="9"/>
        <w:rPr>
          <w:rFonts w:ascii="宋体" w:hAnsi="宋体" w:cs="宋体"/>
          <w:b w:val="0"/>
          <w:color w:val="000000" w:themeColor="text1"/>
          <w:sz w:val="24"/>
          <w:szCs w:val="24"/>
          <w:highlight w:val="none"/>
          <w14:textFill>
            <w14:solidFill>
              <w14:schemeClr w14:val="tx1"/>
            </w14:solidFill>
          </w14:textFill>
        </w:rPr>
      </w:pPr>
    </w:p>
    <w:p w14:paraId="719E8532">
      <w:pPr>
        <w:pStyle w:val="24"/>
        <w:spacing w:line="240" w:lineRule="auto"/>
        <w:ind w:firstLine="0" w:firstLineChars="0"/>
        <w:rPr>
          <w:rFonts w:ascii="宋体" w:hAnsi="宋体"/>
          <w:color w:val="000000" w:themeColor="text1"/>
          <w:kern w:val="2"/>
          <w:sz w:val="44"/>
          <w:szCs w:val="44"/>
          <w:highlight w:val="none"/>
          <w:lang w:val="zh-CN"/>
          <w14:textFill>
            <w14:solidFill>
              <w14:schemeClr w14:val="tx1"/>
            </w14:solidFill>
          </w14:textFill>
        </w:rPr>
      </w:pPr>
      <w:bookmarkStart w:id="394" w:name="_Toc101710031"/>
      <w:r>
        <w:rPr>
          <w:rFonts w:hint="eastAsia" w:ascii="宋体" w:hAnsi="宋体"/>
          <w:color w:val="000000" w:themeColor="text1"/>
          <w:kern w:val="2"/>
          <w:sz w:val="44"/>
          <w:szCs w:val="44"/>
          <w:highlight w:val="none"/>
          <w:lang w:val="zh-CN"/>
          <w14:textFill>
            <w14:solidFill>
              <w14:schemeClr w14:val="tx1"/>
            </w14:solidFill>
          </w14:textFill>
        </w:rPr>
        <w:t>第五部分</w:t>
      </w:r>
      <w:bookmarkStart w:id="395" w:name="_Toc38126902"/>
      <w:bookmarkStart w:id="396" w:name="_Toc38020434"/>
      <w:bookmarkStart w:id="397" w:name="_Toc304808877"/>
      <w:bookmarkStart w:id="398" w:name="_Toc116636454"/>
      <w:r>
        <w:rPr>
          <w:rFonts w:hint="eastAsia" w:ascii="宋体" w:hAnsi="宋体"/>
          <w:color w:val="000000" w:themeColor="text1"/>
          <w:kern w:val="2"/>
          <w:sz w:val="44"/>
          <w:szCs w:val="44"/>
          <w:highlight w:val="none"/>
          <w:lang w:val="zh-CN"/>
          <w14:textFill>
            <w14:solidFill>
              <w14:schemeClr w14:val="tx1"/>
            </w14:solidFill>
          </w14:textFill>
        </w:rPr>
        <w:t>服务要求</w:t>
      </w:r>
      <w:bookmarkEnd w:id="394"/>
    </w:p>
    <w:p w14:paraId="18CCE40D">
      <w:pPr>
        <w:pStyle w:val="24"/>
        <w:spacing w:line="240" w:lineRule="auto"/>
        <w:ind w:firstLine="0" w:firstLineChars="0"/>
        <w:outlineLvl w:val="9"/>
        <w:rPr>
          <w:rFonts w:ascii="宋体" w:hAnsi="宋体"/>
          <w:color w:val="000000" w:themeColor="text1"/>
          <w:kern w:val="2"/>
          <w:highlight w:val="none"/>
          <w:lang w:val="zh-CN"/>
          <w14:textFill>
            <w14:solidFill>
              <w14:schemeClr w14:val="tx1"/>
            </w14:solidFill>
          </w14:textFill>
        </w:rPr>
      </w:pPr>
    </w:p>
    <w:p w14:paraId="4509BEC1">
      <w:pPr>
        <w:ind w:firstLine="643"/>
        <w:jc w:val="center"/>
        <w:rPr>
          <w:rFonts w:ascii="宋体" w:hAnsi="宋体"/>
          <w:b/>
          <w:color w:val="000000" w:themeColor="text1"/>
          <w:sz w:val="32"/>
          <w:highlight w:val="none"/>
          <w:u w:val="single"/>
          <w14:textFill>
            <w14:solidFill>
              <w14:schemeClr w14:val="tx1"/>
            </w14:solidFill>
          </w14:textFill>
        </w:rPr>
      </w:pPr>
    </w:p>
    <w:p w14:paraId="5D1D613B">
      <w:pPr>
        <w:ind w:firstLine="643"/>
        <w:rPr>
          <w:rFonts w:ascii="宋体" w:hAnsi="宋体"/>
          <w:b/>
          <w:color w:val="000000" w:themeColor="text1"/>
          <w:sz w:val="32"/>
          <w:highlight w:val="none"/>
          <w:u w:val="single"/>
          <w14:textFill>
            <w14:solidFill>
              <w14:schemeClr w14:val="tx1"/>
            </w14:solidFill>
          </w14:textFill>
        </w:rPr>
      </w:pPr>
    </w:p>
    <w:p w14:paraId="518DAF22">
      <w:pPr>
        <w:ind w:firstLine="643"/>
        <w:rPr>
          <w:rFonts w:ascii="宋体" w:hAnsi="宋体"/>
          <w:b/>
          <w:color w:val="000000" w:themeColor="text1"/>
          <w:sz w:val="32"/>
          <w:highlight w:val="none"/>
          <w:u w:val="single"/>
          <w14:textFill>
            <w14:solidFill>
              <w14:schemeClr w14:val="tx1"/>
            </w14:solidFill>
          </w14:textFill>
        </w:rPr>
      </w:pPr>
    </w:p>
    <w:p w14:paraId="1AA5B8F5">
      <w:pPr>
        <w:ind w:firstLine="643"/>
        <w:rPr>
          <w:rFonts w:ascii="宋体" w:hAnsi="宋体"/>
          <w:b/>
          <w:color w:val="000000" w:themeColor="text1"/>
          <w:sz w:val="32"/>
          <w:highlight w:val="none"/>
          <w:u w:val="single"/>
          <w14:textFill>
            <w14:solidFill>
              <w14:schemeClr w14:val="tx1"/>
            </w14:solidFill>
          </w14:textFill>
        </w:rPr>
      </w:pPr>
    </w:p>
    <w:p w14:paraId="3C248C16">
      <w:pPr>
        <w:ind w:firstLine="643"/>
        <w:rPr>
          <w:rFonts w:ascii="宋体" w:hAnsi="宋体"/>
          <w:b/>
          <w:color w:val="000000" w:themeColor="text1"/>
          <w:sz w:val="32"/>
          <w:highlight w:val="none"/>
          <w:u w:val="single"/>
          <w14:textFill>
            <w14:solidFill>
              <w14:schemeClr w14:val="tx1"/>
            </w14:solidFill>
          </w14:textFill>
        </w:rPr>
      </w:pPr>
    </w:p>
    <w:p w14:paraId="2ADE7DA4">
      <w:pPr>
        <w:pStyle w:val="60"/>
        <w:tabs>
          <w:tab w:val="clear" w:pos="120"/>
        </w:tabs>
        <w:spacing w:line="480" w:lineRule="exact"/>
        <w:ind w:left="0" w:right="-147"/>
        <w:jc w:val="center"/>
        <w:outlineLvl w:val="9"/>
        <w:rPr>
          <w:b/>
          <w:color w:val="000000" w:themeColor="text1"/>
          <w:highlight w:val="none"/>
          <w14:textFill>
            <w14:solidFill>
              <w14:schemeClr w14:val="tx1"/>
            </w14:solidFill>
          </w14:textFill>
        </w:rPr>
      </w:pPr>
    </w:p>
    <w:bookmarkEnd w:id="395"/>
    <w:bookmarkEnd w:id="396"/>
    <w:bookmarkEnd w:id="397"/>
    <w:bookmarkEnd w:id="398"/>
    <w:p w14:paraId="362DF206">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598625CA">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7463287E">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0A0B128E">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4CDB1189">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095335CB">
      <w:pPr>
        <w:keepNext/>
        <w:keepLines/>
        <w:pBdr>
          <w:top w:val="none" w:color="auto" w:sz="0" w:space="1"/>
          <w:left w:val="none" w:color="auto" w:sz="0" w:space="4"/>
          <w:bottom w:val="none" w:color="auto" w:sz="0" w:space="1"/>
          <w:right w:val="none" w:color="auto" w:sz="0" w:space="4"/>
        </w:pBdr>
        <w:adjustRightInd w:val="0"/>
        <w:snapToGrid w:val="0"/>
        <w:spacing w:before="20" w:after="20" w:line="360" w:lineRule="auto"/>
        <w:ind w:left="0" w:leftChars="0" w:firstLine="0" w:firstLineChars="0"/>
        <w:outlineLvl w:val="1"/>
        <w:rPr>
          <w:rFonts w:hint="eastAsia" w:ascii="宋体" w:hAnsi="宋体"/>
          <w:b/>
          <w:bCs/>
          <w:color w:val="000000" w:themeColor="text1"/>
          <w:kern w:val="2"/>
          <w:sz w:val="24"/>
          <w:szCs w:val="24"/>
          <w:highlight w:val="none"/>
          <w14:textFill>
            <w14:solidFill>
              <w14:schemeClr w14:val="tx1"/>
            </w14:solidFill>
          </w14:textFill>
        </w:rPr>
      </w:pPr>
      <w:bookmarkStart w:id="399" w:name="_Toc11075"/>
    </w:p>
    <w:p w14:paraId="23C4DE3D">
      <w:pPr>
        <w:pStyle w:val="8"/>
        <w:rPr>
          <w:rFonts w:hint="eastAsia" w:ascii="宋体" w:hAnsi="宋体"/>
          <w:b/>
          <w:bCs/>
          <w:color w:val="000000" w:themeColor="text1"/>
          <w:kern w:val="2"/>
          <w:sz w:val="24"/>
          <w:szCs w:val="24"/>
          <w:highlight w:val="none"/>
          <w14:textFill>
            <w14:solidFill>
              <w14:schemeClr w14:val="tx1"/>
            </w14:solidFill>
          </w14:textFill>
        </w:rPr>
      </w:pPr>
    </w:p>
    <w:p w14:paraId="712A562E">
      <w:pPr>
        <w:pStyle w:val="8"/>
        <w:rPr>
          <w:rFonts w:hint="eastAsia" w:ascii="宋体" w:hAnsi="宋体"/>
          <w:b/>
          <w:bCs/>
          <w:color w:val="000000" w:themeColor="text1"/>
          <w:kern w:val="2"/>
          <w:sz w:val="24"/>
          <w:szCs w:val="24"/>
          <w:highlight w:val="none"/>
          <w14:textFill>
            <w14:solidFill>
              <w14:schemeClr w14:val="tx1"/>
            </w14:solidFill>
          </w14:textFill>
        </w:rPr>
      </w:pPr>
    </w:p>
    <w:p w14:paraId="6D14B57B">
      <w:pPr>
        <w:pStyle w:val="8"/>
        <w:rPr>
          <w:rFonts w:hint="eastAsia" w:ascii="宋体" w:hAnsi="宋体"/>
          <w:b/>
          <w:bCs/>
          <w:color w:val="000000" w:themeColor="text1"/>
          <w:kern w:val="2"/>
          <w:sz w:val="24"/>
          <w:szCs w:val="24"/>
          <w:highlight w:val="none"/>
          <w14:textFill>
            <w14:solidFill>
              <w14:schemeClr w14:val="tx1"/>
            </w14:solidFill>
          </w14:textFill>
        </w:rPr>
      </w:pPr>
    </w:p>
    <w:bookmarkEnd w:id="399"/>
    <w:p w14:paraId="440DF98E">
      <w:pPr>
        <w:pStyle w:val="4"/>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微软雅黑" w:hAnsi="微软雅黑" w:eastAsia="微软雅黑" w:cs="微软雅黑"/>
          <w:sz w:val="44"/>
          <w:szCs w:val="44"/>
        </w:rPr>
      </w:pPr>
      <w:bookmarkStart w:id="400" w:name="_Toc17186"/>
      <w:r>
        <w:rPr>
          <w:rFonts w:hint="eastAsia" w:ascii="微软雅黑" w:hAnsi="微软雅黑" w:eastAsia="微软雅黑" w:cs="微软雅黑"/>
          <w:sz w:val="44"/>
          <w:szCs w:val="44"/>
        </w:rPr>
        <w:t>项目概况及服务要求</w:t>
      </w:r>
      <w:bookmarkEnd w:id="400"/>
    </w:p>
    <w:p w14:paraId="1E341113">
      <w:pPr>
        <w:numPr>
          <w:ilvl w:val="0"/>
          <w:numId w:val="0"/>
        </w:numPr>
        <w:rPr>
          <w:rFonts w:hint="eastAsia"/>
          <w:b/>
          <w:bCs/>
          <w:color w:val="auto"/>
          <w:sz w:val="32"/>
          <w:szCs w:val="40"/>
          <w:lang w:val="en-US" w:eastAsia="zh-CN"/>
        </w:rPr>
      </w:pPr>
      <w:r>
        <w:rPr>
          <w:rFonts w:hint="eastAsia" w:ascii="Calibri" w:hAnsi="Calibri" w:eastAsia="宋体" w:cs="Times New Roman"/>
          <w:b/>
          <w:bCs/>
          <w:color w:val="auto"/>
          <w:sz w:val="32"/>
          <w:szCs w:val="40"/>
          <w:lang w:val="en-US" w:eastAsia="zh-CN" w:bidi="ar-SA"/>
        </w:rPr>
        <w:t>1、</w:t>
      </w:r>
      <w:r>
        <w:rPr>
          <w:rFonts w:hint="eastAsia"/>
          <w:b/>
          <w:bCs/>
          <w:color w:val="auto"/>
          <w:sz w:val="32"/>
          <w:szCs w:val="40"/>
          <w:lang w:val="en-US" w:eastAsia="zh-CN"/>
        </w:rPr>
        <w:t>服务内容</w:t>
      </w:r>
    </w:p>
    <w:p w14:paraId="3E650852">
      <w:pPr>
        <w:numPr>
          <w:ilvl w:val="0"/>
          <w:numId w:val="0"/>
        </w:numPr>
        <w:rPr>
          <w:rFonts w:hint="eastAsia"/>
          <w:b/>
          <w:bCs/>
          <w:color w:val="auto"/>
          <w:sz w:val="32"/>
          <w:szCs w:val="40"/>
          <w:lang w:val="en-US" w:eastAsia="zh-CN"/>
        </w:rPr>
      </w:pPr>
      <w:r>
        <w:rPr>
          <w:rFonts w:hint="eastAsia" w:ascii="Calibri" w:hAnsi="Calibri" w:eastAsia="宋体" w:cs="Times New Roman"/>
          <w:b/>
          <w:bCs/>
          <w:color w:val="auto"/>
          <w:sz w:val="32"/>
          <w:szCs w:val="40"/>
          <w:lang w:val="en-US" w:eastAsia="zh-CN" w:bidi="ar-SA"/>
        </w:rPr>
        <w:t>（1）</w:t>
      </w:r>
      <w:r>
        <w:rPr>
          <w:rFonts w:hint="eastAsia"/>
          <w:b/>
          <w:bCs/>
          <w:color w:val="auto"/>
          <w:sz w:val="32"/>
          <w:szCs w:val="40"/>
          <w:lang w:val="en-US" w:eastAsia="zh-CN"/>
        </w:rPr>
        <w:t>称多县污水处理厂监督性监测</w:t>
      </w:r>
    </w:p>
    <w:p w14:paraId="3DA9E0F6">
      <w:pPr>
        <w:numPr>
          <w:ilvl w:val="0"/>
          <w:numId w:val="0"/>
        </w:numPr>
        <w:rPr>
          <w:rFonts w:hint="eastAsia"/>
          <w:color w:val="auto"/>
          <w:sz w:val="32"/>
          <w:szCs w:val="40"/>
          <w:lang w:val="en-US" w:eastAsia="zh-CN"/>
        </w:rPr>
      </w:pPr>
      <w:r>
        <w:rPr>
          <w:rFonts w:hint="eastAsia"/>
          <w:color w:val="auto"/>
          <w:sz w:val="32"/>
          <w:szCs w:val="40"/>
          <w:lang w:val="en-US" w:eastAsia="zh-CN"/>
        </w:rPr>
        <w:t>1.1监测点位：称多县污水处理厂</w:t>
      </w:r>
    </w:p>
    <w:p w14:paraId="48778D09">
      <w:pPr>
        <w:numPr>
          <w:ilvl w:val="0"/>
          <w:numId w:val="0"/>
        </w:numPr>
        <w:rPr>
          <w:rFonts w:hint="default"/>
          <w:color w:val="auto"/>
          <w:sz w:val="32"/>
          <w:szCs w:val="40"/>
          <w:lang w:val="en-US" w:eastAsia="zh-CN"/>
        </w:rPr>
      </w:pPr>
      <w:r>
        <w:rPr>
          <w:rFonts w:hint="eastAsia"/>
          <w:color w:val="auto"/>
          <w:sz w:val="32"/>
          <w:szCs w:val="40"/>
          <w:lang w:val="en-US" w:eastAsia="zh-CN"/>
        </w:rPr>
        <w:t>1.2监测内容：称多县污水处理厂（废水、无组织废气、噪声）监测</w:t>
      </w:r>
    </w:p>
    <w:p w14:paraId="660AAAF0">
      <w:pPr>
        <w:numPr>
          <w:ilvl w:val="0"/>
          <w:numId w:val="0"/>
        </w:numPr>
        <w:rPr>
          <w:rFonts w:hint="eastAsia"/>
          <w:color w:val="auto"/>
          <w:sz w:val="32"/>
          <w:szCs w:val="40"/>
          <w:lang w:val="en-US" w:eastAsia="zh-CN"/>
        </w:rPr>
      </w:pPr>
      <w:r>
        <w:rPr>
          <w:rFonts w:hint="eastAsia"/>
          <w:color w:val="auto"/>
          <w:sz w:val="32"/>
          <w:szCs w:val="40"/>
          <w:lang w:val="en-US" w:eastAsia="zh-CN"/>
        </w:rPr>
        <w:t>1.3监测因子：</w:t>
      </w:r>
    </w:p>
    <w:p w14:paraId="2ED2062A">
      <w:pPr>
        <w:numPr>
          <w:ilvl w:val="0"/>
          <w:numId w:val="0"/>
        </w:numPr>
        <w:rPr>
          <w:rFonts w:hint="eastAsia"/>
          <w:b w:val="0"/>
          <w:bCs w:val="0"/>
          <w:color w:val="auto"/>
          <w:sz w:val="32"/>
          <w:szCs w:val="40"/>
          <w:lang w:val="en-US" w:eastAsia="zh-CN"/>
        </w:rPr>
      </w:pPr>
      <w:r>
        <w:rPr>
          <w:rFonts w:hint="eastAsia"/>
          <w:b w:val="0"/>
          <w:bCs w:val="0"/>
          <w:color w:val="auto"/>
          <w:sz w:val="32"/>
          <w:szCs w:val="40"/>
          <w:lang w:val="en-US" w:eastAsia="zh-CN"/>
        </w:rPr>
        <w:t>废水进口、水温，氨氮、COD.共3项</w:t>
      </w:r>
    </w:p>
    <w:p w14:paraId="4E061E04">
      <w:pPr>
        <w:numPr>
          <w:ilvl w:val="0"/>
          <w:numId w:val="0"/>
        </w:numPr>
        <w:rPr>
          <w:rFonts w:hint="eastAsia"/>
          <w:b w:val="0"/>
          <w:bCs w:val="0"/>
          <w:color w:val="auto"/>
          <w:sz w:val="32"/>
          <w:szCs w:val="40"/>
          <w:lang w:val="en-US" w:eastAsia="zh-CN"/>
        </w:rPr>
      </w:pPr>
      <w:r>
        <w:rPr>
          <w:rFonts w:hint="eastAsia"/>
          <w:b w:val="0"/>
          <w:bCs w:val="0"/>
          <w:color w:val="auto"/>
          <w:sz w:val="32"/>
          <w:szCs w:val="40"/>
          <w:lang w:val="en-US" w:eastAsia="zh-CN"/>
        </w:rPr>
        <w:t>废水出口：水温、pH值、流量、化学需氧量、五日生化需氧量、悬浮物、总磷、阴离子表面活性剂、总氮、氨氮、砷、石油类、动植物油、色度、总汞、总铬、六价铬、总镉、总铅、粪大肠菌群、烷基汞，共21项。</w:t>
      </w:r>
    </w:p>
    <w:p w14:paraId="1AB47FCA">
      <w:pPr>
        <w:numPr>
          <w:ilvl w:val="0"/>
          <w:numId w:val="0"/>
        </w:numPr>
        <w:rPr>
          <w:rFonts w:hint="eastAsia"/>
          <w:b w:val="0"/>
          <w:bCs w:val="0"/>
          <w:color w:val="auto"/>
          <w:sz w:val="32"/>
          <w:szCs w:val="40"/>
          <w:lang w:val="en-US" w:eastAsia="zh-CN"/>
        </w:rPr>
      </w:pPr>
      <w:r>
        <w:rPr>
          <w:rFonts w:hint="eastAsia"/>
          <w:b w:val="0"/>
          <w:bCs w:val="0"/>
          <w:color w:val="auto"/>
          <w:sz w:val="32"/>
          <w:szCs w:val="40"/>
          <w:lang w:val="en-US" w:eastAsia="zh-CN"/>
        </w:rPr>
        <w:t>无组织废气：氨气、硫化氢、臭气浓度，共3项。</w:t>
      </w:r>
    </w:p>
    <w:p w14:paraId="48D3D1DC">
      <w:pPr>
        <w:numPr>
          <w:ilvl w:val="0"/>
          <w:numId w:val="0"/>
        </w:numPr>
        <w:rPr>
          <w:rFonts w:hint="default"/>
          <w:b w:val="0"/>
          <w:bCs w:val="0"/>
          <w:color w:val="auto"/>
          <w:sz w:val="32"/>
          <w:szCs w:val="40"/>
          <w:lang w:val="en-US" w:eastAsia="zh-CN"/>
        </w:rPr>
      </w:pPr>
      <w:r>
        <w:rPr>
          <w:rFonts w:hint="eastAsia"/>
          <w:b w:val="0"/>
          <w:bCs w:val="0"/>
          <w:color w:val="auto"/>
          <w:sz w:val="32"/>
          <w:szCs w:val="40"/>
          <w:lang w:val="en-US" w:eastAsia="zh-CN"/>
        </w:rPr>
        <w:t>噪声：厂界噪声，共1项。</w:t>
      </w:r>
    </w:p>
    <w:p w14:paraId="2395761A">
      <w:pPr>
        <w:numPr>
          <w:ilvl w:val="0"/>
          <w:numId w:val="0"/>
        </w:numPr>
        <w:rPr>
          <w:rFonts w:hint="eastAsia"/>
          <w:color w:val="auto"/>
          <w:sz w:val="32"/>
          <w:szCs w:val="40"/>
          <w:lang w:val="en-US" w:eastAsia="zh-CN"/>
        </w:rPr>
      </w:pPr>
      <w:r>
        <w:rPr>
          <w:rFonts w:hint="eastAsia"/>
          <w:color w:val="auto"/>
          <w:sz w:val="32"/>
          <w:szCs w:val="40"/>
          <w:lang w:val="en-US" w:eastAsia="zh-CN"/>
        </w:rPr>
        <w:t>1.4监测频次：</w:t>
      </w:r>
    </w:p>
    <w:p w14:paraId="4FD0EC91">
      <w:pPr>
        <w:numPr>
          <w:ilvl w:val="0"/>
          <w:numId w:val="0"/>
        </w:numPr>
        <w:rPr>
          <w:rFonts w:hint="eastAsia"/>
          <w:color w:val="auto"/>
          <w:sz w:val="32"/>
          <w:szCs w:val="32"/>
          <w:lang w:val="en-US" w:eastAsia="zh-CN"/>
        </w:rPr>
      </w:pPr>
      <w:r>
        <w:rPr>
          <w:rFonts w:hint="eastAsia"/>
          <w:color w:val="auto"/>
          <w:sz w:val="32"/>
          <w:szCs w:val="40"/>
          <w:lang w:val="en-US" w:eastAsia="zh-CN"/>
        </w:rPr>
        <w:t>废水：一季度一次，全年 4 次；每季度检测1天，</w:t>
      </w:r>
      <w:r>
        <w:rPr>
          <w:rFonts w:hint="eastAsia" w:ascii="宋体" w:hAnsi="宋体" w:cs="宋体"/>
          <w:color w:val="auto"/>
          <w:sz w:val="32"/>
          <w:szCs w:val="32"/>
          <w:lang w:val="en-US" w:eastAsia="zh-CN"/>
        </w:rPr>
        <w:t>1次/2小时</w:t>
      </w:r>
      <w:r>
        <w:rPr>
          <w:rFonts w:hint="eastAsia"/>
          <w:color w:val="auto"/>
          <w:sz w:val="32"/>
          <w:szCs w:val="32"/>
          <w:lang w:val="en-US" w:eastAsia="zh-CN"/>
        </w:rPr>
        <w:t>。</w:t>
      </w:r>
    </w:p>
    <w:p w14:paraId="739F7857">
      <w:pPr>
        <w:numPr>
          <w:ilvl w:val="0"/>
          <w:numId w:val="0"/>
        </w:numPr>
        <w:rPr>
          <w:rFonts w:hint="eastAsia"/>
          <w:color w:val="auto"/>
          <w:sz w:val="32"/>
          <w:szCs w:val="40"/>
          <w:lang w:val="en-US" w:eastAsia="zh-CN"/>
        </w:rPr>
      </w:pPr>
      <w:r>
        <w:rPr>
          <w:rFonts w:hint="eastAsia"/>
          <w:color w:val="auto"/>
          <w:sz w:val="32"/>
          <w:szCs w:val="40"/>
          <w:lang w:val="en-US" w:eastAsia="zh-CN"/>
        </w:rPr>
        <w:t>废气：一季度一次，全年 4 次；每季度检测1天，4次/天。</w:t>
      </w:r>
    </w:p>
    <w:p w14:paraId="621534FF">
      <w:pPr>
        <w:numPr>
          <w:ilvl w:val="0"/>
          <w:numId w:val="0"/>
        </w:numPr>
        <w:rPr>
          <w:rFonts w:hint="eastAsia"/>
          <w:color w:val="auto"/>
          <w:sz w:val="32"/>
          <w:szCs w:val="40"/>
          <w:lang w:val="en-US" w:eastAsia="zh-CN"/>
        </w:rPr>
      </w:pPr>
      <w:r>
        <w:rPr>
          <w:rFonts w:hint="eastAsia"/>
          <w:color w:val="auto"/>
          <w:sz w:val="32"/>
          <w:szCs w:val="40"/>
          <w:lang w:val="en-US" w:eastAsia="zh-CN"/>
        </w:rPr>
        <w:t>噪声：一季度一次，全年 4 次；每季度检测1天，昼夜各1次/天。</w:t>
      </w:r>
    </w:p>
    <w:p w14:paraId="73809045">
      <w:pPr>
        <w:numPr>
          <w:ilvl w:val="0"/>
          <w:numId w:val="0"/>
        </w:numPr>
        <w:ind w:left="0" w:leftChars="0" w:firstLine="0" w:firstLineChars="0"/>
        <w:rPr>
          <w:rFonts w:hint="eastAsia"/>
          <w:b/>
          <w:bCs/>
          <w:color w:val="auto"/>
          <w:sz w:val="32"/>
          <w:szCs w:val="40"/>
          <w:lang w:val="en-US" w:eastAsia="zh-CN"/>
        </w:rPr>
      </w:pPr>
      <w:r>
        <w:rPr>
          <w:rFonts w:hint="eastAsia" w:ascii="Calibri" w:hAnsi="Calibri" w:eastAsia="宋体" w:cs="Times New Roman"/>
          <w:b/>
          <w:bCs/>
          <w:color w:val="auto"/>
          <w:sz w:val="32"/>
          <w:szCs w:val="40"/>
          <w:lang w:val="en-US" w:eastAsia="zh-CN" w:bidi="ar-SA"/>
        </w:rPr>
        <w:t>（2）</w:t>
      </w:r>
      <w:r>
        <w:rPr>
          <w:rFonts w:hint="eastAsia"/>
          <w:b/>
          <w:bCs/>
          <w:color w:val="auto"/>
          <w:sz w:val="32"/>
          <w:szCs w:val="40"/>
          <w:lang w:val="en-US" w:eastAsia="zh-CN"/>
        </w:rPr>
        <w:t>称多县垃圾填埋场监督性监测</w:t>
      </w:r>
    </w:p>
    <w:p w14:paraId="1B4DD161">
      <w:pPr>
        <w:numPr>
          <w:ilvl w:val="0"/>
          <w:numId w:val="0"/>
        </w:numPr>
        <w:rPr>
          <w:rFonts w:hint="eastAsia"/>
          <w:color w:val="auto"/>
          <w:sz w:val="32"/>
          <w:szCs w:val="40"/>
          <w:lang w:val="en-US" w:eastAsia="zh-CN"/>
        </w:rPr>
      </w:pPr>
      <w:r>
        <w:rPr>
          <w:rFonts w:hint="eastAsia"/>
          <w:color w:val="auto"/>
          <w:sz w:val="32"/>
          <w:szCs w:val="40"/>
          <w:lang w:val="en-US" w:eastAsia="zh-CN"/>
        </w:rPr>
        <w:t>2.1监测点位：</w:t>
      </w:r>
      <w:r>
        <w:rPr>
          <w:rFonts w:hint="eastAsia"/>
          <w:b w:val="0"/>
          <w:bCs w:val="0"/>
          <w:color w:val="auto"/>
          <w:sz w:val="32"/>
          <w:szCs w:val="40"/>
          <w:lang w:val="en-US" w:eastAsia="zh-CN"/>
        </w:rPr>
        <w:t>称多县垃圾填埋场</w:t>
      </w:r>
    </w:p>
    <w:p w14:paraId="23B9A2E1">
      <w:pPr>
        <w:numPr>
          <w:ilvl w:val="0"/>
          <w:numId w:val="0"/>
        </w:numPr>
        <w:rPr>
          <w:rFonts w:hint="default"/>
          <w:color w:val="auto"/>
          <w:sz w:val="32"/>
          <w:szCs w:val="40"/>
          <w:lang w:val="en-US" w:eastAsia="zh-CN"/>
        </w:rPr>
      </w:pPr>
      <w:r>
        <w:rPr>
          <w:rFonts w:hint="eastAsia"/>
          <w:color w:val="auto"/>
          <w:sz w:val="32"/>
          <w:szCs w:val="40"/>
          <w:lang w:val="en-US" w:eastAsia="zh-CN"/>
        </w:rPr>
        <w:t>2.2监测内容：称多县垃圾填埋场（土壤、无组织废气、噪声）监测</w:t>
      </w:r>
    </w:p>
    <w:p w14:paraId="1A4D6B17">
      <w:pPr>
        <w:numPr>
          <w:ilvl w:val="0"/>
          <w:numId w:val="0"/>
        </w:numPr>
        <w:rPr>
          <w:rFonts w:hint="eastAsia"/>
          <w:color w:val="auto"/>
          <w:sz w:val="32"/>
          <w:szCs w:val="32"/>
          <w:lang w:val="en-US" w:eastAsia="zh-CN"/>
        </w:rPr>
      </w:pPr>
      <w:r>
        <w:rPr>
          <w:rFonts w:hint="eastAsia"/>
          <w:color w:val="auto"/>
          <w:sz w:val="32"/>
          <w:szCs w:val="40"/>
          <w:lang w:val="en-US" w:eastAsia="zh-CN"/>
        </w:rPr>
        <w:t>2.3监测</w:t>
      </w:r>
      <w:r>
        <w:rPr>
          <w:rFonts w:hint="eastAsia"/>
          <w:color w:val="auto"/>
          <w:sz w:val="32"/>
          <w:szCs w:val="32"/>
          <w:lang w:val="en-US" w:eastAsia="zh-CN"/>
        </w:rPr>
        <w:t>因子：</w:t>
      </w:r>
    </w:p>
    <w:p w14:paraId="34A8BF38">
      <w:pPr>
        <w:numPr>
          <w:ilvl w:val="0"/>
          <w:numId w:val="0"/>
        </w:numPr>
        <w:rPr>
          <w:rFonts w:hint="eastAsia"/>
          <w:color w:val="auto"/>
          <w:sz w:val="32"/>
          <w:szCs w:val="32"/>
          <w:lang w:val="en-US" w:eastAsia="zh-CN"/>
        </w:rPr>
      </w:pPr>
      <w:r>
        <w:rPr>
          <w:rFonts w:hint="eastAsia"/>
          <w:color w:val="auto"/>
          <w:sz w:val="32"/>
          <w:szCs w:val="32"/>
          <w:lang w:val="en-US" w:eastAsia="zh-CN"/>
        </w:rPr>
        <w:t>土壤：</w:t>
      </w:r>
      <w:r>
        <w:rPr>
          <w:rFonts w:hint="eastAsia" w:ascii="宋体" w:hAnsi="宋体" w:eastAsia="宋体" w:cs="宋体"/>
          <w:color w:val="auto"/>
          <w:sz w:val="32"/>
          <w:szCs w:val="32"/>
          <w:lang w:val="zh-CN"/>
        </w:rPr>
        <w:t>pH、</w:t>
      </w:r>
      <w:r>
        <w:rPr>
          <w:rFonts w:hint="eastAsia" w:ascii="宋体" w:hAnsi="宋体" w:cs="宋体"/>
          <w:color w:val="auto"/>
          <w:sz w:val="32"/>
          <w:szCs w:val="32"/>
          <w:lang w:val="zh-CN"/>
        </w:rPr>
        <w:t>铜、</w:t>
      </w:r>
      <w:r>
        <w:rPr>
          <w:rFonts w:hint="eastAsia" w:ascii="宋体" w:hAnsi="宋体" w:eastAsia="宋体" w:cs="宋体"/>
          <w:color w:val="auto"/>
          <w:sz w:val="32"/>
          <w:szCs w:val="32"/>
          <w:lang w:val="zh-CN"/>
        </w:rPr>
        <w:t>铅、锌、镉、铬、</w:t>
      </w:r>
      <w:r>
        <w:rPr>
          <w:rFonts w:hint="eastAsia" w:ascii="宋体" w:hAnsi="宋体" w:cs="宋体"/>
          <w:color w:val="auto"/>
          <w:sz w:val="32"/>
          <w:szCs w:val="32"/>
          <w:lang w:val="zh-CN"/>
        </w:rPr>
        <w:t>镍、</w:t>
      </w:r>
      <w:r>
        <w:rPr>
          <w:rFonts w:hint="eastAsia" w:ascii="宋体" w:hAnsi="宋体" w:eastAsia="宋体" w:cs="宋体"/>
          <w:color w:val="auto"/>
          <w:sz w:val="32"/>
          <w:szCs w:val="32"/>
          <w:lang w:val="zh-CN"/>
        </w:rPr>
        <w:t>汞、砷，共计</w:t>
      </w:r>
      <w:r>
        <w:rPr>
          <w:rFonts w:hint="eastAsia" w:ascii="宋体" w:hAnsi="宋体" w:cs="宋体"/>
          <w:color w:val="auto"/>
          <w:sz w:val="32"/>
          <w:szCs w:val="32"/>
          <w:lang w:val="en-US" w:eastAsia="zh-CN"/>
        </w:rPr>
        <w:t>9</w:t>
      </w:r>
      <w:r>
        <w:rPr>
          <w:rFonts w:hint="eastAsia" w:ascii="宋体" w:hAnsi="宋体" w:eastAsia="宋体" w:cs="宋体"/>
          <w:color w:val="auto"/>
          <w:sz w:val="32"/>
          <w:szCs w:val="32"/>
          <w:lang w:val="zh-CN"/>
        </w:rPr>
        <w:t>项。</w:t>
      </w:r>
    </w:p>
    <w:p w14:paraId="7DC08592">
      <w:pPr>
        <w:numPr>
          <w:ilvl w:val="0"/>
          <w:numId w:val="0"/>
        </w:numPr>
        <w:rPr>
          <w:rFonts w:hint="eastAsia"/>
          <w:color w:val="auto"/>
          <w:sz w:val="32"/>
          <w:szCs w:val="40"/>
          <w:lang w:val="en-US" w:eastAsia="zh-CN"/>
        </w:rPr>
      </w:pPr>
      <w:r>
        <w:rPr>
          <w:rFonts w:hint="eastAsia"/>
          <w:color w:val="auto"/>
          <w:sz w:val="32"/>
          <w:szCs w:val="40"/>
          <w:lang w:val="en-US" w:eastAsia="zh-CN"/>
        </w:rPr>
        <w:t>无组织废气：H</w:t>
      </w:r>
      <w:r>
        <w:rPr>
          <w:rFonts w:hint="eastAsia"/>
          <w:color w:val="auto"/>
          <w:sz w:val="32"/>
          <w:szCs w:val="40"/>
          <w:vertAlign w:val="subscript"/>
          <w:lang w:val="en-US" w:eastAsia="zh-CN"/>
        </w:rPr>
        <w:t>2</w:t>
      </w:r>
      <w:r>
        <w:rPr>
          <w:rFonts w:hint="eastAsia"/>
          <w:color w:val="auto"/>
          <w:sz w:val="32"/>
          <w:szCs w:val="40"/>
          <w:lang w:val="en-US" w:eastAsia="zh-CN"/>
        </w:rPr>
        <w:t>S、NH</w:t>
      </w:r>
      <w:r>
        <w:rPr>
          <w:rFonts w:hint="eastAsia"/>
          <w:color w:val="auto"/>
          <w:sz w:val="32"/>
          <w:szCs w:val="40"/>
          <w:vertAlign w:val="subscript"/>
          <w:lang w:val="en-US" w:eastAsia="zh-CN"/>
        </w:rPr>
        <w:t>3</w:t>
      </w:r>
      <w:r>
        <w:rPr>
          <w:rFonts w:hint="eastAsia"/>
          <w:color w:val="auto"/>
          <w:sz w:val="32"/>
          <w:szCs w:val="40"/>
          <w:lang w:val="en-US" w:eastAsia="zh-CN"/>
        </w:rPr>
        <w:t>、颗粒物，共3项。</w:t>
      </w:r>
    </w:p>
    <w:p w14:paraId="1D3B4C06">
      <w:pPr>
        <w:pStyle w:val="2"/>
        <w:ind w:left="0" w:leftChars="0" w:firstLine="0" w:firstLineChars="0"/>
        <w:rPr>
          <w:rFonts w:hint="eastAsia" w:ascii="Calibri" w:hAnsi="Calibri" w:eastAsia="宋体" w:cs="Times New Roman"/>
          <w:color w:val="auto"/>
          <w:kern w:val="2"/>
          <w:sz w:val="32"/>
          <w:szCs w:val="40"/>
          <w:lang w:val="en-US" w:eastAsia="zh-CN" w:bidi="ar-SA"/>
        </w:rPr>
      </w:pPr>
      <w:r>
        <w:rPr>
          <w:rFonts w:hint="eastAsia" w:ascii="Calibri" w:hAnsi="Calibri" w:eastAsia="宋体" w:cs="Times New Roman"/>
          <w:color w:val="auto"/>
          <w:kern w:val="2"/>
          <w:sz w:val="32"/>
          <w:szCs w:val="40"/>
          <w:lang w:val="en-US" w:eastAsia="zh-CN" w:bidi="ar-SA"/>
        </w:rPr>
        <w:t>废水：</w:t>
      </w:r>
      <w:r>
        <w:rPr>
          <w:rFonts w:hint="eastAsia" w:ascii="Calibri" w:hAnsi="Calibri" w:eastAsia="宋体" w:cs="Times New Roman"/>
          <w:color w:val="auto"/>
          <w:kern w:val="2"/>
          <w:sz w:val="32"/>
          <w:szCs w:val="40"/>
          <w:lang w:val="zh-CN" w:eastAsia="zh-CN" w:bidi="ar-SA"/>
        </w:rPr>
        <w:t>水温、pH、色度、化学需氧量、五日生化需氧量、悬浮物、氨氮、总氮、总磷、粪大肠菌群、六价铬、总汞、总砷、总铅、总镉、总铬，共计</w:t>
      </w:r>
      <w:r>
        <w:rPr>
          <w:rFonts w:hint="eastAsia" w:ascii="Calibri" w:hAnsi="Calibri" w:eastAsia="宋体" w:cs="Times New Roman"/>
          <w:color w:val="auto"/>
          <w:kern w:val="2"/>
          <w:sz w:val="32"/>
          <w:szCs w:val="40"/>
          <w:lang w:val="en-US" w:eastAsia="zh-CN" w:bidi="ar-SA"/>
        </w:rPr>
        <w:t>16</w:t>
      </w:r>
      <w:r>
        <w:rPr>
          <w:rFonts w:hint="eastAsia" w:ascii="Calibri" w:hAnsi="Calibri" w:eastAsia="宋体" w:cs="Times New Roman"/>
          <w:color w:val="auto"/>
          <w:kern w:val="2"/>
          <w:sz w:val="32"/>
          <w:szCs w:val="40"/>
          <w:lang w:val="zh-CN" w:eastAsia="zh-CN" w:bidi="ar-SA"/>
        </w:rPr>
        <w:t>项。</w:t>
      </w:r>
    </w:p>
    <w:p w14:paraId="15C1CD9E">
      <w:pPr>
        <w:numPr>
          <w:ilvl w:val="0"/>
          <w:numId w:val="0"/>
        </w:numPr>
        <w:rPr>
          <w:rFonts w:hint="default"/>
          <w:b w:val="0"/>
          <w:bCs w:val="0"/>
          <w:color w:val="auto"/>
          <w:sz w:val="32"/>
          <w:szCs w:val="40"/>
          <w:lang w:val="en-US" w:eastAsia="zh-CN"/>
        </w:rPr>
      </w:pPr>
      <w:r>
        <w:rPr>
          <w:rFonts w:hint="eastAsia"/>
          <w:b w:val="0"/>
          <w:bCs w:val="0"/>
          <w:color w:val="auto"/>
          <w:sz w:val="32"/>
          <w:szCs w:val="40"/>
          <w:lang w:val="en-US" w:eastAsia="zh-CN"/>
        </w:rPr>
        <w:t>噪声：厂界噪声，共1项。</w:t>
      </w:r>
    </w:p>
    <w:p w14:paraId="6C22FB6C">
      <w:pPr>
        <w:numPr>
          <w:ilvl w:val="0"/>
          <w:numId w:val="0"/>
        </w:numPr>
        <w:rPr>
          <w:rFonts w:hint="eastAsia"/>
          <w:color w:val="auto"/>
          <w:sz w:val="32"/>
          <w:szCs w:val="40"/>
          <w:lang w:val="en-US" w:eastAsia="zh-CN"/>
        </w:rPr>
      </w:pPr>
      <w:r>
        <w:rPr>
          <w:rFonts w:hint="eastAsia"/>
          <w:color w:val="auto"/>
          <w:sz w:val="32"/>
          <w:szCs w:val="40"/>
          <w:lang w:val="en-US" w:eastAsia="zh-CN"/>
        </w:rPr>
        <w:t>2.4监测频次：</w:t>
      </w:r>
    </w:p>
    <w:p w14:paraId="1A23A839">
      <w:pPr>
        <w:numPr>
          <w:ilvl w:val="0"/>
          <w:numId w:val="0"/>
        </w:numPr>
        <w:rPr>
          <w:rFonts w:hint="eastAsia"/>
          <w:color w:val="auto"/>
          <w:sz w:val="32"/>
          <w:szCs w:val="40"/>
          <w:lang w:val="en-US" w:eastAsia="zh-CN"/>
        </w:rPr>
      </w:pPr>
      <w:r>
        <w:rPr>
          <w:rFonts w:hint="eastAsia"/>
          <w:color w:val="auto"/>
          <w:sz w:val="32"/>
          <w:szCs w:val="40"/>
          <w:lang w:val="en-US" w:eastAsia="zh-CN"/>
        </w:rPr>
        <w:t>土壤：一季度一次，全年 4 次；每季度检测1天，1次/天。</w:t>
      </w:r>
    </w:p>
    <w:p w14:paraId="4CCB29CE">
      <w:pPr>
        <w:numPr>
          <w:ilvl w:val="0"/>
          <w:numId w:val="0"/>
        </w:numPr>
        <w:rPr>
          <w:rFonts w:hint="eastAsia"/>
          <w:color w:val="auto"/>
          <w:sz w:val="32"/>
          <w:szCs w:val="40"/>
          <w:lang w:val="en-US" w:eastAsia="zh-CN"/>
        </w:rPr>
      </w:pPr>
      <w:r>
        <w:rPr>
          <w:rFonts w:hint="eastAsia"/>
          <w:color w:val="auto"/>
          <w:sz w:val="32"/>
          <w:szCs w:val="40"/>
          <w:lang w:val="en-US" w:eastAsia="zh-CN"/>
        </w:rPr>
        <w:t>无组织废气：一季度一次，全年 4 次；每季度检测1天，4次/天。</w:t>
      </w:r>
    </w:p>
    <w:p w14:paraId="5A0ABE9F">
      <w:pPr>
        <w:numPr>
          <w:ilvl w:val="0"/>
          <w:numId w:val="0"/>
        </w:numPr>
        <w:rPr>
          <w:rFonts w:hint="eastAsia"/>
          <w:color w:val="auto"/>
          <w:sz w:val="32"/>
          <w:szCs w:val="40"/>
          <w:lang w:val="en-US" w:eastAsia="zh-CN"/>
        </w:rPr>
      </w:pPr>
      <w:r>
        <w:rPr>
          <w:rFonts w:hint="eastAsia"/>
          <w:color w:val="auto"/>
          <w:sz w:val="32"/>
          <w:szCs w:val="40"/>
          <w:lang w:val="en-US" w:eastAsia="zh-CN"/>
        </w:rPr>
        <w:t>废水：一季度一次，全年 4 次；每季度检测1天，3次/天。</w:t>
      </w:r>
    </w:p>
    <w:p w14:paraId="59BB98D1">
      <w:pPr>
        <w:pStyle w:val="2"/>
        <w:rPr>
          <w:rFonts w:hint="eastAsia"/>
          <w:color w:val="auto"/>
          <w:lang w:val="en-US" w:eastAsia="zh-CN"/>
        </w:rPr>
      </w:pPr>
    </w:p>
    <w:p w14:paraId="2C82D546">
      <w:pPr>
        <w:numPr>
          <w:ilvl w:val="0"/>
          <w:numId w:val="0"/>
        </w:numPr>
        <w:rPr>
          <w:rFonts w:hint="eastAsia"/>
          <w:color w:val="auto"/>
          <w:sz w:val="32"/>
          <w:szCs w:val="40"/>
          <w:lang w:val="en-US" w:eastAsia="zh-CN"/>
        </w:rPr>
      </w:pPr>
      <w:r>
        <w:rPr>
          <w:rFonts w:hint="eastAsia"/>
          <w:color w:val="auto"/>
          <w:sz w:val="32"/>
          <w:szCs w:val="40"/>
          <w:lang w:val="en-US" w:eastAsia="zh-CN"/>
        </w:rPr>
        <w:t>噪声：一季度一次，全年 4 次；每季度检测1天，昼夜各1次/天。</w:t>
      </w:r>
    </w:p>
    <w:p w14:paraId="7E944F88">
      <w:pPr>
        <w:numPr>
          <w:ilvl w:val="0"/>
          <w:numId w:val="0"/>
        </w:numPr>
        <w:rPr>
          <w:rFonts w:hint="eastAsia"/>
          <w:color w:val="auto"/>
          <w:sz w:val="32"/>
          <w:szCs w:val="40"/>
          <w:lang w:val="en-US" w:eastAsia="zh-CN"/>
        </w:rPr>
      </w:pPr>
      <w:r>
        <w:rPr>
          <w:rFonts w:hint="eastAsia"/>
          <w:b/>
          <w:bCs/>
          <w:color w:val="auto"/>
          <w:sz w:val="32"/>
          <w:szCs w:val="40"/>
          <w:lang w:val="en-US" w:eastAsia="zh-CN"/>
        </w:rPr>
        <w:t>（3）农村环境质量监测</w:t>
      </w:r>
      <w:r>
        <w:rPr>
          <w:rFonts w:hint="eastAsia" w:eastAsia="宋体" w:cs="Times New Roman"/>
          <w:b/>
          <w:bCs/>
          <w:color w:val="auto"/>
          <w:sz w:val="32"/>
          <w:szCs w:val="40"/>
          <w:lang w:val="en-US" w:eastAsia="zh-CN"/>
        </w:rPr>
        <w:t>（</w:t>
      </w:r>
      <w:r>
        <w:rPr>
          <w:rFonts w:hint="eastAsia" w:eastAsia="宋体" w:cs="Times New Roman"/>
          <w:b/>
          <w:bCs/>
          <w:color w:val="auto"/>
          <w:sz w:val="32"/>
          <w:szCs w:val="40"/>
          <w:lang w:val="zh-CN" w:eastAsia="zh-CN"/>
        </w:rPr>
        <w:t>上庄</w:t>
      </w:r>
      <w:r>
        <w:rPr>
          <w:rFonts w:hint="eastAsia" w:eastAsia="宋体" w:cs="Times New Roman"/>
          <w:b/>
          <w:bCs/>
          <w:color w:val="auto"/>
          <w:sz w:val="32"/>
          <w:szCs w:val="40"/>
          <w:lang w:val="en-US" w:eastAsia="zh-CN"/>
        </w:rPr>
        <w:t>村</w:t>
      </w:r>
      <w:r>
        <w:rPr>
          <w:rFonts w:hint="eastAsia" w:eastAsia="宋体" w:cs="Times New Roman"/>
          <w:b/>
          <w:bCs/>
          <w:color w:val="auto"/>
          <w:sz w:val="32"/>
          <w:szCs w:val="40"/>
          <w:lang w:val="zh-CN" w:eastAsia="zh-CN"/>
        </w:rPr>
        <w:t>、歇武</w:t>
      </w:r>
      <w:r>
        <w:rPr>
          <w:rFonts w:hint="eastAsia" w:eastAsia="宋体" w:cs="Times New Roman"/>
          <w:b/>
          <w:bCs/>
          <w:color w:val="auto"/>
          <w:sz w:val="32"/>
          <w:szCs w:val="40"/>
          <w:lang w:val="en-US" w:eastAsia="zh-CN"/>
        </w:rPr>
        <w:t>村</w:t>
      </w:r>
      <w:r>
        <w:rPr>
          <w:rFonts w:hint="eastAsia" w:eastAsia="宋体" w:cs="Times New Roman"/>
          <w:b/>
          <w:bCs/>
          <w:color w:val="auto"/>
          <w:sz w:val="32"/>
          <w:szCs w:val="40"/>
          <w:lang w:val="zh-CN" w:eastAsia="zh-CN"/>
        </w:rPr>
        <w:t>、</w:t>
      </w:r>
      <w:r>
        <w:rPr>
          <w:rFonts w:hint="eastAsia" w:eastAsia="宋体" w:cs="Times New Roman"/>
          <w:b/>
          <w:bCs/>
          <w:color w:val="auto"/>
          <w:sz w:val="32"/>
          <w:szCs w:val="40"/>
          <w:lang w:val="en-US" w:eastAsia="zh-CN"/>
        </w:rPr>
        <w:t>清水河镇）</w:t>
      </w:r>
    </w:p>
    <w:p w14:paraId="7DAFAB3C">
      <w:pPr>
        <w:numPr>
          <w:ilvl w:val="0"/>
          <w:numId w:val="0"/>
        </w:numPr>
        <w:rPr>
          <w:rFonts w:hint="eastAsia" w:eastAsia="宋体" w:cs="Times New Roman"/>
          <w:b/>
          <w:bCs/>
          <w:color w:val="auto"/>
          <w:sz w:val="32"/>
          <w:szCs w:val="40"/>
          <w:lang w:val="zh-CN" w:eastAsia="zh-CN"/>
        </w:rPr>
      </w:pPr>
      <w:r>
        <w:rPr>
          <w:rFonts w:hint="eastAsia"/>
          <w:color w:val="auto"/>
          <w:sz w:val="32"/>
          <w:szCs w:val="40"/>
          <w:lang w:val="en-US" w:eastAsia="zh-CN"/>
        </w:rPr>
        <w:t>3.1监测点位：</w:t>
      </w:r>
      <w:r>
        <w:rPr>
          <w:rFonts w:hint="eastAsia" w:eastAsia="宋体" w:cs="Times New Roman"/>
          <w:b w:val="0"/>
          <w:bCs w:val="0"/>
          <w:color w:val="auto"/>
          <w:sz w:val="32"/>
          <w:szCs w:val="40"/>
          <w:lang w:val="zh-CN" w:eastAsia="zh-CN"/>
        </w:rPr>
        <w:t>上庄</w:t>
      </w:r>
      <w:r>
        <w:rPr>
          <w:rFonts w:hint="eastAsia" w:eastAsia="宋体" w:cs="Times New Roman"/>
          <w:b w:val="0"/>
          <w:bCs w:val="0"/>
          <w:color w:val="auto"/>
          <w:sz w:val="32"/>
          <w:szCs w:val="40"/>
          <w:lang w:val="en-US" w:eastAsia="zh-CN"/>
        </w:rPr>
        <w:t>村</w:t>
      </w:r>
      <w:r>
        <w:rPr>
          <w:rFonts w:hint="eastAsia" w:eastAsia="宋体" w:cs="Times New Roman"/>
          <w:b w:val="0"/>
          <w:bCs w:val="0"/>
          <w:color w:val="auto"/>
          <w:sz w:val="32"/>
          <w:szCs w:val="40"/>
          <w:lang w:val="zh-CN" w:eastAsia="zh-CN"/>
        </w:rPr>
        <w:t>、歇武</w:t>
      </w:r>
      <w:r>
        <w:rPr>
          <w:rFonts w:hint="eastAsia" w:eastAsia="宋体" w:cs="Times New Roman"/>
          <w:b w:val="0"/>
          <w:bCs w:val="0"/>
          <w:color w:val="auto"/>
          <w:sz w:val="32"/>
          <w:szCs w:val="40"/>
          <w:lang w:val="en-US" w:eastAsia="zh-CN"/>
        </w:rPr>
        <w:t>村，清水河镇</w:t>
      </w:r>
    </w:p>
    <w:p w14:paraId="487429D4">
      <w:pPr>
        <w:numPr>
          <w:ilvl w:val="0"/>
          <w:numId w:val="0"/>
        </w:numPr>
        <w:rPr>
          <w:rFonts w:hint="eastAsia"/>
          <w:color w:val="auto"/>
          <w:sz w:val="32"/>
          <w:szCs w:val="40"/>
          <w:lang w:val="en-US" w:eastAsia="zh-CN"/>
        </w:rPr>
      </w:pPr>
      <w:r>
        <w:rPr>
          <w:rFonts w:hint="eastAsia"/>
          <w:color w:val="auto"/>
          <w:sz w:val="32"/>
          <w:szCs w:val="40"/>
          <w:lang w:val="en-US" w:eastAsia="zh-CN"/>
        </w:rPr>
        <w:t>3.2监测内容：农村环境质量监测（环境空气）</w:t>
      </w:r>
    </w:p>
    <w:p w14:paraId="4BFE1832">
      <w:pPr>
        <w:numPr>
          <w:ilvl w:val="0"/>
          <w:numId w:val="0"/>
        </w:numPr>
        <w:rPr>
          <w:rFonts w:hint="eastAsia"/>
          <w:color w:val="auto"/>
          <w:sz w:val="32"/>
          <w:szCs w:val="40"/>
          <w:lang w:val="en-US" w:eastAsia="zh-CN"/>
        </w:rPr>
      </w:pPr>
      <w:r>
        <w:rPr>
          <w:rFonts w:hint="eastAsia"/>
          <w:color w:val="auto"/>
          <w:sz w:val="32"/>
          <w:szCs w:val="40"/>
          <w:lang w:val="en-US" w:eastAsia="zh-CN"/>
        </w:rPr>
        <w:t>3.3监测因子：</w:t>
      </w:r>
    </w:p>
    <w:p w14:paraId="2C14F54A">
      <w:pPr>
        <w:pStyle w:val="2"/>
        <w:ind w:left="0" w:leftChars="0" w:firstLine="0" w:firstLineChars="0"/>
        <w:rPr>
          <w:rFonts w:hint="default"/>
          <w:color w:val="auto"/>
          <w:sz w:val="32"/>
          <w:szCs w:val="40"/>
          <w:lang w:val="en-US" w:eastAsia="zh-CN"/>
        </w:rPr>
      </w:pPr>
      <w:r>
        <w:rPr>
          <w:rFonts w:hint="eastAsia"/>
          <w:color w:val="auto"/>
          <w:sz w:val="32"/>
          <w:szCs w:val="40"/>
          <w:lang w:val="en-US" w:eastAsia="zh-CN"/>
        </w:rPr>
        <w:t>环境空气：</w:t>
      </w:r>
      <w:r>
        <w:rPr>
          <w:rFonts w:hint="eastAsia" w:eastAsia="宋体" w:cs="Times New Roman"/>
          <w:color w:val="auto"/>
          <w:sz w:val="32"/>
          <w:szCs w:val="40"/>
          <w:lang w:val="zh-CN" w:eastAsia="zh-CN"/>
        </w:rPr>
        <w:t>SO</w:t>
      </w:r>
      <w:r>
        <w:rPr>
          <w:rFonts w:hint="eastAsia" w:eastAsia="宋体" w:cs="Times New Roman"/>
          <w:color w:val="auto"/>
          <w:sz w:val="32"/>
          <w:szCs w:val="40"/>
          <w:vertAlign w:val="subscript"/>
          <w:lang w:val="zh-CN" w:eastAsia="zh-CN"/>
        </w:rPr>
        <w:t>2</w:t>
      </w:r>
      <w:r>
        <w:rPr>
          <w:rFonts w:hint="eastAsia" w:eastAsia="宋体" w:cs="Times New Roman"/>
          <w:color w:val="auto"/>
          <w:sz w:val="32"/>
          <w:szCs w:val="40"/>
          <w:lang w:val="zh-CN" w:eastAsia="zh-CN"/>
        </w:rPr>
        <w:t>、NO</w:t>
      </w:r>
      <w:r>
        <w:rPr>
          <w:rFonts w:hint="eastAsia" w:eastAsia="宋体" w:cs="Times New Roman"/>
          <w:color w:val="auto"/>
          <w:sz w:val="32"/>
          <w:szCs w:val="40"/>
          <w:vertAlign w:val="subscript"/>
          <w:lang w:val="zh-CN" w:eastAsia="zh-CN"/>
        </w:rPr>
        <w:t>2</w:t>
      </w:r>
      <w:r>
        <w:rPr>
          <w:rFonts w:hint="eastAsia" w:eastAsia="宋体" w:cs="Times New Roman"/>
          <w:color w:val="auto"/>
          <w:sz w:val="32"/>
          <w:szCs w:val="40"/>
          <w:lang w:val="zh-CN" w:eastAsia="zh-CN"/>
        </w:rPr>
        <w:t>、PM</w:t>
      </w:r>
      <w:r>
        <w:rPr>
          <w:rFonts w:hint="eastAsia" w:eastAsia="宋体" w:cs="Times New Roman"/>
          <w:color w:val="auto"/>
          <w:sz w:val="32"/>
          <w:szCs w:val="40"/>
          <w:vertAlign w:val="subscript"/>
          <w:lang w:val="zh-CN" w:eastAsia="zh-CN"/>
        </w:rPr>
        <w:t>10</w:t>
      </w:r>
      <w:r>
        <w:rPr>
          <w:rFonts w:hint="eastAsia" w:eastAsia="宋体" w:cs="Times New Roman"/>
          <w:color w:val="auto"/>
          <w:sz w:val="32"/>
          <w:szCs w:val="40"/>
          <w:lang w:val="zh-CN" w:eastAsia="zh-CN"/>
        </w:rPr>
        <w:t>，合计</w:t>
      </w:r>
      <w:r>
        <w:rPr>
          <w:rFonts w:hint="eastAsia" w:eastAsia="宋体" w:cs="Times New Roman"/>
          <w:color w:val="auto"/>
          <w:sz w:val="32"/>
          <w:szCs w:val="40"/>
          <w:lang w:val="en-US" w:eastAsia="zh-CN"/>
        </w:rPr>
        <w:t>3</w:t>
      </w:r>
      <w:r>
        <w:rPr>
          <w:rFonts w:hint="eastAsia" w:eastAsia="宋体" w:cs="Times New Roman"/>
          <w:color w:val="auto"/>
          <w:sz w:val="32"/>
          <w:szCs w:val="40"/>
          <w:lang w:val="zh-CN" w:eastAsia="zh-CN"/>
        </w:rPr>
        <w:t>项。</w:t>
      </w:r>
    </w:p>
    <w:p w14:paraId="56B35615">
      <w:pPr>
        <w:numPr>
          <w:ilvl w:val="0"/>
          <w:numId w:val="0"/>
        </w:numPr>
        <w:rPr>
          <w:rFonts w:hint="eastAsia"/>
          <w:color w:val="auto"/>
          <w:sz w:val="32"/>
          <w:szCs w:val="40"/>
          <w:lang w:val="en-US" w:eastAsia="zh-CN"/>
        </w:rPr>
      </w:pPr>
      <w:r>
        <w:rPr>
          <w:rFonts w:hint="eastAsia"/>
          <w:color w:val="auto"/>
          <w:sz w:val="32"/>
          <w:szCs w:val="40"/>
          <w:lang w:val="en-US" w:eastAsia="zh-CN"/>
        </w:rPr>
        <w:t>3.4监测频次：</w:t>
      </w:r>
    </w:p>
    <w:p w14:paraId="71DA9336">
      <w:pPr>
        <w:pStyle w:val="2"/>
        <w:ind w:left="0" w:leftChars="0" w:firstLine="0" w:firstLineChars="0"/>
        <w:rPr>
          <w:rFonts w:hint="default"/>
          <w:color w:val="auto"/>
          <w:sz w:val="32"/>
          <w:szCs w:val="40"/>
          <w:lang w:val="en-US" w:eastAsia="zh-CN"/>
        </w:rPr>
      </w:pPr>
      <w:r>
        <w:rPr>
          <w:rFonts w:hint="eastAsia"/>
          <w:color w:val="auto"/>
          <w:sz w:val="32"/>
          <w:szCs w:val="40"/>
          <w:lang w:val="en-US" w:eastAsia="zh-CN"/>
        </w:rPr>
        <w:t>环境空气：一季度一次，全年 4 次；每季度检测5天，日均值/天，监测时间不低于18小时。</w:t>
      </w:r>
    </w:p>
    <w:p w14:paraId="323B80AD">
      <w:pPr>
        <w:pStyle w:val="2"/>
        <w:ind w:left="0" w:leftChars="0" w:firstLine="0" w:firstLineChars="0"/>
        <w:rPr>
          <w:rFonts w:hint="default"/>
          <w:color w:val="auto"/>
          <w:sz w:val="32"/>
          <w:szCs w:val="40"/>
          <w:lang w:val="en-US" w:eastAsia="zh-CN"/>
        </w:rPr>
      </w:pPr>
      <w:r>
        <w:rPr>
          <w:rFonts w:hint="eastAsia"/>
          <w:color w:val="auto"/>
          <w:sz w:val="32"/>
          <w:szCs w:val="40"/>
          <w:lang w:val="en-US" w:eastAsia="zh-CN"/>
        </w:rPr>
        <w:t>（4）</w:t>
      </w:r>
      <w:r>
        <w:rPr>
          <w:rFonts w:hint="eastAsia" w:eastAsia="宋体" w:cs="Times New Roman"/>
          <w:b/>
          <w:bCs/>
          <w:color w:val="auto"/>
          <w:sz w:val="32"/>
          <w:szCs w:val="40"/>
          <w:lang w:val="zh-CN" w:eastAsia="zh-CN"/>
        </w:rPr>
        <w:t>玉树藏族自治州称多高原牦牛畜产品有限公司</w:t>
      </w:r>
    </w:p>
    <w:p w14:paraId="0D3B2C6A">
      <w:pPr>
        <w:numPr>
          <w:ilvl w:val="0"/>
          <w:numId w:val="0"/>
        </w:numPr>
        <w:rPr>
          <w:rFonts w:hint="eastAsia"/>
          <w:color w:val="auto"/>
          <w:sz w:val="32"/>
          <w:szCs w:val="40"/>
          <w:lang w:val="en-US" w:eastAsia="zh-CN"/>
        </w:rPr>
      </w:pPr>
      <w:r>
        <w:rPr>
          <w:rFonts w:hint="eastAsia"/>
          <w:color w:val="auto"/>
          <w:sz w:val="32"/>
          <w:szCs w:val="40"/>
          <w:lang w:val="en-US" w:eastAsia="zh-CN"/>
        </w:rPr>
        <w:t>4.1监测点位：污水处理排口</w:t>
      </w:r>
    </w:p>
    <w:p w14:paraId="1C43F076">
      <w:pPr>
        <w:pStyle w:val="2"/>
        <w:ind w:left="0" w:leftChars="0" w:firstLine="0" w:firstLineChars="0"/>
        <w:rPr>
          <w:rFonts w:hint="default" w:ascii="Calibri" w:hAnsi="Calibri" w:eastAsia="宋体" w:cs="Times New Roman"/>
          <w:color w:val="auto"/>
          <w:kern w:val="2"/>
          <w:sz w:val="32"/>
          <w:szCs w:val="40"/>
          <w:lang w:val="en-US" w:eastAsia="zh-CN" w:bidi="ar-SA"/>
        </w:rPr>
      </w:pPr>
      <w:r>
        <w:rPr>
          <w:rFonts w:hint="eastAsia" w:ascii="Calibri" w:hAnsi="Calibri" w:eastAsia="宋体" w:cs="Times New Roman"/>
          <w:color w:val="auto"/>
          <w:kern w:val="2"/>
          <w:sz w:val="32"/>
          <w:szCs w:val="40"/>
          <w:lang w:val="en-US" w:eastAsia="zh-CN" w:bidi="ar-SA"/>
        </w:rPr>
        <w:t>4.2监测内容：</w:t>
      </w:r>
      <w:r>
        <w:rPr>
          <w:rFonts w:hint="eastAsia" w:eastAsia="宋体" w:cs="Times New Roman"/>
          <w:color w:val="auto"/>
          <w:kern w:val="2"/>
          <w:sz w:val="32"/>
          <w:szCs w:val="40"/>
          <w:lang w:val="en-US" w:eastAsia="zh-CN" w:bidi="ar-SA"/>
        </w:rPr>
        <w:t>废水</w:t>
      </w:r>
    </w:p>
    <w:p w14:paraId="61F690A0">
      <w:pPr>
        <w:numPr>
          <w:ilvl w:val="0"/>
          <w:numId w:val="0"/>
        </w:numPr>
        <w:rPr>
          <w:rFonts w:hint="eastAsia"/>
          <w:color w:val="auto"/>
          <w:sz w:val="32"/>
          <w:szCs w:val="40"/>
          <w:lang w:val="en-US" w:eastAsia="zh-CN"/>
        </w:rPr>
      </w:pPr>
      <w:r>
        <w:rPr>
          <w:rFonts w:hint="eastAsia"/>
          <w:color w:val="auto"/>
          <w:sz w:val="32"/>
          <w:szCs w:val="40"/>
          <w:lang w:val="en-US" w:eastAsia="zh-CN"/>
        </w:rPr>
        <w:t>4.3监测因子：</w:t>
      </w:r>
      <w:r>
        <w:rPr>
          <w:rFonts w:hint="eastAsia" w:ascii="Calibri" w:hAnsi="Calibri" w:eastAsia="宋体" w:cs="Times New Roman"/>
          <w:color w:val="auto"/>
          <w:kern w:val="2"/>
          <w:sz w:val="32"/>
          <w:szCs w:val="40"/>
          <w:lang w:val="en-US" w:eastAsia="zh-CN" w:bidi="ar-SA"/>
        </w:rPr>
        <w:t>PH</w:t>
      </w:r>
      <w:r>
        <w:rPr>
          <w:rFonts w:hint="eastAsia" w:ascii="Calibri" w:hAnsi="Calibri" w:eastAsia="宋体" w:cs="Times New Roman"/>
          <w:color w:val="auto"/>
          <w:kern w:val="2"/>
          <w:sz w:val="32"/>
          <w:szCs w:val="40"/>
          <w:lang w:val="zh-CN" w:eastAsia="zh-CN" w:bidi="ar-SA"/>
        </w:rPr>
        <w:t>、悬浮物、</w:t>
      </w:r>
      <w:r>
        <w:rPr>
          <w:rFonts w:hint="eastAsia" w:ascii="Calibri" w:hAnsi="Calibri" w:eastAsia="宋体" w:cs="Times New Roman"/>
          <w:color w:val="auto"/>
          <w:kern w:val="2"/>
          <w:sz w:val="32"/>
          <w:szCs w:val="40"/>
          <w:lang w:val="en-US" w:eastAsia="zh-CN" w:bidi="ar-SA"/>
        </w:rPr>
        <w:t>BOD、COD、</w:t>
      </w:r>
      <w:r>
        <w:rPr>
          <w:rFonts w:hint="eastAsia" w:ascii="Calibri" w:hAnsi="Calibri" w:eastAsia="宋体" w:cs="Times New Roman"/>
          <w:color w:val="auto"/>
          <w:kern w:val="2"/>
          <w:sz w:val="32"/>
          <w:szCs w:val="40"/>
          <w:lang w:val="zh-CN" w:eastAsia="zh-CN" w:bidi="ar-SA"/>
        </w:rPr>
        <w:t xml:space="preserve">总氮、总磷、氨氮、粪大肠菌群、动植物油，合计 </w:t>
      </w:r>
      <w:r>
        <w:rPr>
          <w:rFonts w:hint="eastAsia" w:ascii="Calibri" w:hAnsi="Calibri" w:eastAsia="宋体" w:cs="Times New Roman"/>
          <w:color w:val="auto"/>
          <w:kern w:val="2"/>
          <w:sz w:val="32"/>
          <w:szCs w:val="40"/>
          <w:lang w:val="en-US" w:eastAsia="zh-CN" w:bidi="ar-SA"/>
        </w:rPr>
        <w:t>9</w:t>
      </w:r>
      <w:r>
        <w:rPr>
          <w:rFonts w:hint="eastAsia" w:ascii="Calibri" w:hAnsi="Calibri" w:eastAsia="宋体" w:cs="Times New Roman"/>
          <w:color w:val="auto"/>
          <w:kern w:val="2"/>
          <w:sz w:val="32"/>
          <w:szCs w:val="40"/>
          <w:lang w:val="zh-CN" w:eastAsia="zh-CN" w:bidi="ar-SA"/>
        </w:rPr>
        <w:t>项。</w:t>
      </w:r>
    </w:p>
    <w:p w14:paraId="594F18B4">
      <w:pPr>
        <w:numPr>
          <w:ilvl w:val="0"/>
          <w:numId w:val="0"/>
        </w:numPr>
        <w:rPr>
          <w:rFonts w:hint="eastAsia"/>
          <w:color w:val="auto"/>
          <w:sz w:val="32"/>
          <w:szCs w:val="40"/>
          <w:lang w:val="en-US" w:eastAsia="zh-CN"/>
        </w:rPr>
      </w:pPr>
      <w:r>
        <w:rPr>
          <w:rFonts w:hint="eastAsia"/>
          <w:color w:val="auto"/>
          <w:sz w:val="32"/>
          <w:szCs w:val="40"/>
          <w:lang w:val="en-US" w:eastAsia="zh-CN"/>
        </w:rPr>
        <w:t>4.4监测频次：全年4次，3次/天。</w:t>
      </w:r>
    </w:p>
    <w:p w14:paraId="7780D9C8">
      <w:pPr>
        <w:numPr>
          <w:ilvl w:val="0"/>
          <w:numId w:val="0"/>
        </w:numPr>
        <w:rPr>
          <w:rFonts w:hint="eastAsia" w:ascii="Calibri" w:hAnsi="Calibri" w:eastAsia="宋体" w:cs="Times New Roman"/>
          <w:b/>
          <w:bCs/>
          <w:color w:val="auto"/>
          <w:kern w:val="2"/>
          <w:sz w:val="32"/>
          <w:szCs w:val="40"/>
          <w:lang w:val="en-US" w:eastAsia="zh-CN" w:bidi="ar-SA"/>
        </w:rPr>
      </w:pPr>
      <w:r>
        <w:rPr>
          <w:rFonts w:hint="eastAsia" w:eastAsia="宋体" w:cs="Times New Roman"/>
          <w:color w:val="auto"/>
          <w:sz w:val="32"/>
          <w:szCs w:val="40"/>
          <w:lang w:val="en-US" w:eastAsia="zh-CN"/>
        </w:rPr>
        <w:t>（5）</w:t>
      </w:r>
      <w:r>
        <w:rPr>
          <w:rFonts w:hint="eastAsia" w:ascii="Calibri" w:hAnsi="Calibri" w:eastAsia="宋体" w:cs="Times New Roman"/>
          <w:b/>
          <w:bCs/>
          <w:color w:val="auto"/>
          <w:kern w:val="2"/>
          <w:sz w:val="32"/>
          <w:szCs w:val="40"/>
          <w:lang w:val="zh-CN" w:eastAsia="zh-CN" w:bidi="ar-SA"/>
        </w:rPr>
        <w:t>青海玉树巴颜喀拉饮品开发有限公司</w:t>
      </w:r>
    </w:p>
    <w:p w14:paraId="246FC884">
      <w:pPr>
        <w:numPr>
          <w:ilvl w:val="0"/>
          <w:numId w:val="0"/>
        </w:numPr>
        <w:rPr>
          <w:rFonts w:hint="eastAsia"/>
          <w:color w:val="auto"/>
          <w:sz w:val="32"/>
          <w:szCs w:val="40"/>
          <w:lang w:val="en-US" w:eastAsia="zh-CN"/>
        </w:rPr>
      </w:pPr>
      <w:r>
        <w:rPr>
          <w:rFonts w:hint="eastAsia"/>
          <w:color w:val="auto"/>
          <w:sz w:val="32"/>
          <w:szCs w:val="40"/>
          <w:lang w:val="en-US" w:eastAsia="zh-CN"/>
        </w:rPr>
        <w:t>5.1监测点位：污水处理排口</w:t>
      </w:r>
    </w:p>
    <w:p w14:paraId="2CB18F7E">
      <w:pPr>
        <w:pStyle w:val="2"/>
        <w:ind w:left="0" w:leftChars="0" w:firstLine="0" w:firstLineChars="0"/>
        <w:rPr>
          <w:rFonts w:hint="default" w:ascii="Calibri" w:hAnsi="Calibri" w:eastAsia="宋体" w:cs="Times New Roman"/>
          <w:color w:val="auto"/>
          <w:kern w:val="2"/>
          <w:sz w:val="32"/>
          <w:szCs w:val="40"/>
          <w:lang w:val="en-US" w:eastAsia="zh-CN" w:bidi="ar-SA"/>
        </w:rPr>
      </w:pPr>
      <w:r>
        <w:rPr>
          <w:rFonts w:hint="eastAsia" w:eastAsia="宋体" w:cs="Times New Roman"/>
          <w:color w:val="auto"/>
          <w:kern w:val="2"/>
          <w:sz w:val="32"/>
          <w:szCs w:val="40"/>
          <w:lang w:val="en-US" w:eastAsia="zh-CN" w:bidi="ar-SA"/>
        </w:rPr>
        <w:t>5</w:t>
      </w:r>
      <w:r>
        <w:rPr>
          <w:rFonts w:hint="eastAsia" w:ascii="Calibri" w:hAnsi="Calibri" w:eastAsia="宋体" w:cs="Times New Roman"/>
          <w:color w:val="auto"/>
          <w:kern w:val="2"/>
          <w:sz w:val="32"/>
          <w:szCs w:val="40"/>
          <w:lang w:val="en-US" w:eastAsia="zh-CN" w:bidi="ar-SA"/>
        </w:rPr>
        <w:t>.2监测内容：</w:t>
      </w:r>
      <w:r>
        <w:rPr>
          <w:rFonts w:hint="eastAsia" w:eastAsia="宋体" w:cs="Times New Roman"/>
          <w:color w:val="auto"/>
          <w:kern w:val="2"/>
          <w:sz w:val="32"/>
          <w:szCs w:val="40"/>
          <w:lang w:val="en-US" w:eastAsia="zh-CN" w:bidi="ar-SA"/>
        </w:rPr>
        <w:t>废水</w:t>
      </w:r>
    </w:p>
    <w:p w14:paraId="62B55914">
      <w:pPr>
        <w:numPr>
          <w:ilvl w:val="0"/>
          <w:numId w:val="0"/>
        </w:numPr>
        <w:rPr>
          <w:rFonts w:hint="eastAsia"/>
          <w:color w:val="auto"/>
          <w:sz w:val="32"/>
          <w:szCs w:val="40"/>
          <w:lang w:val="en-US" w:eastAsia="zh-CN"/>
        </w:rPr>
      </w:pPr>
      <w:r>
        <w:rPr>
          <w:rFonts w:hint="eastAsia"/>
          <w:color w:val="auto"/>
          <w:sz w:val="32"/>
          <w:szCs w:val="40"/>
          <w:lang w:val="en-US" w:eastAsia="zh-CN"/>
        </w:rPr>
        <w:t>5.3监测因子：</w:t>
      </w:r>
      <w:r>
        <w:rPr>
          <w:rFonts w:hint="eastAsia" w:ascii="Calibri" w:hAnsi="Calibri" w:eastAsia="宋体" w:cs="Times New Roman"/>
          <w:color w:val="auto"/>
          <w:kern w:val="2"/>
          <w:sz w:val="32"/>
          <w:szCs w:val="40"/>
          <w:lang w:val="en-US" w:eastAsia="zh-CN" w:bidi="ar-SA"/>
        </w:rPr>
        <w:t>PH</w:t>
      </w:r>
      <w:r>
        <w:rPr>
          <w:rFonts w:hint="eastAsia" w:ascii="Calibri" w:hAnsi="Calibri" w:eastAsia="宋体" w:cs="Times New Roman"/>
          <w:color w:val="auto"/>
          <w:kern w:val="2"/>
          <w:sz w:val="32"/>
          <w:szCs w:val="40"/>
          <w:lang w:val="zh-CN" w:eastAsia="zh-CN" w:bidi="ar-SA"/>
        </w:rPr>
        <w:t>、悬浮物、</w:t>
      </w:r>
      <w:r>
        <w:rPr>
          <w:rFonts w:hint="eastAsia" w:ascii="Calibri" w:hAnsi="Calibri" w:eastAsia="宋体" w:cs="Times New Roman"/>
          <w:color w:val="auto"/>
          <w:kern w:val="2"/>
          <w:sz w:val="32"/>
          <w:szCs w:val="40"/>
          <w:lang w:val="en-US" w:eastAsia="zh-CN" w:bidi="ar-SA"/>
        </w:rPr>
        <w:t>BOD、COD、</w:t>
      </w:r>
      <w:r>
        <w:rPr>
          <w:rFonts w:hint="eastAsia" w:ascii="Calibri" w:hAnsi="Calibri" w:eastAsia="宋体" w:cs="Times New Roman"/>
          <w:color w:val="auto"/>
          <w:kern w:val="2"/>
          <w:sz w:val="32"/>
          <w:szCs w:val="40"/>
          <w:lang w:val="zh-CN" w:eastAsia="zh-CN" w:bidi="ar-SA"/>
        </w:rPr>
        <w:t xml:space="preserve">总氮、总磷、氨氮、粪大肠菌群、动植物油，合计 </w:t>
      </w:r>
      <w:r>
        <w:rPr>
          <w:rFonts w:hint="eastAsia" w:ascii="Calibri" w:hAnsi="Calibri" w:eastAsia="宋体" w:cs="Times New Roman"/>
          <w:color w:val="auto"/>
          <w:kern w:val="2"/>
          <w:sz w:val="32"/>
          <w:szCs w:val="40"/>
          <w:lang w:val="en-US" w:eastAsia="zh-CN" w:bidi="ar-SA"/>
        </w:rPr>
        <w:t>9</w:t>
      </w:r>
      <w:r>
        <w:rPr>
          <w:rFonts w:hint="eastAsia" w:ascii="Calibri" w:hAnsi="Calibri" w:eastAsia="宋体" w:cs="Times New Roman"/>
          <w:color w:val="auto"/>
          <w:kern w:val="2"/>
          <w:sz w:val="32"/>
          <w:szCs w:val="40"/>
          <w:lang w:val="zh-CN" w:eastAsia="zh-CN" w:bidi="ar-SA"/>
        </w:rPr>
        <w:t>项。</w:t>
      </w:r>
    </w:p>
    <w:p w14:paraId="0E56BA4C">
      <w:pPr>
        <w:numPr>
          <w:ilvl w:val="0"/>
          <w:numId w:val="0"/>
        </w:numPr>
        <w:rPr>
          <w:rFonts w:hint="eastAsia"/>
          <w:color w:val="auto"/>
          <w:sz w:val="32"/>
          <w:szCs w:val="40"/>
          <w:lang w:val="en-US" w:eastAsia="zh-CN"/>
        </w:rPr>
      </w:pPr>
      <w:r>
        <w:rPr>
          <w:rFonts w:hint="eastAsia"/>
          <w:color w:val="auto"/>
          <w:sz w:val="32"/>
          <w:szCs w:val="40"/>
          <w:lang w:val="en-US" w:eastAsia="zh-CN"/>
        </w:rPr>
        <w:t>5.4监测频次：全年4次，3次/天。</w:t>
      </w:r>
    </w:p>
    <w:p w14:paraId="0DD34FED">
      <w:pPr>
        <w:numPr>
          <w:ilvl w:val="0"/>
          <w:numId w:val="0"/>
        </w:numPr>
        <w:rPr>
          <w:rFonts w:hint="eastAsia"/>
          <w:b/>
          <w:bCs/>
          <w:color w:val="auto"/>
          <w:sz w:val="32"/>
          <w:szCs w:val="40"/>
          <w:lang w:val="en-US" w:eastAsia="zh-CN"/>
        </w:rPr>
      </w:pPr>
      <w:r>
        <w:rPr>
          <w:rFonts w:hint="eastAsia" w:eastAsia="宋体" w:cs="Times New Roman"/>
          <w:color w:val="auto"/>
          <w:sz w:val="32"/>
          <w:szCs w:val="40"/>
          <w:lang w:val="en-US" w:eastAsia="zh-CN"/>
        </w:rPr>
        <w:t>（6）</w:t>
      </w:r>
      <w:r>
        <w:rPr>
          <w:rFonts w:hint="eastAsia" w:eastAsia="宋体" w:cs="Times New Roman"/>
          <w:b/>
          <w:bCs/>
          <w:color w:val="auto"/>
          <w:sz w:val="32"/>
          <w:szCs w:val="40"/>
          <w:lang w:val="en-US" w:eastAsia="zh-CN"/>
        </w:rPr>
        <w:t>拉布乡污水处理站监督性</w:t>
      </w:r>
      <w:r>
        <w:rPr>
          <w:rFonts w:hint="eastAsia"/>
          <w:b/>
          <w:bCs/>
          <w:color w:val="auto"/>
          <w:sz w:val="32"/>
          <w:szCs w:val="40"/>
          <w:lang w:val="en-US" w:eastAsia="zh-CN"/>
        </w:rPr>
        <w:t>监测</w:t>
      </w:r>
    </w:p>
    <w:p w14:paraId="187FF977">
      <w:pPr>
        <w:numPr>
          <w:ilvl w:val="0"/>
          <w:numId w:val="0"/>
        </w:numPr>
        <w:rPr>
          <w:rFonts w:hint="default"/>
          <w:color w:val="auto"/>
          <w:sz w:val="32"/>
          <w:szCs w:val="40"/>
          <w:lang w:val="en-US" w:eastAsia="zh-CN"/>
        </w:rPr>
      </w:pPr>
      <w:r>
        <w:rPr>
          <w:rFonts w:hint="eastAsia"/>
          <w:color w:val="auto"/>
          <w:sz w:val="32"/>
          <w:szCs w:val="40"/>
          <w:lang w:val="en-US" w:eastAsia="zh-CN"/>
        </w:rPr>
        <w:t>6.1监测点位：拉布乡污水处理站</w:t>
      </w:r>
    </w:p>
    <w:p w14:paraId="215BDC81">
      <w:pPr>
        <w:numPr>
          <w:ilvl w:val="0"/>
          <w:numId w:val="0"/>
        </w:numPr>
        <w:rPr>
          <w:rFonts w:hint="default"/>
          <w:color w:val="auto"/>
          <w:sz w:val="32"/>
          <w:szCs w:val="40"/>
          <w:lang w:val="en-US" w:eastAsia="zh-CN"/>
        </w:rPr>
      </w:pPr>
      <w:r>
        <w:rPr>
          <w:rFonts w:hint="eastAsia"/>
          <w:color w:val="auto"/>
          <w:sz w:val="32"/>
          <w:szCs w:val="40"/>
          <w:lang w:val="en-US" w:eastAsia="zh-CN"/>
        </w:rPr>
        <w:t>6.2监测内容：拉布乡污水处理站废水监测</w:t>
      </w:r>
    </w:p>
    <w:p w14:paraId="782CE1C5">
      <w:pPr>
        <w:numPr>
          <w:ilvl w:val="0"/>
          <w:numId w:val="0"/>
        </w:numPr>
        <w:rPr>
          <w:rFonts w:hint="eastAsia"/>
          <w:color w:val="auto"/>
          <w:sz w:val="32"/>
          <w:szCs w:val="40"/>
          <w:lang w:val="en-US" w:eastAsia="zh-CN"/>
        </w:rPr>
      </w:pPr>
      <w:r>
        <w:rPr>
          <w:rFonts w:hint="eastAsia"/>
          <w:color w:val="auto"/>
          <w:sz w:val="32"/>
          <w:szCs w:val="40"/>
          <w:lang w:val="en-US" w:eastAsia="zh-CN"/>
        </w:rPr>
        <w:t>6.3监测因子：</w:t>
      </w:r>
    </w:p>
    <w:p w14:paraId="2051A57B">
      <w:pPr>
        <w:numPr>
          <w:ilvl w:val="0"/>
          <w:numId w:val="0"/>
        </w:numPr>
        <w:rPr>
          <w:rFonts w:hint="eastAsia"/>
          <w:b w:val="0"/>
          <w:bCs w:val="0"/>
          <w:color w:val="auto"/>
          <w:sz w:val="32"/>
          <w:szCs w:val="40"/>
          <w:lang w:val="en-US" w:eastAsia="zh-CN"/>
        </w:rPr>
      </w:pPr>
      <w:r>
        <w:rPr>
          <w:rFonts w:hint="eastAsia"/>
          <w:b w:val="0"/>
          <w:bCs w:val="0"/>
          <w:color w:val="auto"/>
          <w:sz w:val="32"/>
          <w:szCs w:val="40"/>
          <w:lang w:val="en-US" w:eastAsia="zh-CN"/>
        </w:rPr>
        <w:t>废水出口：水温、pH值、流量、化学需氧量、五日生化需氧量、悬浮物、总磷、阴离子表面活性剂、总氮、氨氮、砷、石油类、动植物油、色度、总汞、总铬、六价铬、总镉、总铅、粪大肠菌群。共20项。</w:t>
      </w:r>
    </w:p>
    <w:p w14:paraId="1A237441">
      <w:pPr>
        <w:numPr>
          <w:ilvl w:val="0"/>
          <w:numId w:val="0"/>
        </w:numPr>
        <w:rPr>
          <w:rFonts w:hint="eastAsia"/>
          <w:color w:val="auto"/>
          <w:sz w:val="32"/>
          <w:szCs w:val="40"/>
          <w:lang w:val="en-US" w:eastAsia="zh-CN"/>
        </w:rPr>
      </w:pPr>
      <w:r>
        <w:rPr>
          <w:rFonts w:hint="eastAsia"/>
          <w:color w:val="auto"/>
          <w:sz w:val="32"/>
          <w:szCs w:val="40"/>
          <w:lang w:val="en-US" w:eastAsia="zh-CN"/>
        </w:rPr>
        <w:t>6.4监测频次：</w:t>
      </w:r>
    </w:p>
    <w:p w14:paraId="40E89BD8">
      <w:pPr>
        <w:numPr>
          <w:ilvl w:val="0"/>
          <w:numId w:val="0"/>
        </w:numPr>
        <w:rPr>
          <w:color w:val="auto"/>
        </w:rPr>
      </w:pPr>
      <w:r>
        <w:rPr>
          <w:rFonts w:hint="eastAsia"/>
          <w:color w:val="auto"/>
          <w:sz w:val="32"/>
          <w:szCs w:val="40"/>
          <w:lang w:val="en-US" w:eastAsia="zh-CN"/>
        </w:rPr>
        <w:t>废水：一季度一次，全年 4 次；每季度检测1天，3次/天。</w:t>
      </w:r>
    </w:p>
    <w:p w14:paraId="19E1B2B9">
      <w:pPr>
        <w:numPr>
          <w:ilvl w:val="0"/>
          <w:numId w:val="0"/>
        </w:numPr>
        <w:rPr>
          <w:rFonts w:hint="default"/>
          <w:b/>
          <w:bCs/>
          <w:sz w:val="32"/>
          <w:szCs w:val="40"/>
          <w:lang w:val="en-US" w:eastAsia="zh-CN"/>
        </w:rPr>
      </w:pPr>
      <w:r>
        <w:rPr>
          <w:rFonts w:hint="eastAsia"/>
          <w:b/>
          <w:bCs/>
          <w:sz w:val="32"/>
          <w:szCs w:val="40"/>
          <w:lang w:val="en-US" w:eastAsia="zh-CN"/>
        </w:rPr>
        <w:t>2、服务期</w:t>
      </w:r>
    </w:p>
    <w:p w14:paraId="2B1E2347">
      <w:pPr>
        <w:pStyle w:val="10"/>
        <w:rPr>
          <w:rFonts w:hint="eastAsia" w:ascii="Calibri" w:hAnsi="Calibri" w:eastAsia="宋体" w:cs="Times New Roman"/>
          <w:kern w:val="0"/>
          <w:sz w:val="32"/>
          <w:szCs w:val="40"/>
          <w:lang w:val="zh-CN" w:eastAsia="zh-CN" w:bidi="ar-SA"/>
        </w:rPr>
      </w:pPr>
      <w:r>
        <w:rPr>
          <w:rFonts w:hint="eastAsia" w:ascii="Calibri" w:hAnsi="Calibri" w:eastAsia="宋体" w:cs="Times New Roman"/>
          <w:kern w:val="0"/>
          <w:sz w:val="32"/>
          <w:szCs w:val="40"/>
          <w:lang w:val="en-US" w:eastAsia="zh-CN" w:bidi="ar-SA"/>
        </w:rPr>
        <w:t>服务期：每季度月底结束前，完成202</w:t>
      </w:r>
      <w:r>
        <w:rPr>
          <w:rFonts w:hint="eastAsia" w:ascii="Calibri" w:hAnsi="Calibri" w:cs="Times New Roman"/>
          <w:kern w:val="0"/>
          <w:sz w:val="32"/>
          <w:szCs w:val="40"/>
          <w:lang w:val="en-US" w:eastAsia="zh-CN" w:bidi="ar-SA"/>
        </w:rPr>
        <w:t>5</w:t>
      </w:r>
      <w:r>
        <w:rPr>
          <w:rFonts w:hint="eastAsia" w:ascii="Calibri" w:hAnsi="Calibri" w:eastAsia="宋体" w:cs="Times New Roman"/>
          <w:kern w:val="0"/>
          <w:sz w:val="32"/>
          <w:szCs w:val="40"/>
          <w:lang w:val="en-US" w:eastAsia="zh-CN" w:bidi="ar-SA"/>
        </w:rPr>
        <w:t>年每季度一次的服务工作。</w:t>
      </w: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AC6F84-D1CA-424C-8578-3F094B63AB0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B2F2F3-3674-4400-8D84-879D870B528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5896013-D58E-47BB-9B4B-83B0F6698903}"/>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embedRegular r:id="rId4" w:fontKey="{5F981447-58BC-4AB5-8AF6-D4102FD2D680}"/>
  </w:font>
  <w:font w:name="楷体">
    <w:panose1 w:val="02010609060101010101"/>
    <w:charset w:val="86"/>
    <w:family w:val="modern"/>
    <w:pitch w:val="default"/>
    <w:sig w:usb0="800002BF" w:usb1="38CF7CFA" w:usb2="00000016" w:usb3="00000000" w:csb0="00040001" w:csb1="00000000"/>
    <w:embedRegular r:id="rId5" w:fontKey="{F0FA0511-3FFE-4392-83B7-D4944889FCBA}"/>
  </w:font>
  <w:font w:name="微软雅黑">
    <w:panose1 w:val="020B0503020204020204"/>
    <w:charset w:val="86"/>
    <w:family w:val="auto"/>
    <w:pitch w:val="default"/>
    <w:sig w:usb0="80000287" w:usb1="2ACF3C50" w:usb2="00000016" w:usb3="00000000" w:csb0="0004001F" w:csb1="00000000"/>
    <w:embedRegular r:id="rId6" w:fontKey="{5CF6F614-F2A4-42F3-9EC5-83096FAC1D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0987">
    <w:pPr>
      <w:pStyle w:val="1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80CCD">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6058">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77ABC">
    <w:pPr>
      <w:pStyle w:val="17"/>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4019">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0D5C">
    <w:pPr>
      <w:pStyle w:val="17"/>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9333B2">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7A9333B2">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CF75">
    <w:pPr>
      <w:pStyle w:val="1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0FBACA">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000FBACA">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C6327">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C0585F">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22C0585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8EE4">
    <w:pPr>
      <w:pBdr>
        <w:bottom w:val="single" w:color="auto" w:sz="4" w:space="0"/>
      </w:pBdr>
      <w:ind w:left="0" w:leftChars="0" w:firstLine="0" w:firstLineChars="0"/>
      <w:jc w:val="right"/>
      <w:rPr>
        <w:rFonts w:hint="eastAsia" w:eastAsia="宋体"/>
        <w:kern w:val="2"/>
        <w:lang w:eastAsia="zh-CN"/>
      </w:rPr>
    </w:pPr>
    <w:r>
      <w:rPr>
        <w:rFonts w:hint="eastAsia"/>
        <w:kern w:val="2"/>
        <w:lang w:eastAsia="zh-CN"/>
      </w:rPr>
      <w:t>青海省招标有限责任公司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1051F">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3ED7">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2C1A">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53"/>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5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5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jFhMGJiY2M4NzcyOTMxOWM2NDQ3ZWY3MzUwMmU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14450C"/>
    <w:rsid w:val="02210F18"/>
    <w:rsid w:val="033A4890"/>
    <w:rsid w:val="03F275AA"/>
    <w:rsid w:val="04B96508"/>
    <w:rsid w:val="06911B22"/>
    <w:rsid w:val="06FD3566"/>
    <w:rsid w:val="08D4742C"/>
    <w:rsid w:val="09776797"/>
    <w:rsid w:val="0E060087"/>
    <w:rsid w:val="0E800D96"/>
    <w:rsid w:val="14BB166B"/>
    <w:rsid w:val="157524F2"/>
    <w:rsid w:val="16071E07"/>
    <w:rsid w:val="16D968DA"/>
    <w:rsid w:val="17D450D9"/>
    <w:rsid w:val="1816702E"/>
    <w:rsid w:val="1B9730BC"/>
    <w:rsid w:val="1C3F7586"/>
    <w:rsid w:val="1CEF7B21"/>
    <w:rsid w:val="1E5D655D"/>
    <w:rsid w:val="1E87008D"/>
    <w:rsid w:val="1FA96D62"/>
    <w:rsid w:val="214178C3"/>
    <w:rsid w:val="231F53B1"/>
    <w:rsid w:val="24CD1023"/>
    <w:rsid w:val="250255F5"/>
    <w:rsid w:val="25D7514D"/>
    <w:rsid w:val="290B259E"/>
    <w:rsid w:val="2B5B5560"/>
    <w:rsid w:val="2B8C4425"/>
    <w:rsid w:val="2C9F3729"/>
    <w:rsid w:val="2E9677A7"/>
    <w:rsid w:val="2F4D40E8"/>
    <w:rsid w:val="2F920605"/>
    <w:rsid w:val="30AB2D5F"/>
    <w:rsid w:val="31C851B2"/>
    <w:rsid w:val="3327131B"/>
    <w:rsid w:val="33830F21"/>
    <w:rsid w:val="33C35A9E"/>
    <w:rsid w:val="3444054E"/>
    <w:rsid w:val="38166DB6"/>
    <w:rsid w:val="3817079E"/>
    <w:rsid w:val="381C711B"/>
    <w:rsid w:val="386A108F"/>
    <w:rsid w:val="3A5570AA"/>
    <w:rsid w:val="3BCE3093"/>
    <w:rsid w:val="3DBF74FF"/>
    <w:rsid w:val="4274539F"/>
    <w:rsid w:val="45C73015"/>
    <w:rsid w:val="4AB17E1E"/>
    <w:rsid w:val="4BDA411C"/>
    <w:rsid w:val="4E271D91"/>
    <w:rsid w:val="526A27BD"/>
    <w:rsid w:val="53F41D95"/>
    <w:rsid w:val="541F4B43"/>
    <w:rsid w:val="54D914AF"/>
    <w:rsid w:val="566640A8"/>
    <w:rsid w:val="572177D4"/>
    <w:rsid w:val="588F2DB1"/>
    <w:rsid w:val="590E60B9"/>
    <w:rsid w:val="595B7B41"/>
    <w:rsid w:val="59C2077A"/>
    <w:rsid w:val="5AA11C28"/>
    <w:rsid w:val="5AC91420"/>
    <w:rsid w:val="5ED35136"/>
    <w:rsid w:val="5EFB5A8F"/>
    <w:rsid w:val="62542B7F"/>
    <w:rsid w:val="646E37AF"/>
    <w:rsid w:val="64D65494"/>
    <w:rsid w:val="650139D3"/>
    <w:rsid w:val="67367AC0"/>
    <w:rsid w:val="6B746F82"/>
    <w:rsid w:val="6E2D223D"/>
    <w:rsid w:val="6F4739C7"/>
    <w:rsid w:val="6FE74DB6"/>
    <w:rsid w:val="726309A3"/>
    <w:rsid w:val="72B13295"/>
    <w:rsid w:val="74D963BA"/>
    <w:rsid w:val="75386134"/>
    <w:rsid w:val="757A4905"/>
    <w:rsid w:val="75D47694"/>
    <w:rsid w:val="76D637B8"/>
    <w:rsid w:val="782A07A0"/>
    <w:rsid w:val="7A1F1822"/>
    <w:rsid w:val="7A6A4943"/>
    <w:rsid w:val="7D250DA9"/>
    <w:rsid w:val="7E084708"/>
    <w:rsid w:val="7FCA1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1"/>
    <w:basedOn w:val="1"/>
    <w:next w:val="1"/>
    <w:link w:val="46"/>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4">
    <w:name w:val="heading 2"/>
    <w:basedOn w:val="1"/>
    <w:next w:val="1"/>
    <w:link w:val="48"/>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3"/>
    <w:basedOn w:val="1"/>
    <w:next w:val="1"/>
    <w:link w:val="62"/>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6">
    <w:name w:val="heading 4"/>
    <w:basedOn w:val="1"/>
    <w:next w:val="1"/>
    <w:link w:val="65"/>
    <w:autoRedefine/>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66"/>
    <w:autoRedefine/>
    <w:semiHidden/>
    <w:unhideWhenUsed/>
    <w:qFormat/>
    <w:uiPriority w:val="0"/>
    <w:pPr>
      <w:keepNext/>
      <w:keepLines/>
      <w:spacing w:before="280" w:after="290" w:line="376" w:lineRule="atLeast"/>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3"/>
    <w:basedOn w:val="1"/>
    <w:autoRedefine/>
    <w:qFormat/>
    <w:uiPriority w:val="0"/>
    <w:pPr>
      <w:ind w:left="420" w:leftChars="200"/>
    </w:pPr>
    <w:rPr>
      <w:sz w:val="16"/>
    </w:rPr>
  </w:style>
  <w:style w:type="paragraph" w:styleId="8">
    <w:name w:val="Normal Indent"/>
    <w:basedOn w:val="1"/>
    <w:autoRedefine/>
    <w:qFormat/>
    <w:uiPriority w:val="0"/>
    <w:pPr>
      <w:ind w:firstLine="420"/>
    </w:pPr>
    <w:rPr>
      <w:szCs w:val="20"/>
    </w:rPr>
  </w:style>
  <w:style w:type="paragraph" w:styleId="9">
    <w:name w:val="annotation text"/>
    <w:basedOn w:val="1"/>
    <w:link w:val="67"/>
    <w:autoRedefine/>
    <w:qFormat/>
    <w:uiPriority w:val="0"/>
    <w:pPr>
      <w:jc w:val="left"/>
    </w:pPr>
  </w:style>
  <w:style w:type="paragraph" w:styleId="10">
    <w:name w:val="Body Text"/>
    <w:basedOn w:val="1"/>
    <w:next w:val="11"/>
    <w:autoRedefine/>
    <w:qFormat/>
    <w:uiPriority w:val="0"/>
    <w:pPr>
      <w:spacing w:after="120" w:line="240" w:lineRule="auto"/>
      <w:ind w:firstLine="0" w:firstLineChars="0"/>
    </w:pPr>
    <w:rPr>
      <w:rFonts w:ascii="Times New Roman" w:hAnsi="Times New Roman"/>
      <w:kern w:val="2"/>
      <w:szCs w:val="24"/>
    </w:rPr>
  </w:style>
  <w:style w:type="paragraph" w:styleId="11">
    <w:name w:val="Plain Text"/>
    <w:basedOn w:val="1"/>
    <w:autoRedefine/>
    <w:qFormat/>
    <w:uiPriority w:val="0"/>
    <w:rPr>
      <w:rFonts w:ascii="宋体" w:hAnsi="Courier New"/>
      <w:szCs w:val="20"/>
    </w:rPr>
  </w:style>
  <w:style w:type="paragraph" w:styleId="12">
    <w:name w:val="Body Text Indent"/>
    <w:basedOn w:val="1"/>
    <w:next w:val="6"/>
    <w:autoRedefine/>
    <w:qFormat/>
    <w:uiPriority w:val="0"/>
    <w:pPr>
      <w:spacing w:after="120"/>
      <w:ind w:left="420" w:leftChars="200"/>
    </w:pPr>
  </w:style>
  <w:style w:type="paragraph" w:styleId="13">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4">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5">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6">
    <w:name w:val="Balloon Text"/>
    <w:basedOn w:val="1"/>
    <w:link w:val="38"/>
    <w:autoRedefine/>
    <w:semiHidden/>
    <w:qFormat/>
    <w:uiPriority w:val="0"/>
    <w:pPr>
      <w:spacing w:line="240" w:lineRule="auto"/>
    </w:pPr>
    <w:rPr>
      <w:sz w:val="18"/>
      <w:szCs w:val="18"/>
    </w:rPr>
  </w:style>
  <w:style w:type="paragraph" w:styleId="17">
    <w:name w:val="footer"/>
    <w:basedOn w:val="1"/>
    <w:link w:val="40"/>
    <w:autoRedefine/>
    <w:qFormat/>
    <w:uiPriority w:val="99"/>
    <w:pPr>
      <w:tabs>
        <w:tab w:val="center" w:pos="4153"/>
        <w:tab w:val="right" w:pos="8306"/>
      </w:tabs>
      <w:snapToGrid w:val="0"/>
      <w:jc w:val="left"/>
    </w:pPr>
    <w:rPr>
      <w:sz w:val="18"/>
      <w:szCs w:val="20"/>
    </w:rPr>
  </w:style>
  <w:style w:type="paragraph" w:styleId="18">
    <w:name w:val="header"/>
    <w:link w:val="42"/>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9">
    <w:name w:val="toc 1"/>
    <w:basedOn w:val="1"/>
    <w:next w:val="1"/>
    <w:autoRedefine/>
    <w:qFormat/>
    <w:uiPriority w:val="39"/>
    <w:pPr>
      <w:spacing w:before="120" w:after="120"/>
      <w:jc w:val="left"/>
    </w:pPr>
    <w:rPr>
      <w:b/>
      <w:bCs/>
      <w:caps/>
      <w:sz w:val="20"/>
      <w:szCs w:val="20"/>
    </w:rPr>
  </w:style>
  <w:style w:type="paragraph" w:styleId="20">
    <w:name w:val="Subtitle"/>
    <w:basedOn w:val="1"/>
    <w:next w:val="1"/>
    <w:link w:val="44"/>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1">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2">
    <w:name w:val="HTML Preformatted"/>
    <w:basedOn w:val="1"/>
    <w:link w:val="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3">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4">
    <w:name w:val="Title"/>
    <w:basedOn w:val="1"/>
    <w:next w:val="1"/>
    <w:link w:val="45"/>
    <w:autoRedefine/>
    <w:qFormat/>
    <w:uiPriority w:val="0"/>
    <w:pPr>
      <w:spacing w:before="240" w:after="60"/>
      <w:jc w:val="center"/>
      <w:outlineLvl w:val="0"/>
    </w:pPr>
    <w:rPr>
      <w:rFonts w:ascii="Cambria" w:hAnsi="Cambria"/>
      <w:b/>
      <w:bCs/>
      <w:sz w:val="36"/>
      <w:szCs w:val="32"/>
    </w:rPr>
  </w:style>
  <w:style w:type="paragraph" w:styleId="25">
    <w:name w:val="annotation subject"/>
    <w:basedOn w:val="9"/>
    <w:next w:val="9"/>
    <w:link w:val="68"/>
    <w:autoRedefine/>
    <w:qFormat/>
    <w:uiPriority w:val="0"/>
    <w:rPr>
      <w:b/>
      <w:bCs/>
    </w:rPr>
  </w:style>
  <w:style w:type="paragraph" w:styleId="26">
    <w:name w:val="Body Text First Indent"/>
    <w:basedOn w:val="10"/>
    <w:next w:val="1"/>
    <w:autoRedefine/>
    <w:qFormat/>
    <w:uiPriority w:val="0"/>
    <w:pPr>
      <w:tabs>
        <w:tab w:val="left" w:pos="360"/>
      </w:tabs>
      <w:ind w:firstLine="420" w:firstLineChars="100"/>
    </w:pPr>
  </w:style>
  <w:style w:type="paragraph" w:styleId="27">
    <w:name w:val="Body Text First Indent 2"/>
    <w:basedOn w:val="12"/>
    <w:autoRedefine/>
    <w:qFormat/>
    <w:uiPriority w:val="0"/>
    <w:pPr>
      <w:widowControl/>
      <w:spacing w:line="276" w:lineRule="auto"/>
      <w:ind w:left="200" w:firstLine="420"/>
      <w:jc w:val="left"/>
    </w:pPr>
    <w:rPr>
      <w:rFonts w:ascii="Arial" w:hAnsi="Arial" w:eastAsia="仿宋_GB2312"/>
      <w:sz w:val="32"/>
    </w:rPr>
  </w:style>
  <w:style w:type="table" w:styleId="29">
    <w:name w:val="Table Grid"/>
    <w:basedOn w:val="2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FollowedHyperlink"/>
    <w:basedOn w:val="30"/>
    <w:autoRedefine/>
    <w:qFormat/>
    <w:uiPriority w:val="0"/>
    <w:rPr>
      <w:color w:val="800080" w:themeColor="followedHyperlink"/>
      <w:u w:val="single"/>
      <w14:textFill>
        <w14:solidFill>
          <w14:schemeClr w14:val="folHlink"/>
        </w14:solidFill>
      </w14:textFill>
    </w:rPr>
  </w:style>
  <w:style w:type="character" w:styleId="34">
    <w:name w:val="Emphasis"/>
    <w:basedOn w:val="30"/>
    <w:autoRedefine/>
    <w:qFormat/>
    <w:uiPriority w:val="20"/>
    <w:rPr>
      <w:i/>
      <w:iCs/>
    </w:rPr>
  </w:style>
  <w:style w:type="character" w:styleId="35">
    <w:name w:val="Hyperlink"/>
    <w:autoRedefine/>
    <w:qFormat/>
    <w:uiPriority w:val="99"/>
    <w:rPr>
      <w:color w:val="000099"/>
      <w:u w:val="none"/>
    </w:rPr>
  </w:style>
  <w:style w:type="character" w:styleId="36">
    <w:name w:val="annotation reference"/>
    <w:basedOn w:val="30"/>
    <w:autoRedefine/>
    <w:qFormat/>
    <w:uiPriority w:val="0"/>
    <w:rPr>
      <w:sz w:val="21"/>
      <w:szCs w:val="21"/>
    </w:rPr>
  </w:style>
  <w:style w:type="paragraph" w:customStyle="1" w:styleId="37">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8">
    <w:name w:val="批注框文本 Char"/>
    <w:link w:val="16"/>
    <w:autoRedefine/>
    <w:qFormat/>
    <w:locked/>
    <w:uiPriority w:val="0"/>
    <w:rPr>
      <w:rFonts w:ascii="Calibri" w:hAnsi="Calibri" w:eastAsia="宋体"/>
      <w:sz w:val="18"/>
      <w:szCs w:val="18"/>
      <w:lang w:val="en-US" w:eastAsia="zh-CN" w:bidi="ar-SA"/>
    </w:rPr>
  </w:style>
  <w:style w:type="paragraph" w:styleId="39">
    <w:name w:val="List Paragraph"/>
    <w:basedOn w:val="1"/>
    <w:autoRedefine/>
    <w:qFormat/>
    <w:uiPriority w:val="34"/>
    <w:pPr>
      <w:spacing w:line="240" w:lineRule="auto"/>
      <w:ind w:firstLine="420"/>
    </w:pPr>
    <w:rPr>
      <w:kern w:val="2"/>
    </w:rPr>
  </w:style>
  <w:style w:type="character" w:customStyle="1" w:styleId="40">
    <w:name w:val="页脚 Char"/>
    <w:link w:val="17"/>
    <w:autoRedefine/>
    <w:qFormat/>
    <w:uiPriority w:val="99"/>
    <w:rPr>
      <w:rFonts w:ascii="Calibri" w:hAnsi="Calibri" w:eastAsia="宋体"/>
      <w:sz w:val="18"/>
      <w:lang w:val="en-US" w:eastAsia="zh-CN" w:bidi="ar-SA"/>
    </w:rPr>
  </w:style>
  <w:style w:type="paragraph" w:customStyle="1" w:styleId="41">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2">
    <w:name w:val="页眉 Char"/>
    <w:link w:val="18"/>
    <w:autoRedefine/>
    <w:qFormat/>
    <w:uiPriority w:val="99"/>
    <w:rPr>
      <w:rFonts w:ascii="Calibri" w:hAnsi="Calibri"/>
      <w:sz w:val="18"/>
      <w:szCs w:val="18"/>
      <w:lang w:bidi="ar-SA"/>
    </w:rPr>
  </w:style>
  <w:style w:type="paragraph" w:customStyle="1" w:styleId="43">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4">
    <w:name w:val="副标题 Char"/>
    <w:link w:val="20"/>
    <w:autoRedefine/>
    <w:qFormat/>
    <w:uiPriority w:val="0"/>
    <w:rPr>
      <w:rFonts w:ascii="Cambria" w:hAnsi="Cambria" w:eastAsia="宋体"/>
      <w:b/>
      <w:bCs/>
      <w:kern w:val="28"/>
      <w:sz w:val="32"/>
      <w:szCs w:val="32"/>
      <w:lang w:bidi="ar-SA"/>
    </w:rPr>
  </w:style>
  <w:style w:type="character" w:customStyle="1" w:styleId="45">
    <w:name w:val="标题 Char"/>
    <w:link w:val="24"/>
    <w:autoRedefine/>
    <w:qFormat/>
    <w:uiPriority w:val="0"/>
    <w:rPr>
      <w:rFonts w:ascii="Cambria" w:hAnsi="Cambria" w:eastAsia="宋体"/>
      <w:b/>
      <w:bCs/>
      <w:sz w:val="36"/>
      <w:szCs w:val="32"/>
      <w:lang w:val="en-US" w:eastAsia="zh-CN" w:bidi="ar-SA"/>
    </w:rPr>
  </w:style>
  <w:style w:type="character" w:customStyle="1" w:styleId="46">
    <w:name w:val="标题 1 Char"/>
    <w:link w:val="3"/>
    <w:autoRedefine/>
    <w:qFormat/>
    <w:uiPriority w:val="0"/>
    <w:rPr>
      <w:rFonts w:eastAsia="宋体"/>
      <w:b/>
      <w:bCs/>
      <w:kern w:val="44"/>
      <w:sz w:val="30"/>
      <w:szCs w:val="44"/>
      <w:lang w:bidi="ar-SA"/>
    </w:rPr>
  </w:style>
  <w:style w:type="paragraph" w:customStyle="1" w:styleId="47">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8">
    <w:name w:val="标题 2 Char"/>
    <w:link w:val="4"/>
    <w:autoRedefine/>
    <w:semiHidden/>
    <w:qFormat/>
    <w:uiPriority w:val="0"/>
    <w:rPr>
      <w:rFonts w:ascii="Cambria" w:hAnsi="Cambria" w:eastAsia="宋体"/>
      <w:b/>
      <w:bCs/>
      <w:kern w:val="2"/>
      <w:sz w:val="32"/>
      <w:szCs w:val="32"/>
      <w:lang w:bidi="ar-SA"/>
    </w:rPr>
  </w:style>
  <w:style w:type="paragraph" w:customStyle="1" w:styleId="49">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0">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1">
    <w:name w:val="U_正文2"/>
    <w:basedOn w:val="1"/>
    <w:link w:val="52"/>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2">
    <w:name w:val="U_正文2 Char"/>
    <w:link w:val="51"/>
    <w:autoRedefine/>
    <w:qFormat/>
    <w:uiPriority w:val="0"/>
    <w:rPr>
      <w:rFonts w:eastAsia="宋体"/>
      <w:kern w:val="2"/>
      <w:sz w:val="24"/>
      <w:lang w:bidi="ar-SA"/>
    </w:rPr>
  </w:style>
  <w:style w:type="paragraph" w:customStyle="1" w:styleId="53">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4">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5">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6">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7">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8">
    <w:name w:val="HTML 预设格式 Char"/>
    <w:link w:val="22"/>
    <w:autoRedefine/>
    <w:qFormat/>
    <w:uiPriority w:val="0"/>
    <w:rPr>
      <w:rFonts w:ascii="Arial" w:hAnsi="Arial"/>
      <w:kern w:val="2"/>
      <w:sz w:val="24"/>
    </w:rPr>
  </w:style>
  <w:style w:type="character" w:customStyle="1" w:styleId="59">
    <w:name w:val="HTML 预设格式 Char1"/>
    <w:autoRedefine/>
    <w:qFormat/>
    <w:uiPriority w:val="0"/>
    <w:rPr>
      <w:rFonts w:ascii="Courier New" w:hAnsi="Courier New" w:cs="Courier New"/>
    </w:rPr>
  </w:style>
  <w:style w:type="paragraph" w:customStyle="1" w:styleId="60">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1">
    <w:name w:val="标题 Char1"/>
    <w:autoRedefine/>
    <w:qFormat/>
    <w:uiPriority w:val="0"/>
    <w:rPr>
      <w:rFonts w:ascii="Arial" w:hAnsi="Arial"/>
      <w:b/>
      <w:smallCaps/>
      <w:kern w:val="28"/>
      <w:sz w:val="36"/>
      <w:lang w:eastAsia="en-US"/>
    </w:rPr>
  </w:style>
  <w:style w:type="character" w:customStyle="1" w:styleId="62">
    <w:name w:val="标题 3 Char"/>
    <w:basedOn w:val="30"/>
    <w:link w:val="5"/>
    <w:autoRedefine/>
    <w:qFormat/>
    <w:uiPriority w:val="0"/>
    <w:rPr>
      <w:b/>
      <w:bCs/>
      <w:kern w:val="2"/>
      <w:sz w:val="32"/>
      <w:szCs w:val="32"/>
    </w:rPr>
  </w:style>
  <w:style w:type="character" w:customStyle="1" w:styleId="63">
    <w:name w:val="Table caption|1_"/>
    <w:basedOn w:val="30"/>
    <w:link w:val="64"/>
    <w:autoRedefine/>
    <w:qFormat/>
    <w:uiPriority w:val="0"/>
    <w:rPr>
      <w:rFonts w:ascii="宋体" w:hAnsi="宋体" w:cs="宋体"/>
      <w:lang w:val="zh-TW" w:eastAsia="zh-TW" w:bidi="zh-TW"/>
    </w:rPr>
  </w:style>
  <w:style w:type="paragraph" w:customStyle="1" w:styleId="64">
    <w:name w:val="Table caption|1"/>
    <w:basedOn w:val="1"/>
    <w:link w:val="63"/>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65">
    <w:name w:val="标题 4 Char"/>
    <w:basedOn w:val="30"/>
    <w:link w:val="6"/>
    <w:autoRedefine/>
    <w:semiHidden/>
    <w:qFormat/>
    <w:uiPriority w:val="0"/>
    <w:rPr>
      <w:rFonts w:asciiTheme="majorHAnsi" w:hAnsiTheme="majorHAnsi" w:eastAsiaTheme="majorEastAsia" w:cstheme="majorBidi"/>
      <w:b/>
      <w:bCs/>
      <w:sz w:val="28"/>
      <w:szCs w:val="28"/>
    </w:rPr>
  </w:style>
  <w:style w:type="character" w:customStyle="1" w:styleId="66">
    <w:name w:val="标题 5 Char"/>
    <w:basedOn w:val="30"/>
    <w:link w:val="7"/>
    <w:autoRedefine/>
    <w:semiHidden/>
    <w:qFormat/>
    <w:uiPriority w:val="0"/>
    <w:rPr>
      <w:rFonts w:ascii="Calibri" w:hAnsi="Calibri"/>
      <w:b/>
      <w:bCs/>
      <w:sz w:val="28"/>
      <w:szCs w:val="28"/>
    </w:rPr>
  </w:style>
  <w:style w:type="character" w:customStyle="1" w:styleId="67">
    <w:name w:val="批注文字 Char"/>
    <w:basedOn w:val="30"/>
    <w:link w:val="9"/>
    <w:autoRedefine/>
    <w:qFormat/>
    <w:uiPriority w:val="0"/>
    <w:rPr>
      <w:rFonts w:ascii="Calibri" w:hAnsi="Calibri"/>
      <w:sz w:val="21"/>
      <w:szCs w:val="22"/>
    </w:rPr>
  </w:style>
  <w:style w:type="character" w:customStyle="1" w:styleId="68">
    <w:name w:val="批注主题 Char"/>
    <w:basedOn w:val="67"/>
    <w:link w:val="25"/>
    <w:autoRedefine/>
    <w:qFormat/>
    <w:uiPriority w:val="0"/>
    <w:rPr>
      <w:rFonts w:ascii="Calibri" w:hAnsi="Calibri"/>
      <w:b/>
      <w:bCs/>
      <w:sz w:val="21"/>
      <w:szCs w:val="22"/>
    </w:rPr>
  </w:style>
  <w:style w:type="paragraph" w:customStyle="1" w:styleId="6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1">
    <w:name w:val="Body Text First Indent 21"/>
    <w:basedOn w:val="72"/>
    <w:autoRedefine/>
    <w:qFormat/>
    <w:uiPriority w:val="0"/>
    <w:pPr>
      <w:spacing w:line="240" w:lineRule="auto"/>
      <w:ind w:left="420" w:leftChars="200" w:firstLine="420" w:firstLineChars="200"/>
    </w:pPr>
    <w:rPr>
      <w:sz w:val="21"/>
    </w:rPr>
  </w:style>
  <w:style w:type="paragraph" w:customStyle="1" w:styleId="72">
    <w:name w:val="Body Text Indent1"/>
    <w:basedOn w:val="1"/>
    <w:autoRedefine/>
    <w:qFormat/>
    <w:uiPriority w:val="0"/>
    <w:pPr>
      <w:ind w:firstLine="480"/>
    </w:pPr>
    <w:rPr>
      <w:rFonts w:ascii="宋体" w:hAnsi="宋体"/>
    </w:rPr>
  </w:style>
  <w:style w:type="paragraph" w:customStyle="1" w:styleId="73">
    <w:name w:val="Table Paragraph"/>
    <w:basedOn w:val="1"/>
    <w:autoRedefine/>
    <w:qFormat/>
    <w:uiPriority w:val="1"/>
    <w:rPr>
      <w:rFonts w:ascii="宋体" w:hAnsi="宋体" w:eastAsia="宋体" w:cs="宋体"/>
    </w:rPr>
  </w:style>
  <w:style w:type="paragraph" w:customStyle="1" w:styleId="74">
    <w:name w:val="Body Text First Indent 2"/>
    <w:basedOn w:val="75"/>
    <w:autoRedefine/>
    <w:qFormat/>
    <w:uiPriority w:val="0"/>
    <w:pPr>
      <w:spacing w:after="120" w:afterLines="0"/>
      <w:ind w:left="420" w:leftChars="200" w:firstLine="420" w:firstLineChars="200"/>
    </w:pPr>
  </w:style>
  <w:style w:type="paragraph" w:customStyle="1" w:styleId="75">
    <w:name w:val="Body Text Indent"/>
    <w:basedOn w:val="1"/>
    <w:autoRedefine/>
    <w:qFormat/>
    <w:uiPriority w:val="0"/>
    <w:pPr>
      <w:spacing w:after="120" w:afterLines="0"/>
      <w:ind w:left="420" w:left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19827</Words>
  <Characters>21643</Characters>
  <Lines>217</Lines>
  <Paragraphs>61</Paragraphs>
  <TotalTime>60</TotalTime>
  <ScaleCrop>false</ScaleCrop>
  <LinksUpToDate>false</LinksUpToDate>
  <CharactersWithSpaces>22323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Administrator</dc:creator>
  <cp:lastModifiedBy>Administrator</cp:lastModifiedBy>
  <cp:lastPrinted>2024-03-06T09:10:00Z</cp:lastPrinted>
  <dcterms:modified xsi:type="dcterms:W3CDTF">2025-01-23T07:09:04Z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E229344039854AED95C2CE3539DD685D_13</vt:lpwstr>
  </property>
</Properties>
</file>