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75C75">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149E08B3">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537092BD">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14:paraId="441D5D33">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14:paraId="3CEC3FCE">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14:paraId="2CC78D27">
      <w:pPr>
        <w:pStyle w:val="9"/>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w:t>
      </w:r>
      <w:r>
        <w:rPr>
          <w:rFonts w:hint="eastAsia" w:ascii="宋体" w:hAnsi="宋体" w:cs="宋体"/>
          <w:b/>
          <w:color w:val="000000" w:themeColor="text1"/>
          <w:sz w:val="32"/>
          <w:szCs w:val="32"/>
          <w:highlight w:val="none"/>
          <w:lang w:val="en-US" w:eastAsia="zh-CN"/>
          <w14:textFill>
            <w14:solidFill>
              <w14:schemeClr w14:val="tx1"/>
            </w14:solidFill>
          </w14:textFill>
        </w:rPr>
        <w:t>省招</w:t>
      </w:r>
      <w:r>
        <w:rPr>
          <w:rFonts w:hint="eastAsia" w:ascii="宋体" w:hAnsi="宋体" w:cs="宋体"/>
          <w:b/>
          <w:color w:val="000000" w:themeColor="text1"/>
          <w:sz w:val="32"/>
          <w:szCs w:val="32"/>
          <w:highlight w:val="none"/>
          <w:lang w:eastAsia="zh-CN"/>
          <w14:textFill>
            <w14:solidFill>
              <w14:schemeClr w14:val="tx1"/>
            </w14:solidFill>
          </w14:textFill>
        </w:rPr>
        <w:t>竞磋（服务）2024-</w:t>
      </w:r>
      <w:r>
        <w:rPr>
          <w:rFonts w:hint="eastAsia" w:ascii="宋体" w:hAnsi="宋体" w:cs="宋体"/>
          <w:b/>
          <w:color w:val="000000" w:themeColor="text1"/>
          <w:sz w:val="32"/>
          <w:szCs w:val="32"/>
          <w:highlight w:val="none"/>
          <w:lang w:val="en-US" w:eastAsia="zh-CN"/>
          <w14:textFill>
            <w14:solidFill>
              <w14:schemeClr w14:val="tx1"/>
            </w14:solidFill>
          </w14:textFill>
        </w:rPr>
        <w:t>072</w:t>
      </w:r>
    </w:p>
    <w:p w14:paraId="6B677302">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w:t>
      </w:r>
      <w:r>
        <w:rPr>
          <w:rFonts w:hint="eastAsia" w:ascii="宋体" w:hAnsi="宋体" w:cs="宋体"/>
          <w:b/>
          <w:color w:val="000000" w:themeColor="text1"/>
          <w:sz w:val="32"/>
          <w:szCs w:val="32"/>
          <w:highlight w:val="none"/>
          <w:lang w:val="en-US" w:eastAsia="zh-CN"/>
          <w14:textFill>
            <w14:solidFill>
              <w14:schemeClr w14:val="tx1"/>
            </w14:solidFill>
          </w14:textFill>
        </w:rPr>
        <w:t>海南州乡村振兴规划编制</w:t>
      </w:r>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14:paraId="18B49FF3">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w:t>
      </w:r>
      <w:r>
        <w:rPr>
          <w:rFonts w:hint="eastAsia" w:ascii="宋体" w:hAnsi="宋体" w:cs="宋体"/>
          <w:b/>
          <w:color w:val="000000" w:themeColor="text1"/>
          <w:sz w:val="32"/>
          <w:szCs w:val="32"/>
          <w:highlight w:val="none"/>
          <w:lang w:eastAsia="zh-CN"/>
          <w14:textFill>
            <w14:solidFill>
              <w14:schemeClr w14:val="tx1"/>
            </w14:solidFill>
          </w14:textFill>
        </w:rPr>
        <w:t>海南藏族自治州发展和改革委员会</w:t>
      </w:r>
      <w:r>
        <w:rPr>
          <w:rFonts w:hint="eastAsia" w:ascii="宋体" w:hAnsi="宋体" w:cs="宋体"/>
          <w:b/>
          <w:color w:val="000000" w:themeColor="text1"/>
          <w:sz w:val="32"/>
          <w:szCs w:val="32"/>
          <w:highlight w:val="none"/>
          <w14:textFill>
            <w14:solidFill>
              <w14:schemeClr w14:val="tx1"/>
            </w14:solidFill>
          </w14:textFill>
        </w:rPr>
        <w:t xml:space="preserve">                        </w:t>
      </w:r>
    </w:p>
    <w:p w14:paraId="1E15078C">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w:t>
      </w:r>
      <w:r>
        <w:rPr>
          <w:rFonts w:hint="eastAsia" w:ascii="宋体" w:hAnsi="宋体" w:cs="宋体"/>
          <w:b/>
          <w:color w:val="000000" w:themeColor="text1"/>
          <w:sz w:val="32"/>
          <w:szCs w:val="32"/>
          <w:highlight w:val="none"/>
          <w:lang w:eastAsia="zh-CN"/>
          <w14:textFill>
            <w14:solidFill>
              <w14:schemeClr w14:val="tx1"/>
            </w14:solidFill>
          </w14:textFill>
        </w:rPr>
        <w:t>青海省招标有限责任公司</w:t>
      </w:r>
      <w:r>
        <w:rPr>
          <w:rFonts w:hint="eastAsia" w:ascii="宋体" w:hAnsi="宋体" w:cs="宋体"/>
          <w:b/>
          <w:color w:val="000000" w:themeColor="text1"/>
          <w:sz w:val="32"/>
          <w:szCs w:val="32"/>
          <w:highlight w:val="none"/>
          <w14:textFill>
            <w14:solidFill>
              <w14:schemeClr w14:val="tx1"/>
            </w14:solidFill>
          </w14:textFill>
        </w:rPr>
        <w:t xml:space="preserve">                           </w:t>
      </w:r>
    </w:p>
    <w:p w14:paraId="11451BA7">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21951F0A">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33B8E46E">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2024年</w:t>
      </w:r>
      <w:r>
        <w:rPr>
          <w:rFonts w:hint="eastAsia" w:ascii="宋体" w:hAnsi="宋体" w:cs="宋体"/>
          <w:b/>
          <w:bCs/>
          <w:color w:val="000000" w:themeColor="text1"/>
          <w:sz w:val="32"/>
          <w:szCs w:val="32"/>
          <w:highlight w:val="none"/>
          <w:lang w:val="en-US" w:eastAsia="zh-CN"/>
          <w14:textFill>
            <w14:solidFill>
              <w14:schemeClr w14:val="tx1"/>
            </w14:solidFill>
          </w14:textFill>
        </w:rPr>
        <w:t>10</w:t>
      </w:r>
      <w:r>
        <w:rPr>
          <w:rFonts w:hint="eastAsia" w:ascii="宋体" w:hAnsi="宋体" w:cs="宋体"/>
          <w:b/>
          <w:bCs/>
          <w:color w:val="000000" w:themeColor="text1"/>
          <w:sz w:val="32"/>
          <w:szCs w:val="32"/>
          <w:highlight w:val="none"/>
          <w:lang w:eastAsia="zh-CN"/>
          <w14:textFill>
            <w14:solidFill>
              <w14:schemeClr w14:val="tx1"/>
            </w14:solidFill>
          </w14:textFill>
        </w:rPr>
        <w:t>月</w:t>
      </w:r>
    </w:p>
    <w:p w14:paraId="27F6AEA2">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35BBC2ED">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14:paraId="5F6C071F">
      <w:pPr>
        <w:pStyle w:val="18"/>
        <w:tabs>
          <w:tab w:val="right" w:leader="dot" w:pos="9062"/>
        </w:tabs>
        <w:spacing w:line="600" w:lineRule="exact"/>
        <w:ind w:left="141" w:leftChars="67" w:firstLine="1" w:firstLineChars="0"/>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"_Toc101710027"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1C1C3419">
      <w:pPr>
        <w:pStyle w:val="18"/>
        <w:tabs>
          <w:tab w:val="right" w:leader="dot" w:pos="9062"/>
        </w:tabs>
        <w:spacing w:line="600" w:lineRule="exact"/>
        <w:ind w:firstLine="94" w:firstLineChars="47"/>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"_Toc101710028"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3BA9A9EF">
      <w:pPr>
        <w:pStyle w:val="18"/>
        <w:tabs>
          <w:tab w:val="right" w:leader="dot" w:pos="9062"/>
        </w:tabs>
        <w:spacing w:line="600" w:lineRule="exact"/>
        <w:ind w:firstLine="94" w:firstLineChars="47"/>
        <w:rPr>
          <w:rFonts w:hint="eastAsia"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"_Toc101710029"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p>
    <w:p w14:paraId="4DA1EB8A">
      <w:pPr>
        <w:pStyle w:val="18"/>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"_Toc101710030"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24</w:t>
      </w:r>
    </w:p>
    <w:p w14:paraId="109C49D0">
      <w:pPr>
        <w:pStyle w:val="18"/>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"_Toc101710031"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45</w:t>
      </w:r>
    </w:p>
    <w:p w14:paraId="15E10AB6">
      <w:pPr>
        <w:spacing w:line="600" w:lineRule="exact"/>
        <w:ind w:firstLine="141" w:firstLineChars="47"/>
        <w:jc w:val="center"/>
        <w:rPr>
          <w:rFonts w:ascii="宋体" w:hAnsi="宋体" w:cs="宋体"/>
          <w:bCs/>
          <w:color w:val="000000" w:themeColor="text1"/>
          <w:szCs w:val="24"/>
          <w:highlight w:val="none"/>
          <w:lang w:val="zh-CN"/>
          <w14:textFill>
            <w14:solidFill>
              <w14:schemeClr w14:val="tx1"/>
            </w14:solidFill>
          </w14:textFill>
        </w:rPr>
      </w:pPr>
      <w:r>
        <w:rPr>
          <w:rStyle w:val="35"/>
          <w:rFonts w:hint="eastAsia" w:cs="仿宋_GB2312" w:asciiTheme="minorEastAsia" w:hAnsiTheme="minorEastAsia" w:eastAsiaTheme="minorEastAsia"/>
          <w:bCs/>
          <w:color w:val="000000" w:themeColor="text1"/>
          <w:sz w:val="30"/>
          <w:szCs w:val="30"/>
          <w:highlight w:val="none"/>
          <w:lang w:val="zh-CN"/>
          <w14:textFill>
            <w14:solidFill>
              <w14:schemeClr w14:val="tx1"/>
            </w14:solidFill>
          </w14:textFill>
        </w:rPr>
        <w:fldChar w:fldCharType="end"/>
      </w:r>
    </w:p>
    <w:p w14:paraId="45CF0D21">
      <w:pPr>
        <w:pStyle w:val="2"/>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706E6A5C">
      <w:pPr>
        <w:pStyle w:val="2"/>
        <w:spacing w:before="60" w:after="20"/>
        <w:jc w:val="center"/>
        <w:rPr>
          <w:rFonts w:ascii="宋体" w:hAnsi="宋体"/>
          <w:color w:val="000000" w:themeColor="text1"/>
          <w:sz w:val="44"/>
          <w:highlight w:val="none"/>
          <w14:textFill>
            <w14:solidFill>
              <w14:schemeClr w14:val="tx1"/>
            </w14:solidFill>
          </w14:textFill>
        </w:rPr>
      </w:pPr>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bookmarkStart w:id="0" w:name="_Toc101710027"/>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14:paraId="521F4A99">
      <w:pPr>
        <w:spacing w:line="520" w:lineRule="exact"/>
        <w:ind w:firstLine="628"/>
        <w:rPr>
          <w:rStyle w:val="34"/>
          <w:rFonts w:ascii="仿宋_GB2312" w:eastAsia="仿宋_GB2312"/>
          <w:b/>
          <w:i w:val="0"/>
          <w:color w:val="000000" w:themeColor="text1"/>
          <w:spacing w:val="7"/>
          <w:kern w:val="2"/>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海南州乡村振兴规划编制</w:t>
      </w: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采购项目的潜在供应商应在青海省政府采购网下载采购文件，并于</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（北京时间）前提交响应文件。</w:t>
      </w:r>
    </w:p>
    <w:p w14:paraId="531DE8EE">
      <w:pPr>
        <w:pStyle w:val="23"/>
        <w:spacing w:line="520" w:lineRule="exact"/>
        <w:ind w:firstLine="630" w:firstLineChars="2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一、项目基本情况</w:t>
      </w:r>
    </w:p>
    <w:p w14:paraId="682C10FE">
      <w:pPr>
        <w:pStyle w:val="23"/>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项目编号：</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青海省招竞磋（服务）2024-</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072</w:t>
      </w:r>
    </w:p>
    <w:p w14:paraId="32A07780">
      <w:pPr>
        <w:pStyle w:val="23"/>
        <w:spacing w:line="520" w:lineRule="exact"/>
        <w:ind w:firstLine="444"/>
        <w:rPr>
          <w:rFonts w:hint="eastAsia" w:ascii="仿宋_GB2312" w:eastAsia="仿宋_GB2312" w:hAnsiTheme="minorEastAsia"/>
          <w:color w:val="000000" w:themeColor="text1"/>
          <w:spacing w:val="7"/>
          <w:sz w:val="30"/>
          <w:szCs w:val="30"/>
          <w:highlight w:val="yellow"/>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项目名称：</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海南州乡村振兴规划编制</w:t>
      </w:r>
    </w:p>
    <w:p w14:paraId="376FAEEF">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采购方式：竞争性磋商</w:t>
      </w:r>
    </w:p>
    <w:p w14:paraId="5803A314">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预算金额：</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80万元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捌拾万元整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0D43C36D">
      <w:pPr>
        <w:pStyle w:val="23"/>
        <w:spacing w:line="520" w:lineRule="exact"/>
        <w:ind w:firstLine="444"/>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最高限价：</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80万元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捌拾万元整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47DA21F4">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采购需求：详见第五部分服务要求</w:t>
      </w:r>
    </w:p>
    <w:p w14:paraId="3A4D246F">
      <w:pPr>
        <w:pStyle w:val="23"/>
        <w:spacing w:line="520" w:lineRule="exact"/>
        <w:ind w:firstLine="444"/>
        <w:rPr>
          <w:rFonts w:ascii="仿宋_GB2312" w:eastAsia="仿宋_GB2312" w:hAnsiTheme="minorEastAsia"/>
          <w:color w:val="000000" w:themeColor="text1"/>
          <w:spacing w:val="7"/>
          <w:sz w:val="30"/>
          <w:szCs w:val="30"/>
          <w:highlight w:val="yellow"/>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合同履行期限：合同签订之日起至规划审议通过印发。其中，2025年2月底前，完成《海南藏族自治州乡村振兴规划》正式成果，并形成规划报告。</w:t>
      </w:r>
    </w:p>
    <w:p w14:paraId="1DED048F">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二、申请人的资格要求：</w:t>
      </w:r>
    </w:p>
    <w:p w14:paraId="034431E8">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(1)符合《政府采购法》第22条条件，并提供下列材料：</w:t>
      </w:r>
    </w:p>
    <w:p w14:paraId="2E51B0D3">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①投标人的营业执照等证明文件，自然人的身份证明。</w:t>
      </w:r>
    </w:p>
    <w:p w14:paraId="0FF31AB0">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②财务状况报告，依法缴纳税收和社会保障资金的相关材料。</w:t>
      </w:r>
    </w:p>
    <w:p w14:paraId="08B0EA56">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③具备履行合同所必需的设备和专业技术能力的证明材料。</w:t>
      </w:r>
    </w:p>
    <w:p w14:paraId="1D17243A">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④参加政府采购活动前3年内在经营活动中没有重大违法记录的书面声明。</w:t>
      </w:r>
    </w:p>
    <w:p w14:paraId="74DA07A3">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⑤具备法律、行政法规规定的其他条件的证明材料。</w:t>
      </w:r>
    </w:p>
    <w:p w14:paraId="1BBE7BF9">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521CF91D">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(3)为本采购项目提供整体设计、规范编制或者项目管理、监理</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检测</w:t>
      </w:r>
      <w:r>
        <w:rPr>
          <w:rFonts w:hint="eastAsia" w:ascii="仿宋_GB2312" w:eastAsia="仿宋_GB2312" w:hAnsiTheme="minorEastAsia"/>
          <w:color w:val="000000" w:themeColor="text1"/>
          <w:spacing w:val="7"/>
          <w:sz w:val="30"/>
          <w:szCs w:val="30"/>
          <w:highlight w:val="none"/>
          <w14:textFill>
            <w14:solidFill>
              <w14:schemeClr w14:val="tx1"/>
            </w14:solidFill>
          </w14:textFill>
        </w:rPr>
        <w:t>等服务的投标人，不得再参加该采购项目的其他采购活动；</w:t>
      </w:r>
    </w:p>
    <w:p w14:paraId="63DC3D15">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(4)本项目不接受投标人以联合体方式进行投标；</w:t>
      </w:r>
    </w:p>
    <w:p w14:paraId="718CC62D">
      <w:pPr>
        <w:spacing w:line="520" w:lineRule="exact"/>
        <w:ind w:firstLine="630"/>
        <w:rPr>
          <w:rFonts w:hint="eastAsia" w:ascii="仿宋_GB2312" w:eastAsia="仿宋_GB2312" w:hAnsiTheme="minorEastAsia"/>
          <w:color w:val="000000" w:themeColor="text1"/>
          <w:spacing w:val="7"/>
          <w:sz w:val="30"/>
          <w:szCs w:val="30"/>
          <w:highlight w:val="yellow"/>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p w14:paraId="1F883129">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三、获取采购文件</w:t>
      </w:r>
    </w:p>
    <w:p w14:paraId="404B3BED">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18</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日至2024年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14:textFill>
            <w14:solidFill>
              <w14:schemeClr w14:val="tx1"/>
            </w14:solidFill>
          </w14:textFill>
        </w:rPr>
        <w:t>，每天上午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00:00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，下午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23:59</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（北京时间，法定节假日除外）</w:t>
      </w:r>
    </w:p>
    <w:p w14:paraId="70715502">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方式：《青海政府采购网》免费下载磋商文件。</w:t>
      </w:r>
    </w:p>
    <w:p w14:paraId="0965F383">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381AD61C">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四、响应文件接收</w:t>
      </w:r>
    </w:p>
    <w:p w14:paraId="4F628B5C">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截止时间：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56B0C272">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地点：政采云平台线上提交</w:t>
      </w:r>
    </w:p>
    <w:p w14:paraId="532F899F">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五、开启</w:t>
      </w:r>
    </w:p>
    <w:p w14:paraId="4CFD5ADC">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开启时间：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4F8A5B63">
      <w:pPr>
        <w:spacing w:line="520" w:lineRule="exact"/>
        <w:ind w:firstLine="628"/>
        <w:rPr>
          <w:rFonts w:hint="eastAsia" w:ascii="仿宋_GB2312" w:eastAsia="仿宋_GB2312" w:hAnsiTheme="minorEastAsia"/>
          <w:b/>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p>
    <w:p w14:paraId="012900CC">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六、公告期限</w:t>
      </w:r>
    </w:p>
    <w:p w14:paraId="2F9E6B99">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自本公告发布之日起5个工作日。</w:t>
      </w:r>
    </w:p>
    <w:p w14:paraId="353F7599">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七、其他补充事宜</w:t>
      </w:r>
    </w:p>
    <w:p w14:paraId="5EDE2C83">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 项目公告将在《青海政府采购网》发布。</w:t>
      </w:r>
    </w:p>
    <w:p w14:paraId="3346B125">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14:paraId="2FE3AA42">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620393AD">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3EAD8B58">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4ACFA31F">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4、本项目供应商可通过政采云线上平台进行质疑程序，代理机构通过线上平台进行质疑投诉流程工作。</w:t>
      </w:r>
    </w:p>
    <w:p w14:paraId="665C743D">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八、凡对本次采购提出询问，请按以下方式联系。</w:t>
      </w:r>
    </w:p>
    <w:p w14:paraId="66C0C554">
      <w:pPr>
        <w:spacing w:line="520" w:lineRule="exact"/>
        <w:ind w:firstLine="630"/>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14:paraId="591A6C9B">
      <w:pPr>
        <w:spacing w:line="520" w:lineRule="exact"/>
        <w:ind w:firstLine="628"/>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u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海南藏族自治州发展和改革委员会</w:t>
      </w:r>
    </w:p>
    <w:p w14:paraId="69522273">
      <w:pPr>
        <w:spacing w:line="520" w:lineRule="exact"/>
        <w:ind w:firstLine="628"/>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杨老师</w:t>
      </w:r>
    </w:p>
    <w:p w14:paraId="47CF76FE">
      <w:pPr>
        <w:spacing w:line="520" w:lineRule="exact"/>
        <w:ind w:firstLine="628"/>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地</w:t>
      </w:r>
      <w:r>
        <w:rPr>
          <w:rFonts w:hint="eastAsia" w:eastAsia="仿宋_GB2312" w:asciiTheme="minorEastAsia" w:hAnsiTheme="minorEastAsia"/>
          <w:color w:val="000000" w:themeColor="text1"/>
          <w:spacing w:val="7"/>
          <w:sz w:val="30"/>
          <w:szCs w:val="30"/>
          <w:highlight w:val="none"/>
          <w:u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址：</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海南州共和县团结北路15号</w:t>
      </w:r>
    </w:p>
    <w:p w14:paraId="40B13EC8">
      <w:pPr>
        <w:spacing w:line="520" w:lineRule="exact"/>
        <w:ind w:firstLine="628"/>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联系方式：0974-8512543</w:t>
      </w:r>
    </w:p>
    <w:p w14:paraId="041FC2E4">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14:paraId="3808B4F1">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p>
    <w:p w14:paraId="1067E05E">
      <w:pPr>
        <w:spacing w:line="520" w:lineRule="exact"/>
        <w:ind w:firstLine="628"/>
        <w:rPr>
          <w:rFonts w:hint="default" w:eastAsia="仿宋_GB2312" w:asciiTheme="minorEastAsia" w:hAnsiTheme="minorEastAsia"/>
          <w:color w:val="000000" w:themeColor="text1"/>
          <w:spacing w:val="7"/>
          <w:sz w:val="24"/>
          <w:szCs w:val="24"/>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五四西路65号</w:t>
      </w:r>
    </w:p>
    <w:p w14:paraId="0D7B4D6E">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丁强、贾雪滢</w:t>
      </w:r>
    </w:p>
    <w:p w14:paraId="38FAAB34">
      <w:pPr>
        <w:pStyle w:val="23"/>
        <w:spacing w:line="520" w:lineRule="exact"/>
        <w:ind w:firstLine="628" w:firstLineChars="200"/>
        <w:rPr>
          <w:rFonts w:hint="default" w:eastAsia="仿宋_GB2312" w:asciiTheme="minorEastAsia" w:hAnsiTheme="minorEastAsia"/>
          <w:color w:val="000000" w:themeColor="text1"/>
          <w:spacing w:val="7"/>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w:t>
      </w:r>
      <w:r>
        <w:rPr>
          <w:rFonts w:hint="eastAsia" w:ascii="仿宋_GB2312" w:eastAsia="仿宋_GB2312" w:hAnsiTheme="minorEastAsia"/>
          <w:color w:val="000000" w:themeColor="text1"/>
          <w:spacing w:val="7"/>
          <w:kern w:val="0"/>
          <w:sz w:val="30"/>
          <w:szCs w:val="30"/>
          <w:highlight w:val="none"/>
          <w:lang w:eastAsia="zh-CN"/>
          <w14:textFill>
            <w14:solidFill>
              <w14:schemeClr w14:val="tx1"/>
            </w14:solidFill>
          </w14:textFill>
        </w:rPr>
        <w:t>0971-</w:t>
      </w:r>
      <w:r>
        <w:rPr>
          <w:rFonts w:hint="eastAsia" w:ascii="仿宋_GB2312" w:eastAsia="仿宋_GB2312" w:hAnsiTheme="minorEastAsia"/>
          <w:color w:val="000000" w:themeColor="text1"/>
          <w:spacing w:val="7"/>
          <w:kern w:val="0"/>
          <w:sz w:val="30"/>
          <w:szCs w:val="30"/>
          <w:highlight w:val="none"/>
          <w:lang w:val="en-US" w:eastAsia="zh-CN"/>
          <w14:textFill>
            <w14:solidFill>
              <w14:schemeClr w14:val="tx1"/>
            </w14:solidFill>
          </w14:textFill>
        </w:rPr>
        <w:t>6327712</w:t>
      </w:r>
    </w:p>
    <w:p w14:paraId="7A47E2E8">
      <w:pPr>
        <w:pStyle w:val="23"/>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14:paraId="6B51A013">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8"/>
        <w:tblW w:w="9781" w:type="dxa"/>
        <w:jc w:val="center"/>
        <w:tblLayout w:type="fixed"/>
        <w:tblCellMar>
          <w:top w:w="0" w:type="dxa"/>
          <w:left w:w="57" w:type="dxa"/>
          <w:bottom w:w="0" w:type="dxa"/>
          <w:right w:w="57" w:type="dxa"/>
        </w:tblCellMar>
      </w:tblPr>
      <w:tblGrid>
        <w:gridCol w:w="744"/>
        <w:gridCol w:w="2413"/>
        <w:gridCol w:w="6624"/>
      </w:tblGrid>
      <w:tr w14:paraId="77D80B1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5980CED5">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16F1A6B5">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14:paraId="4C6EF30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A35CF1C">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49333CEB">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14:paraId="56EF632E">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青海省招竞磋（服务）2024-</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072</w:t>
            </w:r>
          </w:p>
        </w:tc>
      </w:tr>
      <w:tr w14:paraId="5849F45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43DF1F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423C7478">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14:paraId="45400166">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海南州乡村振兴规划编制</w:t>
            </w:r>
          </w:p>
        </w:tc>
      </w:tr>
      <w:tr w14:paraId="333D8DB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E18F93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7AE21D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14:paraId="21B58ABF">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海南藏族自治州发展和改革委员会</w:t>
            </w:r>
          </w:p>
        </w:tc>
      </w:tr>
      <w:tr w14:paraId="2FA4B7E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1C4EF42">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7E709BB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14:paraId="3971BBC6">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青海省招标有限责任公司</w:t>
            </w:r>
          </w:p>
        </w:tc>
      </w:tr>
      <w:tr w14:paraId="0E904C69">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96B09F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2.1</w:t>
            </w:r>
          </w:p>
        </w:tc>
        <w:tc>
          <w:tcPr>
            <w:tcW w:w="2413" w:type="dxa"/>
            <w:tcBorders>
              <w:top w:val="single" w:color="000000" w:sz="6" w:space="0"/>
              <w:left w:val="single" w:color="000000" w:sz="6" w:space="0"/>
              <w:bottom w:val="single" w:color="000000" w:sz="6" w:space="0"/>
              <w:right w:val="single" w:color="000000" w:sz="6" w:space="0"/>
            </w:tcBorders>
            <w:vAlign w:val="center"/>
          </w:tcPr>
          <w:p w14:paraId="4C73876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14:paraId="2B4E6A8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竞争性磋商</w:t>
            </w:r>
          </w:p>
        </w:tc>
      </w:tr>
      <w:tr w14:paraId="737C4C5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AF0128F">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65A7662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14:paraId="61B3ED3C">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综合评分法</w:t>
            </w:r>
          </w:p>
        </w:tc>
      </w:tr>
      <w:tr w14:paraId="60B9AD7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D7131D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37CBBF2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14:paraId="0FAFC35C">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80万元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捌拾万元整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26AAB12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6F7CD8D">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0D6784A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p>
        </w:tc>
        <w:tc>
          <w:tcPr>
            <w:tcW w:w="6624" w:type="dxa"/>
            <w:tcBorders>
              <w:top w:val="single" w:color="000000" w:sz="6" w:space="0"/>
              <w:left w:val="single" w:color="000000" w:sz="6" w:space="0"/>
              <w:bottom w:val="single" w:color="000000" w:sz="6" w:space="0"/>
              <w:right w:val="single" w:color="000000" w:sz="6" w:space="0"/>
            </w:tcBorders>
            <w:vAlign w:val="center"/>
          </w:tcPr>
          <w:p w14:paraId="4950D439">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80万元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捌拾万元整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4B19402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8DB47A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50D1EE8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14:paraId="43FF9DC1">
            <w:pPr>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无分包</w:t>
            </w:r>
          </w:p>
        </w:tc>
      </w:tr>
      <w:tr w14:paraId="46FE0D1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B04E24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51D3EA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14:paraId="564F00AA">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服务期：合同签订之日起至规划审议通过印发。其中，2025年2月底前，完成《海南藏族自治州乡村振兴规划》正式成果，并形成规划报告。</w:t>
            </w:r>
            <w:r>
              <w:rPr>
                <w:rFonts w:hint="eastAsia" w:ascii="仿宋_GB2312" w:hAnsi="宋体" w:eastAsia="仿宋_GB2312" w:cs="宋体"/>
                <w:color w:val="000000" w:themeColor="text1"/>
                <w:sz w:val="28"/>
                <w:szCs w:val="28"/>
                <w:highlight w:val="none"/>
                <w:lang w:val="zh-CN"/>
                <w14:textFill>
                  <w14:solidFill>
                    <w14:schemeClr w14:val="tx1"/>
                  </w14:solidFill>
                </w14:textFill>
              </w:rPr>
              <w:t>详见磋商文件第五部分</w:t>
            </w:r>
          </w:p>
        </w:tc>
      </w:tr>
      <w:tr w14:paraId="2031394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B967F01">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2.2</w:t>
            </w:r>
          </w:p>
        </w:tc>
        <w:tc>
          <w:tcPr>
            <w:tcW w:w="2413" w:type="dxa"/>
            <w:tcBorders>
              <w:top w:val="single" w:color="000000" w:sz="6" w:space="0"/>
              <w:left w:val="single" w:color="000000" w:sz="6" w:space="0"/>
              <w:bottom w:val="single" w:color="000000" w:sz="6" w:space="0"/>
              <w:right w:val="single" w:color="000000" w:sz="6" w:space="0"/>
            </w:tcBorders>
            <w:vAlign w:val="center"/>
          </w:tcPr>
          <w:p w14:paraId="47456E4A">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14:paraId="3625A4D6">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(1)符合《政府采购法》第 22 条条件，并提供下列材料：</w:t>
            </w:r>
          </w:p>
          <w:p w14:paraId="7521B033">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①投标人的营业执照等证明文件，自然人的身份证明。</w:t>
            </w:r>
          </w:p>
          <w:p w14:paraId="648369A4">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②财务状况报告，依法缴纳税收和社会保障资金的相关材料。</w:t>
            </w:r>
          </w:p>
          <w:p w14:paraId="3CA13B4B">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③具备履行合同所必需的设备和专业技术能力的证明材料。</w:t>
            </w:r>
          </w:p>
          <w:p w14:paraId="586E914D">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④参加政府采购活动前 3 年内在经营活动中没有重大违法记录的书面声明。</w:t>
            </w:r>
          </w:p>
          <w:p w14:paraId="28E0DE89">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⑤具备法律、行政法规规定的其他条件的证明材料。</w:t>
            </w:r>
          </w:p>
          <w:p w14:paraId="581D1AF2">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43435712">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(3)为本采购项目提供整体设计、规范编制或者项目管理、监理、检测等服务的投标人，不得再参加该采购项目的其他采购活动；</w:t>
            </w:r>
          </w:p>
          <w:p w14:paraId="5BFC1EFE">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(4)本项目不接受投标人以联合体方式进行投标；</w:t>
            </w:r>
          </w:p>
          <w:p w14:paraId="6BA05CFB">
            <w:pPr>
              <w:pStyle w:val="23"/>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tc>
      </w:tr>
      <w:tr w14:paraId="434C121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503C30C">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9</w:t>
            </w:r>
          </w:p>
        </w:tc>
        <w:tc>
          <w:tcPr>
            <w:tcW w:w="2413" w:type="dxa"/>
            <w:tcBorders>
              <w:top w:val="single" w:color="000000" w:sz="6" w:space="0"/>
              <w:left w:val="single" w:color="000000" w:sz="6" w:space="0"/>
              <w:bottom w:val="single" w:color="000000" w:sz="6" w:space="0"/>
              <w:right w:val="single" w:color="000000" w:sz="6" w:space="0"/>
            </w:tcBorders>
            <w:vAlign w:val="center"/>
          </w:tcPr>
          <w:p w14:paraId="6A23AE9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14:paraId="36AD7B1A">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（1）银行转账</w:t>
            </w:r>
          </w:p>
          <w:p w14:paraId="1B54CEF2">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投标保证金须从投标人基本账户以转账、电汇方式提交（以到账为准），并注明所投工程名称</w:t>
            </w:r>
          </w:p>
          <w:p w14:paraId="57407361">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金  额：：人民币壹万元整</w:t>
            </w:r>
          </w:p>
          <w:p w14:paraId="786CD823">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户  名：青海省招标有限责任公司</w:t>
            </w:r>
          </w:p>
          <w:p w14:paraId="5A1394B4">
            <w:pPr>
              <w:rPr>
                <w:rFonts w:hint="default"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账  号：63001373637050010313</w:t>
            </w:r>
          </w:p>
          <w:p w14:paraId="5C0C6280">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开户行：建行西宁城西支行</w:t>
            </w:r>
          </w:p>
          <w:p w14:paraId="750329AB">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退还投标保证金电话：0971-6130259</w:t>
            </w:r>
          </w:p>
          <w:p w14:paraId="37F5CDED">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（2）银行保函</w:t>
            </w:r>
          </w:p>
          <w:p w14:paraId="21E591B8">
            <w:pP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（3）保险保单</w:t>
            </w:r>
          </w:p>
        </w:tc>
      </w:tr>
      <w:tr w14:paraId="307BCD3D">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CBA2BE2">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9.1</w:t>
            </w:r>
          </w:p>
        </w:tc>
        <w:tc>
          <w:tcPr>
            <w:tcW w:w="2413" w:type="dxa"/>
            <w:tcBorders>
              <w:top w:val="single" w:color="000000" w:sz="6" w:space="0"/>
              <w:left w:val="single" w:color="000000" w:sz="6" w:space="0"/>
              <w:bottom w:val="single" w:color="000000" w:sz="6" w:space="0"/>
              <w:right w:val="single" w:color="000000" w:sz="6" w:space="0"/>
            </w:tcBorders>
            <w:vAlign w:val="center"/>
          </w:tcPr>
          <w:p w14:paraId="4066A63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14:paraId="5F27CDF1">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09D198A4">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14:paraId="706337BE">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14:paraId="593FD046">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F2C8A83">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9.2</w:t>
            </w:r>
          </w:p>
        </w:tc>
        <w:tc>
          <w:tcPr>
            <w:tcW w:w="2413" w:type="dxa"/>
            <w:tcBorders>
              <w:top w:val="single" w:color="000000" w:sz="6" w:space="0"/>
              <w:left w:val="single" w:color="000000" w:sz="6" w:space="0"/>
              <w:bottom w:val="single" w:color="000000" w:sz="6" w:space="0"/>
              <w:right w:val="single" w:color="000000" w:sz="6" w:space="0"/>
            </w:tcBorders>
            <w:vAlign w:val="center"/>
          </w:tcPr>
          <w:p w14:paraId="12BE9F5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14:paraId="64ECFAAA">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4D85492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F71BEE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12</w:t>
            </w:r>
          </w:p>
        </w:tc>
        <w:tc>
          <w:tcPr>
            <w:tcW w:w="2413" w:type="dxa"/>
            <w:tcBorders>
              <w:top w:val="single" w:color="000000" w:sz="6" w:space="0"/>
              <w:left w:val="single" w:color="000000" w:sz="6" w:space="0"/>
              <w:bottom w:val="single" w:color="000000" w:sz="6" w:space="0"/>
              <w:right w:val="single" w:color="000000" w:sz="6" w:space="0"/>
            </w:tcBorders>
            <w:vAlign w:val="center"/>
          </w:tcPr>
          <w:p w14:paraId="4D1E967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14:paraId="66557221">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042BCA6F">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FA9E4F6">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C092D7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14:paraId="2C4B7CFF">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14:paraId="067B2C98">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5261C3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14.1</w:t>
            </w:r>
          </w:p>
        </w:tc>
        <w:tc>
          <w:tcPr>
            <w:tcW w:w="2413" w:type="dxa"/>
            <w:tcBorders>
              <w:top w:val="single" w:color="000000" w:sz="6" w:space="0"/>
              <w:left w:val="single" w:color="000000" w:sz="6" w:space="0"/>
              <w:bottom w:val="single" w:color="000000" w:sz="6" w:space="0"/>
              <w:right w:val="single" w:color="000000" w:sz="6" w:space="0"/>
            </w:tcBorders>
            <w:vAlign w:val="center"/>
          </w:tcPr>
          <w:p w14:paraId="7E4B7433">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14:paraId="4B7732D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2024年10月</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30</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日09点00分（北京时间）</w:t>
            </w:r>
          </w:p>
        </w:tc>
      </w:tr>
      <w:tr w14:paraId="41584828">
        <w:tblPrEx>
          <w:tblCellMar>
            <w:top w:w="0" w:type="dxa"/>
            <w:left w:w="57" w:type="dxa"/>
            <w:bottom w:w="0" w:type="dxa"/>
            <w:right w:w="57" w:type="dxa"/>
          </w:tblCellMar>
        </w:tblPrEx>
        <w:trPr>
          <w:trHeight w:val="187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D4556B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5BEA71E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14:paraId="683CC4A9">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22CB7E44">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4DCC0F93">
            <w:pPr>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服务费金额：依据</w:t>
            </w:r>
            <w:r>
              <w:rPr>
                <w:rFonts w:ascii="微软雅黑" w:hAnsi="微软雅黑" w:eastAsia="微软雅黑" w:cs="微软雅黑"/>
                <w:i w:val="0"/>
                <w:iCs w:val="0"/>
                <w:caps w:val="0"/>
                <w:color w:val="000000"/>
                <w:spacing w:val="0"/>
                <w:sz w:val="24"/>
                <w:szCs w:val="24"/>
              </w:rPr>
              <w:t>发改价格[2015]299号规定</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执行（最终按中标价计取）</w:t>
            </w:r>
          </w:p>
          <w:p w14:paraId="007FAEB8">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w:t>
            </w:r>
            <w:r>
              <w:rPr>
                <w:rFonts w:hint="eastAsia" w:ascii="仿宋_GB2312" w:hAnsi="宋体" w:eastAsia="仿宋_GB2312" w:cs="宋体"/>
                <w:bCs/>
                <w:color w:val="000000" w:themeColor="text1"/>
                <w:sz w:val="28"/>
                <w:szCs w:val="28"/>
                <w:lang w:val="en-US" w:eastAsia="zh-CN"/>
                <w14:textFill>
                  <w14:solidFill>
                    <w14:schemeClr w14:val="tx1"/>
                  </w14:solidFill>
                </w14:textFill>
              </w:rPr>
              <w:t>63001373637350019785</w:t>
            </w:r>
          </w:p>
          <w:p w14:paraId="5B0A67B2">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w:t>
            </w:r>
            <w:r>
              <w:rPr>
                <w:rFonts w:hint="eastAsia" w:ascii="仿宋_GB2312" w:hAnsi="宋体" w:eastAsia="仿宋_GB2312" w:cs="宋体"/>
                <w:bCs/>
                <w:color w:val="000000" w:themeColor="text1"/>
                <w:sz w:val="28"/>
                <w:szCs w:val="28"/>
                <w:lang w:val="en-US" w:eastAsia="zh-CN"/>
                <w14:textFill>
                  <w14:solidFill>
                    <w14:schemeClr w14:val="tx1"/>
                  </w14:solidFill>
                </w14:textFill>
              </w:rPr>
              <w:t>建行西宁城西支行</w:t>
            </w:r>
          </w:p>
          <w:p w14:paraId="552A19C2">
            <w:pPr>
              <w:pStyle w:val="12"/>
              <w:ind w:left="0" w:leftChars="0" w:firstLine="0" w:firstLineChars="0"/>
              <w:rPr>
                <w:color w:val="000000" w:themeColor="text1"/>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收款人：青海省招标有限责任公司</w:t>
            </w:r>
          </w:p>
        </w:tc>
      </w:tr>
      <w:tr w14:paraId="180D8E3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0D153FF">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0D26FF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14:paraId="3C4F4DA3">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14:paraId="269B1E1D">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73DCAE6">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0FEEF75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14:paraId="51A0F1F4">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14:paraId="7D6E1799">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14:paraId="4B41FFA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06E6FEC">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69FE686E">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14:paraId="598B2A0D">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14:paraId="15242579">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81C41C">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623E65E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p>
        </w:tc>
        <w:tc>
          <w:tcPr>
            <w:tcW w:w="6624" w:type="dxa"/>
            <w:tcBorders>
              <w:top w:val="single" w:color="000000" w:sz="6" w:space="0"/>
              <w:left w:val="single" w:color="000000" w:sz="6" w:space="0"/>
              <w:bottom w:val="single" w:color="000000" w:sz="6" w:space="0"/>
              <w:right w:val="single" w:color="000000" w:sz="6" w:space="0"/>
            </w:tcBorders>
          </w:tcPr>
          <w:p w14:paraId="4942373C">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default" w:ascii="仿宋_GB2312" w:hAnsi="宋体" w:eastAsia="仿宋_GB2312" w:cs="宋体"/>
                <w:color w:val="000000" w:themeColor="text1"/>
                <w:sz w:val="28"/>
                <w:szCs w:val="28"/>
                <w:highlight w:val="none"/>
                <w:lang w:val="en-US"/>
                <w14:textFill>
                  <w14:solidFill>
                    <w14:schemeClr w14:val="tx1"/>
                  </w14:solidFill>
                </w14:textFill>
              </w:rPr>
              <w:t>合同签订之日起至规划审议通过印发。其中，2025年2月底前，完成《海南藏族自治州乡村振兴规划》正式成果，并形成规划报告。</w:t>
            </w:r>
          </w:p>
        </w:tc>
      </w:tr>
    </w:tbl>
    <w:p w14:paraId="5D7709AC">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bookmarkStart w:id="3" w:name="_Toc325725997"/>
    </w:p>
    <w:p w14:paraId="215E6AE7">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0D8BA8EC">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585730B4">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101F603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14943"/>
      <w:bookmarkStart w:id="5" w:name="_Toc376936728"/>
      <w:bookmarkStart w:id="6" w:name="_Toc24622"/>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14:paraId="7929240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9770"/>
      <w:bookmarkStart w:id="8" w:name="_Toc26944"/>
      <w:bookmarkStart w:id="9" w:name="_Toc376936729"/>
      <w:bookmarkStart w:id="10" w:name="_Toc325725998"/>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0216D56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4001A4E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21998"/>
      <w:bookmarkStart w:id="12" w:name="_Toc325725999"/>
      <w:bookmarkStart w:id="13" w:name="_Toc376936730"/>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446E799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0C85D62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6450981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325726000"/>
      <w:bookmarkStart w:id="16" w:name="_Toc8805"/>
      <w:bookmarkStart w:id="17" w:name="_Toc8820"/>
      <w:bookmarkStart w:id="18" w:name="_Toc376936731"/>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42D1AEA4">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18155"/>
      <w:bookmarkStart w:id="20" w:name="_Toc325726001"/>
      <w:bookmarkStart w:id="21" w:name="_Toc376936732"/>
    </w:p>
    <w:p w14:paraId="0497100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4CDDD6D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25726002"/>
      <w:bookmarkStart w:id="23" w:name="_Toc14153"/>
      <w:bookmarkStart w:id="24" w:name="_Toc10649"/>
      <w:bookmarkStart w:id="25" w:name="_Toc376936733"/>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625E475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65107C8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0D9D4E5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4A5F7CC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7B71AAB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05E2B4E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611BD2C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14:paraId="4CC803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74F4A3B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76936734"/>
      <w:bookmarkStart w:id="27" w:name="_Toc325726003"/>
      <w:bookmarkStart w:id="28" w:name="_Toc6482"/>
      <w:bookmarkStart w:id="29" w:name="_Toc3451"/>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74E3229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20AD13C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383AEB3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29EFF6C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5F4421A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13050"/>
      <w:bookmarkStart w:id="31" w:name="_Toc376936735"/>
      <w:bookmarkStart w:id="32" w:name="_Toc26515"/>
      <w:bookmarkStart w:id="33" w:name="_Toc325726004"/>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2E5ED8B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73CDA8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376936736"/>
      <w:bookmarkStart w:id="36" w:name="_Toc23340"/>
    </w:p>
    <w:p w14:paraId="34516C3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771592A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13057"/>
      <w:bookmarkStart w:id="38" w:name="_Toc376936737"/>
      <w:bookmarkStart w:id="39" w:name="_Toc325726006"/>
      <w:bookmarkStart w:id="40" w:name="_Toc9674"/>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07BDA9D8">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59EB754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6714124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572F5C4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17093"/>
      <w:bookmarkStart w:id="42" w:name="_Toc21569"/>
      <w:bookmarkStart w:id="43" w:name="_Toc376936743"/>
      <w:bookmarkStart w:id="44" w:name="_Toc325726012"/>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61EED822">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14:paraId="3FEC13C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14:paraId="67637891">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14:paraId="606059FB">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14:paraId="13C3BF7D">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14:paraId="47955418">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14:paraId="55DA894F">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9.1磋商保证金采用前附表规定转账方式的，由供应商直接转入“青海省招标有限责任公司”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14:paraId="3F738EBE">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4A9D8A0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14:paraId="4BF749F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14:paraId="5D242D5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14:paraId="0CD4D5B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14:paraId="352F541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14:paraId="2FD9A1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14:paraId="4109FF2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325726013"/>
      <w:bookmarkStart w:id="46" w:name="_Toc32704"/>
      <w:bookmarkStart w:id="47" w:name="_Toc376936744"/>
      <w:bookmarkStart w:id="48" w:name="_Toc22044"/>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66A4F40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0BB7A10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76936739"/>
      <w:bookmarkStart w:id="50" w:name="_Toc31915"/>
      <w:bookmarkStart w:id="51" w:name="_Toc325726008"/>
      <w:bookmarkStart w:id="52" w:name="_Toc16445"/>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16FCFCA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44560D7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14:paraId="6595627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14:paraId="6A44214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41E94FFB">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14:paraId="5D7608DE">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p>
    <w:p w14:paraId="36B378C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14:paraId="0BD761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14:paraId="4FB987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14:paraId="7D3CFB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14:paraId="63178BF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14:paraId="18B3C4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14:paraId="3DCB640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14:paraId="49CC6E6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793CB97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p>
    <w:p w14:paraId="67AED3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14:paraId="5DFD6D8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14:paraId="45E114D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14:paraId="1640240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14:paraId="7B3E6D8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14:paraId="3CF17CB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1612B42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16453"/>
      <w:bookmarkStart w:id="54" w:name="_Toc11377"/>
      <w:bookmarkStart w:id="55" w:name="_Toc373392580"/>
      <w:bookmarkStart w:id="56" w:name="_Toc412617729"/>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2A2C6369">
      <w:pPr>
        <w:spacing w:line="520" w:lineRule="exact"/>
        <w:ind w:firstLine="464" w:firstLineChars="166"/>
        <w:rPr>
          <w:rFonts w:hint="eastAsia" w:ascii="仿宋_GB2312" w:hAnsi="宋体" w:eastAsia="仿宋_GB2312" w:cs="宋体"/>
          <w:color w:val="000000" w:themeColor="text1"/>
          <w:sz w:val="28"/>
          <w:szCs w:val="28"/>
          <w:highlight w:val="none"/>
          <w14:textFill>
            <w14:solidFill>
              <w14:schemeClr w14:val="tx1"/>
            </w14:solidFill>
          </w14:textFill>
        </w:rPr>
      </w:pPr>
      <w:bookmarkStart w:id="57" w:name="_Toc412617730"/>
      <w:bookmarkStart w:id="58" w:name="_Toc15102"/>
      <w:bookmarkStart w:id="59" w:name="_Toc376936748"/>
      <w:bookmarkStart w:id="60" w:name="_Toc37109002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AC7AF7A">
      <w:pPr>
        <w:spacing w:line="520" w:lineRule="exact"/>
        <w:ind w:firstLine="467" w:firstLineChars="166"/>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7E942C4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1176"/>
      <w:bookmarkStart w:id="62" w:name="_Toc23823"/>
      <w:bookmarkStart w:id="63" w:name="_Toc325726016"/>
      <w:bookmarkStart w:id="64" w:name="_Toc412617731"/>
      <w:bookmarkStart w:id="65" w:name="_Toc373392582"/>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622F0491">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66" w:name="_Toc412617732"/>
      <w:bookmarkStart w:id="67" w:name="_Toc373392583"/>
      <w:bookmarkStart w:id="68" w:name="_Toc30756"/>
      <w:bookmarkStart w:id="69" w:name="_Toc325726017"/>
      <w:bookmarkStart w:id="70" w:name="_Toc4009"/>
      <w:bookmarkStart w:id="71" w:name="_Toc376936749"/>
      <w:bookmarkStart w:id="72" w:name="_Toc371090030"/>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5A5E7A48">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14:paraId="75554A7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14:paraId="20A9838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74D01DD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5798CC1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3206D48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01362D2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1ECFE2D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4FBB3D1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2F409A9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376936752"/>
      <w:bookmarkStart w:id="82" w:name="_Toc18107"/>
      <w:bookmarkStart w:id="83" w:name="_Toc19030"/>
      <w:bookmarkStart w:id="84" w:name="_Toc325726021"/>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14:paraId="3174FA8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16935"/>
      <w:bookmarkStart w:id="86" w:name="_Toc26121"/>
      <w:bookmarkStart w:id="87" w:name="_Toc325726022"/>
      <w:bookmarkStart w:id="88" w:name="_Toc376936753"/>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14:paraId="5A1775A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70BA93D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14:paraId="520547F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14:paraId="334DBD8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14:paraId="1809571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14:paraId="35AA4BB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14:paraId="15429C9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14:paraId="14D8333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14:paraId="35AD690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14:paraId="26CD734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14:paraId="659E0D7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14:paraId="7BD8641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14:paraId="4323A31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14:paraId="42A9D6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14:paraId="167FAC3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14:paraId="3FCD7D3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14694"/>
      <w:bookmarkStart w:id="90" w:name="_Toc27086"/>
      <w:bookmarkStart w:id="91" w:name="_Toc376936754"/>
      <w:bookmarkStart w:id="92" w:name="_Toc325726023"/>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14:paraId="2899E4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7B0B35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14:paraId="4F4FE37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14:paraId="5FC25F6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14:paraId="2D7C82F8">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14:paraId="2A56F03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14:paraId="515D5A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14:paraId="3FE3DC6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14:paraId="3434AF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14:paraId="16553CE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14:paraId="44BD48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（8）响应文件中附有采购人不能接受的条件的；</w:t>
      </w:r>
    </w:p>
    <w:p w14:paraId="631B8B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14:paraId="12E3601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14:paraId="6933399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5E8FA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411DD39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14:paraId="7D432CE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14:paraId="1471799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14:paraId="2261337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14:paraId="7E46AE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14:paraId="24655E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14:paraId="20B4114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3923367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E941F1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24E4C0A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325726024"/>
      <w:bookmarkStart w:id="94" w:name="_Toc376936755"/>
      <w:bookmarkStart w:id="95" w:name="_Toc20611"/>
      <w:bookmarkStart w:id="96" w:name="_Toc13668"/>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14:paraId="209662A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59E2EEE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8"/>
        <w:tblpPr w:leftFromText="180" w:rightFromText="180" w:vertAnchor="text" w:horzAnchor="page" w:tblpX="1559" w:tblpY="327"/>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399"/>
        <w:gridCol w:w="1125"/>
      </w:tblGrid>
      <w:tr w14:paraId="5FA6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4" w:type="dxa"/>
            <w:tcBorders>
              <w:top w:val="single" w:color="auto" w:sz="4" w:space="0"/>
              <w:left w:val="single" w:color="auto" w:sz="4" w:space="0"/>
              <w:bottom w:val="single" w:color="auto" w:sz="4" w:space="0"/>
              <w:right w:val="single" w:color="auto" w:sz="4" w:space="0"/>
            </w:tcBorders>
            <w:vAlign w:val="center"/>
          </w:tcPr>
          <w:p w14:paraId="38E52A8D">
            <w:pPr>
              <w:ind w:right="-46" w:rightChars="-22" w:firstLine="120" w:firstLineChars="50"/>
              <w:rPr>
                <w:rFonts w:hint="eastAsia" w:ascii="宋体" w:hAnsi="宋体" w:cs="宋体"/>
                <w:snapToGrid w:val="0"/>
                <w:color w:val="000000"/>
                <w:sz w:val="24"/>
                <w:szCs w:val="28"/>
              </w:rPr>
            </w:pPr>
            <w:bookmarkStart w:id="97" w:name="_Toc376936756"/>
            <w:bookmarkStart w:id="98" w:name="_Toc325726025"/>
            <w:bookmarkStart w:id="99" w:name="_Toc6689"/>
            <w:bookmarkStart w:id="100" w:name="_Toc2506"/>
            <w:r>
              <w:rPr>
                <w:rFonts w:hint="eastAsia" w:ascii="宋体" w:hAnsi="宋体" w:cs="宋体"/>
                <w:snapToGrid w:val="0"/>
                <w:color w:val="000000"/>
                <w:sz w:val="24"/>
                <w:szCs w:val="28"/>
              </w:rPr>
              <w:t>评审因素</w:t>
            </w:r>
          </w:p>
        </w:tc>
        <w:tc>
          <w:tcPr>
            <w:tcW w:w="6399" w:type="dxa"/>
            <w:tcBorders>
              <w:top w:val="single" w:color="auto" w:sz="4" w:space="0"/>
              <w:left w:val="single" w:color="auto" w:sz="4" w:space="0"/>
              <w:bottom w:val="single" w:color="auto" w:sz="4" w:space="0"/>
              <w:right w:val="single" w:color="auto" w:sz="4" w:space="0"/>
            </w:tcBorders>
            <w:vAlign w:val="center"/>
          </w:tcPr>
          <w:p w14:paraId="4A9E260F">
            <w:pPr>
              <w:ind w:right="-46" w:rightChars="-22" w:firstLine="48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内     容</w:t>
            </w:r>
          </w:p>
        </w:tc>
        <w:tc>
          <w:tcPr>
            <w:tcW w:w="1125" w:type="dxa"/>
            <w:tcBorders>
              <w:top w:val="single" w:color="auto" w:sz="4" w:space="0"/>
              <w:left w:val="single" w:color="auto" w:sz="4" w:space="0"/>
              <w:bottom w:val="single" w:color="auto" w:sz="4" w:space="0"/>
              <w:right w:val="single" w:color="auto" w:sz="4" w:space="0"/>
            </w:tcBorders>
            <w:vAlign w:val="center"/>
          </w:tcPr>
          <w:p w14:paraId="3026E830">
            <w:pPr>
              <w:ind w:right="-46" w:rightChars="-22" w:firstLine="0" w:firstLineChars="0"/>
              <w:rPr>
                <w:rFonts w:hint="eastAsia" w:ascii="宋体" w:hAnsi="宋体" w:cs="宋体"/>
                <w:b/>
                <w:color w:val="000000"/>
                <w:sz w:val="24"/>
                <w:szCs w:val="28"/>
              </w:rPr>
            </w:pPr>
            <w:r>
              <w:rPr>
                <w:rFonts w:hint="eastAsia" w:ascii="宋体" w:hAnsi="宋体" w:cs="宋体"/>
                <w:snapToGrid w:val="0"/>
                <w:color w:val="000000"/>
                <w:sz w:val="24"/>
                <w:szCs w:val="28"/>
              </w:rPr>
              <w:t>权值%</w:t>
            </w:r>
          </w:p>
        </w:tc>
      </w:tr>
      <w:tr w14:paraId="0CBB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14" w:type="dxa"/>
            <w:tcBorders>
              <w:top w:val="single" w:color="auto" w:sz="4" w:space="0"/>
              <w:left w:val="single" w:color="auto" w:sz="4" w:space="0"/>
              <w:bottom w:val="single" w:color="auto" w:sz="4" w:space="0"/>
              <w:right w:val="single" w:color="auto" w:sz="4" w:space="0"/>
            </w:tcBorders>
            <w:vAlign w:val="center"/>
          </w:tcPr>
          <w:p w14:paraId="0AA4BEAB">
            <w:pPr>
              <w:ind w:right="-46" w:rightChars="-22" w:firstLine="480"/>
              <w:rPr>
                <w:rFonts w:hint="eastAsia" w:ascii="宋体" w:hAnsi="宋体" w:cs="宋体"/>
                <w:snapToGrid w:val="0"/>
                <w:color w:val="000000"/>
                <w:sz w:val="24"/>
                <w:szCs w:val="28"/>
              </w:rPr>
            </w:pPr>
          </w:p>
          <w:p w14:paraId="6D33527A">
            <w:pPr>
              <w:ind w:right="-46" w:rightChars="-22" w:firstLine="48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投标报价</w:t>
            </w:r>
          </w:p>
          <w:p w14:paraId="64F0008A">
            <w:pPr>
              <w:ind w:right="-46" w:rightChars="-22" w:firstLine="480"/>
              <w:rPr>
                <w:rFonts w:hint="eastAsia" w:ascii="宋体" w:hAnsi="宋体" w:cs="宋体"/>
                <w:snapToGrid w:val="0"/>
                <w:color w:val="000000"/>
                <w:sz w:val="24"/>
                <w:szCs w:val="28"/>
              </w:rPr>
            </w:pPr>
          </w:p>
        </w:tc>
        <w:tc>
          <w:tcPr>
            <w:tcW w:w="6399" w:type="dxa"/>
            <w:tcBorders>
              <w:top w:val="single" w:color="auto" w:sz="4" w:space="0"/>
              <w:left w:val="single" w:color="auto" w:sz="4" w:space="0"/>
              <w:bottom w:val="single" w:color="auto" w:sz="4" w:space="0"/>
              <w:right w:val="single" w:color="auto" w:sz="4" w:space="0"/>
            </w:tcBorders>
            <w:vAlign w:val="center"/>
          </w:tcPr>
          <w:p w14:paraId="66518F76">
            <w:pPr>
              <w:ind w:right="-46" w:rightChars="-22" w:firstLine="480"/>
              <w:rPr>
                <w:rFonts w:hint="eastAsia" w:ascii="宋体" w:hAnsi="宋体" w:cs="宋体"/>
                <w:snapToGrid w:val="0"/>
                <w:color w:val="000000"/>
                <w:sz w:val="24"/>
                <w:szCs w:val="28"/>
              </w:rPr>
            </w:pPr>
            <w:r>
              <w:rPr>
                <w:rFonts w:hint="eastAsia" w:ascii="宋体" w:hAnsi="宋体" w:cs="宋体"/>
                <w:snapToGrid w:val="0"/>
                <w:color w:val="000000"/>
                <w:sz w:val="24"/>
                <w:szCs w:val="28"/>
              </w:rPr>
              <w:t>满足投标文件要求且最后报价最低的供应商的价格为评审基准价，其价格分为满分。其他供应商的价格分统一按照下列公式计算：</w:t>
            </w:r>
          </w:p>
          <w:p w14:paraId="61F9A032">
            <w:pPr>
              <w:ind w:right="-46" w:rightChars="-22" w:firstLine="480"/>
              <w:rPr>
                <w:rFonts w:hint="eastAsia" w:ascii="宋体" w:hAnsi="宋体" w:cs="宋体"/>
                <w:snapToGrid w:val="0"/>
                <w:color w:val="000000"/>
                <w:sz w:val="24"/>
                <w:szCs w:val="28"/>
              </w:rPr>
            </w:pPr>
            <w:r>
              <w:rPr>
                <w:rFonts w:hint="eastAsia" w:ascii="宋体" w:hAnsi="宋体" w:cs="宋体"/>
                <w:snapToGrid w:val="0"/>
                <w:color w:val="000000"/>
                <w:sz w:val="24"/>
                <w:szCs w:val="28"/>
              </w:rPr>
              <w:t>投标报价得分=（评审基准价/最后投标报价）×价格权值×100%。</w:t>
            </w:r>
          </w:p>
          <w:p w14:paraId="40838172">
            <w:pPr>
              <w:ind w:right="-46" w:rightChars="-22" w:firstLine="480"/>
              <w:rPr>
                <w:rFonts w:hint="eastAsia" w:ascii="宋体" w:hAnsi="宋体" w:cs="宋体"/>
                <w:snapToGrid w:val="0"/>
                <w:color w:val="000000"/>
                <w:sz w:val="24"/>
                <w:szCs w:val="28"/>
              </w:rPr>
            </w:pPr>
            <w:r>
              <w:rPr>
                <w:rFonts w:hint="eastAsia" w:ascii="宋体" w:hAnsi="宋体" w:cs="宋体"/>
                <w:snapToGrid w:val="0"/>
                <w:color w:val="000000"/>
                <w:sz w:val="24"/>
                <w:szCs w:val="28"/>
              </w:rPr>
              <w:t>注：1、根据《政府采购促进中小企业发展暂行办法》的相关规定，对小型和微型企业制造（生产）产品的价格给予10%的扣除，用扣除后的价格参与评审。</w:t>
            </w:r>
          </w:p>
          <w:p w14:paraId="1009BFBE">
            <w:pPr>
              <w:ind w:right="-46" w:rightChars="-22" w:firstLine="480"/>
              <w:rPr>
                <w:rFonts w:hint="eastAsia" w:ascii="宋体" w:hAnsi="宋体" w:cs="宋体"/>
                <w:snapToGrid w:val="0"/>
                <w:color w:val="000000"/>
                <w:sz w:val="24"/>
                <w:szCs w:val="28"/>
              </w:rPr>
            </w:pPr>
            <w:r>
              <w:rPr>
                <w:rFonts w:hint="eastAsia" w:ascii="宋体" w:hAnsi="宋体" w:cs="宋体"/>
                <w:snapToGrid w:val="0"/>
                <w:color w:val="000000"/>
                <w:sz w:val="24"/>
                <w:szCs w:val="28"/>
              </w:rPr>
              <w:t>2、残疾人福利性单位属于小型、微型企业的，不重复享受政策。</w:t>
            </w:r>
          </w:p>
          <w:p w14:paraId="610DA0E1">
            <w:pPr>
              <w:ind w:right="-46" w:rightChars="-22" w:firstLine="480"/>
              <w:rPr>
                <w:rFonts w:hint="eastAsia" w:ascii="宋体" w:hAnsi="宋体" w:cs="宋体"/>
                <w:color w:val="000000"/>
                <w:sz w:val="24"/>
                <w:szCs w:val="28"/>
              </w:rPr>
            </w:pPr>
            <w:r>
              <w:rPr>
                <w:rFonts w:hint="eastAsia" w:ascii="宋体" w:hAnsi="宋体" w:cs="宋体"/>
                <w:snapToGrid w:val="0"/>
                <w:color w:val="000000"/>
                <w:sz w:val="24"/>
                <w:szCs w:val="28"/>
              </w:rPr>
              <w:t>3、根据《关于促进残疾人就业政府采购政策的通知》（财库[2017]141号），残疾人福利性单位视同</w:t>
            </w:r>
            <w:r>
              <w:rPr>
                <w:rFonts w:hint="eastAsia" w:ascii="宋体" w:hAnsi="宋体" w:cs="宋体"/>
                <w:snapToGrid w:val="0"/>
                <w:color w:val="000000"/>
                <w:sz w:val="24"/>
                <w:szCs w:val="24"/>
              </w:rPr>
              <w:t>小</w:t>
            </w:r>
            <w:r>
              <w:rPr>
                <w:rFonts w:hint="eastAsia" w:ascii="宋体" w:hAnsi="宋体" w:cs="宋体"/>
                <w:color w:val="000000"/>
                <w:sz w:val="24"/>
                <w:szCs w:val="24"/>
              </w:rPr>
              <w:t>型、微型企业。</w:t>
            </w:r>
          </w:p>
        </w:tc>
        <w:tc>
          <w:tcPr>
            <w:tcW w:w="1125" w:type="dxa"/>
            <w:tcBorders>
              <w:top w:val="single" w:color="auto" w:sz="4" w:space="0"/>
              <w:left w:val="single" w:color="auto" w:sz="4" w:space="0"/>
              <w:bottom w:val="single" w:color="auto" w:sz="4" w:space="0"/>
              <w:right w:val="single" w:color="auto" w:sz="4" w:space="0"/>
            </w:tcBorders>
            <w:vAlign w:val="center"/>
          </w:tcPr>
          <w:p w14:paraId="62E1D52B">
            <w:pPr>
              <w:ind w:right="-46" w:rightChars="-22" w:firstLine="480"/>
              <w:rPr>
                <w:rFonts w:hint="eastAsia" w:ascii="宋体" w:hAnsi="宋体" w:cs="宋体"/>
                <w:snapToGrid w:val="0"/>
                <w:color w:val="000000"/>
                <w:sz w:val="24"/>
                <w:szCs w:val="28"/>
              </w:rPr>
            </w:pPr>
            <w:r>
              <w:rPr>
                <w:rFonts w:hint="eastAsia" w:ascii="宋体" w:hAnsi="宋体" w:cs="宋体"/>
                <w:snapToGrid w:val="0"/>
                <w:color w:val="000000"/>
                <w:sz w:val="24"/>
                <w:szCs w:val="28"/>
              </w:rPr>
              <w:t>10</w:t>
            </w:r>
          </w:p>
        </w:tc>
      </w:tr>
      <w:tr w14:paraId="271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14" w:type="dxa"/>
            <w:tcBorders>
              <w:top w:val="single" w:color="auto" w:sz="4" w:space="0"/>
              <w:left w:val="single" w:color="auto" w:sz="4" w:space="0"/>
              <w:bottom w:val="single" w:color="auto" w:sz="4" w:space="0"/>
              <w:right w:val="single" w:color="auto" w:sz="4" w:space="0"/>
            </w:tcBorders>
            <w:vAlign w:val="center"/>
          </w:tcPr>
          <w:p w14:paraId="1735B825">
            <w:pPr>
              <w:spacing w:line="460" w:lineRule="exact"/>
              <w:ind w:right="-46" w:rightChars="-22" w:firstLine="240" w:firstLineChars="100"/>
              <w:rPr>
                <w:rFonts w:hint="eastAsia" w:ascii="宋体" w:hAnsi="宋体" w:cs="宋体"/>
                <w:snapToGrid w:val="0"/>
                <w:color w:val="000000"/>
                <w:sz w:val="24"/>
                <w:szCs w:val="28"/>
              </w:rPr>
            </w:pPr>
            <w:r>
              <w:rPr>
                <w:rFonts w:hint="eastAsia" w:ascii="宋体" w:hAnsi="宋体" w:cs="宋体"/>
                <w:color w:val="000000"/>
                <w:sz w:val="24"/>
                <w:szCs w:val="28"/>
              </w:rPr>
              <w:t>实施方案</w:t>
            </w:r>
          </w:p>
        </w:tc>
        <w:tc>
          <w:tcPr>
            <w:tcW w:w="6399" w:type="dxa"/>
            <w:tcBorders>
              <w:top w:val="single" w:color="auto" w:sz="4" w:space="0"/>
              <w:left w:val="single" w:color="auto" w:sz="4" w:space="0"/>
              <w:bottom w:val="single" w:color="auto" w:sz="4" w:space="0"/>
              <w:right w:val="single" w:color="auto" w:sz="4" w:space="0"/>
            </w:tcBorders>
            <w:vAlign w:val="center"/>
          </w:tcPr>
          <w:p w14:paraId="02E623CF">
            <w:pPr>
              <w:ind w:right="-46" w:rightChars="-22" w:firstLine="480"/>
              <w:rPr>
                <w:rFonts w:hint="eastAsia" w:ascii="宋体" w:hAnsi="宋体" w:cs="宋体"/>
                <w:bCs/>
                <w:color w:val="000000"/>
                <w:sz w:val="24"/>
                <w:szCs w:val="28"/>
              </w:rPr>
            </w:pPr>
            <w:r>
              <w:rPr>
                <w:rFonts w:hint="eastAsia" w:ascii="宋体" w:hAnsi="宋体" w:cs="宋体"/>
                <w:bCs/>
                <w:color w:val="000000"/>
                <w:sz w:val="24"/>
                <w:szCs w:val="28"/>
              </w:rPr>
              <w:t>结合项目特点及实际需求，制定合理、科学、可行的服务方案，对方案实施的各项工作内容进行详细阐述。</w:t>
            </w:r>
          </w:p>
          <w:p w14:paraId="51F870CC">
            <w:pPr>
              <w:ind w:right="-46" w:rightChars="-22" w:firstLine="480"/>
              <w:rPr>
                <w:rFonts w:hint="eastAsia" w:ascii="宋体" w:hAnsi="宋体" w:cs="宋体"/>
                <w:bCs/>
                <w:color w:val="000000"/>
                <w:sz w:val="24"/>
                <w:szCs w:val="28"/>
              </w:rPr>
            </w:pPr>
            <w:r>
              <w:rPr>
                <w:rFonts w:hint="eastAsia" w:ascii="宋体" w:hAnsi="宋体" w:cs="宋体"/>
                <w:bCs/>
                <w:color w:val="000000"/>
                <w:sz w:val="24"/>
                <w:szCs w:val="28"/>
              </w:rPr>
              <w:t>1.所编制的服务方案内容完整、全面、详细可行且科学、合理，对本项目实施意义的理解深刻。（30分）</w:t>
            </w:r>
          </w:p>
          <w:p w14:paraId="430C2F95">
            <w:pPr>
              <w:ind w:right="-46" w:rightChars="-22" w:firstLine="480"/>
              <w:rPr>
                <w:rFonts w:hint="eastAsia" w:ascii="宋体" w:hAnsi="宋体" w:cs="宋体"/>
                <w:bCs/>
                <w:color w:val="000000"/>
                <w:sz w:val="24"/>
                <w:szCs w:val="28"/>
              </w:rPr>
            </w:pPr>
            <w:r>
              <w:rPr>
                <w:rFonts w:hint="eastAsia" w:ascii="宋体" w:hAnsi="宋体" w:cs="宋体"/>
                <w:bCs/>
                <w:color w:val="000000"/>
                <w:sz w:val="24"/>
                <w:szCs w:val="28"/>
              </w:rPr>
              <w:t>2.所编制的服务方案内容基本完整，描述不够详细、较薄弱（20分）</w:t>
            </w:r>
          </w:p>
          <w:p w14:paraId="458A4012">
            <w:pPr>
              <w:ind w:firstLine="480"/>
              <w:rPr>
                <w:rFonts w:hint="eastAsia" w:ascii="宋体" w:hAnsi="宋体" w:cs="宋体"/>
                <w:b/>
                <w:color w:val="000000"/>
                <w:sz w:val="24"/>
                <w:szCs w:val="28"/>
              </w:rPr>
            </w:pPr>
            <w:r>
              <w:rPr>
                <w:rFonts w:hint="eastAsia" w:ascii="宋体" w:hAnsi="宋体" w:cs="宋体"/>
                <w:bCs/>
                <w:color w:val="000000"/>
                <w:sz w:val="24"/>
                <w:szCs w:val="28"/>
              </w:rPr>
              <w:t>3.所编制的服务方案内容有严重欠缺、薄弱。（10分）</w:t>
            </w:r>
          </w:p>
        </w:tc>
        <w:tc>
          <w:tcPr>
            <w:tcW w:w="1125" w:type="dxa"/>
            <w:tcBorders>
              <w:top w:val="single" w:color="auto" w:sz="4" w:space="0"/>
              <w:left w:val="single" w:color="auto" w:sz="4" w:space="0"/>
              <w:bottom w:val="single" w:color="auto" w:sz="4" w:space="0"/>
              <w:right w:val="single" w:color="auto" w:sz="4" w:space="0"/>
            </w:tcBorders>
            <w:vAlign w:val="center"/>
          </w:tcPr>
          <w:p w14:paraId="63C8BD51">
            <w:pPr>
              <w:ind w:right="-46" w:rightChars="-22" w:firstLine="480"/>
              <w:rPr>
                <w:rFonts w:hint="eastAsia" w:ascii="宋体" w:hAnsi="宋体" w:cs="宋体"/>
                <w:snapToGrid w:val="0"/>
                <w:color w:val="000000"/>
                <w:sz w:val="24"/>
                <w:szCs w:val="28"/>
              </w:rPr>
            </w:pPr>
            <w:r>
              <w:rPr>
                <w:rFonts w:hint="eastAsia" w:ascii="宋体" w:hAnsi="宋体" w:cs="宋体"/>
                <w:snapToGrid w:val="0"/>
                <w:color w:val="000000"/>
                <w:sz w:val="24"/>
                <w:szCs w:val="28"/>
              </w:rPr>
              <w:t>30</w:t>
            </w:r>
          </w:p>
        </w:tc>
      </w:tr>
      <w:tr w14:paraId="66F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714" w:type="dxa"/>
            <w:tcBorders>
              <w:left w:val="single" w:color="auto" w:sz="4" w:space="0"/>
              <w:bottom w:val="single" w:color="auto" w:sz="4" w:space="0"/>
              <w:right w:val="single" w:color="auto" w:sz="4" w:space="0"/>
            </w:tcBorders>
            <w:vAlign w:val="center"/>
          </w:tcPr>
          <w:p w14:paraId="39767E03">
            <w:pPr>
              <w:ind w:right="-46" w:rightChars="-22" w:firstLine="480"/>
              <w:jc w:val="center"/>
              <w:rPr>
                <w:rFonts w:hint="eastAsia" w:ascii="宋体" w:hAnsi="宋体" w:cs="宋体"/>
                <w:color w:val="000000"/>
                <w:sz w:val="24"/>
                <w:szCs w:val="28"/>
              </w:rPr>
            </w:pPr>
            <w:r>
              <w:rPr>
                <w:rFonts w:hint="eastAsia" w:ascii="宋体" w:hAnsi="宋体" w:cs="宋体"/>
                <w:color w:val="000000"/>
                <w:sz w:val="24"/>
                <w:szCs w:val="28"/>
              </w:rPr>
              <w:t>服务承诺</w:t>
            </w:r>
          </w:p>
        </w:tc>
        <w:tc>
          <w:tcPr>
            <w:tcW w:w="6399" w:type="dxa"/>
            <w:tcBorders>
              <w:top w:val="single" w:color="auto" w:sz="4" w:space="0"/>
              <w:left w:val="single" w:color="auto" w:sz="4" w:space="0"/>
              <w:bottom w:val="single" w:color="auto" w:sz="4" w:space="0"/>
              <w:right w:val="single" w:color="auto" w:sz="4" w:space="0"/>
            </w:tcBorders>
            <w:vAlign w:val="center"/>
          </w:tcPr>
          <w:p w14:paraId="11CD08BE">
            <w:pPr>
              <w:ind w:right="-46" w:rightChars="-22" w:firstLine="0" w:firstLineChars="0"/>
              <w:rPr>
                <w:rFonts w:hint="eastAsia" w:ascii="宋体" w:hAnsi="宋体" w:cs="宋体"/>
                <w:color w:val="000000"/>
                <w:sz w:val="24"/>
                <w:szCs w:val="28"/>
              </w:rPr>
            </w:pPr>
            <w:r>
              <w:rPr>
                <w:rFonts w:hint="eastAsia" w:ascii="宋体" w:hAnsi="宋体" w:cs="宋体"/>
                <w:color w:val="000000"/>
                <w:sz w:val="24"/>
                <w:szCs w:val="28"/>
              </w:rPr>
              <w:t>对</w:t>
            </w:r>
            <w:r>
              <w:rPr>
                <w:rFonts w:hint="eastAsia" w:ascii="宋体" w:hAnsi="宋体" w:cs="宋体"/>
                <w:color w:val="000000"/>
                <w:sz w:val="24"/>
                <w:szCs w:val="28"/>
                <w:lang w:val="en-US" w:eastAsia="zh-CN"/>
              </w:rPr>
              <w:t>磋商文件</w:t>
            </w:r>
            <w:r>
              <w:rPr>
                <w:rFonts w:hint="eastAsia" w:ascii="宋体" w:hAnsi="宋体" w:cs="宋体"/>
                <w:color w:val="000000"/>
                <w:sz w:val="24"/>
                <w:szCs w:val="28"/>
              </w:rPr>
              <w:t>内容的相关技术质量进度要求、时限要求、成果质量等做出承诺，内容详实的得</w:t>
            </w:r>
            <w:r>
              <w:rPr>
                <w:rFonts w:hint="eastAsia" w:ascii="宋体" w:hAnsi="宋体" w:cs="宋体"/>
                <w:color w:val="000000"/>
                <w:sz w:val="24"/>
                <w:szCs w:val="28"/>
                <w:lang w:val="en-US" w:eastAsia="zh-CN"/>
              </w:rPr>
              <w:t>15</w:t>
            </w:r>
            <w:r>
              <w:rPr>
                <w:rFonts w:hint="eastAsia" w:ascii="宋体" w:hAnsi="宋体" w:cs="宋体"/>
                <w:color w:val="000000"/>
                <w:sz w:val="24"/>
                <w:szCs w:val="28"/>
              </w:rPr>
              <w:t>分，内容一般的得</w:t>
            </w:r>
            <w:r>
              <w:rPr>
                <w:rFonts w:hint="eastAsia" w:ascii="宋体" w:hAnsi="宋体" w:cs="宋体"/>
                <w:color w:val="000000"/>
                <w:sz w:val="24"/>
                <w:szCs w:val="28"/>
                <w:lang w:val="en-US" w:eastAsia="zh-CN"/>
              </w:rPr>
              <w:t>8</w:t>
            </w:r>
            <w:r>
              <w:rPr>
                <w:rFonts w:hint="eastAsia" w:ascii="宋体" w:hAnsi="宋体" w:cs="宋体"/>
                <w:color w:val="000000"/>
                <w:sz w:val="24"/>
                <w:szCs w:val="28"/>
              </w:rPr>
              <w:t>分，内容差的得2分，未提供的不得分。</w:t>
            </w:r>
          </w:p>
        </w:tc>
        <w:tc>
          <w:tcPr>
            <w:tcW w:w="1125" w:type="dxa"/>
            <w:tcBorders>
              <w:top w:val="single" w:color="auto" w:sz="4" w:space="0"/>
              <w:left w:val="single" w:color="auto" w:sz="4" w:space="0"/>
              <w:bottom w:val="single" w:color="auto" w:sz="4" w:space="0"/>
              <w:right w:val="single" w:color="auto" w:sz="4" w:space="0"/>
            </w:tcBorders>
            <w:vAlign w:val="center"/>
          </w:tcPr>
          <w:p w14:paraId="01D517BA">
            <w:pPr>
              <w:ind w:right="-46" w:rightChars="-22" w:firstLine="480"/>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15</w:t>
            </w:r>
          </w:p>
        </w:tc>
      </w:tr>
      <w:tr w14:paraId="614C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714" w:type="dxa"/>
            <w:tcBorders>
              <w:top w:val="single" w:color="auto" w:sz="4" w:space="0"/>
              <w:left w:val="single" w:color="auto" w:sz="4" w:space="0"/>
              <w:bottom w:val="single" w:color="auto" w:sz="4" w:space="0"/>
              <w:right w:val="single" w:color="auto" w:sz="4" w:space="0"/>
            </w:tcBorders>
            <w:vAlign w:val="center"/>
          </w:tcPr>
          <w:p w14:paraId="6797EEAC">
            <w:pPr>
              <w:ind w:right="-46" w:rightChars="-22" w:firstLine="480"/>
              <w:jc w:val="center"/>
              <w:rPr>
                <w:rFonts w:hint="eastAsia" w:ascii="宋体" w:hAnsi="宋体" w:cs="宋体"/>
                <w:color w:val="000000"/>
                <w:sz w:val="24"/>
                <w:szCs w:val="28"/>
              </w:rPr>
            </w:pPr>
            <w:r>
              <w:rPr>
                <w:rFonts w:hint="eastAsia" w:ascii="宋体" w:hAnsi="宋体" w:cs="宋体"/>
                <w:color w:val="000000"/>
                <w:sz w:val="24"/>
                <w:szCs w:val="28"/>
              </w:rPr>
              <w:t>保障措施</w:t>
            </w:r>
          </w:p>
        </w:tc>
        <w:tc>
          <w:tcPr>
            <w:tcW w:w="6399" w:type="dxa"/>
            <w:tcBorders>
              <w:top w:val="single" w:color="auto" w:sz="4" w:space="0"/>
              <w:left w:val="single" w:color="auto" w:sz="4" w:space="0"/>
              <w:bottom w:val="single" w:color="auto" w:sz="4" w:space="0"/>
              <w:right w:val="single" w:color="auto" w:sz="4" w:space="0"/>
            </w:tcBorders>
            <w:vAlign w:val="center"/>
          </w:tcPr>
          <w:p w14:paraId="4AAC31D2">
            <w:pPr>
              <w:ind w:right="-46" w:rightChars="-22" w:firstLine="0" w:firstLineChars="0"/>
              <w:rPr>
                <w:rFonts w:hint="eastAsia" w:ascii="宋体" w:hAnsi="宋体" w:cs="宋体"/>
                <w:color w:val="000000"/>
                <w:sz w:val="24"/>
                <w:szCs w:val="28"/>
              </w:rPr>
            </w:pPr>
            <w:r>
              <w:rPr>
                <w:rFonts w:hint="eastAsia" w:ascii="宋体" w:hAnsi="宋体" w:cs="宋体"/>
                <w:color w:val="000000"/>
                <w:sz w:val="24"/>
                <w:szCs w:val="28"/>
              </w:rPr>
              <w:t>针对本项目的质量保证措施，措施得当，目标可控，满足专题质量需求，编制合理，根据响应程度横向对比进行打分，好的得</w:t>
            </w:r>
            <w:r>
              <w:rPr>
                <w:rFonts w:hint="eastAsia" w:ascii="宋体" w:hAnsi="宋体" w:cs="宋体"/>
                <w:color w:val="000000"/>
                <w:sz w:val="24"/>
                <w:szCs w:val="28"/>
                <w:lang w:val="en-US" w:eastAsia="zh-CN"/>
              </w:rPr>
              <w:t>15</w:t>
            </w:r>
            <w:r>
              <w:rPr>
                <w:rFonts w:hint="eastAsia" w:ascii="宋体" w:hAnsi="宋体" w:cs="宋体"/>
                <w:color w:val="000000"/>
                <w:sz w:val="24"/>
                <w:szCs w:val="28"/>
              </w:rPr>
              <w:t>分，一般的</w:t>
            </w:r>
            <w:r>
              <w:rPr>
                <w:rFonts w:hint="eastAsia" w:ascii="宋体" w:hAnsi="宋体" w:cs="宋体"/>
                <w:color w:val="000000"/>
                <w:sz w:val="24"/>
                <w:szCs w:val="28"/>
                <w:lang w:val="en-US" w:eastAsia="zh-CN"/>
              </w:rPr>
              <w:t>8</w:t>
            </w:r>
            <w:r>
              <w:rPr>
                <w:rFonts w:hint="eastAsia" w:ascii="宋体" w:hAnsi="宋体" w:cs="宋体"/>
                <w:color w:val="000000"/>
                <w:sz w:val="24"/>
                <w:szCs w:val="28"/>
              </w:rPr>
              <w:t>分，差的得2分，未提供的不得分。</w:t>
            </w:r>
          </w:p>
        </w:tc>
        <w:tc>
          <w:tcPr>
            <w:tcW w:w="1125" w:type="dxa"/>
            <w:tcBorders>
              <w:top w:val="single" w:color="auto" w:sz="4" w:space="0"/>
              <w:left w:val="single" w:color="auto" w:sz="4" w:space="0"/>
              <w:bottom w:val="single" w:color="auto" w:sz="4" w:space="0"/>
              <w:right w:val="single" w:color="auto" w:sz="4" w:space="0"/>
            </w:tcBorders>
            <w:vAlign w:val="center"/>
          </w:tcPr>
          <w:p w14:paraId="4B00305C">
            <w:pPr>
              <w:ind w:right="-46" w:rightChars="-22" w:firstLine="480"/>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15</w:t>
            </w:r>
          </w:p>
        </w:tc>
      </w:tr>
      <w:tr w14:paraId="78A3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14" w:type="dxa"/>
            <w:tcBorders>
              <w:top w:val="single" w:color="auto" w:sz="4" w:space="0"/>
              <w:left w:val="single" w:color="auto" w:sz="4" w:space="0"/>
              <w:bottom w:val="single" w:color="auto" w:sz="4" w:space="0"/>
              <w:right w:val="single" w:color="auto" w:sz="4" w:space="0"/>
            </w:tcBorders>
            <w:vAlign w:val="center"/>
          </w:tcPr>
          <w:p w14:paraId="41CA7DA3">
            <w:pPr>
              <w:ind w:right="-46" w:rightChars="-22" w:firstLine="48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人</w:t>
            </w:r>
            <w:bookmarkStart w:id="400" w:name="_GoBack"/>
            <w:bookmarkEnd w:id="400"/>
            <w:r>
              <w:rPr>
                <w:rFonts w:hint="eastAsia" w:ascii="宋体" w:hAnsi="宋体" w:cs="宋体"/>
                <w:snapToGrid w:val="0"/>
                <w:color w:val="000000"/>
                <w:sz w:val="24"/>
                <w:szCs w:val="28"/>
              </w:rPr>
              <w:t>员配备</w:t>
            </w:r>
          </w:p>
        </w:tc>
        <w:tc>
          <w:tcPr>
            <w:tcW w:w="6399" w:type="dxa"/>
            <w:tcBorders>
              <w:top w:val="single" w:color="auto" w:sz="4" w:space="0"/>
              <w:left w:val="single" w:color="auto" w:sz="4" w:space="0"/>
              <w:bottom w:val="single" w:color="auto" w:sz="4" w:space="0"/>
              <w:right w:val="single" w:color="auto" w:sz="4" w:space="0"/>
            </w:tcBorders>
            <w:vAlign w:val="center"/>
          </w:tcPr>
          <w:p w14:paraId="370704A7">
            <w:pPr>
              <w:pStyle w:val="76"/>
              <w:ind w:left="0" w:leftChars="0" w:firstLine="0" w:firstLineChars="0"/>
              <w:rPr>
                <w:rFonts w:hint="eastAsia" w:ascii="宋体" w:hAnsi="宋体" w:cs="宋体"/>
                <w:color w:val="000000"/>
                <w:kern w:val="2"/>
                <w:sz w:val="24"/>
                <w:szCs w:val="28"/>
              </w:rPr>
            </w:pPr>
            <w:r>
              <w:rPr>
                <w:rFonts w:hint="eastAsia" w:ascii="宋体" w:hAnsi="宋体" w:cs="宋体"/>
                <w:color w:val="000000"/>
                <w:sz w:val="24"/>
                <w:szCs w:val="28"/>
                <w:lang w:val="en-US" w:eastAsia="zh-CN"/>
              </w:rPr>
              <w:t>1.</w:t>
            </w:r>
            <w:r>
              <w:rPr>
                <w:rFonts w:hint="eastAsia" w:ascii="宋体" w:hAnsi="宋体" w:cs="宋体"/>
                <w:color w:val="000000"/>
                <w:sz w:val="24"/>
                <w:szCs w:val="28"/>
              </w:rPr>
              <w:t>项目负责人</w:t>
            </w:r>
            <w:r>
              <w:rPr>
                <w:rFonts w:hint="eastAsia" w:ascii="宋体" w:hAnsi="宋体" w:cs="宋体"/>
                <w:color w:val="000000"/>
                <w:kern w:val="2"/>
                <w:sz w:val="24"/>
                <w:szCs w:val="28"/>
              </w:rPr>
              <w:t>具备高级及以上职称可得</w:t>
            </w:r>
            <w:r>
              <w:rPr>
                <w:rFonts w:hint="eastAsia" w:ascii="宋体" w:hAnsi="宋体" w:cs="宋体"/>
                <w:color w:val="000000"/>
                <w:kern w:val="2"/>
                <w:sz w:val="24"/>
                <w:szCs w:val="28"/>
                <w:lang w:val="en-US" w:eastAsia="zh-CN"/>
              </w:rPr>
              <w:t>3</w:t>
            </w:r>
            <w:r>
              <w:rPr>
                <w:rFonts w:hint="eastAsia" w:ascii="宋体" w:hAnsi="宋体" w:cs="宋体"/>
                <w:color w:val="000000"/>
                <w:kern w:val="2"/>
                <w:sz w:val="24"/>
                <w:szCs w:val="28"/>
              </w:rPr>
              <w:t>分；</w:t>
            </w:r>
          </w:p>
          <w:p w14:paraId="1042ADE2">
            <w:pPr>
              <w:pStyle w:val="76"/>
              <w:ind w:left="0" w:leftChars="0" w:firstLine="0" w:firstLineChars="0"/>
              <w:rPr>
                <w:rFonts w:hint="eastAsia" w:ascii="宋体" w:hAnsi="宋体" w:cs="宋体"/>
              </w:rPr>
            </w:pPr>
            <w:r>
              <w:rPr>
                <w:rFonts w:hint="eastAsia" w:ascii="宋体" w:hAnsi="宋体" w:cs="宋体"/>
                <w:color w:val="000000"/>
                <w:kern w:val="2"/>
                <w:sz w:val="24"/>
                <w:szCs w:val="28"/>
                <w:lang w:val="en-US" w:eastAsia="zh-CN"/>
              </w:rPr>
              <w:t>2.</w:t>
            </w:r>
            <w:r>
              <w:rPr>
                <w:rFonts w:hint="eastAsia" w:ascii="宋体" w:hAnsi="宋体" w:cs="宋体"/>
                <w:color w:val="000000"/>
                <w:kern w:val="2"/>
                <w:sz w:val="24"/>
                <w:szCs w:val="28"/>
              </w:rPr>
              <w:t>项目团队成员中（不包含项目负责人）包含每配备一名正高级职称的人员得</w:t>
            </w:r>
            <w:r>
              <w:rPr>
                <w:rFonts w:hint="eastAsia" w:ascii="宋体" w:hAnsi="宋体" w:cs="宋体"/>
                <w:color w:val="000000"/>
                <w:kern w:val="2"/>
                <w:sz w:val="24"/>
                <w:szCs w:val="28"/>
                <w:lang w:val="en-US" w:eastAsia="zh-CN"/>
              </w:rPr>
              <w:t>4</w:t>
            </w:r>
            <w:r>
              <w:rPr>
                <w:rFonts w:hint="eastAsia" w:ascii="宋体" w:hAnsi="宋体" w:cs="宋体"/>
                <w:color w:val="000000"/>
                <w:kern w:val="2"/>
                <w:sz w:val="24"/>
                <w:szCs w:val="28"/>
              </w:rPr>
              <w:t>分，高级职称的人员得</w:t>
            </w:r>
            <w:r>
              <w:rPr>
                <w:rFonts w:hint="eastAsia" w:ascii="宋体" w:hAnsi="宋体" w:cs="宋体"/>
                <w:color w:val="000000"/>
                <w:kern w:val="2"/>
                <w:sz w:val="24"/>
                <w:szCs w:val="28"/>
                <w:lang w:val="en-US" w:eastAsia="zh-CN"/>
              </w:rPr>
              <w:t>3</w:t>
            </w:r>
            <w:r>
              <w:rPr>
                <w:rFonts w:hint="eastAsia" w:ascii="宋体" w:hAnsi="宋体" w:cs="宋体"/>
                <w:color w:val="000000"/>
                <w:kern w:val="2"/>
                <w:sz w:val="24"/>
                <w:szCs w:val="28"/>
              </w:rPr>
              <w:t>分，满分</w:t>
            </w:r>
            <w:r>
              <w:rPr>
                <w:rFonts w:hint="eastAsia" w:ascii="宋体" w:hAnsi="宋体" w:cs="宋体"/>
                <w:color w:val="000000"/>
                <w:kern w:val="2"/>
                <w:sz w:val="24"/>
                <w:szCs w:val="28"/>
                <w:lang w:val="en-US" w:eastAsia="zh-CN"/>
              </w:rPr>
              <w:t>12</w:t>
            </w:r>
            <w:r>
              <w:rPr>
                <w:rFonts w:hint="eastAsia" w:ascii="宋体" w:hAnsi="宋体" w:cs="宋体"/>
                <w:color w:val="000000"/>
                <w:kern w:val="2"/>
                <w:sz w:val="24"/>
                <w:szCs w:val="28"/>
              </w:rPr>
              <w:t>分。（</w:t>
            </w:r>
            <w:r>
              <w:rPr>
                <w:rFonts w:hint="eastAsia" w:ascii="宋体" w:hAnsi="宋体" w:cs="宋体"/>
                <w:color w:val="000000"/>
                <w:sz w:val="24"/>
                <w:szCs w:val="28"/>
              </w:rPr>
              <w:t>附</w:t>
            </w:r>
            <w:r>
              <w:rPr>
                <w:rFonts w:hint="eastAsia" w:ascii="宋体" w:hAnsi="宋体" w:cs="宋体"/>
                <w:color w:val="000000"/>
                <w:kern w:val="2"/>
                <w:sz w:val="24"/>
                <w:szCs w:val="28"/>
              </w:rPr>
              <w:t>相应职称证书</w:t>
            </w:r>
            <w:r>
              <w:rPr>
                <w:rFonts w:hint="eastAsia" w:ascii="宋体" w:hAnsi="宋体" w:cs="宋体"/>
                <w:color w:val="000000"/>
                <w:sz w:val="24"/>
                <w:szCs w:val="28"/>
              </w:rPr>
              <w:t>作为证明材料</w:t>
            </w:r>
            <w:r>
              <w:rPr>
                <w:rFonts w:hint="eastAsia" w:ascii="宋体" w:hAnsi="宋体" w:cs="宋体"/>
                <w:color w:val="000000"/>
                <w:kern w:val="2"/>
                <w:sz w:val="24"/>
                <w:szCs w:val="28"/>
              </w:rPr>
              <w:t>）</w:t>
            </w:r>
          </w:p>
        </w:tc>
        <w:tc>
          <w:tcPr>
            <w:tcW w:w="1125" w:type="dxa"/>
            <w:tcBorders>
              <w:top w:val="single" w:color="auto" w:sz="4" w:space="0"/>
              <w:left w:val="single" w:color="auto" w:sz="4" w:space="0"/>
              <w:bottom w:val="single" w:color="auto" w:sz="4" w:space="0"/>
              <w:right w:val="single" w:color="auto" w:sz="4" w:space="0"/>
            </w:tcBorders>
            <w:vAlign w:val="center"/>
          </w:tcPr>
          <w:p w14:paraId="69157E82">
            <w:pPr>
              <w:ind w:right="-46" w:rightChars="-22" w:firstLine="480"/>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15</w:t>
            </w:r>
          </w:p>
        </w:tc>
      </w:tr>
      <w:tr w14:paraId="0D94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714" w:type="dxa"/>
            <w:tcBorders>
              <w:top w:val="single" w:color="auto" w:sz="4" w:space="0"/>
              <w:left w:val="single" w:color="auto" w:sz="4" w:space="0"/>
              <w:bottom w:val="single" w:color="auto" w:sz="4" w:space="0"/>
              <w:right w:val="single" w:color="auto" w:sz="4" w:space="0"/>
            </w:tcBorders>
            <w:vAlign w:val="center"/>
          </w:tcPr>
          <w:p w14:paraId="24EA85FF">
            <w:pPr>
              <w:ind w:right="-46" w:rightChars="-22" w:firstLine="48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业绩</w:t>
            </w:r>
          </w:p>
        </w:tc>
        <w:tc>
          <w:tcPr>
            <w:tcW w:w="6399" w:type="dxa"/>
            <w:tcBorders>
              <w:top w:val="single" w:color="auto" w:sz="4" w:space="0"/>
              <w:left w:val="single" w:color="auto" w:sz="4" w:space="0"/>
              <w:bottom w:val="single" w:color="auto" w:sz="4" w:space="0"/>
              <w:right w:val="single" w:color="auto" w:sz="4" w:space="0"/>
            </w:tcBorders>
            <w:vAlign w:val="center"/>
          </w:tcPr>
          <w:p w14:paraId="54234680">
            <w:pPr>
              <w:ind w:firstLine="0" w:firstLineChars="0"/>
              <w:rPr>
                <w:rFonts w:hint="eastAsia" w:ascii="宋体" w:hAnsi="宋体" w:cs="宋体"/>
                <w:color w:val="000000"/>
                <w:sz w:val="24"/>
                <w:szCs w:val="28"/>
              </w:rPr>
            </w:pPr>
            <w:r>
              <w:rPr>
                <w:rFonts w:hint="eastAsia" w:ascii="宋体" w:hAnsi="宋体" w:cs="宋体"/>
                <w:color w:val="000000"/>
                <w:sz w:val="24"/>
                <w:szCs w:val="28"/>
              </w:rPr>
              <w:t>2020年至今具有</w:t>
            </w:r>
            <w:r>
              <w:rPr>
                <w:rFonts w:hint="eastAsia" w:ascii="宋体" w:hAnsi="宋体" w:cs="宋体"/>
                <w:color w:val="000000"/>
                <w:sz w:val="24"/>
                <w:szCs w:val="28"/>
                <w:lang w:val="en-US" w:eastAsia="zh-CN"/>
              </w:rPr>
              <w:t>类似</w:t>
            </w:r>
            <w:r>
              <w:rPr>
                <w:rFonts w:hint="eastAsia" w:ascii="宋体" w:hAnsi="宋体" w:cs="宋体"/>
                <w:color w:val="000000"/>
                <w:sz w:val="24"/>
                <w:szCs w:val="28"/>
              </w:rPr>
              <w:t>业绩经验，每个省部级课题或规划项目得</w:t>
            </w:r>
            <w:r>
              <w:rPr>
                <w:rFonts w:hint="eastAsia" w:ascii="宋体" w:hAnsi="宋体" w:cs="宋体"/>
                <w:color w:val="000000"/>
                <w:sz w:val="24"/>
                <w:szCs w:val="28"/>
                <w:lang w:val="en-US" w:eastAsia="zh-CN"/>
              </w:rPr>
              <w:t>4</w:t>
            </w:r>
            <w:r>
              <w:rPr>
                <w:rFonts w:hint="eastAsia" w:ascii="宋体" w:hAnsi="宋体" w:cs="宋体"/>
                <w:color w:val="000000"/>
                <w:sz w:val="24"/>
                <w:szCs w:val="28"/>
              </w:rPr>
              <w:t>分,满分</w:t>
            </w:r>
            <w:r>
              <w:rPr>
                <w:rFonts w:hint="eastAsia" w:ascii="宋体" w:hAnsi="宋体" w:cs="宋体"/>
                <w:color w:val="000000"/>
                <w:sz w:val="24"/>
                <w:szCs w:val="28"/>
                <w:lang w:val="en-US" w:eastAsia="zh-CN"/>
              </w:rPr>
              <w:t>4</w:t>
            </w:r>
            <w:r>
              <w:rPr>
                <w:rFonts w:hint="eastAsia" w:ascii="宋体" w:hAnsi="宋体" w:cs="宋体"/>
                <w:color w:val="000000"/>
                <w:sz w:val="24"/>
                <w:szCs w:val="28"/>
              </w:rPr>
              <w:t>分；每个其他课题或规划项目得</w:t>
            </w:r>
            <w:r>
              <w:rPr>
                <w:rFonts w:hint="eastAsia" w:ascii="宋体" w:hAnsi="宋体" w:cs="宋体"/>
                <w:color w:val="000000"/>
                <w:sz w:val="24"/>
                <w:szCs w:val="28"/>
                <w:lang w:val="en-US" w:eastAsia="zh-CN"/>
              </w:rPr>
              <w:t>3</w:t>
            </w:r>
            <w:r>
              <w:rPr>
                <w:rFonts w:hint="eastAsia" w:ascii="宋体" w:hAnsi="宋体" w:cs="宋体"/>
                <w:color w:val="000000"/>
                <w:sz w:val="24"/>
                <w:szCs w:val="28"/>
              </w:rPr>
              <w:t>分，满分</w:t>
            </w:r>
            <w:r>
              <w:rPr>
                <w:rFonts w:hint="eastAsia" w:ascii="宋体" w:hAnsi="宋体" w:cs="宋体"/>
                <w:color w:val="000000"/>
                <w:sz w:val="24"/>
                <w:szCs w:val="28"/>
                <w:lang w:val="en-US" w:eastAsia="zh-CN"/>
              </w:rPr>
              <w:t>9</w:t>
            </w:r>
            <w:r>
              <w:rPr>
                <w:rFonts w:hint="eastAsia" w:ascii="宋体" w:hAnsi="宋体" w:cs="宋体"/>
                <w:color w:val="000000"/>
                <w:sz w:val="24"/>
                <w:szCs w:val="28"/>
              </w:rPr>
              <w:t>分；每个省部级乡村振兴类研讨培训活动得</w:t>
            </w:r>
            <w:r>
              <w:rPr>
                <w:rFonts w:hint="eastAsia" w:ascii="宋体" w:hAnsi="宋体" w:cs="宋体"/>
                <w:color w:val="000000"/>
                <w:sz w:val="24"/>
                <w:szCs w:val="28"/>
                <w:lang w:val="en-US" w:eastAsia="zh-CN"/>
              </w:rPr>
              <w:t>2</w:t>
            </w:r>
            <w:r>
              <w:rPr>
                <w:rFonts w:hint="eastAsia" w:ascii="宋体" w:hAnsi="宋体" w:cs="宋体"/>
                <w:color w:val="000000"/>
                <w:sz w:val="24"/>
                <w:szCs w:val="28"/>
              </w:rPr>
              <w:t>分，满分</w:t>
            </w:r>
            <w:r>
              <w:rPr>
                <w:rFonts w:hint="eastAsia" w:ascii="宋体" w:hAnsi="宋体" w:cs="宋体"/>
                <w:color w:val="000000"/>
                <w:sz w:val="24"/>
                <w:szCs w:val="28"/>
                <w:lang w:val="en-US" w:eastAsia="zh-CN"/>
              </w:rPr>
              <w:t>2</w:t>
            </w:r>
            <w:r>
              <w:rPr>
                <w:rFonts w:hint="eastAsia" w:ascii="宋体" w:hAnsi="宋体" w:cs="宋体"/>
                <w:color w:val="000000"/>
                <w:sz w:val="24"/>
                <w:szCs w:val="28"/>
              </w:rPr>
              <w:t>分；合计满分得</w:t>
            </w:r>
            <w:r>
              <w:rPr>
                <w:rFonts w:hint="eastAsia" w:ascii="宋体" w:hAnsi="宋体" w:cs="宋体"/>
                <w:color w:val="000000"/>
                <w:sz w:val="24"/>
                <w:szCs w:val="28"/>
                <w:lang w:val="en-US" w:eastAsia="zh-CN"/>
              </w:rPr>
              <w:t>15</w:t>
            </w:r>
            <w:r>
              <w:rPr>
                <w:rFonts w:hint="eastAsia" w:ascii="宋体" w:hAnsi="宋体" w:cs="宋体"/>
                <w:color w:val="000000"/>
                <w:sz w:val="24"/>
                <w:szCs w:val="28"/>
              </w:rPr>
              <w:t>分。（附业绩合同或中标通知书加盖公章作为证明材料）</w:t>
            </w:r>
          </w:p>
        </w:tc>
        <w:tc>
          <w:tcPr>
            <w:tcW w:w="1125" w:type="dxa"/>
            <w:tcBorders>
              <w:top w:val="single" w:color="auto" w:sz="4" w:space="0"/>
              <w:left w:val="single" w:color="auto" w:sz="4" w:space="0"/>
              <w:bottom w:val="single" w:color="auto" w:sz="4" w:space="0"/>
              <w:right w:val="single" w:color="auto" w:sz="4" w:space="0"/>
            </w:tcBorders>
            <w:vAlign w:val="center"/>
          </w:tcPr>
          <w:p w14:paraId="6854858C">
            <w:pPr>
              <w:ind w:right="-46" w:rightChars="-22" w:firstLine="480"/>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15</w:t>
            </w:r>
          </w:p>
        </w:tc>
      </w:tr>
    </w:tbl>
    <w:p w14:paraId="661D267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14:paraId="7C12B1D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25726026"/>
      <w:bookmarkStart w:id="102" w:name="_Toc376936757"/>
      <w:bookmarkStart w:id="103" w:name="_Toc28889"/>
      <w:bookmarkStart w:id="104" w:name="_Toc17038"/>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14:paraId="1C34DF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8133D6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2346"/>
      <w:bookmarkStart w:id="106" w:name="_Toc2963"/>
      <w:bookmarkStart w:id="107" w:name="_Toc325726028"/>
      <w:bookmarkStart w:id="108" w:name="_Toc376936759"/>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14:paraId="1855E7B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14:paraId="75D76DF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14:paraId="505A944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5556"/>
      <w:bookmarkStart w:id="111" w:name="_Toc18063"/>
      <w:bookmarkStart w:id="112" w:name="_Toc376936758"/>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14:paraId="121864D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376936760"/>
      <w:bookmarkStart w:id="114" w:name="_Toc28394"/>
      <w:bookmarkStart w:id="115" w:name="_Toc921"/>
      <w:bookmarkStart w:id="116" w:name="_Toc325726029"/>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14:paraId="793A15B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25726030"/>
      <w:bookmarkStart w:id="118" w:name="_Toc376936761"/>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14:paraId="770AEC36">
      <w:pPr>
        <w:spacing w:line="520" w:lineRule="exact"/>
        <w:ind w:firstLine="560"/>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3</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58D0812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4B610EC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14:paraId="589C604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14:paraId="28EC08F3">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22442"/>
      <w:bookmarkStart w:id="120" w:name="_Toc896"/>
    </w:p>
    <w:p w14:paraId="1CF5324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2728"/>
      <w:bookmarkStart w:id="122" w:name="_Toc4328"/>
      <w:bookmarkStart w:id="123" w:name="_Toc6881"/>
      <w:bookmarkStart w:id="124" w:name="_Toc31604_WPSOffice_Level2"/>
      <w:bookmarkStart w:id="125" w:name="_Toc32362"/>
      <w:bookmarkStart w:id="126" w:name="_Toc2658_WPSOffice_Level2"/>
      <w:bookmarkStart w:id="127" w:name="_Toc3517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14:paraId="602C1E1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1641"/>
      <w:bookmarkStart w:id="129" w:name="_Toc29785"/>
      <w:bookmarkStart w:id="130" w:name="_Toc23314_WPSOffice_Level3"/>
      <w:bookmarkStart w:id="131" w:name="_Toc25982_WPSOffice_Level3"/>
      <w:bookmarkStart w:id="132" w:name="_Toc14109"/>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14:paraId="2899887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14:paraId="64DD30A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1D039D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14:paraId="4D61D7B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22889"/>
      <w:bookmarkStart w:id="134" w:name="_Toc6866_WPSOffice_Level2"/>
      <w:bookmarkStart w:id="135" w:name="_Toc11509_WPSOffice_Level2"/>
      <w:bookmarkStart w:id="136" w:name="_Toc9701_WPSOffice_Level2"/>
      <w:bookmarkStart w:id="137" w:name="_Toc34637771"/>
      <w:bookmarkStart w:id="138" w:name="_Toc22201076"/>
      <w:bookmarkStart w:id="139" w:name="_Toc21832"/>
      <w:bookmarkStart w:id="140" w:name="_Toc4534"/>
      <w:bookmarkStart w:id="141" w:name="_Toc28133"/>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77DA123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19360_WPSOffice_Level3"/>
      <w:bookmarkStart w:id="143" w:name="_Toc16893"/>
      <w:bookmarkStart w:id="144" w:name="_Toc17253_WPSOffice_Level3"/>
      <w:bookmarkStart w:id="145" w:name="_Toc27584"/>
      <w:bookmarkStart w:id="146" w:name="_Toc22921"/>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14:paraId="6B842BB9">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14:paraId="2F7E9954">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14:paraId="4A0CDEF9">
      <w:pPr>
        <w:pStyle w:val="39"/>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民法典</w:t>
      </w:r>
      <w:r>
        <w:rPr>
          <w:rFonts w:hint="eastAsia" w:ascii="仿宋_GB2312" w:hAnsi="宋体" w:eastAsia="仿宋_GB2312"/>
          <w:color w:val="000000" w:themeColor="text1"/>
          <w:kern w:val="0"/>
          <w:sz w:val="28"/>
          <w:szCs w:val="28"/>
          <w:highlight w:val="none"/>
          <w14:textFill>
            <w14:solidFill>
              <w14:schemeClr w14:val="tx1"/>
            </w14:solidFill>
          </w14:textFill>
        </w:rPr>
        <w:t>》订立劳动合同的从业人员。</w:t>
      </w:r>
    </w:p>
    <w:p w14:paraId="6E0978FE">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E68DCFE">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14:paraId="2D42EFF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382CD6">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6E170D64">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14:paraId="7571A06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14:paraId="4ABF3355">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14:paraId="371A707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14:paraId="0ED028E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7098"/>
      <w:bookmarkStart w:id="148" w:name="_Toc11684"/>
      <w:bookmarkStart w:id="149" w:name="_Toc376936762"/>
      <w:bookmarkStart w:id="150" w:name="_Toc325726031"/>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14:paraId="3D70EBA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79FCDEC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5366844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0345723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1CE0B51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14:paraId="51CDA803">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325726034"/>
      <w:bookmarkStart w:id="153" w:name="_Toc16406"/>
      <w:bookmarkStart w:id="154" w:name="_Toc376936765"/>
      <w:bookmarkStart w:id="155" w:name="_Toc19538"/>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14:paraId="180E7AD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325726033"/>
      <w:bookmarkStart w:id="157" w:name="_Toc376936764"/>
      <w:bookmarkStart w:id="158" w:name="_Toc6480"/>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14:paraId="7CE491C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14:paraId="6D861FA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14:paraId="1DAEF77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14:paraId="24EECAC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14:paraId="3D7A31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14:paraId="0BF9D2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14:paraId="7C5FF63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14:paraId="6A3337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14:paraId="15EC2C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14:paraId="264101C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14:paraId="02B39534">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14:paraId="509CC01C">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5391AB1B">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513FE2E7">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101710029"/>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14:paraId="06DB1175">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14:paraId="47B4D66F">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D5A792F">
      <w:pPr>
        <w:spacing w:line="360" w:lineRule="auto"/>
        <w:ind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参考使用</w:t>
      </w:r>
    </w:p>
    <w:p w14:paraId="5F12E081">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13015491">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517A06F5">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14:paraId="2BB18DA2">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3A6CF07C">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550D7DE">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18DD243B">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88DAF08">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青海省招竞磋（服务）2024-</w:t>
      </w:r>
      <w:r>
        <w:rPr>
          <w:rFonts w:hint="eastAsia" w:ascii="宋体" w:hAnsi="宋体" w:cs="宋体"/>
          <w:b/>
          <w:bCs/>
          <w:color w:val="000000" w:themeColor="text1"/>
          <w:sz w:val="32"/>
          <w:szCs w:val="32"/>
          <w:highlight w:val="none"/>
          <w:lang w:val="en-US" w:eastAsia="zh-CN"/>
          <w14:textFill>
            <w14:solidFill>
              <w14:schemeClr w14:val="tx1"/>
            </w14:solidFill>
          </w14:textFill>
        </w:rPr>
        <w:t>072</w:t>
      </w:r>
    </w:p>
    <w:p w14:paraId="56F5818E">
      <w:pPr>
        <w:autoSpaceDE w:val="0"/>
        <w:autoSpaceDN w:val="0"/>
        <w:spacing w:line="600" w:lineRule="exact"/>
        <w:ind w:left="2249" w:hanging="2249" w:hangingChars="7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采购项目名称：</w:t>
      </w:r>
      <w:r>
        <w:rPr>
          <w:rFonts w:hint="eastAsia" w:ascii="宋体" w:hAnsi="宋体" w:cs="宋体"/>
          <w:b/>
          <w:color w:val="000000" w:themeColor="text1"/>
          <w:sz w:val="32"/>
          <w:szCs w:val="32"/>
          <w:highlight w:val="none"/>
          <w:lang w:eastAsia="zh-CN"/>
          <w14:textFill>
            <w14:solidFill>
              <w14:schemeClr w14:val="tx1"/>
            </w14:solidFill>
          </w14:textFill>
        </w:rPr>
        <w:t>海南州乡村振兴规划编制</w:t>
      </w:r>
    </w:p>
    <w:p w14:paraId="66DFB10D">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w:t>
      </w:r>
      <w:r>
        <w:rPr>
          <w:rFonts w:hint="eastAsia" w:ascii="宋体" w:hAnsi="宋体" w:cs="宋体"/>
          <w:b/>
          <w:bCs/>
          <w:color w:val="000000" w:themeColor="text1"/>
          <w:sz w:val="32"/>
          <w:szCs w:val="32"/>
          <w:highlight w:val="none"/>
          <w:lang w:val="en-US" w:eastAsia="zh-CN"/>
          <w14:textFill>
            <w14:solidFill>
              <w14:schemeClr w14:val="tx1"/>
            </w14:solidFill>
          </w14:textFill>
        </w:rPr>
        <w:t>SZ-</w:t>
      </w:r>
      <w:r>
        <w:rPr>
          <w:rFonts w:ascii="宋体" w:hAnsi="宋体" w:cs="宋体"/>
          <w:b/>
          <w:bCs/>
          <w:color w:val="000000" w:themeColor="text1"/>
          <w:sz w:val="32"/>
          <w:szCs w:val="32"/>
          <w:highlight w:val="none"/>
          <w:lang w:val="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072</w:t>
      </w:r>
    </w:p>
    <w:p w14:paraId="007698D9">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14:paraId="6ABF70D3">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6EBF69C0">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1D0E291C">
      <w:pPr>
        <w:autoSpaceDE w:val="0"/>
        <w:autoSpaceDN w:val="0"/>
        <w:spacing w:line="600" w:lineRule="exact"/>
        <w:ind w:firstLine="0" w:firstLineChars="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14:paraId="612F515E">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757CAE84">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1D0DE966">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624A2E09">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2791749D">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14:paraId="79084B7C">
      <w:pPr>
        <w:pageBreakBefore/>
        <w:autoSpaceDE w:val="0"/>
        <w:autoSpaceDN w:val="0"/>
        <w:adjustRightInd w:val="0"/>
        <w:spacing w:line="360" w:lineRule="auto"/>
        <w:rPr>
          <w:rFonts w:ascii="仿宋_GB2312" w:hAnsi="仿宋_GB2312" w:eastAsia="仿宋_GB2312" w:cs="仿宋_GB2312"/>
          <w:b/>
          <w:bCs/>
          <w:kern w:val="0"/>
          <w:sz w:val="28"/>
        </w:rPr>
      </w:pPr>
      <w:bookmarkStart w:id="160" w:name="_Toc11599_WPSOffice_Level2"/>
      <w:bookmarkStart w:id="161" w:name="_Toc437_WPSOffice_Level2"/>
      <w:bookmarkStart w:id="162" w:name="_Toc32561_WPSOffice_Level3"/>
      <w:bookmarkStart w:id="163" w:name="_Toc20044_WPSOffice_Level2"/>
      <w:r>
        <w:rPr>
          <w:rFonts w:hint="eastAsia" w:ascii="仿宋_GB2312" w:hAnsi="仿宋_GB2312" w:eastAsia="仿宋_GB2312" w:cs="仿宋_GB2312"/>
          <w:b/>
          <w:bCs/>
          <w:kern w:val="0"/>
          <w:sz w:val="28"/>
          <w:lang w:val="zh-CN"/>
        </w:rPr>
        <w:t>采购人（以下简称甲方）：</w:t>
      </w:r>
      <w:bookmarkEnd w:id="160"/>
      <w:bookmarkEnd w:id="161"/>
      <w:bookmarkEnd w:id="162"/>
      <w:bookmarkEnd w:id="163"/>
    </w:p>
    <w:p w14:paraId="4EF893A0">
      <w:pPr>
        <w:autoSpaceDE w:val="0"/>
        <w:autoSpaceDN w:val="0"/>
        <w:adjustRightInd w:val="0"/>
        <w:spacing w:line="360" w:lineRule="auto"/>
        <w:rPr>
          <w:rFonts w:ascii="仿宋_GB2312" w:hAnsi="仿宋_GB2312" w:eastAsia="仿宋_GB2312" w:cs="仿宋_GB2312"/>
          <w:kern w:val="0"/>
          <w:sz w:val="28"/>
        </w:rPr>
      </w:pPr>
      <w:bookmarkStart w:id="164" w:name="_Toc11188_WPSOffice_Level2"/>
      <w:bookmarkStart w:id="165" w:name="_Toc12347_WPSOffice_Level2"/>
      <w:bookmarkStart w:id="166" w:name="_Toc24806_WPSOffice_Level3"/>
      <w:bookmarkStart w:id="167" w:name="_Toc20183_WPSOffice_Level2"/>
      <w:r>
        <w:rPr>
          <w:rFonts w:hint="eastAsia" w:ascii="仿宋_GB2312" w:hAnsi="仿宋_GB2312" w:eastAsia="仿宋_GB2312" w:cs="仿宋_GB2312"/>
          <w:b/>
          <w:bCs/>
          <w:kern w:val="0"/>
          <w:sz w:val="28"/>
          <w:lang w:val="zh-CN"/>
        </w:rPr>
        <w:t>供应商（以下简称乙方）：</w:t>
      </w:r>
      <w:bookmarkEnd w:id="164"/>
      <w:bookmarkEnd w:id="165"/>
      <w:bookmarkEnd w:id="166"/>
      <w:bookmarkEnd w:id="167"/>
    </w:p>
    <w:p w14:paraId="3D7A81BE">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甲、乙双方根据</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年  月  日海南州乡村振兴规划编制（</w:t>
      </w:r>
      <w:r>
        <w:rPr>
          <w:rFonts w:hint="eastAsia" w:ascii="仿宋_GB2312" w:hAnsi="仿宋_GB2312" w:eastAsia="仿宋_GB2312" w:cs="仿宋_GB2312"/>
          <w:kern w:val="0"/>
        </w:rPr>
        <w:t>项目编号：青海省招竞磋（服务）202</w:t>
      </w:r>
      <w:r>
        <w:rPr>
          <w:rFonts w:hint="eastAsia" w:ascii="仿宋_GB2312" w:hAnsi="仿宋_GB2312" w:eastAsia="仿宋_GB2312" w:cs="仿宋_GB2312"/>
          <w:kern w:val="0"/>
          <w:lang w:val="en-US" w:eastAsia="zh-CN"/>
        </w:rPr>
        <w:t>4</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072</w:t>
      </w:r>
      <w:r>
        <w:rPr>
          <w:rFonts w:hint="eastAsia" w:ascii="仿宋_GB2312" w:hAnsi="仿宋_GB2312" w:eastAsia="仿宋_GB2312" w:cs="仿宋_GB2312"/>
          <w:kern w:val="0"/>
          <w:lang w:val="zh-CN"/>
        </w:rPr>
        <w:t>）的招标文件要求和《</w:t>
      </w:r>
      <w:r>
        <w:rPr>
          <w:rFonts w:hint="eastAsia" w:ascii="仿宋_GB2312" w:hAnsi="仿宋_GB2312" w:eastAsia="仿宋_GB2312" w:cs="仿宋_GB2312"/>
          <w:kern w:val="0"/>
        </w:rPr>
        <w:t>中标</w:t>
      </w:r>
      <w:r>
        <w:rPr>
          <w:rFonts w:hint="eastAsia" w:ascii="仿宋_GB2312" w:hAnsi="仿宋_GB2312" w:eastAsia="仿宋_GB2312" w:cs="仿宋_GB2312"/>
          <w:kern w:val="0"/>
          <w:lang w:val="zh-CN"/>
        </w:rPr>
        <w:t>通知书》，并经双方协商一致，签订本合同书。</w:t>
      </w:r>
    </w:p>
    <w:p w14:paraId="69715221">
      <w:pPr>
        <w:autoSpaceDE w:val="0"/>
        <w:autoSpaceDN w:val="0"/>
        <w:adjustRightInd w:val="0"/>
        <w:spacing w:line="360" w:lineRule="auto"/>
        <w:rPr>
          <w:rFonts w:ascii="仿宋_GB2312" w:hAnsi="仿宋_GB2312" w:eastAsia="仿宋_GB2312" w:cs="仿宋_GB2312"/>
          <w:kern w:val="0"/>
          <w:lang w:val="zh-CN"/>
        </w:rPr>
      </w:pPr>
      <w:bookmarkStart w:id="168" w:name="_Toc29927_WPSOffice_Level3"/>
      <w:bookmarkStart w:id="169" w:name="_Toc1379_WPSOffice_Level2"/>
      <w:bookmarkStart w:id="170" w:name="_Toc25232_WPSOffice_Level2"/>
      <w:bookmarkStart w:id="171" w:name="_Toc25499_WPSOffice_Level2"/>
      <w:r>
        <w:rPr>
          <w:rFonts w:hint="eastAsia" w:ascii="仿宋_GB2312" w:hAnsi="仿宋_GB2312" w:eastAsia="仿宋_GB2312" w:cs="仿宋_GB2312"/>
          <w:kern w:val="0"/>
          <w:lang w:val="zh-CN"/>
        </w:rPr>
        <w:t>一、签订本政府采购合同的依据</w:t>
      </w:r>
      <w:bookmarkEnd w:id="168"/>
      <w:bookmarkEnd w:id="169"/>
      <w:bookmarkEnd w:id="170"/>
      <w:bookmarkEnd w:id="171"/>
    </w:p>
    <w:p w14:paraId="4A1E3204">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本政府采购合同所附下列文件是构成本政府采购合同不可分割的部分：</w:t>
      </w:r>
    </w:p>
    <w:p w14:paraId="50B6E52B">
      <w:pPr>
        <w:autoSpaceDE w:val="0"/>
        <w:autoSpaceDN w:val="0"/>
        <w:adjustRightInd w:val="0"/>
        <w:spacing w:line="360" w:lineRule="auto"/>
        <w:ind w:firstLine="480"/>
        <w:rPr>
          <w:rFonts w:ascii="仿宋_GB2312" w:hAnsi="仿宋_GB2312" w:eastAsia="仿宋_GB2312" w:cs="仿宋_GB2312"/>
          <w:kern w:val="0"/>
          <w:lang w:val="zh-CN"/>
        </w:rPr>
      </w:pPr>
      <w:bookmarkStart w:id="172" w:name="_Toc23684_WPSOffice_Level3"/>
      <w:r>
        <w:rPr>
          <w:rFonts w:hint="eastAsia" w:ascii="仿宋_GB2312" w:hAnsi="仿宋_GB2312" w:eastAsia="仿宋_GB2312" w:cs="仿宋_GB2312"/>
          <w:kern w:val="0"/>
          <w:lang w:val="zh-CN"/>
        </w:rPr>
        <w:t>1.招标文件；</w:t>
      </w:r>
      <w:bookmarkEnd w:id="172"/>
    </w:p>
    <w:p w14:paraId="64467A6C">
      <w:pPr>
        <w:autoSpaceDE w:val="0"/>
        <w:autoSpaceDN w:val="0"/>
        <w:adjustRightInd w:val="0"/>
        <w:spacing w:line="360" w:lineRule="auto"/>
        <w:ind w:firstLine="480"/>
        <w:rPr>
          <w:rFonts w:ascii="仿宋_GB2312" w:hAnsi="仿宋_GB2312" w:eastAsia="仿宋_GB2312" w:cs="仿宋_GB2312"/>
          <w:kern w:val="0"/>
          <w:lang w:val="zh-CN"/>
        </w:rPr>
      </w:pPr>
      <w:bookmarkStart w:id="173" w:name="_Toc12225_WPSOffice_Level3"/>
      <w:r>
        <w:rPr>
          <w:rFonts w:hint="eastAsia" w:ascii="仿宋_GB2312" w:hAnsi="仿宋_GB2312" w:eastAsia="仿宋_GB2312" w:cs="仿宋_GB2312"/>
          <w:kern w:val="0"/>
          <w:lang w:val="zh-CN"/>
        </w:rPr>
        <w:t>2.招标文件的更正、变更公告；</w:t>
      </w:r>
      <w:bookmarkEnd w:id="173"/>
    </w:p>
    <w:p w14:paraId="32C3B58D">
      <w:pPr>
        <w:autoSpaceDE w:val="0"/>
        <w:autoSpaceDN w:val="0"/>
        <w:adjustRightInd w:val="0"/>
        <w:spacing w:line="360" w:lineRule="auto"/>
        <w:ind w:firstLine="480"/>
        <w:rPr>
          <w:rFonts w:ascii="仿宋_GB2312" w:hAnsi="仿宋_GB2312" w:eastAsia="仿宋_GB2312" w:cs="仿宋_GB2312"/>
          <w:kern w:val="0"/>
          <w:lang w:val="zh-CN"/>
        </w:rPr>
      </w:pPr>
      <w:bookmarkStart w:id="174" w:name="_Toc4466_WPSOffice_Level3"/>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成交</w:t>
      </w:r>
      <w:r>
        <w:rPr>
          <w:rFonts w:hint="eastAsia" w:ascii="仿宋_GB2312" w:hAnsi="仿宋_GB2312" w:eastAsia="仿宋_GB2312" w:cs="仿宋_GB2312"/>
          <w:kern w:val="0"/>
          <w:lang w:val="zh-CN"/>
        </w:rPr>
        <w:t>供应商提交的投标文件；</w:t>
      </w:r>
      <w:bookmarkEnd w:id="174"/>
    </w:p>
    <w:p w14:paraId="40158556">
      <w:pPr>
        <w:autoSpaceDE w:val="0"/>
        <w:autoSpaceDN w:val="0"/>
        <w:adjustRightInd w:val="0"/>
        <w:spacing w:line="360" w:lineRule="auto"/>
        <w:ind w:firstLine="480"/>
        <w:rPr>
          <w:rFonts w:ascii="仿宋_GB2312" w:hAnsi="仿宋_GB2312" w:eastAsia="仿宋_GB2312" w:cs="仿宋_GB2312"/>
          <w:kern w:val="0"/>
          <w:lang w:val="zh-CN"/>
        </w:rPr>
      </w:pPr>
      <w:bookmarkStart w:id="175" w:name="_Toc15893_WPSOffice_Level3"/>
      <w:r>
        <w:rPr>
          <w:rFonts w:hint="eastAsia" w:ascii="仿宋_GB2312" w:hAnsi="仿宋_GB2312" w:eastAsia="仿宋_GB2312" w:cs="仿宋_GB2312"/>
          <w:kern w:val="0"/>
          <w:lang w:val="zh-CN"/>
        </w:rPr>
        <w:t>4.招标文件中规定的政府采购合同通用条款；</w:t>
      </w:r>
      <w:bookmarkEnd w:id="175"/>
    </w:p>
    <w:p w14:paraId="63B2061B">
      <w:pPr>
        <w:autoSpaceDE w:val="0"/>
        <w:autoSpaceDN w:val="0"/>
        <w:adjustRightInd w:val="0"/>
        <w:spacing w:line="360" w:lineRule="auto"/>
        <w:ind w:firstLine="480"/>
        <w:rPr>
          <w:rFonts w:ascii="仿宋_GB2312" w:hAnsi="仿宋_GB2312" w:eastAsia="仿宋_GB2312" w:cs="仿宋_GB2312"/>
          <w:kern w:val="0"/>
          <w:lang w:val="zh-CN"/>
        </w:rPr>
      </w:pPr>
      <w:bookmarkStart w:id="176" w:name="_Toc22327_WPSOffice_Level3"/>
      <w:r>
        <w:rPr>
          <w:rFonts w:hint="eastAsia" w:ascii="仿宋_GB2312" w:hAnsi="仿宋_GB2312" w:eastAsia="仿宋_GB2312" w:cs="仿宋_GB2312"/>
          <w:kern w:val="0"/>
          <w:lang w:val="zh-CN"/>
        </w:rPr>
        <w:t>5.</w:t>
      </w:r>
      <w:r>
        <w:rPr>
          <w:rFonts w:hint="eastAsia" w:ascii="仿宋_GB2312" w:hAnsi="仿宋_GB2312" w:eastAsia="仿宋_GB2312" w:cs="仿宋_GB2312"/>
          <w:kern w:val="0"/>
        </w:rPr>
        <w:t>成交</w:t>
      </w:r>
      <w:r>
        <w:rPr>
          <w:rFonts w:hint="eastAsia" w:ascii="仿宋_GB2312" w:hAnsi="仿宋_GB2312" w:eastAsia="仿宋_GB2312" w:cs="仿宋_GB2312"/>
          <w:kern w:val="0"/>
          <w:lang w:val="zh-CN"/>
        </w:rPr>
        <w:t>通知书。</w:t>
      </w:r>
      <w:bookmarkEnd w:id="176"/>
    </w:p>
    <w:p w14:paraId="65D3690E">
      <w:pPr>
        <w:autoSpaceDE w:val="0"/>
        <w:autoSpaceDN w:val="0"/>
        <w:adjustRightInd w:val="0"/>
        <w:spacing w:line="360" w:lineRule="auto"/>
        <w:rPr>
          <w:rFonts w:ascii="仿宋_GB2312" w:hAnsi="仿宋_GB2312" w:eastAsia="仿宋_GB2312" w:cs="仿宋_GB2312"/>
          <w:kern w:val="0"/>
          <w:lang w:val="zh-CN"/>
        </w:rPr>
      </w:pPr>
      <w:bookmarkStart w:id="177" w:name="_Toc12834_WPSOffice_Level2"/>
      <w:bookmarkStart w:id="178" w:name="_Toc10163_WPSOffice_Level3"/>
      <w:bookmarkStart w:id="179" w:name="_Toc11202_WPSOffice_Level2"/>
      <w:bookmarkStart w:id="180" w:name="_Toc2114_WPSOffice_Level2"/>
      <w:r>
        <w:rPr>
          <w:rFonts w:hint="eastAsia" w:ascii="仿宋_GB2312" w:hAnsi="仿宋_GB2312" w:eastAsia="仿宋_GB2312" w:cs="仿宋_GB2312"/>
          <w:kern w:val="0"/>
          <w:lang w:val="zh-CN"/>
        </w:rPr>
        <w:t>二、合同标的及金额                                       单位：元</w:t>
      </w:r>
      <w:bookmarkEnd w:id="177"/>
      <w:bookmarkEnd w:id="178"/>
      <w:bookmarkEnd w:id="179"/>
      <w:bookmarkEnd w:id="180"/>
    </w:p>
    <w:tbl>
      <w:tblPr>
        <w:tblStyle w:val="28"/>
        <w:tblW w:w="0" w:type="auto"/>
        <w:jc w:val="center"/>
        <w:tblLayout w:type="fixed"/>
        <w:tblCellMar>
          <w:top w:w="0" w:type="dxa"/>
          <w:left w:w="56" w:type="dxa"/>
          <w:bottom w:w="0" w:type="dxa"/>
          <w:right w:w="56" w:type="dxa"/>
        </w:tblCellMar>
      </w:tblPr>
      <w:tblGrid>
        <w:gridCol w:w="1046"/>
        <w:gridCol w:w="3191"/>
        <w:gridCol w:w="1371"/>
        <w:gridCol w:w="1411"/>
        <w:gridCol w:w="1258"/>
      </w:tblGrid>
      <w:tr w14:paraId="117A4EBE">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25160A76">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序号</w:t>
            </w: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6DA95047">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服务内容</w:t>
            </w: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1E22EA92">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单价</w:t>
            </w: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308890B1">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总价</w:t>
            </w: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31CAC1A8">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备注</w:t>
            </w:r>
          </w:p>
        </w:tc>
      </w:tr>
      <w:tr w14:paraId="55828EC9">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17AB94AA">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6EA71476">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27B2E0C3">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A54EC95">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56876084">
            <w:pPr>
              <w:autoSpaceDE w:val="0"/>
              <w:autoSpaceDN w:val="0"/>
              <w:adjustRightInd w:val="0"/>
              <w:spacing w:line="360" w:lineRule="auto"/>
              <w:jc w:val="center"/>
              <w:rPr>
                <w:rFonts w:ascii="仿宋_GB2312" w:hAnsi="仿宋_GB2312" w:eastAsia="仿宋_GB2312" w:cs="仿宋_GB2312"/>
                <w:kern w:val="0"/>
                <w:sz w:val="22"/>
                <w:szCs w:val="22"/>
                <w:lang w:val="zh-CN"/>
              </w:rPr>
            </w:pPr>
          </w:p>
        </w:tc>
      </w:tr>
      <w:tr w14:paraId="7AD0AC1E">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78D6A05A">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74089EB0">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513769F9">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52C40E9C">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10A4E323">
            <w:pPr>
              <w:autoSpaceDE w:val="0"/>
              <w:autoSpaceDN w:val="0"/>
              <w:adjustRightInd w:val="0"/>
              <w:spacing w:line="360" w:lineRule="auto"/>
              <w:jc w:val="center"/>
              <w:rPr>
                <w:rFonts w:ascii="仿宋_GB2312" w:hAnsi="仿宋_GB2312" w:eastAsia="仿宋_GB2312" w:cs="仿宋_GB2312"/>
                <w:kern w:val="0"/>
                <w:sz w:val="22"/>
                <w:szCs w:val="22"/>
                <w:lang w:val="zh-CN"/>
              </w:rPr>
            </w:pPr>
          </w:p>
        </w:tc>
      </w:tr>
    </w:tbl>
    <w:p w14:paraId="46DF59A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根据上述政府采购合同文件要求，本政府采购合同的总金额为人民币</w:t>
      </w:r>
    </w:p>
    <w:p w14:paraId="63A51639">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u w:val="single"/>
          <w:lang w:val="zh-CN"/>
        </w:rPr>
        <w:t xml:space="preserve">    （大写）    元</w:t>
      </w:r>
      <w:r>
        <w:rPr>
          <w:rFonts w:hint="eastAsia" w:ascii="仿宋_GB2312" w:hAnsi="仿宋_GB2312" w:eastAsia="仿宋_GB2312" w:cs="仿宋_GB2312"/>
          <w:kern w:val="0"/>
          <w:lang w:val="zh-CN"/>
        </w:rPr>
        <w:t>。</w:t>
      </w:r>
    </w:p>
    <w:p w14:paraId="6801D364">
      <w:pPr>
        <w:autoSpaceDE w:val="0"/>
        <w:autoSpaceDN w:val="0"/>
        <w:adjustRightInd w:val="0"/>
        <w:spacing w:line="360" w:lineRule="auto"/>
        <w:ind w:firstLine="42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本合同以人民币进行结算，合同总价包括：项目编制服务费、方案编制审核费（专家论证费）、保险费、采购代理服务费、税金及不可预见费等全部费用。</w:t>
      </w:r>
    </w:p>
    <w:p w14:paraId="00AC6007">
      <w:pPr>
        <w:autoSpaceDE w:val="0"/>
        <w:autoSpaceDN w:val="0"/>
        <w:adjustRightInd w:val="0"/>
        <w:spacing w:line="360" w:lineRule="auto"/>
        <w:rPr>
          <w:rFonts w:ascii="仿宋_GB2312" w:hAnsi="仿宋_GB2312" w:eastAsia="仿宋_GB2312" w:cs="仿宋_GB2312"/>
          <w:kern w:val="0"/>
          <w:lang w:val="zh-CN"/>
        </w:rPr>
      </w:pPr>
      <w:bookmarkStart w:id="181" w:name="_Toc12048_WPSOffice_Level2"/>
      <w:bookmarkStart w:id="182" w:name="_Toc13400_WPSOffice_Level3"/>
      <w:bookmarkStart w:id="183" w:name="_Toc17512_WPSOffice_Level2"/>
      <w:bookmarkStart w:id="184" w:name="_Toc25628_WPSOffice_Level2"/>
      <w:r>
        <w:rPr>
          <w:rFonts w:hint="eastAsia" w:ascii="仿宋_GB2312" w:hAnsi="仿宋_GB2312" w:eastAsia="仿宋_GB2312" w:cs="仿宋_GB2312"/>
          <w:kern w:val="0"/>
          <w:lang w:val="zh-CN"/>
        </w:rPr>
        <w:t>三、服务周期、地点和要求</w:t>
      </w:r>
      <w:bookmarkEnd w:id="181"/>
      <w:bookmarkEnd w:id="182"/>
      <w:bookmarkEnd w:id="183"/>
      <w:bookmarkEnd w:id="184"/>
    </w:p>
    <w:p w14:paraId="1ACF8DC2">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1.服务周期：</w:t>
      </w:r>
      <w:r>
        <w:rPr>
          <w:rFonts w:hint="eastAsia" w:ascii="仿宋_GB2312" w:hAnsi="仿宋_GB2312" w:eastAsia="仿宋_GB2312" w:cs="仿宋_GB2312"/>
          <w:kern w:val="0"/>
          <w:u w:val="single"/>
        </w:rPr>
        <w:t xml:space="preserve"> （具体以合同签订为准）</w:t>
      </w:r>
      <w:r>
        <w:rPr>
          <w:rFonts w:hint="eastAsia" w:ascii="仿宋_GB2312" w:hAnsi="仿宋_GB2312" w:eastAsia="仿宋_GB2312" w:cs="仿宋_GB2312"/>
          <w:kern w:val="0"/>
          <w:lang w:val="zh-CN"/>
        </w:rPr>
        <w:t>；</w:t>
      </w:r>
    </w:p>
    <w:p w14:paraId="5F2ECA7D">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规划资料提交地点：</w:t>
      </w:r>
      <w:r>
        <w:rPr>
          <w:rFonts w:hint="eastAsia" w:ascii="仿宋_GB2312" w:hAnsi="仿宋_GB2312" w:eastAsia="仿宋_GB2312" w:cs="仿宋_GB2312"/>
          <w:kern w:val="0"/>
          <w:u w:val="single"/>
        </w:rPr>
        <w:t>采购人指定地点</w:t>
      </w:r>
      <w:r>
        <w:rPr>
          <w:rFonts w:hint="eastAsia" w:ascii="仿宋_GB2312" w:hAnsi="仿宋_GB2312" w:eastAsia="仿宋_GB2312" w:cs="仿宋_GB2312"/>
          <w:kern w:val="0"/>
          <w:lang w:val="zh-CN"/>
        </w:rPr>
        <w:t>。</w:t>
      </w:r>
    </w:p>
    <w:p w14:paraId="024FBBA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2.乙方提供不符合招标文件、投标文件和本合同规定的规划资料，甲方有权拒绝接受，并扣除相应费用。</w:t>
      </w:r>
    </w:p>
    <w:p w14:paraId="608F1239">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3.乙方应提供的规划资料、其他配套资料等交付给甲方，如有缺失应及时补齐，否则视为逾期交货。</w:t>
      </w:r>
    </w:p>
    <w:p w14:paraId="2400C99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4.甲方应当在所有资料齐全后</w:t>
      </w:r>
      <w:r>
        <w:rPr>
          <w:rFonts w:hint="eastAsia" w:ascii="仿宋_GB2312" w:hAnsi="仿宋_GB2312" w:eastAsia="仿宋_GB2312" w:cs="仿宋_GB2312"/>
          <w:kern w:val="0"/>
          <w:u w:val="single"/>
          <w:lang w:val="zh-CN"/>
        </w:rPr>
        <w:t>7</w:t>
      </w:r>
      <w:r>
        <w:rPr>
          <w:rFonts w:hint="eastAsia" w:ascii="仿宋_GB2312" w:hAnsi="仿宋_GB2312" w:eastAsia="仿宋_GB2312" w:cs="仿宋_GB2312"/>
          <w:kern w:val="0"/>
          <w:lang w:val="zh-CN"/>
        </w:rPr>
        <w:t>个工作日内进行验收，逾期不验收的，乙方可视为验收合格。验收合格后，由甲乙双方签署项目验收单并加盖采购人公章，甲乙双方各执一份。</w:t>
      </w:r>
    </w:p>
    <w:p w14:paraId="14F21873">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5.甲方在验收过程中发现乙方有违约问题，可按招、投标文件的规定要求乙方及时予以解决。</w:t>
      </w:r>
    </w:p>
    <w:p w14:paraId="1AF21D74">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6.乙方向甲方提供相关完税发票。</w:t>
      </w:r>
    </w:p>
    <w:p w14:paraId="456B1DF2">
      <w:pPr>
        <w:autoSpaceDE w:val="0"/>
        <w:autoSpaceDN w:val="0"/>
        <w:adjustRightInd w:val="0"/>
        <w:spacing w:line="360" w:lineRule="auto"/>
        <w:rPr>
          <w:rFonts w:ascii="仿宋_GB2312" w:hAnsi="仿宋_GB2312" w:eastAsia="仿宋_GB2312" w:cs="仿宋_GB2312"/>
          <w:kern w:val="0"/>
          <w:lang w:val="zh-CN"/>
        </w:rPr>
      </w:pPr>
      <w:bookmarkStart w:id="185" w:name="_Toc7764_WPSOffice_Level2"/>
      <w:bookmarkStart w:id="186" w:name="_Toc2819_WPSOffice_Level3"/>
      <w:bookmarkStart w:id="187" w:name="_Toc20437_WPSOffice_Level2"/>
      <w:bookmarkStart w:id="188" w:name="_Toc9454_WPSOffice_Level2"/>
      <w:r>
        <w:rPr>
          <w:rFonts w:hint="eastAsia" w:ascii="仿宋_GB2312" w:hAnsi="仿宋_GB2312" w:eastAsia="仿宋_GB2312" w:cs="仿宋_GB2312"/>
          <w:kern w:val="0"/>
          <w:lang w:val="zh-CN"/>
        </w:rPr>
        <w:t>四、付款方式</w:t>
      </w:r>
      <w:bookmarkEnd w:id="185"/>
      <w:bookmarkEnd w:id="186"/>
      <w:bookmarkEnd w:id="187"/>
      <w:bookmarkEnd w:id="188"/>
    </w:p>
    <w:p w14:paraId="69AF18AD">
      <w:pPr>
        <w:autoSpaceDE w:val="0"/>
        <w:autoSpaceDN w:val="0"/>
        <w:adjustRightInd w:val="0"/>
        <w:spacing w:line="360" w:lineRule="auto"/>
        <w:ind w:firstLine="480"/>
        <w:rPr>
          <w:rFonts w:hint="default" w:ascii="仿宋_GB2312" w:hAnsi="仿宋_GB2312" w:eastAsia="仿宋_GB2312" w:cs="仿宋_GB2312"/>
          <w:kern w:val="0"/>
          <w:lang w:val="en-US"/>
        </w:rPr>
      </w:pPr>
      <w:r>
        <w:rPr>
          <w:rFonts w:hint="eastAsia" w:ascii="仿宋_GB2312" w:hAnsi="仿宋_GB2312" w:eastAsia="仿宋_GB2312" w:cs="仿宋_GB2312"/>
          <w:kern w:val="0"/>
          <w:lang w:val="en-US" w:eastAsia="zh-CN"/>
        </w:rPr>
        <w:t>合同签订后付款合同金额的47%，成果完成验论证审批手续后完成后支付50%。履约保证金3%。</w:t>
      </w:r>
    </w:p>
    <w:p w14:paraId="370321B9">
      <w:pPr>
        <w:autoSpaceDE w:val="0"/>
        <w:autoSpaceDN w:val="0"/>
        <w:adjustRightInd w:val="0"/>
        <w:spacing w:line="360" w:lineRule="auto"/>
        <w:rPr>
          <w:rFonts w:ascii="仿宋_GB2312" w:hAnsi="仿宋_GB2312" w:eastAsia="仿宋_GB2312" w:cs="仿宋_GB2312"/>
          <w:kern w:val="0"/>
          <w:lang w:val="zh-CN"/>
        </w:rPr>
      </w:pPr>
      <w:bookmarkStart w:id="189" w:name="_Toc936_WPSOffice_Level2"/>
      <w:bookmarkStart w:id="190" w:name="_Toc16747_WPSOffice_Level2"/>
      <w:bookmarkStart w:id="191" w:name="_Toc32616_WPSOffice_Level2"/>
      <w:bookmarkStart w:id="192" w:name="_Toc3617_WPSOffice_Level3"/>
      <w:r>
        <w:rPr>
          <w:rFonts w:hint="eastAsia" w:ascii="仿宋_GB2312" w:hAnsi="仿宋_GB2312" w:eastAsia="仿宋_GB2312" w:cs="仿宋_GB2312"/>
          <w:kern w:val="0"/>
          <w:lang w:val="zh-CN"/>
        </w:rPr>
        <w:t>五、合同的变更、终止与转让</w:t>
      </w:r>
      <w:bookmarkEnd w:id="189"/>
      <w:bookmarkEnd w:id="190"/>
      <w:bookmarkEnd w:id="191"/>
      <w:bookmarkEnd w:id="192"/>
    </w:p>
    <w:p w14:paraId="555AD02A">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1.除《中华人民共和国政府采购法》第50条规定的情形外，本合同一经签订，甲乙双方不得擅自变更、中止或终止。</w:t>
      </w:r>
    </w:p>
    <w:p w14:paraId="035EE2B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2.乙方不得擅自转让其应履行的合同义务。</w:t>
      </w:r>
    </w:p>
    <w:p w14:paraId="47A27C45">
      <w:pPr>
        <w:autoSpaceDE w:val="0"/>
        <w:autoSpaceDN w:val="0"/>
        <w:adjustRightInd w:val="0"/>
        <w:spacing w:line="360" w:lineRule="auto"/>
        <w:rPr>
          <w:rFonts w:ascii="仿宋_GB2312" w:hAnsi="仿宋_GB2312" w:eastAsia="仿宋_GB2312" w:cs="仿宋_GB2312"/>
          <w:kern w:val="0"/>
          <w:lang w:val="zh-CN"/>
        </w:rPr>
      </w:pPr>
      <w:bookmarkStart w:id="193" w:name="_Toc25996_WPSOffice_Level2"/>
      <w:bookmarkStart w:id="194" w:name="_Toc469_WPSOffice_Level2"/>
      <w:bookmarkStart w:id="195" w:name="_Toc14484_WPSOffice_Level3"/>
      <w:bookmarkStart w:id="196" w:name="_Toc9021_WPSOffice_Level2"/>
      <w:r>
        <w:rPr>
          <w:rFonts w:hint="eastAsia" w:ascii="仿宋_GB2312" w:hAnsi="仿宋_GB2312" w:eastAsia="仿宋_GB2312" w:cs="仿宋_GB2312"/>
          <w:kern w:val="0"/>
          <w:lang w:val="zh-CN"/>
        </w:rPr>
        <w:t>六、违约责任</w:t>
      </w:r>
      <w:bookmarkEnd w:id="193"/>
      <w:bookmarkEnd w:id="194"/>
      <w:bookmarkEnd w:id="195"/>
      <w:bookmarkEnd w:id="196"/>
    </w:p>
    <w:p w14:paraId="4FB4F70A">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1.乙方所提供的成果及资料不合格的，应及时修改；修改不及时的，按逾期交付处罚；因规划成果不达标导致甲方不同意接收的，乙方赔偿由此引起的甲方的一切经济损失。</w:t>
      </w:r>
    </w:p>
    <w:p w14:paraId="35C723B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2.乙方提供的成果及资料如侵犯了第三方权益而引发纠纷或诉讼的，均由乙方负责交涉并承担全部责任。</w:t>
      </w:r>
    </w:p>
    <w:p w14:paraId="0A50BF3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3.甲方无故延期接受成果及资料和乙方逾期交付的，每天应向对方偿付总规划费3‰的违约金，但违约金累计不得超过总规划费的5%，超过</w:t>
      </w:r>
      <w:r>
        <w:rPr>
          <w:rFonts w:hint="eastAsia" w:ascii="仿宋_GB2312" w:hAnsi="仿宋_GB2312" w:eastAsia="仿宋_GB2312" w:cs="仿宋_GB2312"/>
          <w:kern w:val="0"/>
          <w:u w:val="single"/>
          <w:lang w:val="zh-CN"/>
        </w:rPr>
        <w:t>20</w:t>
      </w:r>
      <w:r>
        <w:rPr>
          <w:rFonts w:hint="eastAsia" w:ascii="仿宋_GB2312" w:hAnsi="仿宋_GB2312" w:eastAsia="仿宋_GB2312" w:cs="仿宋_GB2312"/>
          <w:kern w:val="0"/>
          <w:lang w:val="zh-CN"/>
        </w:rPr>
        <w:t>天对方有权解除合同，违约方承担因此给对方造成的经济损失。</w:t>
      </w:r>
    </w:p>
    <w:p w14:paraId="699A81C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4.乙方未按本合同和招标文件中规定的服务承诺提供售后服务的，乙方应按本合同合计金额的5%向甲方支付违约金。</w:t>
      </w:r>
    </w:p>
    <w:p w14:paraId="697C8DBE">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5.其它违约行为按总规划费的5%收取违约金并赔偿经济损失。</w:t>
      </w:r>
    </w:p>
    <w:p w14:paraId="7A743B3E">
      <w:pPr>
        <w:autoSpaceDE w:val="0"/>
        <w:autoSpaceDN w:val="0"/>
        <w:adjustRightInd w:val="0"/>
        <w:spacing w:line="360" w:lineRule="auto"/>
        <w:rPr>
          <w:rFonts w:ascii="仿宋_GB2312" w:hAnsi="仿宋_GB2312" w:eastAsia="仿宋_GB2312" w:cs="仿宋_GB2312"/>
          <w:kern w:val="0"/>
          <w:lang w:val="zh-CN"/>
        </w:rPr>
      </w:pPr>
      <w:bookmarkStart w:id="197" w:name="_Toc577_WPSOffice_Level3"/>
      <w:bookmarkStart w:id="198" w:name="_Toc2322_WPSOffice_Level2"/>
      <w:bookmarkStart w:id="199" w:name="_Toc29436_WPSOffice_Level2"/>
      <w:bookmarkStart w:id="200" w:name="_Toc23300_WPSOffice_Level2"/>
      <w:r>
        <w:rPr>
          <w:rFonts w:hint="eastAsia" w:ascii="仿宋_GB2312" w:hAnsi="仿宋_GB2312" w:eastAsia="仿宋_GB2312" w:cs="仿宋_GB2312"/>
          <w:kern w:val="0"/>
          <w:lang w:val="zh-CN"/>
        </w:rPr>
        <w:t>七、不可抗力</w:t>
      </w:r>
      <w:bookmarkEnd w:id="197"/>
      <w:bookmarkEnd w:id="198"/>
      <w:bookmarkEnd w:id="199"/>
      <w:bookmarkEnd w:id="200"/>
    </w:p>
    <w:p w14:paraId="32AD47F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1.不可抗力使合同的某些内容有变更必要的，双方应通过协商在</w:t>
      </w:r>
      <w:r>
        <w:rPr>
          <w:rFonts w:hint="eastAsia" w:ascii="仿宋_GB2312" w:hAnsi="仿宋_GB2312" w:eastAsia="仿宋_GB2312" w:cs="仿宋_GB2312"/>
          <w:kern w:val="0"/>
          <w:u w:val="single"/>
          <w:lang w:val="zh-CN"/>
        </w:rPr>
        <w:t>15</w:t>
      </w:r>
      <w:r>
        <w:rPr>
          <w:rFonts w:hint="eastAsia" w:ascii="仿宋_GB2312" w:hAnsi="仿宋_GB2312" w:eastAsia="仿宋_GB2312" w:cs="仿宋_GB2312"/>
          <w:kern w:val="0"/>
          <w:lang w:val="zh-CN"/>
        </w:rPr>
        <w:t>天内达成进一步履行合同的协议，因不可抗力致使合同不能履行的，合同终止。</w:t>
      </w:r>
    </w:p>
    <w:p w14:paraId="2B6B85D3">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2.除法律、法规规定的不可抗力情形外，双方约定出现</w:t>
      </w:r>
      <w:r>
        <w:rPr>
          <w:rFonts w:hint="eastAsia" w:ascii="仿宋_GB2312" w:hAnsi="仿宋_GB2312" w:eastAsia="仿宋_GB2312" w:cs="仿宋_GB2312"/>
          <w:kern w:val="0"/>
          <w:u w:val="single"/>
          <w:lang w:val="zh-CN"/>
        </w:rPr>
        <w:t>非人为</w:t>
      </w:r>
      <w:r>
        <w:rPr>
          <w:rFonts w:hint="eastAsia" w:ascii="仿宋_GB2312" w:hAnsi="仿宋_GB2312" w:eastAsia="仿宋_GB2312" w:cs="仿宋_GB2312"/>
          <w:kern w:val="0"/>
          <w:lang w:val="zh-CN"/>
        </w:rPr>
        <w:t>情况亦视为不可抗力。</w:t>
      </w:r>
    </w:p>
    <w:p w14:paraId="096A7EA1">
      <w:pPr>
        <w:autoSpaceDE w:val="0"/>
        <w:autoSpaceDN w:val="0"/>
        <w:adjustRightInd w:val="0"/>
        <w:spacing w:line="360" w:lineRule="auto"/>
        <w:rPr>
          <w:rFonts w:ascii="仿宋_GB2312" w:hAnsi="仿宋_GB2312" w:eastAsia="仿宋_GB2312" w:cs="仿宋_GB2312"/>
          <w:kern w:val="0"/>
          <w:lang w:val="zh-CN"/>
        </w:rPr>
      </w:pPr>
      <w:bookmarkStart w:id="201" w:name="_Toc22796_WPSOffice_Level2"/>
      <w:bookmarkStart w:id="202" w:name="_Toc23772_WPSOffice_Level3"/>
      <w:bookmarkStart w:id="203" w:name="_Toc14514_WPSOffice_Level2"/>
      <w:bookmarkStart w:id="204" w:name="_Toc14834_WPSOffice_Level2"/>
      <w:r>
        <w:rPr>
          <w:rFonts w:hint="eastAsia" w:ascii="仿宋_GB2312" w:hAnsi="仿宋_GB2312" w:eastAsia="仿宋_GB2312" w:cs="仿宋_GB2312"/>
          <w:kern w:val="0"/>
          <w:lang w:val="zh-CN"/>
        </w:rPr>
        <w:t>八、知识产权：</w:t>
      </w:r>
      <w:bookmarkEnd w:id="201"/>
      <w:bookmarkEnd w:id="202"/>
      <w:bookmarkEnd w:id="203"/>
      <w:bookmarkEnd w:id="204"/>
    </w:p>
    <w:p w14:paraId="732F2EE6">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8.1乙方应保证提交规划方案后不受第三方提出的侵犯专利权、著作权、商标权和设计权等的起诉。</w:t>
      </w:r>
    </w:p>
    <w:p w14:paraId="15069882">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8.2任何第三方提出侵权指控，乙方须与第三方交涉并承担由此产生的一切责任、费用和经济赔偿。</w:t>
      </w:r>
    </w:p>
    <w:p w14:paraId="63A1E2E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8.3双方应共同遵守国家有关版权、专利、商标等知识产权方面的法律规定，相互尊重对方的知识产权，对本合同内容、对方的技术秘密和商业秘密负有保密责任。如有违反，违约方负相关法律责任。</w:t>
      </w:r>
    </w:p>
    <w:p w14:paraId="416C466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8.4在本合同生效时已经存在并为各方合法拥有或使用的所有技术、资料和信息的知识产权，仍应属于其各自的原权利人所有或享有，另有约定的除外。</w:t>
      </w:r>
    </w:p>
    <w:p w14:paraId="40B2C67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8.5乙方保证甲方拥有由其提供的所有规划方案的合法使用权。</w:t>
      </w:r>
    </w:p>
    <w:p w14:paraId="2B665B53">
      <w:pPr>
        <w:autoSpaceDE w:val="0"/>
        <w:autoSpaceDN w:val="0"/>
        <w:adjustRightInd w:val="0"/>
        <w:spacing w:line="360" w:lineRule="auto"/>
        <w:rPr>
          <w:rFonts w:ascii="仿宋_GB2312" w:hAnsi="仿宋_GB2312" w:eastAsia="仿宋_GB2312" w:cs="仿宋_GB2312"/>
          <w:kern w:val="0"/>
          <w:lang w:val="zh-CN"/>
        </w:rPr>
      </w:pPr>
      <w:bookmarkStart w:id="205" w:name="_Toc11798_WPSOffice_Level3"/>
      <w:bookmarkStart w:id="206" w:name="_Toc29702_WPSOffice_Level2"/>
      <w:bookmarkStart w:id="207" w:name="_Toc19142_WPSOffice_Level2"/>
      <w:bookmarkStart w:id="208" w:name="_Toc15723_WPSOffice_Level2"/>
      <w:r>
        <w:rPr>
          <w:rFonts w:hint="eastAsia" w:ascii="仿宋_GB2312" w:hAnsi="仿宋_GB2312" w:eastAsia="仿宋_GB2312" w:cs="仿宋_GB2312"/>
          <w:kern w:val="0"/>
          <w:lang w:val="zh-CN"/>
        </w:rPr>
        <w:t>九、其他约定：无</w:t>
      </w:r>
      <w:bookmarkEnd w:id="205"/>
      <w:bookmarkEnd w:id="206"/>
      <w:bookmarkEnd w:id="207"/>
      <w:bookmarkEnd w:id="208"/>
    </w:p>
    <w:p w14:paraId="59AAA365">
      <w:pPr>
        <w:autoSpaceDE w:val="0"/>
        <w:autoSpaceDN w:val="0"/>
        <w:adjustRightInd w:val="0"/>
        <w:spacing w:line="360" w:lineRule="auto"/>
        <w:rPr>
          <w:rFonts w:ascii="仿宋_GB2312" w:hAnsi="仿宋_GB2312" w:eastAsia="仿宋_GB2312" w:cs="仿宋_GB2312"/>
          <w:kern w:val="0"/>
          <w:lang w:val="zh-CN"/>
        </w:rPr>
      </w:pPr>
      <w:bookmarkStart w:id="209" w:name="_Toc16243_WPSOffice_Level3"/>
      <w:bookmarkStart w:id="210" w:name="_Toc3560_WPSOffice_Level2"/>
      <w:bookmarkStart w:id="211" w:name="_Toc2133_WPSOffice_Level2"/>
      <w:bookmarkStart w:id="212" w:name="_Toc5205_WPSOffice_Level2"/>
      <w:r>
        <w:rPr>
          <w:rFonts w:hint="eastAsia" w:ascii="仿宋_GB2312" w:hAnsi="仿宋_GB2312" w:eastAsia="仿宋_GB2312" w:cs="仿宋_GB2312"/>
          <w:kern w:val="0"/>
          <w:lang w:val="zh-CN"/>
        </w:rPr>
        <w:t>十、合同争议解决</w:t>
      </w:r>
      <w:bookmarkEnd w:id="209"/>
      <w:bookmarkEnd w:id="210"/>
      <w:bookmarkEnd w:id="211"/>
      <w:bookmarkEnd w:id="212"/>
    </w:p>
    <w:p w14:paraId="442FD08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1.因规划方案问题发生争议的，应邀请国家认可的相关机构进行鉴定。方案符合标准的，鉴定费由甲方承担；方案不符合标准的，鉴定费由乙方承担。</w:t>
      </w:r>
    </w:p>
    <w:p w14:paraId="5D0A2AC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2.因履行本合同引起的或与本合同有关的争议，甲乙双方应首先通过友好协商解决，如果协商不能解决，可向甲方所在地人民法院提起诉讼。</w:t>
      </w:r>
    </w:p>
    <w:p w14:paraId="2D570FA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3.诉讼期间，本合同继续履行。</w:t>
      </w:r>
    </w:p>
    <w:p w14:paraId="3FCA3C6E">
      <w:pPr>
        <w:autoSpaceDE w:val="0"/>
        <w:autoSpaceDN w:val="0"/>
        <w:adjustRightInd w:val="0"/>
        <w:spacing w:line="360" w:lineRule="auto"/>
        <w:rPr>
          <w:rFonts w:ascii="仿宋_GB2312" w:hAnsi="仿宋_GB2312" w:eastAsia="仿宋_GB2312" w:cs="仿宋_GB2312"/>
          <w:kern w:val="0"/>
          <w:lang w:val="zh-CN"/>
        </w:rPr>
      </w:pPr>
      <w:bookmarkStart w:id="213" w:name="_Toc29733_WPSOffice_Level2"/>
      <w:bookmarkStart w:id="214" w:name="_Toc3683_WPSOffice_Level2"/>
      <w:bookmarkStart w:id="215" w:name="_Toc23539_WPSOffice_Level2"/>
      <w:bookmarkStart w:id="216" w:name="_Toc17324_WPSOffice_Level3"/>
      <w:r>
        <w:rPr>
          <w:rFonts w:hint="eastAsia" w:ascii="仿宋_GB2312" w:hAnsi="仿宋_GB2312" w:eastAsia="仿宋_GB2312" w:cs="仿宋_GB2312"/>
          <w:kern w:val="0"/>
          <w:lang w:val="zh-CN"/>
        </w:rPr>
        <w:t>十一、合同生效及其它：</w:t>
      </w:r>
      <w:bookmarkEnd w:id="213"/>
      <w:bookmarkEnd w:id="214"/>
      <w:bookmarkEnd w:id="215"/>
      <w:bookmarkEnd w:id="216"/>
    </w:p>
    <w:p w14:paraId="622C6C8E">
      <w:pPr>
        <w:autoSpaceDE w:val="0"/>
        <w:autoSpaceDN w:val="0"/>
        <w:adjustRightInd w:val="0"/>
        <w:spacing w:line="360" w:lineRule="auto"/>
        <w:ind w:firstLine="480"/>
        <w:rPr>
          <w:rFonts w:ascii="仿宋_GB2312" w:hAnsi="仿宋_GB2312" w:eastAsia="仿宋_GB2312" w:cs="仿宋_GB2312"/>
          <w:kern w:val="0"/>
          <w:lang w:val="zh-CN"/>
        </w:rPr>
      </w:pPr>
      <w:bookmarkStart w:id="217" w:name="_Toc8000_WPSOffice_Level3"/>
      <w:r>
        <w:rPr>
          <w:rFonts w:hint="eastAsia" w:ascii="仿宋_GB2312" w:hAnsi="仿宋_GB2312" w:eastAsia="仿宋_GB2312" w:cs="仿宋_GB2312"/>
          <w:kern w:val="0"/>
          <w:lang w:val="zh-CN"/>
        </w:rPr>
        <w:t>1.本合同一式</w:t>
      </w:r>
      <w:r>
        <w:rPr>
          <w:rFonts w:hint="eastAsia" w:ascii="仿宋_GB2312" w:hAnsi="仿宋_GB2312" w:eastAsia="仿宋_GB2312" w:cs="仿宋_GB2312"/>
          <w:kern w:val="0"/>
          <w:u w:val="single"/>
          <w:lang w:val="zh-CN"/>
        </w:rPr>
        <w:t>8</w:t>
      </w:r>
      <w:r>
        <w:rPr>
          <w:rFonts w:hint="eastAsia" w:ascii="仿宋_GB2312" w:hAnsi="仿宋_GB2312" w:eastAsia="仿宋_GB2312" w:cs="仿宋_GB2312"/>
          <w:kern w:val="0"/>
          <w:lang w:val="zh-CN"/>
        </w:rPr>
        <w:t>份，经双方签字，并加盖公章即为生效。</w:t>
      </w:r>
      <w:bookmarkEnd w:id="217"/>
    </w:p>
    <w:p w14:paraId="2A4220E1">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2.本合同未尽事宜，按经济合同法有关规定处理。</w:t>
      </w:r>
    </w:p>
    <w:p w14:paraId="054763E8">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甲方（盖章）：                         乙方（盖章）：</w:t>
      </w:r>
    </w:p>
    <w:p w14:paraId="62FD1903">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法定代表人或委托代理人：               法定代表人或委托代理人：</w:t>
      </w:r>
    </w:p>
    <w:p w14:paraId="3EA5FF2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开户银行：</w:t>
      </w:r>
    </w:p>
    <w:p w14:paraId="2AFBCAED">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联系电话：                             账号：</w:t>
      </w:r>
    </w:p>
    <w:p w14:paraId="1BAD518D">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联系电话：</w:t>
      </w:r>
    </w:p>
    <w:p w14:paraId="1902DCBB">
      <w:pPr>
        <w:autoSpaceDE w:val="0"/>
        <w:autoSpaceDN w:val="0"/>
        <w:adjustRightInd w:val="0"/>
        <w:spacing w:line="360" w:lineRule="auto"/>
        <w:rPr>
          <w:rFonts w:ascii="仿宋_GB2312" w:hAnsi="仿宋_GB2312" w:eastAsia="仿宋_GB2312" w:cs="仿宋_GB2312"/>
          <w:kern w:val="0"/>
          <w:lang w:val="zh-CN"/>
        </w:rPr>
      </w:pPr>
    </w:p>
    <w:p w14:paraId="5FC97E0C">
      <w:pPr>
        <w:autoSpaceDE w:val="0"/>
        <w:autoSpaceDN w:val="0"/>
        <w:adjustRightInd w:val="0"/>
        <w:spacing w:line="360" w:lineRule="auto"/>
        <w:ind w:firstLine="1320"/>
        <w:rPr>
          <w:rFonts w:ascii="仿宋_GB2312" w:hAnsi="仿宋_GB2312" w:eastAsia="仿宋_GB2312" w:cs="仿宋_GB2312"/>
          <w:kern w:val="0"/>
          <w:lang w:val="zh-CN"/>
        </w:rPr>
      </w:pPr>
      <w:r>
        <w:rPr>
          <w:rFonts w:hint="eastAsia" w:ascii="仿宋_GB2312" w:hAnsi="仿宋_GB2312" w:eastAsia="仿宋_GB2312" w:cs="仿宋_GB2312"/>
          <w:kern w:val="0"/>
          <w:lang w:val="zh-CN"/>
        </w:rPr>
        <w:t>签约时间：        年    月    日</w:t>
      </w:r>
    </w:p>
    <w:p w14:paraId="05C17C1C">
      <w:pPr>
        <w:autoSpaceDE w:val="0"/>
        <w:autoSpaceDN w:val="0"/>
        <w:adjustRightInd w:val="0"/>
        <w:spacing w:line="360" w:lineRule="auto"/>
        <w:rPr>
          <w:rFonts w:ascii="仿宋_GB2312" w:hAnsi="仿宋_GB2312" w:eastAsia="仿宋_GB2312" w:cs="仿宋_GB2312"/>
          <w:kern w:val="0"/>
          <w:lang w:val="zh-CN"/>
        </w:rPr>
      </w:pPr>
    </w:p>
    <w:p w14:paraId="3544DB52">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采购代理机构：青海省招标有限责任公司</w:t>
      </w:r>
    </w:p>
    <w:p w14:paraId="469AE56C">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负责人或经办人：</w:t>
      </w:r>
    </w:p>
    <w:p w14:paraId="6CB851E3">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合同备案时间：        年    月    日</w:t>
      </w:r>
    </w:p>
    <w:p w14:paraId="011834F8">
      <w:pPr>
        <w:autoSpaceDE w:val="0"/>
        <w:autoSpaceDN w:val="0"/>
        <w:adjustRightInd w:val="0"/>
        <w:spacing w:line="360" w:lineRule="auto"/>
        <w:jc w:val="center"/>
        <w:rPr>
          <w:rFonts w:hint="eastAsia" w:ascii="仿宋_GB2312" w:hAnsi="仿宋_GB2312" w:eastAsia="仿宋_GB2312" w:cs="仿宋_GB2312"/>
          <w:b/>
          <w:bCs/>
          <w:kern w:val="0"/>
          <w:sz w:val="28"/>
          <w:lang w:val="zh-CN"/>
        </w:rPr>
      </w:pPr>
      <w:bookmarkStart w:id="218" w:name="_Toc17207_WPSOffice_Level2"/>
      <w:bookmarkStart w:id="219" w:name="_Toc22453_WPSOffice_Level2"/>
      <w:bookmarkStart w:id="220" w:name="_Toc30661_WPSOffice_Level3"/>
      <w:bookmarkStart w:id="221" w:name="_Toc26344_WPSOffice_Level2"/>
    </w:p>
    <w:p w14:paraId="40A6ED6F">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341FBCCE">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4A5C1CF4">
      <w:pPr>
        <w:autoSpaceDE w:val="0"/>
        <w:autoSpaceDN w:val="0"/>
        <w:adjustRightInd w:val="0"/>
        <w:spacing w:line="360" w:lineRule="auto"/>
        <w:jc w:val="center"/>
        <w:rPr>
          <w:rFonts w:ascii="仿宋_GB2312" w:hAnsi="仿宋_GB2312" w:eastAsia="仿宋_GB2312" w:cs="仿宋_GB2312"/>
          <w:b/>
          <w:bCs/>
          <w:kern w:val="0"/>
          <w:sz w:val="28"/>
        </w:rPr>
      </w:pPr>
      <w:r>
        <w:rPr>
          <w:rFonts w:hint="eastAsia" w:ascii="仿宋_GB2312" w:hAnsi="仿宋_GB2312" w:eastAsia="仿宋_GB2312" w:cs="仿宋_GB2312"/>
          <w:b/>
          <w:bCs/>
          <w:kern w:val="0"/>
          <w:sz w:val="28"/>
          <w:lang w:val="zh-CN"/>
        </w:rPr>
        <w:t>合同通用条款</w:t>
      </w:r>
      <w:bookmarkEnd w:id="218"/>
      <w:bookmarkEnd w:id="219"/>
      <w:bookmarkEnd w:id="220"/>
      <w:bookmarkEnd w:id="221"/>
    </w:p>
    <w:p w14:paraId="6DC73C60">
      <w:pPr>
        <w:autoSpaceDE w:val="0"/>
        <w:autoSpaceDN w:val="0"/>
        <w:adjustRightInd w:val="0"/>
        <w:spacing w:line="400" w:lineRule="exact"/>
        <w:rPr>
          <w:rFonts w:ascii="仿宋_GB2312" w:hAnsi="仿宋_GB2312" w:eastAsia="仿宋_GB2312" w:cs="仿宋_GB2312"/>
          <w:kern w:val="0"/>
          <w:sz w:val="28"/>
        </w:rPr>
      </w:pPr>
    </w:p>
    <w:p w14:paraId="67BF8F9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根据《中华人民共和国合同法》、《中华人民共和国政府采购法》的规定，合同双方经协商达成一致，自愿订立本合同，遵循公平原则明确双方的权利、义务，确保双方诚实守信地履行合同。</w:t>
      </w:r>
    </w:p>
    <w:p w14:paraId="787F166D">
      <w:pPr>
        <w:autoSpaceDE w:val="0"/>
        <w:autoSpaceDN w:val="0"/>
        <w:adjustRightInd w:val="0"/>
        <w:spacing w:line="400" w:lineRule="exact"/>
        <w:rPr>
          <w:rFonts w:ascii="仿宋_GB2312" w:hAnsi="仿宋_GB2312" w:eastAsia="仿宋_GB2312" w:cs="仿宋_GB2312"/>
          <w:b/>
          <w:bCs/>
          <w:kern w:val="0"/>
          <w:sz w:val="28"/>
        </w:rPr>
      </w:pPr>
      <w:bookmarkStart w:id="222" w:name="_Toc7198_WPSOffice_Level3"/>
      <w:bookmarkStart w:id="223" w:name="_Toc15468_WPSOffice_Level2"/>
      <w:bookmarkStart w:id="224" w:name="_Toc24568_WPSOffice_Level2"/>
      <w:bookmarkStart w:id="225" w:name="_Toc29837_WPSOffice_Level2"/>
      <w:r>
        <w:rPr>
          <w:rFonts w:hint="eastAsia" w:ascii="仿宋_GB2312" w:hAnsi="仿宋_GB2312" w:eastAsia="仿宋_GB2312" w:cs="仿宋_GB2312"/>
          <w:b/>
          <w:bCs/>
          <w:kern w:val="0"/>
          <w:sz w:val="28"/>
        </w:rPr>
        <w:t>1.</w:t>
      </w:r>
      <w:r>
        <w:rPr>
          <w:rFonts w:hint="eastAsia" w:ascii="仿宋_GB2312" w:hAnsi="仿宋_GB2312" w:eastAsia="仿宋_GB2312" w:cs="仿宋_GB2312"/>
          <w:b/>
          <w:bCs/>
          <w:kern w:val="0"/>
          <w:sz w:val="28"/>
          <w:lang w:val="zh-CN"/>
        </w:rPr>
        <w:t>定义</w:t>
      </w:r>
      <w:bookmarkEnd w:id="222"/>
      <w:bookmarkEnd w:id="223"/>
      <w:bookmarkEnd w:id="224"/>
      <w:bookmarkEnd w:id="225"/>
    </w:p>
    <w:p w14:paraId="003B6E7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本合同中的下列术语应解释为：</w:t>
      </w:r>
    </w:p>
    <w:p w14:paraId="499DED1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 </w:t>
      </w:r>
      <w:r>
        <w:rPr>
          <w:rFonts w:hint="eastAsia" w:ascii="仿宋_GB2312" w:hAnsi="仿宋_GB2312" w:eastAsia="仿宋_GB2312" w:cs="仿宋_GB2312"/>
          <w:kern w:val="0"/>
          <w:lang w:val="zh-CN"/>
        </w:rPr>
        <w:t>“合同”指甲乙双方签署的、载明的甲乙双方权利义务的协议，包括所有的附件、附录和上述文件所提到的构成合同的所有文件。</w:t>
      </w:r>
    </w:p>
    <w:p w14:paraId="25CA32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1.2 </w:t>
      </w:r>
      <w:r>
        <w:rPr>
          <w:rFonts w:hint="eastAsia" w:ascii="仿宋_GB2312" w:hAnsi="仿宋_GB2312" w:eastAsia="仿宋_GB2312" w:cs="仿宋_GB2312"/>
          <w:kern w:val="0"/>
          <w:lang w:val="zh-CN"/>
        </w:rPr>
        <w:t>“合同金额”指根据合同规定，乙方在正确地完全履行合同义务后甲方应付给乙方的价款。</w:t>
      </w:r>
    </w:p>
    <w:p w14:paraId="0B5646B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 </w:t>
      </w:r>
      <w:r>
        <w:rPr>
          <w:rFonts w:hint="eastAsia" w:ascii="仿宋_GB2312" w:hAnsi="仿宋_GB2312" w:eastAsia="仿宋_GB2312" w:cs="仿宋_GB2312"/>
          <w:kern w:val="0"/>
          <w:lang w:val="zh-CN"/>
        </w:rPr>
        <w:t>“合同条款”指本合同条款。</w:t>
      </w:r>
    </w:p>
    <w:p w14:paraId="0ADD169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 </w:t>
      </w:r>
      <w:r>
        <w:rPr>
          <w:rFonts w:hint="eastAsia" w:ascii="仿宋_GB2312" w:hAnsi="仿宋_GB2312" w:eastAsia="仿宋_GB2312" w:cs="仿宋_GB2312"/>
          <w:kern w:val="0"/>
          <w:lang w:val="zh-CN"/>
        </w:rPr>
        <w:t>“货物”指乙方根据合同约定须向甲方提供的一切产品、设备、机械、仪表、备件等，包括辅助工具、使用手册等相关资料。</w:t>
      </w:r>
    </w:p>
    <w:p w14:paraId="18D181E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 </w:t>
      </w:r>
      <w:r>
        <w:rPr>
          <w:rFonts w:hint="eastAsia" w:ascii="仿宋_GB2312" w:hAnsi="仿宋_GB2312" w:eastAsia="仿宋_GB2312" w:cs="仿宋_GB2312"/>
          <w:kern w:val="0"/>
          <w:lang w:val="zh-CN"/>
        </w:rPr>
        <w:t>“服务”指根据本合同规定乙方承担与供货有关的辅助服务，如运输、保险及安装、调试、提供技术援助、培训和合同中规定乙方应承担的其它义务。</w:t>
      </w:r>
    </w:p>
    <w:p w14:paraId="78722DC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1.6 </w:t>
      </w:r>
      <w:r>
        <w:rPr>
          <w:rFonts w:hint="eastAsia" w:ascii="仿宋_GB2312" w:hAnsi="仿宋_GB2312" w:eastAsia="仿宋_GB2312" w:cs="仿宋_GB2312"/>
          <w:kern w:val="0"/>
          <w:lang w:val="zh-CN"/>
        </w:rPr>
        <w:t>“甲方”指购买货物和服务的单位。</w:t>
      </w:r>
    </w:p>
    <w:p w14:paraId="479A612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 </w:t>
      </w:r>
      <w:r>
        <w:rPr>
          <w:rFonts w:hint="eastAsia" w:ascii="仿宋_GB2312" w:hAnsi="仿宋_GB2312" w:eastAsia="仿宋_GB2312" w:cs="仿宋_GB2312"/>
          <w:kern w:val="0"/>
          <w:lang w:val="zh-CN"/>
        </w:rPr>
        <w:t>“乙方”指提供本合同条款下货物和服务的公司或其他实体。</w:t>
      </w:r>
    </w:p>
    <w:p w14:paraId="3AED0FC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1.8 </w:t>
      </w:r>
      <w:r>
        <w:rPr>
          <w:rFonts w:hint="eastAsia" w:ascii="仿宋_GB2312" w:hAnsi="仿宋_GB2312" w:eastAsia="仿宋_GB2312" w:cs="仿宋_GB2312"/>
          <w:kern w:val="0"/>
          <w:lang w:val="zh-CN"/>
        </w:rPr>
        <w:t>“现场”指合同规定货物将要运至和安装的地点。</w:t>
      </w:r>
    </w:p>
    <w:p w14:paraId="7977341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1.9 </w:t>
      </w:r>
      <w:r>
        <w:rPr>
          <w:rFonts w:hint="eastAsia" w:ascii="仿宋_GB2312" w:hAnsi="仿宋_GB2312" w:eastAsia="仿宋_GB2312" w:cs="仿宋_GB2312"/>
          <w:kern w:val="0"/>
          <w:lang w:val="zh-CN"/>
        </w:rPr>
        <w:t>“验收”指合同双方依据强制性的国家技术质量规范和合同约定，确认合同条款下的货物符合合同规定的活动。</w:t>
      </w:r>
    </w:p>
    <w:p w14:paraId="6E49847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1.10</w:t>
      </w:r>
      <w:r>
        <w:rPr>
          <w:rFonts w:hint="eastAsia" w:ascii="仿宋_GB2312" w:hAnsi="仿宋_GB2312" w:eastAsia="仿宋_GB2312" w:cs="仿宋_GB2312"/>
          <w:kern w:val="0"/>
          <w:lang w:val="zh-CN"/>
        </w:rPr>
        <w:t>原厂商：产品制造商或其在中国境内设立的办事或技术服务机构。除另有说明外，本合同文件所述的制造商、产品制造商、制造厂家、产品制造厂家均为原厂商。</w:t>
      </w:r>
    </w:p>
    <w:p w14:paraId="4831D27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 </w:t>
      </w:r>
      <w:r>
        <w:rPr>
          <w:rFonts w:hint="eastAsia" w:ascii="仿宋_GB2312" w:hAnsi="仿宋_GB2312" w:eastAsia="仿宋_GB2312" w:cs="仿宋_GB2312"/>
          <w:kern w:val="0"/>
          <w:lang w:val="zh-CN"/>
        </w:rPr>
        <w:t>原产地：指产品的生产地，或提供服务的来源地。</w:t>
      </w:r>
    </w:p>
    <w:p w14:paraId="6623ED6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“工作日”指国家法定工作日，“天”指日历天数。</w:t>
      </w:r>
    </w:p>
    <w:p w14:paraId="146AB809">
      <w:pPr>
        <w:autoSpaceDE w:val="0"/>
        <w:autoSpaceDN w:val="0"/>
        <w:adjustRightInd w:val="0"/>
        <w:spacing w:line="400" w:lineRule="exact"/>
        <w:rPr>
          <w:rFonts w:ascii="仿宋_GB2312" w:hAnsi="仿宋_GB2312" w:eastAsia="仿宋_GB2312" w:cs="仿宋_GB2312"/>
          <w:b/>
          <w:bCs/>
          <w:kern w:val="0"/>
          <w:sz w:val="28"/>
        </w:rPr>
      </w:pPr>
      <w:bookmarkStart w:id="226" w:name="_Toc11113_WPSOffice_Level2"/>
      <w:bookmarkStart w:id="227" w:name="_Toc32166_WPSOffice_Level2"/>
      <w:bookmarkStart w:id="228" w:name="_Toc16454_WPSOffice_Level2"/>
      <w:bookmarkStart w:id="229" w:name="_Toc9302_WPSOffice_Level3"/>
      <w:r>
        <w:rPr>
          <w:rFonts w:hint="eastAsia" w:ascii="仿宋_GB2312" w:hAnsi="仿宋_GB2312" w:eastAsia="仿宋_GB2312" w:cs="仿宋_GB2312"/>
          <w:b/>
          <w:bCs/>
          <w:kern w:val="0"/>
          <w:sz w:val="28"/>
        </w:rPr>
        <w:t>2.</w:t>
      </w:r>
      <w:r>
        <w:rPr>
          <w:rFonts w:hint="eastAsia" w:ascii="仿宋_GB2312" w:hAnsi="仿宋_GB2312" w:eastAsia="仿宋_GB2312" w:cs="仿宋_GB2312"/>
          <w:b/>
          <w:bCs/>
          <w:kern w:val="0"/>
          <w:sz w:val="28"/>
          <w:lang w:val="zh-CN"/>
        </w:rPr>
        <w:t>技术规格要求</w:t>
      </w:r>
      <w:bookmarkEnd w:id="226"/>
      <w:bookmarkEnd w:id="227"/>
      <w:bookmarkEnd w:id="228"/>
      <w:bookmarkEnd w:id="229"/>
    </w:p>
    <w:p w14:paraId="65B466B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2.1 </w:t>
      </w:r>
      <w:r>
        <w:rPr>
          <w:rFonts w:hint="eastAsia" w:ascii="仿宋_GB2312" w:hAnsi="仿宋_GB2312" w:eastAsia="仿宋_GB2312" w:cs="仿宋_GB2312"/>
          <w:kern w:val="0"/>
          <w:lang w:val="zh-CN"/>
        </w:rPr>
        <w:t>本合同条款下提交货物的技术规格要求应等于或优于谈判标文件技术规格要求。若技术规格要求中无相应规定，则应符合相应的国家有关部门最新颁布的相应正式标准。</w:t>
      </w:r>
    </w:p>
    <w:p w14:paraId="5CEBE8B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2.2 </w:t>
      </w:r>
      <w:r>
        <w:rPr>
          <w:rFonts w:hint="eastAsia" w:ascii="仿宋_GB2312" w:hAnsi="仿宋_GB2312" w:eastAsia="仿宋_GB2312" w:cs="仿宋_GB2312"/>
          <w:kern w:val="0"/>
          <w:lang w:val="zh-CN"/>
        </w:rPr>
        <w:t>乙方应向甲方提供货物及服务有关的标准的中文文本。</w:t>
      </w:r>
    </w:p>
    <w:p w14:paraId="36AABB7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2.3 </w:t>
      </w:r>
      <w:r>
        <w:rPr>
          <w:rFonts w:hint="eastAsia" w:ascii="仿宋_GB2312" w:hAnsi="仿宋_GB2312" w:eastAsia="仿宋_GB2312" w:cs="仿宋_GB2312"/>
          <w:kern w:val="0"/>
          <w:lang w:val="zh-CN"/>
        </w:rPr>
        <w:t>除非技术规范中另有规定，计量单位均采用中华人民共和国法定计量单位。</w:t>
      </w:r>
    </w:p>
    <w:p w14:paraId="7A2C07D1">
      <w:pPr>
        <w:autoSpaceDE w:val="0"/>
        <w:autoSpaceDN w:val="0"/>
        <w:adjustRightInd w:val="0"/>
        <w:spacing w:line="400" w:lineRule="exact"/>
        <w:rPr>
          <w:rFonts w:ascii="仿宋_GB2312" w:hAnsi="仿宋_GB2312" w:eastAsia="仿宋_GB2312" w:cs="仿宋_GB2312"/>
          <w:b/>
          <w:bCs/>
          <w:kern w:val="0"/>
          <w:sz w:val="28"/>
        </w:rPr>
      </w:pPr>
      <w:bookmarkStart w:id="230" w:name="_Toc18003_WPSOffice_Level3"/>
      <w:bookmarkStart w:id="231" w:name="_Toc16016_WPSOffice_Level2"/>
      <w:bookmarkStart w:id="232" w:name="_Toc23565_WPSOffice_Level2"/>
      <w:bookmarkStart w:id="233" w:name="_Toc10662_WPSOffice_Level2"/>
      <w:r>
        <w:rPr>
          <w:rFonts w:hint="eastAsia" w:ascii="仿宋_GB2312" w:hAnsi="仿宋_GB2312" w:eastAsia="仿宋_GB2312" w:cs="仿宋_GB2312"/>
          <w:b/>
          <w:bCs/>
          <w:kern w:val="0"/>
          <w:sz w:val="28"/>
        </w:rPr>
        <w:t>3.</w:t>
      </w:r>
      <w:r>
        <w:rPr>
          <w:rFonts w:hint="eastAsia" w:ascii="仿宋_GB2312" w:hAnsi="仿宋_GB2312" w:eastAsia="仿宋_GB2312" w:cs="仿宋_GB2312"/>
          <w:b/>
          <w:bCs/>
          <w:kern w:val="0"/>
          <w:sz w:val="28"/>
          <w:lang w:val="zh-CN"/>
        </w:rPr>
        <w:t>合同范围</w:t>
      </w:r>
      <w:bookmarkEnd w:id="230"/>
      <w:bookmarkEnd w:id="231"/>
      <w:bookmarkEnd w:id="232"/>
      <w:bookmarkEnd w:id="233"/>
    </w:p>
    <w:p w14:paraId="1298DE8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3.1 </w:t>
      </w:r>
      <w:r>
        <w:rPr>
          <w:rFonts w:hint="eastAsia" w:ascii="仿宋_GB2312" w:hAnsi="仿宋_GB2312" w:eastAsia="仿宋_GB2312" w:cs="仿宋_GB2312"/>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2B247D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3.2 </w:t>
      </w:r>
      <w:r>
        <w:rPr>
          <w:rFonts w:hint="eastAsia" w:ascii="仿宋_GB2312" w:hAnsi="仿宋_GB2312" w:eastAsia="仿宋_GB2312" w:cs="仿宋_GB2312"/>
          <w:kern w:val="0"/>
          <w:lang w:val="zh-CN"/>
        </w:rPr>
        <w:t>乙方应负责培训甲方的技术人员。</w:t>
      </w:r>
    </w:p>
    <w:p w14:paraId="2E6BF01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3.3 </w:t>
      </w:r>
      <w:r>
        <w:rPr>
          <w:rFonts w:hint="eastAsia" w:ascii="仿宋_GB2312" w:hAnsi="仿宋_GB2312" w:eastAsia="仿宋_GB2312" w:cs="仿宋_GB2312"/>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E0FAE18">
      <w:pPr>
        <w:autoSpaceDE w:val="0"/>
        <w:autoSpaceDN w:val="0"/>
        <w:adjustRightInd w:val="0"/>
        <w:spacing w:line="400" w:lineRule="exact"/>
        <w:rPr>
          <w:rFonts w:ascii="仿宋_GB2312" w:hAnsi="仿宋_GB2312" w:eastAsia="仿宋_GB2312" w:cs="仿宋_GB2312"/>
          <w:b/>
          <w:bCs/>
          <w:kern w:val="0"/>
          <w:sz w:val="28"/>
        </w:rPr>
      </w:pPr>
      <w:bookmarkStart w:id="234" w:name="_Toc8450_WPSOffice_Level2"/>
      <w:bookmarkStart w:id="235" w:name="_Toc8478_WPSOffice_Level3"/>
      <w:bookmarkStart w:id="236" w:name="_Toc18952_WPSOffice_Level2"/>
      <w:bookmarkStart w:id="237" w:name="_Toc31793_WPSOffice_Level2"/>
      <w:r>
        <w:rPr>
          <w:rFonts w:hint="eastAsia" w:ascii="仿宋_GB2312" w:hAnsi="仿宋_GB2312" w:eastAsia="仿宋_GB2312" w:cs="仿宋_GB2312"/>
          <w:b/>
          <w:bCs/>
          <w:kern w:val="0"/>
          <w:sz w:val="28"/>
        </w:rPr>
        <w:t>4.</w:t>
      </w:r>
      <w:r>
        <w:rPr>
          <w:rFonts w:hint="eastAsia" w:ascii="仿宋_GB2312" w:hAnsi="仿宋_GB2312" w:eastAsia="仿宋_GB2312" w:cs="仿宋_GB2312"/>
          <w:b/>
          <w:bCs/>
          <w:kern w:val="0"/>
          <w:sz w:val="28"/>
          <w:lang w:val="zh-CN"/>
        </w:rPr>
        <w:t>合同文件和资料</w:t>
      </w:r>
      <w:bookmarkEnd w:id="234"/>
      <w:bookmarkEnd w:id="235"/>
      <w:bookmarkEnd w:id="236"/>
      <w:bookmarkEnd w:id="237"/>
    </w:p>
    <w:p w14:paraId="4191FE9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4.1</w:t>
      </w:r>
      <w:r>
        <w:rPr>
          <w:rFonts w:hint="eastAsia" w:ascii="仿宋_GB2312" w:hAnsi="仿宋_GB2312" w:eastAsia="仿宋_GB2312" w:cs="仿宋_GB2312"/>
          <w:kern w:val="0"/>
          <w:lang w:val="zh-CN"/>
        </w:rPr>
        <w:t>乙方在提供仪器设备时应同时提供中文版相关的技术资料，如目录索引、图纸、操作手册、使用指南、维修指南、服务手册等。</w:t>
      </w:r>
    </w:p>
    <w:p w14:paraId="31BC8E8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4.2</w:t>
      </w:r>
      <w:r>
        <w:rPr>
          <w:rFonts w:hint="eastAsia" w:ascii="仿宋_GB2312" w:hAnsi="仿宋_GB2312" w:eastAsia="仿宋_GB2312" w:cs="仿宋_GB2312"/>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BA1DA69">
      <w:pPr>
        <w:autoSpaceDE w:val="0"/>
        <w:autoSpaceDN w:val="0"/>
        <w:adjustRightInd w:val="0"/>
        <w:spacing w:line="400" w:lineRule="exact"/>
        <w:rPr>
          <w:rFonts w:ascii="仿宋_GB2312" w:hAnsi="仿宋_GB2312" w:eastAsia="仿宋_GB2312" w:cs="仿宋_GB2312"/>
          <w:b/>
          <w:bCs/>
          <w:kern w:val="0"/>
          <w:sz w:val="28"/>
        </w:rPr>
      </w:pPr>
      <w:bookmarkStart w:id="238" w:name="_Toc15463_WPSOffice_Level3"/>
      <w:bookmarkStart w:id="239" w:name="_Toc22070_WPSOffice_Level2"/>
      <w:bookmarkStart w:id="240" w:name="_Toc4088_WPSOffice_Level2"/>
      <w:bookmarkStart w:id="241" w:name="_Toc7336_WPSOffice_Level2"/>
      <w:r>
        <w:rPr>
          <w:rFonts w:hint="eastAsia" w:ascii="仿宋_GB2312" w:hAnsi="仿宋_GB2312" w:eastAsia="仿宋_GB2312" w:cs="仿宋_GB2312"/>
          <w:b/>
          <w:bCs/>
          <w:kern w:val="0"/>
          <w:sz w:val="28"/>
        </w:rPr>
        <w:t>5.</w:t>
      </w:r>
      <w:r>
        <w:rPr>
          <w:rFonts w:hint="eastAsia" w:ascii="仿宋_GB2312" w:hAnsi="仿宋_GB2312" w:eastAsia="仿宋_GB2312" w:cs="仿宋_GB2312"/>
          <w:b/>
          <w:bCs/>
          <w:kern w:val="0"/>
          <w:sz w:val="28"/>
          <w:lang w:val="zh-CN"/>
        </w:rPr>
        <w:t>知识产权</w:t>
      </w:r>
      <w:bookmarkEnd w:id="238"/>
      <w:bookmarkEnd w:id="239"/>
      <w:bookmarkEnd w:id="240"/>
      <w:bookmarkEnd w:id="241"/>
    </w:p>
    <w:p w14:paraId="4108243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5.1</w:t>
      </w:r>
      <w:r>
        <w:rPr>
          <w:rFonts w:hint="eastAsia" w:ascii="仿宋_GB2312" w:hAnsi="仿宋_GB2312" w:eastAsia="仿宋_GB2312" w:cs="仿宋_GB2312"/>
          <w:kern w:val="0"/>
          <w:lang w:val="zh-CN"/>
        </w:rPr>
        <w:t>乙方应保证甲方在使用该货物或其任何一部分时不受第三方提出的侵犯专利权、著作权、商标权和工业设计权等的起诉。</w:t>
      </w:r>
    </w:p>
    <w:p w14:paraId="594715C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5.2</w:t>
      </w:r>
      <w:r>
        <w:rPr>
          <w:rFonts w:hint="eastAsia" w:ascii="仿宋_GB2312" w:hAnsi="仿宋_GB2312" w:eastAsia="仿宋_GB2312" w:cs="仿宋_GB2312"/>
          <w:kern w:val="0"/>
          <w:lang w:val="zh-CN"/>
        </w:rPr>
        <w:t>任何第三方提出侵权指控，乙方须与第三方交涉并承担由此产生的一切责任、费用和经济赔偿。</w:t>
      </w:r>
    </w:p>
    <w:p w14:paraId="764366D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5.3</w:t>
      </w:r>
      <w:r>
        <w:rPr>
          <w:rFonts w:hint="eastAsia" w:ascii="仿宋_GB2312" w:hAnsi="仿宋_GB2312" w:eastAsia="仿宋_GB2312" w:cs="仿宋_GB2312"/>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C42778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5.4</w:t>
      </w:r>
      <w:r>
        <w:rPr>
          <w:rFonts w:hint="eastAsia" w:ascii="仿宋_GB2312" w:hAnsi="仿宋_GB2312" w:eastAsia="仿宋_GB2312" w:cs="仿宋_GB2312"/>
          <w:kern w:val="0"/>
          <w:lang w:val="zh-CN"/>
        </w:rPr>
        <w:t>在本合同生效时已经存在并为各方合法拥有或使用的所有技术、资料和信息的知识产权，仍应属于其各自的原权利人所有或享有，另有约定的除外。</w:t>
      </w:r>
    </w:p>
    <w:p w14:paraId="49B5B4D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5.5</w:t>
      </w:r>
      <w:r>
        <w:rPr>
          <w:rFonts w:hint="eastAsia" w:ascii="仿宋_GB2312" w:hAnsi="仿宋_GB2312" w:eastAsia="仿宋_GB2312" w:cs="仿宋_GB2312"/>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E4319B3">
      <w:pPr>
        <w:autoSpaceDE w:val="0"/>
        <w:autoSpaceDN w:val="0"/>
        <w:adjustRightInd w:val="0"/>
        <w:spacing w:line="400" w:lineRule="exact"/>
        <w:rPr>
          <w:rFonts w:ascii="仿宋_GB2312" w:hAnsi="仿宋_GB2312" w:eastAsia="仿宋_GB2312" w:cs="仿宋_GB2312"/>
          <w:b/>
          <w:bCs/>
          <w:kern w:val="0"/>
          <w:sz w:val="28"/>
        </w:rPr>
      </w:pPr>
      <w:bookmarkStart w:id="242" w:name="_Toc20473_WPSOffice_Level2"/>
      <w:bookmarkStart w:id="243" w:name="_Toc6721_WPSOffice_Level2"/>
      <w:bookmarkStart w:id="244" w:name="_Toc24005_WPSOffice_Level3"/>
      <w:bookmarkStart w:id="245" w:name="_Toc6366_WPSOffice_Level2"/>
      <w:r>
        <w:rPr>
          <w:rFonts w:hint="eastAsia" w:ascii="仿宋_GB2312" w:hAnsi="仿宋_GB2312" w:eastAsia="仿宋_GB2312" w:cs="仿宋_GB2312"/>
          <w:b/>
          <w:bCs/>
          <w:kern w:val="0"/>
          <w:sz w:val="28"/>
        </w:rPr>
        <w:t>6.</w:t>
      </w:r>
      <w:r>
        <w:rPr>
          <w:rFonts w:hint="eastAsia" w:ascii="仿宋_GB2312" w:hAnsi="仿宋_GB2312" w:eastAsia="仿宋_GB2312" w:cs="仿宋_GB2312"/>
          <w:b/>
          <w:bCs/>
          <w:kern w:val="0"/>
          <w:sz w:val="28"/>
          <w:lang w:val="zh-CN"/>
        </w:rPr>
        <w:t>保密</w:t>
      </w:r>
      <w:bookmarkEnd w:id="242"/>
      <w:bookmarkEnd w:id="243"/>
      <w:bookmarkEnd w:id="244"/>
      <w:bookmarkEnd w:id="245"/>
    </w:p>
    <w:p w14:paraId="6AFC8C2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6.1</w:t>
      </w:r>
      <w:r>
        <w:rPr>
          <w:rFonts w:hint="eastAsia" w:ascii="仿宋_GB2312" w:hAnsi="仿宋_GB2312" w:eastAsia="仿宋_GB2312" w:cs="仿宋_GB2312"/>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B04D2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w:t>
      </w:r>
      <w:r>
        <w:rPr>
          <w:rFonts w:hint="eastAsia" w:ascii="仿宋_GB2312" w:hAnsi="仿宋_GB2312" w:eastAsia="仿宋_GB2312" w:cs="仿宋_GB2312"/>
          <w:kern w:val="0"/>
          <w:lang w:val="zh-CN"/>
        </w:rPr>
        <w:t>保密信息指任何一方因履行本合同所知悉的任何以口头、书面、图表或电子形式存在的对方信息，具体包括：</w:t>
      </w:r>
    </w:p>
    <w:p w14:paraId="6AFA39B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6.2.1</w:t>
      </w:r>
      <w:r>
        <w:rPr>
          <w:rFonts w:hint="eastAsia" w:ascii="仿宋_GB2312" w:hAnsi="仿宋_GB2312" w:eastAsia="仿宋_GB2312" w:cs="仿宋_GB2312"/>
          <w:kern w:val="0"/>
          <w:lang w:val="zh-CN"/>
        </w:rPr>
        <w:t>任何涉及对方过去、现在或将来的商业计划、规章制度、操作规程、处理手段、财务信息；</w:t>
      </w:r>
    </w:p>
    <w:p w14:paraId="7107A32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6.2.2</w:t>
      </w:r>
      <w:r>
        <w:rPr>
          <w:rFonts w:hint="eastAsia" w:ascii="仿宋_GB2312" w:hAnsi="仿宋_GB2312" w:eastAsia="仿宋_GB2312" w:cs="仿宋_GB2312"/>
          <w:kern w:val="0"/>
          <w:lang w:val="zh-CN"/>
        </w:rPr>
        <w:t>任何对方的技术措施、技术方案、软件应用及开发，硬件设备的品种、质量、数量、品牌等；</w:t>
      </w:r>
    </w:p>
    <w:p w14:paraId="1ECB83A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6.2.3</w:t>
      </w:r>
      <w:r>
        <w:rPr>
          <w:rFonts w:hint="eastAsia" w:ascii="仿宋_GB2312" w:hAnsi="仿宋_GB2312" w:eastAsia="仿宋_GB2312" w:cs="仿宋_GB2312"/>
          <w:kern w:val="0"/>
          <w:lang w:val="zh-CN"/>
        </w:rPr>
        <w:t>任何对方的技术秘密或专有知识、文件、报告、数据、客户软件、流程图、数据库、发明、知识、贸易秘密。</w:t>
      </w:r>
    </w:p>
    <w:p w14:paraId="6B460AE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6.3</w:t>
      </w:r>
      <w:r>
        <w:rPr>
          <w:rFonts w:hint="eastAsia" w:ascii="仿宋_GB2312" w:hAnsi="仿宋_GB2312" w:eastAsia="仿宋_GB2312" w:cs="仿宋_GB2312"/>
          <w:kern w:val="0"/>
          <w:lang w:val="zh-CN"/>
        </w:rPr>
        <w:t>乙方应根据甲方的要求签署相应的保密协议，保密协议与本条款存在不一致的，以保密协议为准。</w:t>
      </w:r>
    </w:p>
    <w:p w14:paraId="4759C9E9">
      <w:pPr>
        <w:autoSpaceDE w:val="0"/>
        <w:autoSpaceDN w:val="0"/>
        <w:adjustRightInd w:val="0"/>
        <w:spacing w:line="400" w:lineRule="exact"/>
        <w:rPr>
          <w:rFonts w:ascii="仿宋_GB2312" w:hAnsi="仿宋_GB2312" w:eastAsia="仿宋_GB2312" w:cs="仿宋_GB2312"/>
          <w:b/>
          <w:bCs/>
          <w:kern w:val="0"/>
          <w:sz w:val="28"/>
        </w:rPr>
      </w:pPr>
      <w:bookmarkStart w:id="246" w:name="_Toc32113_WPSOffice_Level3"/>
      <w:bookmarkStart w:id="247" w:name="_Toc15914_WPSOffice_Level2"/>
      <w:bookmarkStart w:id="248" w:name="_Toc5005_WPSOffice_Level2"/>
      <w:bookmarkStart w:id="249" w:name="_Toc21936_WPSOffice_Level2"/>
      <w:r>
        <w:rPr>
          <w:rFonts w:hint="eastAsia" w:ascii="仿宋_GB2312" w:hAnsi="仿宋_GB2312" w:eastAsia="仿宋_GB2312" w:cs="仿宋_GB2312"/>
          <w:b/>
          <w:bCs/>
          <w:kern w:val="0"/>
          <w:sz w:val="28"/>
        </w:rPr>
        <w:t xml:space="preserve">7. </w:t>
      </w:r>
      <w:r>
        <w:rPr>
          <w:rFonts w:hint="eastAsia" w:ascii="仿宋_GB2312" w:hAnsi="仿宋_GB2312" w:eastAsia="仿宋_GB2312" w:cs="仿宋_GB2312"/>
          <w:b/>
          <w:bCs/>
          <w:kern w:val="0"/>
          <w:sz w:val="28"/>
          <w:lang w:val="zh-CN"/>
        </w:rPr>
        <w:t>质量保证</w:t>
      </w:r>
      <w:bookmarkEnd w:id="246"/>
      <w:bookmarkEnd w:id="247"/>
      <w:bookmarkEnd w:id="248"/>
      <w:bookmarkEnd w:id="249"/>
    </w:p>
    <w:p w14:paraId="79BFC6BA">
      <w:pPr>
        <w:autoSpaceDE w:val="0"/>
        <w:autoSpaceDN w:val="0"/>
        <w:adjustRightInd w:val="0"/>
        <w:spacing w:line="400" w:lineRule="exact"/>
        <w:ind w:firstLine="480"/>
        <w:rPr>
          <w:rFonts w:ascii="仿宋_GB2312" w:hAnsi="仿宋_GB2312" w:eastAsia="仿宋_GB2312" w:cs="仿宋_GB2312"/>
          <w:kern w:val="0"/>
        </w:rPr>
      </w:pPr>
      <w:bookmarkStart w:id="250" w:name="_Toc6608_WPSOffice_Level3"/>
      <w:r>
        <w:rPr>
          <w:rFonts w:hint="eastAsia" w:ascii="仿宋_GB2312" w:hAnsi="仿宋_GB2312" w:eastAsia="仿宋_GB2312" w:cs="仿宋_GB2312"/>
          <w:kern w:val="0"/>
        </w:rPr>
        <w:t>7.1</w:t>
      </w:r>
      <w:r>
        <w:rPr>
          <w:rFonts w:hint="eastAsia" w:ascii="仿宋_GB2312" w:hAnsi="仿宋_GB2312" w:eastAsia="仿宋_GB2312" w:cs="仿宋_GB2312"/>
          <w:kern w:val="0"/>
          <w:lang w:val="zh-CN"/>
        </w:rPr>
        <w:t>货物质量保证</w:t>
      </w:r>
      <w:bookmarkEnd w:id="250"/>
    </w:p>
    <w:p w14:paraId="0D50C5E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7.1.1</w:t>
      </w:r>
      <w:r>
        <w:rPr>
          <w:rFonts w:hint="eastAsia" w:ascii="仿宋_GB2312" w:hAnsi="仿宋_GB2312" w:eastAsia="仿宋_GB2312" w:cs="仿宋_GB2312"/>
          <w:kern w:val="0"/>
          <w:lang w:val="zh-CN"/>
        </w:rPr>
        <w:t>乙方必须保证货物是全新、未使用过的，并完全符合强制性的国家技术质量规范和合同规定的质量、规格、性能和技术规范等的要求。</w:t>
      </w:r>
    </w:p>
    <w:p w14:paraId="2BEECB6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7.1.2</w:t>
      </w:r>
      <w:r>
        <w:rPr>
          <w:rFonts w:hint="eastAsia" w:ascii="仿宋_GB2312" w:hAnsi="仿宋_GB2312" w:eastAsia="仿宋_GB2312" w:cs="仿宋_GB2312"/>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691217A">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122BC9E">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02779C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7.1.5 </w:t>
      </w:r>
      <w:r>
        <w:rPr>
          <w:rFonts w:hint="eastAsia" w:ascii="仿宋_GB2312" w:hAnsi="仿宋_GB2312" w:eastAsia="仿宋_GB2312" w:cs="仿宋_GB2312"/>
          <w:kern w:val="0"/>
          <w:lang w:val="zh-CN"/>
        </w:rPr>
        <w:t>合同条款下货物的质量保证期自货物通过最终验收起算，合同另行规定除外。</w:t>
      </w:r>
    </w:p>
    <w:p w14:paraId="25BCB5CA">
      <w:pPr>
        <w:autoSpaceDE w:val="0"/>
        <w:autoSpaceDN w:val="0"/>
        <w:adjustRightInd w:val="0"/>
        <w:spacing w:line="400" w:lineRule="exact"/>
        <w:ind w:firstLine="480"/>
        <w:rPr>
          <w:rFonts w:ascii="仿宋_GB2312" w:hAnsi="仿宋_GB2312" w:eastAsia="仿宋_GB2312" w:cs="仿宋_GB2312"/>
          <w:kern w:val="0"/>
        </w:rPr>
      </w:pPr>
      <w:bookmarkStart w:id="251" w:name="_Toc10562_WPSOffice_Level3"/>
      <w:r>
        <w:rPr>
          <w:rFonts w:hint="eastAsia" w:ascii="仿宋_GB2312" w:hAnsi="仿宋_GB2312" w:eastAsia="仿宋_GB2312" w:cs="仿宋_GB2312"/>
          <w:kern w:val="0"/>
        </w:rPr>
        <w:t>7.2</w:t>
      </w:r>
      <w:r>
        <w:rPr>
          <w:rFonts w:hint="eastAsia" w:ascii="仿宋_GB2312" w:hAnsi="仿宋_GB2312" w:eastAsia="仿宋_GB2312" w:cs="仿宋_GB2312"/>
          <w:kern w:val="0"/>
          <w:lang w:val="zh-CN"/>
        </w:rPr>
        <w:t>辅助服务质量保证</w:t>
      </w:r>
      <w:bookmarkEnd w:id="251"/>
    </w:p>
    <w:p w14:paraId="54DD512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7.2.1</w:t>
      </w:r>
      <w:r>
        <w:rPr>
          <w:rFonts w:hint="eastAsia" w:ascii="仿宋_GB2312" w:hAnsi="仿宋_GB2312" w:eastAsia="仿宋_GB2312" w:cs="仿宋_GB2312"/>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28C34E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7.2.2</w:t>
      </w:r>
      <w:r>
        <w:rPr>
          <w:rFonts w:hint="eastAsia" w:ascii="仿宋_GB2312" w:hAnsi="仿宋_GB2312" w:eastAsia="仿宋_GB2312" w:cs="仿宋_GB2312"/>
          <w:kern w:val="0"/>
          <w:lang w:val="zh-CN"/>
        </w:rPr>
        <w:t>乙方应保证合同条款下所提供的服务包括培训、安装指导、单机调试、系统联调和试验等，按合同规定方式进行，并保证不存在因乙方工作人员的过失、错误或疏忽而产生的缺陷。</w:t>
      </w:r>
    </w:p>
    <w:p w14:paraId="34235216">
      <w:pPr>
        <w:autoSpaceDE w:val="0"/>
        <w:autoSpaceDN w:val="0"/>
        <w:adjustRightInd w:val="0"/>
        <w:spacing w:line="400" w:lineRule="exact"/>
        <w:rPr>
          <w:rFonts w:ascii="仿宋_GB2312" w:hAnsi="仿宋_GB2312" w:eastAsia="仿宋_GB2312" w:cs="仿宋_GB2312"/>
          <w:b/>
          <w:bCs/>
          <w:kern w:val="0"/>
          <w:sz w:val="28"/>
        </w:rPr>
      </w:pPr>
      <w:bookmarkStart w:id="252" w:name="_Toc15050_WPSOffice_Level3"/>
      <w:bookmarkStart w:id="253" w:name="_Toc27174_WPSOffice_Level2"/>
      <w:bookmarkStart w:id="254" w:name="_Toc28220_WPSOffice_Level2"/>
      <w:bookmarkStart w:id="255" w:name="_Toc10302_WPSOffice_Level2"/>
      <w:r>
        <w:rPr>
          <w:rFonts w:hint="eastAsia" w:ascii="仿宋_GB2312" w:hAnsi="仿宋_GB2312" w:eastAsia="仿宋_GB2312" w:cs="仿宋_GB2312"/>
          <w:b/>
          <w:bCs/>
          <w:kern w:val="0"/>
          <w:sz w:val="28"/>
        </w:rPr>
        <w:t>8.</w:t>
      </w:r>
      <w:r>
        <w:rPr>
          <w:rFonts w:hint="eastAsia" w:ascii="仿宋_GB2312" w:hAnsi="仿宋_GB2312" w:eastAsia="仿宋_GB2312" w:cs="仿宋_GB2312"/>
          <w:b/>
          <w:bCs/>
          <w:kern w:val="0"/>
          <w:sz w:val="28"/>
          <w:lang w:val="zh-CN"/>
        </w:rPr>
        <w:t>包装要求</w:t>
      </w:r>
      <w:bookmarkEnd w:id="252"/>
      <w:bookmarkEnd w:id="253"/>
      <w:bookmarkEnd w:id="254"/>
      <w:bookmarkEnd w:id="255"/>
    </w:p>
    <w:p w14:paraId="17F8BB1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8.1 </w:t>
      </w:r>
      <w:r>
        <w:rPr>
          <w:rFonts w:hint="eastAsia" w:ascii="仿宋_GB2312" w:hAnsi="仿宋_GB2312" w:eastAsia="仿宋_GB2312" w:cs="仿宋_GB2312"/>
          <w:kern w:val="0"/>
          <w:lang w:val="zh-CN"/>
        </w:rPr>
        <w:t>除合同另有约定外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乙方提供的全部货物</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均应采用本行业通用的方式进行包装，且该包装应符合国家有关包装的法律、法规的规定。</w:t>
      </w:r>
    </w:p>
    <w:p w14:paraId="0E618C2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8.2 </w:t>
      </w:r>
      <w:r>
        <w:rPr>
          <w:rFonts w:hint="eastAsia" w:ascii="仿宋_GB2312" w:hAnsi="仿宋_GB2312" w:eastAsia="仿宋_GB2312" w:cs="仿宋_GB2312"/>
          <w:kern w:val="0"/>
          <w:lang w:val="zh-CN"/>
        </w:rPr>
        <w:t>包装应适应于远距离运输，并有良好的防潮、防震、防锈和防粗暴装卸等保护措施，以确保货物安全运抵现场。由于包装不善所引起的货物锈蚀、损坏和损失均由乙方承担。</w:t>
      </w:r>
    </w:p>
    <w:p w14:paraId="6B353DC6">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乙方应提供货物运至合同规定的最终目的地所需要的包装，以防止货物在转运中损坏或变质。</w:t>
      </w:r>
    </w:p>
    <w:p w14:paraId="6112A0F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8.3 </w:t>
      </w:r>
      <w:r>
        <w:rPr>
          <w:rFonts w:hint="eastAsia" w:ascii="仿宋_GB2312" w:hAnsi="仿宋_GB2312" w:eastAsia="仿宋_GB2312" w:cs="仿宋_GB2312"/>
          <w:kern w:val="0"/>
          <w:lang w:val="zh-CN"/>
        </w:rPr>
        <w:t>乙方所提供的货物包装均为出厂时原包装。</w:t>
      </w:r>
    </w:p>
    <w:p w14:paraId="7711985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8.4 </w:t>
      </w:r>
      <w:r>
        <w:rPr>
          <w:rFonts w:hint="eastAsia" w:ascii="仿宋_GB2312" w:hAnsi="仿宋_GB2312" w:eastAsia="仿宋_GB2312" w:cs="仿宋_GB2312"/>
          <w:kern w:val="0"/>
          <w:lang w:val="zh-CN"/>
        </w:rPr>
        <w:t>乙方所提供货物必须附有质量合格证，装箱清单，主机、附件、各种零部件和消耗品，有清楚的与装箱单相对应的名称和编号。</w:t>
      </w:r>
    </w:p>
    <w:p w14:paraId="2C260F7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8.5 </w:t>
      </w:r>
      <w:r>
        <w:rPr>
          <w:rFonts w:hint="eastAsia" w:ascii="仿宋_GB2312" w:hAnsi="仿宋_GB2312" w:eastAsia="仿宋_GB2312" w:cs="仿宋_GB2312"/>
          <w:kern w:val="0"/>
          <w:lang w:val="zh-CN"/>
        </w:rPr>
        <w:t>货物运输中的运输费用和保险费用均由乙方承担。运输过程中的一切损失、损坏均由乙方负责。</w:t>
      </w:r>
    </w:p>
    <w:p w14:paraId="6EA47C95">
      <w:pPr>
        <w:autoSpaceDE w:val="0"/>
        <w:autoSpaceDN w:val="0"/>
        <w:adjustRightInd w:val="0"/>
        <w:spacing w:line="400" w:lineRule="exact"/>
        <w:rPr>
          <w:rFonts w:ascii="仿宋_GB2312" w:hAnsi="仿宋_GB2312" w:eastAsia="仿宋_GB2312" w:cs="仿宋_GB2312"/>
          <w:b/>
          <w:bCs/>
          <w:kern w:val="0"/>
          <w:sz w:val="28"/>
        </w:rPr>
      </w:pPr>
      <w:bookmarkStart w:id="256" w:name="_Toc20045_WPSOffice_Level2"/>
      <w:bookmarkStart w:id="257" w:name="_Toc6142_WPSOffice_Level2"/>
      <w:bookmarkStart w:id="258" w:name="_Toc30358_WPSOffice_Level3"/>
      <w:bookmarkStart w:id="259" w:name="_Toc19829_WPSOffice_Level2"/>
      <w:r>
        <w:rPr>
          <w:rFonts w:hint="eastAsia" w:ascii="仿宋_GB2312" w:hAnsi="仿宋_GB2312" w:eastAsia="仿宋_GB2312" w:cs="仿宋_GB2312"/>
          <w:b/>
          <w:bCs/>
          <w:kern w:val="0"/>
          <w:sz w:val="28"/>
        </w:rPr>
        <w:t xml:space="preserve">9. </w:t>
      </w:r>
      <w:r>
        <w:rPr>
          <w:rFonts w:hint="eastAsia" w:ascii="仿宋_GB2312" w:hAnsi="仿宋_GB2312" w:eastAsia="仿宋_GB2312" w:cs="仿宋_GB2312"/>
          <w:b/>
          <w:bCs/>
          <w:kern w:val="0"/>
          <w:sz w:val="28"/>
          <w:lang w:val="zh-CN"/>
        </w:rPr>
        <w:t>价格</w:t>
      </w:r>
      <w:bookmarkEnd w:id="256"/>
      <w:bookmarkEnd w:id="257"/>
      <w:bookmarkEnd w:id="258"/>
      <w:bookmarkEnd w:id="259"/>
    </w:p>
    <w:p w14:paraId="59E4667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9.1</w:t>
      </w:r>
      <w:r>
        <w:rPr>
          <w:rFonts w:hint="eastAsia" w:ascii="仿宋_GB2312" w:hAnsi="仿宋_GB2312" w:eastAsia="仿宋_GB2312" w:cs="仿宋_GB2312"/>
          <w:kern w:val="0"/>
          <w:lang w:val="zh-CN"/>
        </w:rPr>
        <w:t>本合同价格为固定价格，包括了乙方履行合同全过程产生的所有成本和费用以及乙方应承担的一切税费。</w:t>
      </w:r>
    </w:p>
    <w:p w14:paraId="412052D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9.2</w:t>
      </w:r>
      <w:r>
        <w:rPr>
          <w:rFonts w:hint="eastAsia" w:ascii="仿宋_GB2312" w:hAnsi="仿宋_GB2312" w:eastAsia="仿宋_GB2312" w:cs="仿宋_GB2312"/>
          <w:kern w:val="0"/>
          <w:lang w:val="zh-CN"/>
        </w:rPr>
        <w:t>检验费用</w:t>
      </w:r>
    </w:p>
    <w:p w14:paraId="739636C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9.3.1 </w:t>
      </w:r>
      <w:r>
        <w:rPr>
          <w:rFonts w:hint="eastAsia" w:ascii="仿宋_GB2312" w:hAnsi="仿宋_GB2312" w:eastAsia="仿宋_GB2312" w:cs="仿宋_GB2312"/>
          <w:kern w:val="0"/>
          <w:lang w:val="zh-CN"/>
        </w:rPr>
        <w:t>乙方必须负担本条款下属于乙方负责的检验、测试、调试、试运行和验收的所有费用，并负责乙方派往买方组织的检验、测试和验收人员的所有费用。</w:t>
      </w:r>
    </w:p>
    <w:p w14:paraId="4122927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9.3.2 </w:t>
      </w:r>
      <w:r>
        <w:rPr>
          <w:rFonts w:hint="eastAsia" w:ascii="仿宋_GB2312" w:hAnsi="仿宋_GB2312" w:eastAsia="仿宋_GB2312" w:cs="仿宋_GB2312"/>
          <w:kern w:val="0"/>
          <w:lang w:val="zh-CN"/>
        </w:rPr>
        <w:t>甲方按合同计划参加在乙方工厂所在地检验、测试和验收的费用全部由乙方负责并已包含在合同总价中。</w:t>
      </w:r>
    </w:p>
    <w:p w14:paraId="03609E5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9.3.3</w:t>
      </w:r>
      <w:r>
        <w:rPr>
          <w:rFonts w:hint="eastAsia" w:ascii="仿宋_GB2312" w:hAnsi="仿宋_GB2312" w:eastAsia="仿宋_GB2312" w:cs="仿宋_GB2312"/>
          <w:kern w:val="0"/>
          <w:lang w:val="zh-CN"/>
        </w:rPr>
        <w:t>甲方检验人员已到卖方所在地，测试无法依照合同进行，而引起甲方人员延长逗留时间，所有由此产生的包括甲方人员在内的直接费用及成本由乙方承担。</w:t>
      </w:r>
    </w:p>
    <w:p w14:paraId="33730372">
      <w:pPr>
        <w:autoSpaceDE w:val="0"/>
        <w:autoSpaceDN w:val="0"/>
        <w:adjustRightInd w:val="0"/>
        <w:spacing w:line="400" w:lineRule="exact"/>
        <w:rPr>
          <w:rFonts w:ascii="仿宋_GB2312" w:hAnsi="仿宋_GB2312" w:eastAsia="仿宋_GB2312" w:cs="仿宋_GB2312"/>
          <w:b/>
          <w:bCs/>
          <w:kern w:val="0"/>
          <w:sz w:val="28"/>
        </w:rPr>
      </w:pPr>
      <w:bookmarkStart w:id="260" w:name="_Toc19675_WPSOffice_Level3"/>
      <w:bookmarkStart w:id="261" w:name="_Toc16991_WPSOffice_Level2"/>
      <w:bookmarkStart w:id="262" w:name="_Toc864_WPSOffice_Level2"/>
      <w:bookmarkStart w:id="263" w:name="_Toc6316_WPSOffice_Level2"/>
      <w:r>
        <w:rPr>
          <w:rFonts w:hint="eastAsia" w:ascii="仿宋_GB2312" w:hAnsi="仿宋_GB2312" w:eastAsia="仿宋_GB2312" w:cs="仿宋_GB2312"/>
          <w:b/>
          <w:bCs/>
          <w:kern w:val="0"/>
          <w:sz w:val="28"/>
        </w:rPr>
        <w:t>10.</w:t>
      </w:r>
      <w:r>
        <w:rPr>
          <w:rFonts w:hint="eastAsia" w:ascii="仿宋_GB2312" w:hAnsi="仿宋_GB2312" w:eastAsia="仿宋_GB2312" w:cs="仿宋_GB2312"/>
          <w:b/>
          <w:bCs/>
          <w:kern w:val="0"/>
          <w:sz w:val="28"/>
          <w:lang w:val="zh-CN"/>
        </w:rPr>
        <w:t>交货方式及交货日期</w:t>
      </w:r>
      <w:bookmarkEnd w:id="260"/>
      <w:bookmarkEnd w:id="261"/>
      <w:bookmarkEnd w:id="262"/>
      <w:bookmarkEnd w:id="263"/>
    </w:p>
    <w:p w14:paraId="6DE2B98F">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交货方式：现场交货，乙方负责办理运输和保险，将货物运抵现场。</w:t>
      </w:r>
    </w:p>
    <w:p w14:paraId="38A28DDA">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交货期应根据产品的特点实事求是填写，进口产品90个工作日内，国产产品60个工作日内。特殊产品交货期需说明。</w:t>
      </w:r>
    </w:p>
    <w:p w14:paraId="6346AF81">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交货日期：所有货物运抵现场并经双方开箱验收合格之日。</w:t>
      </w:r>
    </w:p>
    <w:p w14:paraId="00973DBB">
      <w:pPr>
        <w:autoSpaceDE w:val="0"/>
        <w:autoSpaceDN w:val="0"/>
        <w:adjustRightInd w:val="0"/>
        <w:spacing w:line="400" w:lineRule="exact"/>
        <w:ind w:firstLine="480"/>
        <w:rPr>
          <w:rFonts w:ascii="仿宋_GB2312" w:hAnsi="仿宋_GB2312" w:eastAsia="仿宋_GB2312" w:cs="仿宋_GB2312"/>
          <w:kern w:val="0"/>
          <w:lang w:val="zh-CN"/>
        </w:rPr>
      </w:pPr>
      <w:bookmarkStart w:id="264" w:name="_Toc1945_WPSOffice_Level2"/>
      <w:bookmarkStart w:id="265" w:name="_Toc22323_WPSOffice_Level2"/>
      <w:bookmarkStart w:id="266" w:name="_Toc15436_WPSOffice_Level2"/>
      <w:bookmarkStart w:id="267" w:name="_Toc15745_WPSOffice_Level3"/>
      <w:r>
        <w:rPr>
          <w:rFonts w:hint="eastAsia" w:ascii="仿宋_GB2312" w:hAnsi="仿宋_GB2312" w:eastAsia="仿宋_GB2312" w:cs="仿宋_GB2312"/>
          <w:kern w:val="0"/>
          <w:lang w:val="zh-CN"/>
        </w:rPr>
        <w:t>11.检验和验收</w:t>
      </w:r>
      <w:bookmarkEnd w:id="264"/>
      <w:bookmarkEnd w:id="265"/>
      <w:bookmarkEnd w:id="266"/>
      <w:bookmarkEnd w:id="267"/>
    </w:p>
    <w:p w14:paraId="2407AA17">
      <w:pPr>
        <w:autoSpaceDE w:val="0"/>
        <w:autoSpaceDN w:val="0"/>
        <w:adjustRightInd w:val="0"/>
        <w:spacing w:line="400" w:lineRule="exact"/>
        <w:ind w:firstLine="480"/>
        <w:rPr>
          <w:rFonts w:ascii="仿宋_GB2312" w:hAnsi="仿宋_GB2312" w:eastAsia="仿宋_GB2312" w:cs="仿宋_GB2312"/>
          <w:kern w:val="0"/>
        </w:rPr>
      </w:pPr>
      <w:bookmarkStart w:id="268" w:name="_Toc3521_WPSOffice_Level3"/>
      <w:r>
        <w:rPr>
          <w:rFonts w:hint="eastAsia" w:ascii="仿宋_GB2312" w:hAnsi="仿宋_GB2312" w:eastAsia="仿宋_GB2312" w:cs="仿宋_GB2312"/>
          <w:kern w:val="0"/>
        </w:rPr>
        <w:t>11.1</w:t>
      </w:r>
      <w:r>
        <w:rPr>
          <w:rFonts w:hint="eastAsia" w:ascii="仿宋_GB2312" w:hAnsi="仿宋_GB2312" w:eastAsia="仿宋_GB2312" w:cs="仿宋_GB2312"/>
          <w:kern w:val="0"/>
          <w:lang w:val="zh-CN"/>
        </w:rPr>
        <w:t>开箱验收</w:t>
      </w:r>
      <w:bookmarkEnd w:id="268"/>
    </w:p>
    <w:p w14:paraId="4F7E3AA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11.1.1</w:t>
      </w:r>
      <w:r>
        <w:rPr>
          <w:rFonts w:hint="eastAsia" w:ascii="仿宋_GB2312" w:hAnsi="仿宋_GB2312" w:eastAsia="仿宋_GB2312" w:cs="仿宋_GB2312"/>
          <w:kern w:val="0"/>
          <w:lang w:val="zh-CN"/>
        </w:rPr>
        <w:t>货物运抵现场后，双方应及时开箱验收，并制作验收记录，以确认与本合同约定的数量、型号等是否一致。</w:t>
      </w:r>
    </w:p>
    <w:p w14:paraId="292E67F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11.1.2 </w:t>
      </w:r>
      <w:r>
        <w:rPr>
          <w:rFonts w:hint="eastAsia" w:ascii="仿宋_GB2312" w:hAnsi="仿宋_GB2312" w:eastAsia="仿宋_GB2312" w:cs="仿宋_GB2312"/>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97D3CB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11.1.3 </w:t>
      </w:r>
      <w:r>
        <w:rPr>
          <w:rFonts w:hint="eastAsia" w:ascii="仿宋_GB2312" w:hAnsi="仿宋_GB2312" w:eastAsia="仿宋_GB2312" w:cs="仿宋_GB2312"/>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01BABBF">
      <w:pPr>
        <w:autoSpaceDE w:val="0"/>
        <w:autoSpaceDN w:val="0"/>
        <w:adjustRightInd w:val="0"/>
        <w:spacing w:line="400" w:lineRule="exact"/>
        <w:ind w:firstLine="480"/>
        <w:rPr>
          <w:rFonts w:ascii="仿宋_GB2312" w:hAnsi="仿宋_GB2312" w:eastAsia="仿宋_GB2312" w:cs="仿宋_GB2312"/>
          <w:kern w:val="0"/>
        </w:rPr>
      </w:pPr>
      <w:bookmarkStart w:id="269" w:name="_Toc14377_WPSOffice_Level3"/>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检验验收</w:t>
      </w:r>
      <w:bookmarkEnd w:id="269"/>
    </w:p>
    <w:p w14:paraId="780BE8F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11.2.1 </w:t>
      </w:r>
      <w:r>
        <w:rPr>
          <w:rFonts w:hint="eastAsia" w:ascii="仿宋_GB2312" w:hAnsi="仿宋_GB2312" w:eastAsia="仿宋_GB2312" w:cs="仿宋_GB2312"/>
          <w:kern w:val="0"/>
          <w:lang w:val="zh-CN"/>
        </w:rPr>
        <w:t>交货完成后，乙方应及时组装、调试、试运行，按照合同专用条款规定的试运行完成后，双方及时组织对货物检验验收。合同双方均须派人参加合同要求双方参加的试验、检验。</w:t>
      </w:r>
    </w:p>
    <w:p w14:paraId="6C80747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11.2.2 </w:t>
      </w:r>
      <w:r>
        <w:rPr>
          <w:rFonts w:hint="eastAsia" w:ascii="仿宋_GB2312" w:hAnsi="仿宋_GB2312" w:eastAsia="仿宋_GB2312" w:cs="仿宋_GB2312"/>
          <w:kern w:val="0"/>
          <w:lang w:val="zh-CN"/>
        </w:rPr>
        <w:t>在具体实施合同规定的检验验收之前，乙方需提前提交相应的测试计划（包括测试程序、测试内容和检验标准、试验时间安排等）供甲方确认。</w:t>
      </w:r>
    </w:p>
    <w:p w14:paraId="01143A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11.2.3  </w:t>
      </w:r>
      <w:r>
        <w:rPr>
          <w:rFonts w:hint="eastAsia" w:ascii="仿宋_GB2312" w:hAnsi="仿宋_GB2312" w:eastAsia="仿宋_GB2312" w:cs="仿宋_GB2312"/>
          <w:kern w:val="0"/>
          <w:lang w:val="zh-CN"/>
        </w:rPr>
        <w:t>除需甲方确认的试验验收外，乙方还应对所有检验验收测试的结果、步骤、原始数据等作妥善记录。如甲方要求，乙方应提供这些记录给买方。</w:t>
      </w:r>
    </w:p>
    <w:p w14:paraId="01F51D5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11.2.4  </w:t>
      </w:r>
      <w:r>
        <w:rPr>
          <w:rFonts w:hint="eastAsia" w:ascii="仿宋_GB2312" w:hAnsi="仿宋_GB2312" w:eastAsia="仿宋_GB2312" w:cs="仿宋_GB2312"/>
          <w:kern w:val="0"/>
          <w:lang w:val="zh-CN"/>
        </w:rPr>
        <w:t>检验测试出现全部或部分未达到本合同所约定的技术指标，甲方有权选择下列任一处理方式：</w:t>
      </w:r>
    </w:p>
    <w:p w14:paraId="1D5FB16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a.</w:t>
      </w:r>
      <w:r>
        <w:rPr>
          <w:rFonts w:hint="eastAsia" w:ascii="仿宋_GB2312" w:hAnsi="仿宋_GB2312" w:eastAsia="仿宋_GB2312" w:cs="仿宋_GB2312"/>
          <w:kern w:val="0"/>
          <w:lang w:val="zh-CN"/>
        </w:rPr>
        <w:t>重新测试直至合格为止；</w:t>
      </w:r>
    </w:p>
    <w:p w14:paraId="5D4F76A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b.</w:t>
      </w:r>
      <w:r>
        <w:rPr>
          <w:rFonts w:hint="eastAsia" w:ascii="仿宋_GB2312" w:hAnsi="仿宋_GB2312" w:eastAsia="仿宋_GB2312" w:cs="仿宋_GB2312"/>
          <w:kern w:val="0"/>
          <w:lang w:val="zh-CN"/>
        </w:rPr>
        <w:t>要求乙方对货物进行免费更换，然后重新测试直至合格为止；</w:t>
      </w:r>
    </w:p>
    <w:p w14:paraId="4B68795A">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无论选择何种方式，甲方因此而发生的因卖方原因引起的所有费用均由乙方负担。</w:t>
      </w:r>
    </w:p>
    <w:p w14:paraId="4E730862">
      <w:pPr>
        <w:autoSpaceDE w:val="0"/>
        <w:autoSpaceDN w:val="0"/>
        <w:adjustRightInd w:val="0"/>
        <w:spacing w:line="400" w:lineRule="exact"/>
        <w:ind w:firstLine="480"/>
        <w:rPr>
          <w:rFonts w:ascii="仿宋_GB2312" w:hAnsi="仿宋_GB2312" w:eastAsia="仿宋_GB2312" w:cs="仿宋_GB2312"/>
          <w:kern w:val="0"/>
        </w:rPr>
      </w:pPr>
      <w:bookmarkStart w:id="270" w:name="_Toc1830_WPSOffice_Level3"/>
      <w:r>
        <w:rPr>
          <w:rFonts w:hint="eastAsia" w:ascii="仿宋_GB2312" w:hAnsi="仿宋_GB2312" w:eastAsia="仿宋_GB2312" w:cs="仿宋_GB2312"/>
          <w:kern w:val="0"/>
        </w:rPr>
        <w:t xml:space="preserve">11.3  </w:t>
      </w:r>
      <w:r>
        <w:rPr>
          <w:rFonts w:hint="eastAsia" w:ascii="仿宋_GB2312" w:hAnsi="仿宋_GB2312" w:eastAsia="仿宋_GB2312" w:cs="仿宋_GB2312"/>
          <w:kern w:val="0"/>
          <w:lang w:val="zh-CN"/>
        </w:rPr>
        <w:t>使用过程检验</w:t>
      </w:r>
      <w:bookmarkEnd w:id="270"/>
    </w:p>
    <w:p w14:paraId="722A5B4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11.3.1</w:t>
      </w:r>
      <w:r>
        <w:rPr>
          <w:rFonts w:hint="eastAsia" w:ascii="仿宋_GB2312" w:hAnsi="仿宋_GB2312" w:eastAsia="仿宋_GB2312" w:cs="仿宋_GB2312"/>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E92990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11.3.2</w:t>
      </w:r>
      <w:r>
        <w:rPr>
          <w:rFonts w:hint="eastAsia" w:ascii="仿宋_GB2312" w:hAnsi="仿宋_GB2312" w:eastAsia="仿宋_GB2312" w:cs="仿宋_GB2312"/>
          <w:kern w:val="0"/>
          <w:lang w:val="zh-CN"/>
        </w:rPr>
        <w:t>如果合同双方对乙方提供的上述试验结果报告的解释有分歧，双方须于出现分歧后</w:t>
      </w:r>
      <w:r>
        <w:rPr>
          <w:rFonts w:hint="eastAsia" w:ascii="仿宋_GB2312" w:hAnsi="仿宋_GB2312" w:eastAsia="仿宋_GB2312" w:cs="仿宋_GB2312"/>
          <w:kern w:val="0"/>
        </w:rPr>
        <w:t>10</w:t>
      </w:r>
      <w:r>
        <w:rPr>
          <w:rFonts w:hint="eastAsia" w:ascii="仿宋_GB2312" w:hAnsi="仿宋_GB2312" w:eastAsia="仿宋_GB2312" w:cs="仿宋_GB2312"/>
          <w:kern w:val="0"/>
          <w:lang w:val="zh-CN"/>
        </w:rPr>
        <w:t>天内给对方声明，以陈述己方的观点。声明须附有关证据。分歧应通过协商解决。</w:t>
      </w:r>
    </w:p>
    <w:p w14:paraId="79E8633E">
      <w:pPr>
        <w:autoSpaceDE w:val="0"/>
        <w:autoSpaceDN w:val="0"/>
        <w:adjustRightInd w:val="0"/>
        <w:spacing w:line="400" w:lineRule="exact"/>
        <w:rPr>
          <w:rFonts w:ascii="仿宋_GB2312" w:hAnsi="仿宋_GB2312" w:eastAsia="仿宋_GB2312" w:cs="仿宋_GB2312"/>
          <w:b/>
          <w:bCs/>
          <w:kern w:val="0"/>
          <w:sz w:val="28"/>
        </w:rPr>
      </w:pPr>
      <w:bookmarkStart w:id="271" w:name="_Toc8163_WPSOffice_Level3"/>
      <w:bookmarkStart w:id="272" w:name="_Toc16690_WPSOffice_Level2"/>
      <w:bookmarkStart w:id="273" w:name="_Toc17982_WPSOffice_Level2"/>
      <w:bookmarkStart w:id="274" w:name="_Toc1449_WPSOffice_Level2"/>
      <w:r>
        <w:rPr>
          <w:rFonts w:hint="eastAsia" w:ascii="仿宋_GB2312" w:hAnsi="仿宋_GB2312" w:eastAsia="仿宋_GB2312" w:cs="仿宋_GB2312"/>
          <w:b/>
          <w:bCs/>
          <w:kern w:val="0"/>
          <w:sz w:val="28"/>
        </w:rPr>
        <w:t>12.</w:t>
      </w:r>
      <w:r>
        <w:rPr>
          <w:rFonts w:hint="eastAsia" w:ascii="仿宋_GB2312" w:hAnsi="仿宋_GB2312" w:eastAsia="仿宋_GB2312" w:cs="仿宋_GB2312"/>
          <w:b/>
          <w:bCs/>
          <w:kern w:val="0"/>
          <w:sz w:val="28"/>
          <w:lang w:val="zh-CN"/>
        </w:rPr>
        <w:t>付款条件</w:t>
      </w:r>
      <w:bookmarkEnd w:id="271"/>
      <w:bookmarkEnd w:id="272"/>
      <w:bookmarkEnd w:id="273"/>
      <w:bookmarkEnd w:id="274"/>
    </w:p>
    <w:p w14:paraId="4540AAA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本合同条款下的付款方法和条件在“青海省政府采购合同书”中具体规定。</w:t>
      </w:r>
    </w:p>
    <w:p w14:paraId="7E62B522">
      <w:pPr>
        <w:autoSpaceDE w:val="0"/>
        <w:autoSpaceDN w:val="0"/>
        <w:adjustRightInd w:val="0"/>
        <w:spacing w:line="400" w:lineRule="exact"/>
        <w:rPr>
          <w:rFonts w:ascii="仿宋_GB2312" w:hAnsi="仿宋_GB2312" w:eastAsia="仿宋_GB2312" w:cs="仿宋_GB2312"/>
          <w:b/>
          <w:bCs/>
          <w:kern w:val="0"/>
          <w:sz w:val="28"/>
        </w:rPr>
      </w:pPr>
      <w:bookmarkStart w:id="275" w:name="_Toc9326_WPSOffice_Level2"/>
      <w:bookmarkStart w:id="276" w:name="_Toc19493_WPSOffice_Level2"/>
      <w:bookmarkStart w:id="277" w:name="_Toc28593_WPSOffice_Level3"/>
      <w:bookmarkStart w:id="278" w:name="_Toc188_WPSOffice_Level2"/>
      <w:r>
        <w:rPr>
          <w:rFonts w:hint="eastAsia" w:ascii="仿宋_GB2312" w:hAnsi="仿宋_GB2312" w:eastAsia="仿宋_GB2312" w:cs="仿宋_GB2312"/>
          <w:b/>
          <w:bCs/>
          <w:kern w:val="0"/>
          <w:sz w:val="28"/>
        </w:rPr>
        <w:t>13.</w:t>
      </w:r>
      <w:r>
        <w:rPr>
          <w:rFonts w:hint="eastAsia" w:ascii="仿宋_GB2312" w:hAnsi="仿宋_GB2312" w:eastAsia="仿宋_GB2312" w:cs="仿宋_GB2312"/>
          <w:b/>
          <w:bCs/>
          <w:kern w:val="0"/>
          <w:sz w:val="28"/>
          <w:lang w:val="zh-CN"/>
        </w:rPr>
        <w:t>履约保证金</w:t>
      </w:r>
      <w:bookmarkEnd w:id="275"/>
      <w:bookmarkEnd w:id="276"/>
      <w:bookmarkEnd w:id="277"/>
      <w:bookmarkEnd w:id="278"/>
    </w:p>
    <w:p w14:paraId="696A729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13.1</w:t>
      </w:r>
      <w:r>
        <w:rPr>
          <w:rFonts w:hint="eastAsia" w:ascii="仿宋_GB2312" w:hAnsi="仿宋_GB2312" w:eastAsia="仿宋_GB2312" w:cs="仿宋_GB2312"/>
          <w:kern w:val="0"/>
          <w:lang w:val="zh-CN"/>
        </w:rPr>
        <w:t>乙方应在合同签订前，按谈判文件第三部分“八 授予合同”中第22.2项的约定提交履约保证金。</w:t>
      </w:r>
    </w:p>
    <w:p w14:paraId="201F6D7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13.2</w:t>
      </w:r>
      <w:r>
        <w:rPr>
          <w:rFonts w:hint="eastAsia" w:ascii="仿宋_GB2312" w:hAnsi="仿宋_GB2312" w:eastAsia="仿宋_GB2312" w:cs="仿宋_GB2312"/>
          <w:kern w:val="0"/>
          <w:lang w:val="zh-CN"/>
        </w:rPr>
        <w:t>履约保证金用于补偿甲方因乙方不能履行其合同义务而蒙受的损失。</w:t>
      </w:r>
    </w:p>
    <w:p w14:paraId="319A1B8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13.3</w:t>
      </w:r>
      <w:r>
        <w:rPr>
          <w:rFonts w:hint="eastAsia" w:ascii="仿宋_GB2312" w:hAnsi="仿宋_GB2312" w:eastAsia="仿宋_GB2312" w:cs="仿宋_GB2312"/>
          <w:kern w:val="0"/>
          <w:lang w:val="zh-CN"/>
        </w:rPr>
        <w:t>履约保证金应使用本合同货币，按下述方式之一提交（谈判文件中另有约定的除外）：</w:t>
      </w:r>
    </w:p>
    <w:p w14:paraId="5A1CBBA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13.3.1</w:t>
      </w:r>
      <w:r>
        <w:rPr>
          <w:rFonts w:hint="eastAsia" w:ascii="仿宋_GB2312" w:hAnsi="仿宋_GB2312" w:eastAsia="仿宋_GB2312" w:cs="仿宋_GB2312"/>
          <w:kern w:val="0"/>
          <w:lang w:val="zh-CN"/>
        </w:rPr>
        <w:t>甲方可接受的在中华人民共和国注册和营业的银行出具的履约保函；</w:t>
      </w:r>
    </w:p>
    <w:p w14:paraId="4D17DA8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13.3.2 </w:t>
      </w:r>
      <w:r>
        <w:rPr>
          <w:rFonts w:hint="eastAsia" w:ascii="仿宋_GB2312" w:hAnsi="仿宋_GB2312" w:eastAsia="仿宋_GB2312" w:cs="仿宋_GB2312"/>
          <w:kern w:val="0"/>
          <w:lang w:val="zh-CN"/>
        </w:rPr>
        <w:t>支票或汇票。</w:t>
      </w:r>
    </w:p>
    <w:p w14:paraId="5288B1B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13.4</w:t>
      </w:r>
      <w:r>
        <w:rPr>
          <w:rFonts w:hint="eastAsia" w:ascii="仿宋_GB2312" w:hAnsi="仿宋_GB2312" w:eastAsia="仿宋_GB2312" w:cs="仿宋_GB2312"/>
          <w:kern w:val="0"/>
          <w:lang w:val="zh-CN"/>
        </w:rPr>
        <w:t>乙方未能按合同规定履行其义务，甲方有权从履约保证金中取得补偿。货物验收合格后，甲方将履约保证金退还乙方或转为质量保证金。</w:t>
      </w:r>
    </w:p>
    <w:p w14:paraId="67DB814B">
      <w:pPr>
        <w:autoSpaceDE w:val="0"/>
        <w:autoSpaceDN w:val="0"/>
        <w:adjustRightInd w:val="0"/>
        <w:spacing w:line="400" w:lineRule="exact"/>
        <w:rPr>
          <w:rFonts w:ascii="仿宋_GB2312" w:hAnsi="仿宋_GB2312" w:eastAsia="仿宋_GB2312" w:cs="仿宋_GB2312"/>
          <w:b/>
          <w:bCs/>
          <w:kern w:val="0"/>
          <w:sz w:val="28"/>
        </w:rPr>
      </w:pPr>
      <w:bookmarkStart w:id="279" w:name="_Toc4892_WPSOffice_Level2"/>
      <w:bookmarkStart w:id="280" w:name="_Toc13858_WPSOffice_Level2"/>
      <w:bookmarkStart w:id="281" w:name="_Toc25120_WPSOffice_Level2"/>
      <w:bookmarkStart w:id="282" w:name="_Toc8092_WPSOffice_Level3"/>
      <w:r>
        <w:rPr>
          <w:rFonts w:hint="eastAsia" w:ascii="仿宋_GB2312" w:hAnsi="仿宋_GB2312" w:eastAsia="仿宋_GB2312" w:cs="仿宋_GB2312"/>
          <w:b/>
          <w:bCs/>
          <w:kern w:val="0"/>
          <w:sz w:val="28"/>
        </w:rPr>
        <w:t>14.</w:t>
      </w:r>
      <w:r>
        <w:rPr>
          <w:rFonts w:hint="eastAsia" w:ascii="仿宋_GB2312" w:hAnsi="仿宋_GB2312" w:eastAsia="仿宋_GB2312" w:cs="仿宋_GB2312"/>
          <w:b/>
          <w:bCs/>
          <w:kern w:val="0"/>
          <w:sz w:val="28"/>
          <w:lang w:val="zh-CN"/>
        </w:rPr>
        <w:t>索赔</w:t>
      </w:r>
      <w:bookmarkEnd w:id="279"/>
      <w:bookmarkEnd w:id="280"/>
      <w:bookmarkEnd w:id="281"/>
      <w:bookmarkEnd w:id="282"/>
    </w:p>
    <w:p w14:paraId="11FE57B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14.1</w:t>
      </w:r>
      <w:r>
        <w:rPr>
          <w:rFonts w:hint="eastAsia" w:ascii="仿宋_GB2312" w:hAnsi="仿宋_GB2312" w:eastAsia="仿宋_GB2312" w:cs="仿宋_GB2312"/>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146544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w:t>
      </w:r>
      <w:r>
        <w:rPr>
          <w:rFonts w:hint="eastAsia" w:ascii="仿宋_GB2312" w:hAnsi="仿宋_GB2312" w:eastAsia="仿宋_GB2312" w:cs="仿宋_GB2312"/>
          <w:kern w:val="0"/>
          <w:lang w:val="zh-CN"/>
        </w:rPr>
        <w:t>在履约保证期和检验期内，乙方对甲方提出的索赔负有责任，乙方应按照甲方同意的下列一种或多种方式解决索赔事宜：</w:t>
      </w:r>
    </w:p>
    <w:p w14:paraId="52E0454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14.2.1</w:t>
      </w:r>
      <w:r>
        <w:rPr>
          <w:rFonts w:hint="eastAsia" w:ascii="仿宋_GB2312" w:hAnsi="仿宋_GB2312" w:eastAsia="仿宋_GB2312" w:cs="仿宋_GB2312"/>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1E3B56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14.2.2</w:t>
      </w:r>
      <w:r>
        <w:rPr>
          <w:rFonts w:hint="eastAsia" w:ascii="仿宋_GB2312" w:hAnsi="仿宋_GB2312" w:eastAsia="仿宋_GB2312" w:cs="仿宋_GB2312"/>
          <w:kern w:val="0"/>
          <w:lang w:val="zh-CN"/>
        </w:rPr>
        <w:t>根据货物低劣程度、损坏程度以及甲方所遭受损失的数额，经甲乙双方商定降低货物的价格，或由有资质的中介机构评估，以降低后的价格或评估价格为准。</w:t>
      </w:r>
    </w:p>
    <w:p w14:paraId="018700B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14.2.3</w:t>
      </w:r>
      <w:r>
        <w:rPr>
          <w:rFonts w:hint="eastAsia" w:ascii="仿宋_GB2312" w:hAnsi="仿宋_GB2312" w:eastAsia="仿宋_GB2312" w:cs="仿宋_GB2312"/>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34D82A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14.3</w:t>
      </w:r>
      <w:r>
        <w:rPr>
          <w:rFonts w:hint="eastAsia" w:ascii="仿宋_GB2312" w:hAnsi="仿宋_GB2312" w:eastAsia="仿宋_GB2312" w:cs="仿宋_GB2312"/>
          <w:kern w:val="0"/>
          <w:lang w:val="zh-CN"/>
        </w:rPr>
        <w:t>乙方收到甲方发出的索赔通知之日起</w:t>
      </w:r>
      <w:r>
        <w:rPr>
          <w:rFonts w:hint="eastAsia" w:ascii="仿宋_GB2312" w:hAnsi="仿宋_GB2312" w:eastAsia="仿宋_GB2312" w:cs="仿宋_GB2312"/>
          <w:kern w:val="0"/>
        </w:rPr>
        <w:t>5</w:t>
      </w:r>
      <w:r>
        <w:rPr>
          <w:rFonts w:hint="eastAsia" w:ascii="仿宋_GB2312" w:hAnsi="仿宋_GB2312" w:eastAsia="仿宋_GB2312" w:cs="仿宋_GB2312"/>
          <w:kern w:val="0"/>
          <w:lang w:val="zh-CN"/>
        </w:rPr>
        <w:t>个工作日内未作答复的，甲方可从合同款或履约保证金中扣回索赔金额，如金额不足以补偿索赔金额，乙方应补足差额部分。</w:t>
      </w:r>
    </w:p>
    <w:p w14:paraId="31E8E889">
      <w:pPr>
        <w:autoSpaceDE w:val="0"/>
        <w:autoSpaceDN w:val="0"/>
        <w:adjustRightInd w:val="0"/>
        <w:spacing w:line="400" w:lineRule="exact"/>
        <w:rPr>
          <w:rFonts w:ascii="仿宋_GB2312" w:hAnsi="仿宋_GB2312" w:eastAsia="仿宋_GB2312" w:cs="仿宋_GB2312"/>
          <w:b/>
          <w:bCs/>
          <w:kern w:val="0"/>
          <w:sz w:val="28"/>
        </w:rPr>
      </w:pPr>
      <w:bookmarkStart w:id="283" w:name="_Toc6565_WPSOffice_Level2"/>
      <w:bookmarkStart w:id="284" w:name="_Toc31557_WPSOffice_Level2"/>
      <w:bookmarkStart w:id="285" w:name="_Toc17088_WPSOffice_Level2"/>
      <w:bookmarkStart w:id="286" w:name="_Toc25928_WPSOffice_Level3"/>
      <w:r>
        <w:rPr>
          <w:rFonts w:hint="eastAsia" w:ascii="仿宋_GB2312" w:hAnsi="仿宋_GB2312" w:eastAsia="仿宋_GB2312" w:cs="仿宋_GB2312"/>
          <w:b/>
          <w:bCs/>
          <w:kern w:val="0"/>
          <w:sz w:val="28"/>
        </w:rPr>
        <w:t>15.</w:t>
      </w:r>
      <w:r>
        <w:rPr>
          <w:rFonts w:hint="eastAsia" w:ascii="仿宋_GB2312" w:hAnsi="仿宋_GB2312" w:eastAsia="仿宋_GB2312" w:cs="仿宋_GB2312"/>
          <w:b/>
          <w:bCs/>
          <w:kern w:val="0"/>
          <w:sz w:val="28"/>
          <w:lang w:val="zh-CN"/>
        </w:rPr>
        <w:t>迟延交货</w:t>
      </w:r>
      <w:bookmarkEnd w:id="283"/>
      <w:bookmarkEnd w:id="284"/>
      <w:bookmarkEnd w:id="285"/>
      <w:bookmarkEnd w:id="286"/>
    </w:p>
    <w:p w14:paraId="31A82F8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15.1 </w:t>
      </w:r>
      <w:r>
        <w:rPr>
          <w:rFonts w:hint="eastAsia" w:ascii="仿宋_GB2312" w:hAnsi="仿宋_GB2312" w:eastAsia="仿宋_GB2312" w:cs="仿宋_GB2312"/>
          <w:kern w:val="0"/>
          <w:lang w:val="zh-CN"/>
        </w:rPr>
        <w:t>乙方应按照合同约定的时间交货和提供服务。</w:t>
      </w:r>
    </w:p>
    <w:p w14:paraId="5E9B562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15.2 </w:t>
      </w:r>
      <w:r>
        <w:rPr>
          <w:rFonts w:hint="eastAsia" w:ascii="仿宋_GB2312" w:hAnsi="仿宋_GB2312" w:eastAsia="仿宋_GB2312" w:cs="仿宋_GB2312"/>
          <w:kern w:val="0"/>
          <w:lang w:val="zh-CN"/>
        </w:rPr>
        <w:t>除不可抗力因素外，乙方迟延交货，甲方有权提出违约损失赔偿或解除合同。</w:t>
      </w:r>
    </w:p>
    <w:p w14:paraId="69DF247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15.3</w:t>
      </w:r>
      <w:r>
        <w:rPr>
          <w:rFonts w:hint="eastAsia" w:ascii="仿宋_GB2312" w:hAnsi="仿宋_GB2312" w:eastAsia="仿宋_GB2312" w:cs="仿宋_GB2312"/>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40400D2">
      <w:pPr>
        <w:autoSpaceDE w:val="0"/>
        <w:autoSpaceDN w:val="0"/>
        <w:adjustRightInd w:val="0"/>
        <w:spacing w:line="400" w:lineRule="exact"/>
        <w:rPr>
          <w:rFonts w:ascii="仿宋_GB2312" w:hAnsi="仿宋_GB2312" w:eastAsia="仿宋_GB2312" w:cs="仿宋_GB2312"/>
          <w:b/>
          <w:bCs/>
          <w:kern w:val="0"/>
          <w:sz w:val="28"/>
        </w:rPr>
      </w:pPr>
      <w:bookmarkStart w:id="287" w:name="_Toc13227_WPSOffice_Level2"/>
      <w:bookmarkStart w:id="288" w:name="_Toc14763_WPSOffice_Level3"/>
      <w:bookmarkStart w:id="289" w:name="_Toc17446_WPSOffice_Level2"/>
      <w:bookmarkStart w:id="290" w:name="_Toc24536_WPSOffice_Level2"/>
      <w:r>
        <w:rPr>
          <w:rFonts w:hint="eastAsia" w:ascii="仿宋_GB2312" w:hAnsi="仿宋_GB2312" w:eastAsia="仿宋_GB2312" w:cs="仿宋_GB2312"/>
          <w:b/>
          <w:bCs/>
          <w:kern w:val="0"/>
          <w:sz w:val="28"/>
        </w:rPr>
        <w:t>16.</w:t>
      </w:r>
      <w:r>
        <w:rPr>
          <w:rFonts w:hint="eastAsia" w:ascii="仿宋_GB2312" w:hAnsi="仿宋_GB2312" w:eastAsia="仿宋_GB2312" w:cs="仿宋_GB2312"/>
          <w:b/>
          <w:bCs/>
          <w:kern w:val="0"/>
          <w:sz w:val="28"/>
          <w:lang w:val="zh-CN"/>
        </w:rPr>
        <w:t>违约赔偿</w:t>
      </w:r>
      <w:bookmarkEnd w:id="287"/>
      <w:bookmarkEnd w:id="288"/>
      <w:bookmarkEnd w:id="289"/>
      <w:bookmarkEnd w:id="290"/>
    </w:p>
    <w:p w14:paraId="4A9A41E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除不可抗力因素外，乙方没有按照合同规定的时间交货和提供服务，甲方可要求乙方支付违约金。违约金每日按合同总价款的千分之五计收。</w:t>
      </w:r>
    </w:p>
    <w:p w14:paraId="1434E4B3">
      <w:pPr>
        <w:autoSpaceDE w:val="0"/>
        <w:autoSpaceDN w:val="0"/>
        <w:adjustRightInd w:val="0"/>
        <w:spacing w:line="400" w:lineRule="exact"/>
        <w:rPr>
          <w:rFonts w:ascii="仿宋_GB2312" w:hAnsi="仿宋_GB2312" w:eastAsia="仿宋_GB2312" w:cs="仿宋_GB2312"/>
          <w:b/>
          <w:bCs/>
          <w:kern w:val="0"/>
          <w:sz w:val="28"/>
        </w:rPr>
      </w:pPr>
      <w:bookmarkStart w:id="291" w:name="_Toc28170_WPSOffice_Level2"/>
      <w:bookmarkStart w:id="292" w:name="_Toc290_WPSOffice_Level2"/>
      <w:bookmarkStart w:id="293" w:name="_Toc23779_WPSOffice_Level2"/>
      <w:bookmarkStart w:id="294" w:name="_Toc6972_WPSOffice_Level3"/>
      <w:r>
        <w:rPr>
          <w:rFonts w:hint="eastAsia" w:ascii="仿宋_GB2312" w:hAnsi="仿宋_GB2312" w:eastAsia="仿宋_GB2312" w:cs="仿宋_GB2312"/>
          <w:b/>
          <w:bCs/>
          <w:kern w:val="0"/>
          <w:sz w:val="28"/>
        </w:rPr>
        <w:t>17.</w:t>
      </w:r>
      <w:r>
        <w:rPr>
          <w:rFonts w:hint="eastAsia" w:ascii="仿宋_GB2312" w:hAnsi="仿宋_GB2312" w:eastAsia="仿宋_GB2312" w:cs="仿宋_GB2312"/>
          <w:b/>
          <w:bCs/>
          <w:kern w:val="0"/>
          <w:sz w:val="28"/>
          <w:lang w:val="zh-CN"/>
        </w:rPr>
        <w:t>不可抗力</w:t>
      </w:r>
      <w:bookmarkEnd w:id="291"/>
      <w:bookmarkEnd w:id="292"/>
      <w:bookmarkEnd w:id="293"/>
      <w:bookmarkEnd w:id="294"/>
    </w:p>
    <w:p w14:paraId="37EE68A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17.1.</w:t>
      </w:r>
      <w:r>
        <w:rPr>
          <w:rFonts w:hint="eastAsia" w:ascii="仿宋_GB2312" w:hAnsi="仿宋_GB2312" w:eastAsia="仿宋_GB2312" w:cs="仿宋_GB2312"/>
          <w:kern w:val="0"/>
          <w:lang w:val="zh-CN"/>
        </w:rPr>
        <w:t>双方中任何一方遭遇法律规定的不可抗力，致使合同履行受阻时，履行合同的期限应予延长，延长的期限应相当于不可抗力所影响的时间。</w:t>
      </w:r>
    </w:p>
    <w:p w14:paraId="1076CB6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17.2</w:t>
      </w:r>
      <w:r>
        <w:rPr>
          <w:rFonts w:hint="eastAsia" w:ascii="仿宋_GB2312" w:hAnsi="仿宋_GB2312" w:eastAsia="仿宋_GB2312" w:cs="仿宋_GB2312"/>
          <w:kern w:val="0"/>
          <w:lang w:val="zh-CN"/>
        </w:rPr>
        <w:t>受事故影响的一方应在不可抗力的事故发生后以书面形式通知另一方。</w:t>
      </w:r>
    </w:p>
    <w:p w14:paraId="28AA9F4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17.3</w:t>
      </w:r>
      <w:r>
        <w:rPr>
          <w:rFonts w:hint="eastAsia" w:ascii="仿宋_GB2312" w:hAnsi="仿宋_GB2312" w:eastAsia="仿宋_GB2312" w:cs="仿宋_GB2312"/>
          <w:kern w:val="0"/>
          <w:lang w:val="zh-CN"/>
        </w:rPr>
        <w:t>不可抗力使合同的某些内容有变更必要的，双方应通过协商达成进一步履行合同的协议，因不可抗力致使合同不能履行的，合同终止。</w:t>
      </w:r>
    </w:p>
    <w:p w14:paraId="47340AF6">
      <w:pPr>
        <w:autoSpaceDE w:val="0"/>
        <w:autoSpaceDN w:val="0"/>
        <w:adjustRightInd w:val="0"/>
        <w:spacing w:line="400" w:lineRule="exact"/>
        <w:rPr>
          <w:rFonts w:ascii="仿宋_GB2312" w:hAnsi="仿宋_GB2312" w:eastAsia="仿宋_GB2312" w:cs="仿宋_GB2312"/>
          <w:b/>
          <w:bCs/>
          <w:kern w:val="0"/>
          <w:sz w:val="28"/>
        </w:rPr>
      </w:pPr>
      <w:bookmarkStart w:id="295" w:name="_Toc15056_WPSOffice_Level2"/>
      <w:bookmarkStart w:id="296" w:name="_Toc27624_WPSOffice_Level2"/>
      <w:bookmarkStart w:id="297" w:name="_Toc11657_WPSOffice_Level3"/>
      <w:bookmarkStart w:id="298" w:name="_Toc8661_WPSOffice_Level2"/>
      <w:r>
        <w:rPr>
          <w:rFonts w:hint="eastAsia" w:ascii="仿宋_GB2312" w:hAnsi="仿宋_GB2312" w:eastAsia="仿宋_GB2312" w:cs="仿宋_GB2312"/>
          <w:b/>
          <w:bCs/>
          <w:kern w:val="0"/>
          <w:sz w:val="28"/>
        </w:rPr>
        <w:t>18.</w:t>
      </w:r>
      <w:r>
        <w:rPr>
          <w:rFonts w:hint="eastAsia" w:ascii="仿宋_GB2312" w:hAnsi="仿宋_GB2312" w:eastAsia="仿宋_GB2312" w:cs="仿宋_GB2312"/>
          <w:b/>
          <w:bCs/>
          <w:kern w:val="0"/>
          <w:sz w:val="28"/>
          <w:lang w:val="zh-CN"/>
        </w:rPr>
        <w:t>税费</w:t>
      </w:r>
      <w:bookmarkEnd w:id="295"/>
      <w:bookmarkEnd w:id="296"/>
      <w:bookmarkEnd w:id="297"/>
      <w:bookmarkEnd w:id="298"/>
    </w:p>
    <w:p w14:paraId="2BD2615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与本合同有关的一切税费均由乙方承担。</w:t>
      </w:r>
    </w:p>
    <w:p w14:paraId="5F4B3FCB">
      <w:pPr>
        <w:autoSpaceDE w:val="0"/>
        <w:autoSpaceDN w:val="0"/>
        <w:adjustRightInd w:val="0"/>
        <w:spacing w:line="400" w:lineRule="exact"/>
        <w:rPr>
          <w:rFonts w:ascii="仿宋_GB2312" w:hAnsi="仿宋_GB2312" w:eastAsia="仿宋_GB2312" w:cs="仿宋_GB2312"/>
          <w:b/>
          <w:bCs/>
          <w:kern w:val="0"/>
          <w:sz w:val="28"/>
        </w:rPr>
      </w:pPr>
      <w:bookmarkStart w:id="299" w:name="_Toc9313_WPSOffice_Level2"/>
      <w:bookmarkStart w:id="300" w:name="_Toc5629_WPSOffice_Level2"/>
      <w:bookmarkStart w:id="301" w:name="_Toc6165_WPSOffice_Level3"/>
      <w:bookmarkStart w:id="302" w:name="_Toc10035_WPSOffice_Level2"/>
      <w:r>
        <w:rPr>
          <w:rFonts w:hint="eastAsia" w:ascii="仿宋_GB2312" w:hAnsi="仿宋_GB2312" w:eastAsia="仿宋_GB2312" w:cs="仿宋_GB2312"/>
          <w:b/>
          <w:bCs/>
          <w:kern w:val="0"/>
          <w:sz w:val="28"/>
        </w:rPr>
        <w:t>19.</w:t>
      </w:r>
      <w:r>
        <w:rPr>
          <w:rFonts w:hint="eastAsia" w:ascii="仿宋_GB2312" w:hAnsi="仿宋_GB2312" w:eastAsia="仿宋_GB2312" w:cs="仿宋_GB2312"/>
          <w:b/>
          <w:bCs/>
          <w:kern w:val="0"/>
          <w:sz w:val="28"/>
          <w:lang w:val="zh-CN"/>
        </w:rPr>
        <w:t>合同争议的解决</w:t>
      </w:r>
      <w:bookmarkEnd w:id="299"/>
      <w:bookmarkEnd w:id="300"/>
      <w:bookmarkEnd w:id="301"/>
      <w:bookmarkEnd w:id="302"/>
    </w:p>
    <w:p w14:paraId="2956A98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19.1</w:t>
      </w:r>
      <w:r>
        <w:rPr>
          <w:rFonts w:hint="eastAsia" w:ascii="仿宋_GB2312" w:hAnsi="仿宋_GB2312" w:eastAsia="仿宋_GB2312" w:cs="仿宋_GB2312"/>
          <w:kern w:val="0"/>
          <w:lang w:val="zh-CN"/>
        </w:rPr>
        <w:t>甲方和乙方由于本合同的履行而发生任何争议时，双方可先通过协商解决。</w:t>
      </w:r>
    </w:p>
    <w:p w14:paraId="295B8AA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19.2</w:t>
      </w:r>
      <w:r>
        <w:rPr>
          <w:rFonts w:hint="eastAsia" w:ascii="仿宋_GB2312" w:hAnsi="仿宋_GB2312" w:eastAsia="仿宋_GB2312" w:cs="仿宋_GB2312"/>
          <w:kern w:val="0"/>
          <w:lang w:val="zh-CN"/>
        </w:rPr>
        <w:t>任何一方不愿通过协商或通过协商仍不能解决争议，则双方中任何一方均应向甲方所在地人民法院起诉。</w:t>
      </w:r>
    </w:p>
    <w:p w14:paraId="43DF1FCA">
      <w:pPr>
        <w:autoSpaceDE w:val="0"/>
        <w:autoSpaceDN w:val="0"/>
        <w:adjustRightInd w:val="0"/>
        <w:spacing w:line="400" w:lineRule="exact"/>
        <w:rPr>
          <w:rFonts w:ascii="仿宋_GB2312" w:hAnsi="仿宋_GB2312" w:eastAsia="仿宋_GB2312" w:cs="仿宋_GB2312"/>
          <w:b/>
          <w:bCs/>
          <w:kern w:val="0"/>
          <w:sz w:val="28"/>
        </w:rPr>
      </w:pPr>
      <w:bookmarkStart w:id="303" w:name="_Toc8811_WPSOffice_Level2"/>
      <w:bookmarkStart w:id="304" w:name="_Toc24774_WPSOffice_Level3"/>
      <w:bookmarkStart w:id="305" w:name="_Toc24719_WPSOffice_Level2"/>
      <w:bookmarkStart w:id="306" w:name="_Toc21866_WPSOffice_Level2"/>
      <w:r>
        <w:rPr>
          <w:rFonts w:hint="eastAsia" w:ascii="仿宋_GB2312" w:hAnsi="仿宋_GB2312" w:eastAsia="仿宋_GB2312" w:cs="仿宋_GB2312"/>
          <w:b/>
          <w:bCs/>
          <w:kern w:val="0"/>
          <w:sz w:val="28"/>
        </w:rPr>
        <w:t>20.</w:t>
      </w:r>
      <w:r>
        <w:rPr>
          <w:rFonts w:hint="eastAsia" w:ascii="仿宋_GB2312" w:hAnsi="仿宋_GB2312" w:eastAsia="仿宋_GB2312" w:cs="仿宋_GB2312"/>
          <w:b/>
          <w:bCs/>
          <w:kern w:val="0"/>
          <w:sz w:val="28"/>
          <w:lang w:val="zh-CN"/>
        </w:rPr>
        <w:t>违约解除合同</w:t>
      </w:r>
      <w:bookmarkEnd w:id="303"/>
      <w:bookmarkEnd w:id="304"/>
      <w:bookmarkEnd w:id="305"/>
      <w:bookmarkEnd w:id="306"/>
    </w:p>
    <w:p w14:paraId="31543A9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w:t>
      </w:r>
      <w:r>
        <w:rPr>
          <w:rFonts w:hint="eastAsia" w:ascii="仿宋_GB2312" w:hAnsi="仿宋_GB2312" w:eastAsia="仿宋_GB2312" w:cs="仿宋_GB2312"/>
          <w:kern w:val="0"/>
          <w:lang w:val="zh-CN"/>
        </w:rPr>
        <w:t>出现下列情形之一的，视为乙方违约。甲方可向乙方发出书面通知，部分或全部终止合同，同时保留向乙方索赔的权利。</w:t>
      </w:r>
    </w:p>
    <w:p w14:paraId="5728420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20.1.1</w:t>
      </w:r>
      <w:r>
        <w:rPr>
          <w:rFonts w:hint="eastAsia" w:ascii="仿宋_GB2312" w:hAnsi="仿宋_GB2312" w:eastAsia="仿宋_GB2312" w:cs="仿宋_GB2312"/>
          <w:kern w:val="0"/>
          <w:lang w:val="zh-CN"/>
        </w:rPr>
        <w:t>乙方未能在合同规定的限期或甲方同意延长的限期内，提供全部或部分货物的；</w:t>
      </w:r>
    </w:p>
    <w:p w14:paraId="2A941D9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20.1.2</w:t>
      </w:r>
      <w:r>
        <w:rPr>
          <w:rFonts w:hint="eastAsia" w:ascii="仿宋_GB2312" w:hAnsi="仿宋_GB2312" w:eastAsia="仿宋_GB2312" w:cs="仿宋_GB2312"/>
          <w:kern w:val="0"/>
          <w:lang w:val="zh-CN"/>
        </w:rPr>
        <w:t>乙方未能履行合同规定的其它主要义务的；</w:t>
      </w:r>
    </w:p>
    <w:p w14:paraId="149B7E2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20.1.3</w:t>
      </w:r>
      <w:r>
        <w:rPr>
          <w:rFonts w:hint="eastAsia" w:ascii="仿宋_GB2312" w:hAnsi="仿宋_GB2312" w:eastAsia="仿宋_GB2312" w:cs="仿宋_GB2312"/>
          <w:kern w:val="0"/>
          <w:lang w:val="zh-CN"/>
        </w:rPr>
        <w:t>乙方在本合同履行过程中有欺诈行为的。</w:t>
      </w:r>
    </w:p>
    <w:p w14:paraId="7AB095A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20.2</w:t>
      </w:r>
      <w:r>
        <w:rPr>
          <w:rFonts w:hint="eastAsia" w:ascii="仿宋_GB2312" w:hAnsi="仿宋_GB2312" w:eastAsia="仿宋_GB2312" w:cs="仿宋_GB2312"/>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DB4D6BB">
      <w:pPr>
        <w:autoSpaceDE w:val="0"/>
        <w:autoSpaceDN w:val="0"/>
        <w:adjustRightInd w:val="0"/>
        <w:spacing w:line="400" w:lineRule="exact"/>
        <w:rPr>
          <w:rFonts w:ascii="仿宋_GB2312" w:hAnsi="仿宋_GB2312" w:eastAsia="仿宋_GB2312" w:cs="仿宋_GB2312"/>
          <w:b/>
          <w:bCs/>
          <w:kern w:val="0"/>
          <w:sz w:val="28"/>
        </w:rPr>
      </w:pPr>
      <w:bookmarkStart w:id="307" w:name="_Toc14558_WPSOffice_Level2"/>
      <w:bookmarkStart w:id="308" w:name="_Toc26530_WPSOffice_Level3"/>
      <w:bookmarkStart w:id="309" w:name="_Toc29125_WPSOffice_Level2"/>
      <w:bookmarkStart w:id="310" w:name="_Toc31674_WPSOffice_Level2"/>
      <w:r>
        <w:rPr>
          <w:rFonts w:hint="eastAsia" w:ascii="仿宋_GB2312" w:hAnsi="仿宋_GB2312" w:eastAsia="仿宋_GB2312" w:cs="仿宋_GB2312"/>
          <w:b/>
          <w:bCs/>
          <w:kern w:val="0"/>
          <w:sz w:val="28"/>
        </w:rPr>
        <w:t>21.</w:t>
      </w:r>
      <w:r>
        <w:rPr>
          <w:rFonts w:hint="eastAsia" w:ascii="仿宋_GB2312" w:hAnsi="仿宋_GB2312" w:eastAsia="仿宋_GB2312" w:cs="仿宋_GB2312"/>
          <w:b/>
          <w:bCs/>
          <w:kern w:val="0"/>
          <w:sz w:val="28"/>
          <w:lang w:val="zh-CN"/>
        </w:rPr>
        <w:t>破产终止合同</w:t>
      </w:r>
      <w:bookmarkEnd w:id="307"/>
      <w:bookmarkEnd w:id="308"/>
      <w:bookmarkEnd w:id="309"/>
      <w:bookmarkEnd w:id="310"/>
    </w:p>
    <w:p w14:paraId="3EE3E57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8CE5176">
      <w:pPr>
        <w:autoSpaceDE w:val="0"/>
        <w:autoSpaceDN w:val="0"/>
        <w:adjustRightInd w:val="0"/>
        <w:spacing w:line="400" w:lineRule="exact"/>
        <w:rPr>
          <w:rFonts w:ascii="仿宋_GB2312" w:hAnsi="仿宋_GB2312" w:eastAsia="仿宋_GB2312" w:cs="仿宋_GB2312"/>
          <w:b/>
          <w:bCs/>
          <w:kern w:val="0"/>
          <w:sz w:val="28"/>
        </w:rPr>
      </w:pPr>
      <w:bookmarkStart w:id="311" w:name="_Toc16866_WPSOffice_Level2"/>
      <w:bookmarkStart w:id="312" w:name="_Toc626_WPSOffice_Level3"/>
      <w:bookmarkStart w:id="313" w:name="_Toc19459_WPSOffice_Level2"/>
      <w:bookmarkStart w:id="314" w:name="_Toc28417_WPSOffice_Level2"/>
      <w:r>
        <w:rPr>
          <w:rFonts w:hint="eastAsia" w:ascii="仿宋_GB2312" w:hAnsi="仿宋_GB2312" w:eastAsia="仿宋_GB2312" w:cs="仿宋_GB2312"/>
          <w:b/>
          <w:bCs/>
          <w:kern w:val="0"/>
          <w:sz w:val="28"/>
        </w:rPr>
        <w:t>22.</w:t>
      </w:r>
      <w:r>
        <w:rPr>
          <w:rFonts w:hint="eastAsia" w:ascii="仿宋_GB2312" w:hAnsi="仿宋_GB2312" w:eastAsia="仿宋_GB2312" w:cs="仿宋_GB2312"/>
          <w:b/>
          <w:bCs/>
          <w:kern w:val="0"/>
          <w:sz w:val="28"/>
          <w:lang w:val="zh-CN"/>
        </w:rPr>
        <w:t>转让和分包</w:t>
      </w:r>
      <w:bookmarkEnd w:id="311"/>
      <w:bookmarkEnd w:id="312"/>
      <w:bookmarkEnd w:id="313"/>
      <w:bookmarkEnd w:id="314"/>
    </w:p>
    <w:p w14:paraId="413292D8">
      <w:pPr>
        <w:autoSpaceDE w:val="0"/>
        <w:autoSpaceDN w:val="0"/>
        <w:adjustRightInd w:val="0"/>
        <w:spacing w:line="40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22.1</w:t>
      </w:r>
      <w:r>
        <w:rPr>
          <w:rFonts w:hint="eastAsia" w:ascii="仿宋_GB2312" w:hAnsi="仿宋_GB2312" w:eastAsia="仿宋_GB2312" w:cs="仿宋_GB2312"/>
          <w:kern w:val="0"/>
          <w:lang w:val="zh-CN"/>
        </w:rPr>
        <w:t>政府采购合同不能转让。</w:t>
      </w:r>
    </w:p>
    <w:p w14:paraId="4260B931">
      <w:pPr>
        <w:autoSpaceDE w:val="0"/>
        <w:autoSpaceDN w:val="0"/>
        <w:adjustRightInd w:val="0"/>
        <w:spacing w:line="40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22.2</w:t>
      </w:r>
      <w:r>
        <w:rPr>
          <w:rFonts w:hint="eastAsia" w:ascii="仿宋_GB2312" w:hAnsi="仿宋_GB2312" w:eastAsia="仿宋_GB2312" w:cs="仿宋_GB2312"/>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85FA89A">
      <w:pPr>
        <w:autoSpaceDE w:val="0"/>
        <w:autoSpaceDN w:val="0"/>
        <w:adjustRightInd w:val="0"/>
        <w:spacing w:line="400" w:lineRule="exact"/>
        <w:rPr>
          <w:rFonts w:ascii="仿宋_GB2312" w:hAnsi="仿宋_GB2312" w:eastAsia="仿宋_GB2312" w:cs="仿宋_GB2312"/>
          <w:b/>
          <w:bCs/>
          <w:kern w:val="0"/>
          <w:sz w:val="28"/>
        </w:rPr>
      </w:pPr>
      <w:bookmarkStart w:id="315" w:name="_Toc32377_WPSOffice_Level2"/>
      <w:bookmarkStart w:id="316" w:name="_Toc7824_WPSOffice_Level2"/>
      <w:bookmarkStart w:id="317" w:name="_Toc27976_WPSOffice_Level3"/>
      <w:bookmarkStart w:id="318" w:name="_Toc21362_WPSOffice_Level2"/>
      <w:r>
        <w:rPr>
          <w:rFonts w:hint="eastAsia" w:ascii="仿宋_GB2312" w:hAnsi="仿宋_GB2312" w:eastAsia="仿宋_GB2312" w:cs="仿宋_GB2312"/>
          <w:b/>
          <w:bCs/>
          <w:kern w:val="0"/>
          <w:sz w:val="28"/>
        </w:rPr>
        <w:t>23.</w:t>
      </w:r>
      <w:r>
        <w:rPr>
          <w:rFonts w:hint="eastAsia" w:ascii="仿宋_GB2312" w:hAnsi="仿宋_GB2312" w:eastAsia="仿宋_GB2312" w:cs="仿宋_GB2312"/>
          <w:b/>
          <w:bCs/>
          <w:kern w:val="0"/>
          <w:sz w:val="28"/>
          <w:lang w:val="zh-CN"/>
        </w:rPr>
        <w:t>合同修改</w:t>
      </w:r>
      <w:bookmarkEnd w:id="315"/>
      <w:bookmarkEnd w:id="316"/>
      <w:bookmarkEnd w:id="317"/>
      <w:bookmarkEnd w:id="318"/>
    </w:p>
    <w:p w14:paraId="1097B0CA">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甲方和乙方都不得擅自变更本合同，但合同继续履行将损害国家和社会公共利益的除外。如必须对合同条款进行改动时，当事人双方须共同签署书面文件，做为合同的补充。</w:t>
      </w:r>
    </w:p>
    <w:p w14:paraId="5C3133F1">
      <w:pPr>
        <w:autoSpaceDE w:val="0"/>
        <w:autoSpaceDN w:val="0"/>
        <w:adjustRightInd w:val="0"/>
        <w:spacing w:line="400" w:lineRule="exact"/>
        <w:rPr>
          <w:rFonts w:ascii="仿宋_GB2312" w:hAnsi="仿宋_GB2312" w:eastAsia="仿宋_GB2312" w:cs="仿宋_GB2312"/>
          <w:b/>
          <w:bCs/>
          <w:kern w:val="0"/>
          <w:sz w:val="28"/>
        </w:rPr>
      </w:pPr>
      <w:bookmarkStart w:id="319" w:name="_Toc8980_WPSOffice_Level2"/>
      <w:bookmarkStart w:id="320" w:name="_Toc24231_WPSOffice_Level3"/>
      <w:bookmarkStart w:id="321" w:name="_Toc7847_WPSOffice_Level2"/>
      <w:bookmarkStart w:id="322" w:name="_Toc1213_WPSOffice_Level2"/>
      <w:r>
        <w:rPr>
          <w:rFonts w:hint="eastAsia" w:ascii="仿宋_GB2312" w:hAnsi="仿宋_GB2312" w:eastAsia="仿宋_GB2312" w:cs="仿宋_GB2312"/>
          <w:b/>
          <w:bCs/>
          <w:kern w:val="0"/>
          <w:sz w:val="28"/>
        </w:rPr>
        <w:t>24.</w:t>
      </w:r>
      <w:r>
        <w:rPr>
          <w:rFonts w:hint="eastAsia" w:ascii="仿宋_GB2312" w:hAnsi="仿宋_GB2312" w:eastAsia="仿宋_GB2312" w:cs="仿宋_GB2312"/>
          <w:b/>
          <w:bCs/>
          <w:kern w:val="0"/>
          <w:sz w:val="28"/>
          <w:lang w:val="zh-CN"/>
        </w:rPr>
        <w:t>通知</w:t>
      </w:r>
      <w:bookmarkEnd w:id="319"/>
      <w:bookmarkEnd w:id="320"/>
      <w:bookmarkEnd w:id="321"/>
      <w:bookmarkEnd w:id="322"/>
    </w:p>
    <w:p w14:paraId="49F53F0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本合同任何一方给另一方的通知，都应以书面形式发送，而另一方也应以书面形式确认并发送到对方明确的地址。</w:t>
      </w:r>
    </w:p>
    <w:p w14:paraId="7EEAD40F">
      <w:pPr>
        <w:autoSpaceDE w:val="0"/>
        <w:autoSpaceDN w:val="0"/>
        <w:adjustRightInd w:val="0"/>
        <w:spacing w:line="400" w:lineRule="exact"/>
        <w:rPr>
          <w:rFonts w:ascii="仿宋_GB2312" w:hAnsi="仿宋_GB2312" w:eastAsia="仿宋_GB2312" w:cs="仿宋_GB2312"/>
          <w:b/>
          <w:bCs/>
          <w:kern w:val="0"/>
          <w:sz w:val="28"/>
        </w:rPr>
      </w:pPr>
      <w:bookmarkStart w:id="323" w:name="_Toc20347_WPSOffice_Level2"/>
      <w:bookmarkStart w:id="324" w:name="_Toc2519_WPSOffice_Level3"/>
      <w:bookmarkStart w:id="325" w:name="_Toc9224_WPSOffice_Level2"/>
      <w:bookmarkStart w:id="326" w:name="_Toc15325_WPSOffice_Level2"/>
      <w:r>
        <w:rPr>
          <w:rFonts w:hint="eastAsia" w:ascii="仿宋_GB2312" w:hAnsi="仿宋_GB2312" w:eastAsia="仿宋_GB2312" w:cs="仿宋_GB2312"/>
          <w:b/>
          <w:bCs/>
          <w:kern w:val="0"/>
          <w:sz w:val="28"/>
        </w:rPr>
        <w:t>25.</w:t>
      </w:r>
      <w:r>
        <w:rPr>
          <w:rFonts w:hint="eastAsia" w:ascii="仿宋_GB2312" w:hAnsi="仿宋_GB2312" w:eastAsia="仿宋_GB2312" w:cs="仿宋_GB2312"/>
          <w:b/>
          <w:bCs/>
          <w:kern w:val="0"/>
          <w:sz w:val="28"/>
          <w:lang w:val="zh-CN"/>
        </w:rPr>
        <w:t>计量单位</w:t>
      </w:r>
      <w:bookmarkEnd w:id="323"/>
      <w:bookmarkEnd w:id="324"/>
      <w:bookmarkEnd w:id="325"/>
      <w:bookmarkEnd w:id="326"/>
    </w:p>
    <w:p w14:paraId="4991E4F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除技术规范中另有规定外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计量单位均使用国家法定计量单位。</w:t>
      </w:r>
    </w:p>
    <w:p w14:paraId="3EDFB520">
      <w:pPr>
        <w:autoSpaceDE w:val="0"/>
        <w:autoSpaceDN w:val="0"/>
        <w:adjustRightInd w:val="0"/>
        <w:spacing w:line="400" w:lineRule="exact"/>
        <w:rPr>
          <w:rFonts w:ascii="仿宋_GB2312" w:hAnsi="仿宋_GB2312" w:eastAsia="仿宋_GB2312" w:cs="仿宋_GB2312"/>
          <w:b/>
          <w:bCs/>
          <w:kern w:val="0"/>
          <w:sz w:val="28"/>
        </w:rPr>
      </w:pPr>
      <w:bookmarkStart w:id="327" w:name="_Toc32427_WPSOffice_Level2"/>
      <w:bookmarkStart w:id="328" w:name="_Toc2956_WPSOffice_Level3"/>
      <w:bookmarkStart w:id="329" w:name="_Toc11559_WPSOffice_Level2"/>
      <w:bookmarkStart w:id="330" w:name="_Toc20754_WPSOffice_Level2"/>
      <w:r>
        <w:rPr>
          <w:rFonts w:hint="eastAsia" w:ascii="仿宋_GB2312" w:hAnsi="仿宋_GB2312" w:eastAsia="仿宋_GB2312" w:cs="仿宋_GB2312"/>
          <w:b/>
          <w:bCs/>
          <w:kern w:val="0"/>
          <w:sz w:val="28"/>
        </w:rPr>
        <w:t>26.</w:t>
      </w:r>
      <w:r>
        <w:rPr>
          <w:rFonts w:hint="eastAsia" w:ascii="仿宋_GB2312" w:hAnsi="仿宋_GB2312" w:eastAsia="仿宋_GB2312" w:cs="仿宋_GB2312"/>
          <w:b/>
          <w:bCs/>
          <w:kern w:val="0"/>
          <w:sz w:val="28"/>
          <w:lang w:val="zh-CN"/>
        </w:rPr>
        <w:t>适用法律</w:t>
      </w:r>
      <w:bookmarkEnd w:id="327"/>
      <w:bookmarkEnd w:id="328"/>
      <w:bookmarkEnd w:id="329"/>
      <w:bookmarkEnd w:id="330"/>
    </w:p>
    <w:p w14:paraId="0FF48B48">
      <w:pPr>
        <w:autoSpaceDE w:val="0"/>
        <w:autoSpaceDN w:val="0"/>
        <w:adjustRightInd w:val="0"/>
        <w:spacing w:line="400" w:lineRule="exact"/>
        <w:ind w:firstLine="480"/>
        <w:rPr>
          <w:rFonts w:hint="eastAsia"/>
          <w:lang w:val="zh-CN"/>
        </w:rPr>
        <w:sectPr>
          <w:footnotePr>
            <w:numFmt w:val="decimal"/>
          </w:footnotePr>
          <w:pgSz w:w="11900" w:h="16840"/>
          <w:pgMar w:top="1284" w:right="1722" w:bottom="1243" w:left="1646" w:header="856" w:footer="3" w:gutter="0"/>
          <w:cols w:space="720" w:num="1"/>
          <w:rtlGutter w:val="0"/>
          <w:docGrid w:linePitch="360" w:charSpace="0"/>
        </w:sectPr>
      </w:pPr>
      <w:r>
        <w:rPr>
          <w:rFonts w:hint="eastAsia" w:ascii="仿宋_GB2312" w:hAnsi="仿宋_GB2312" w:eastAsia="仿宋_GB2312" w:cs="仿宋_GB2312"/>
          <w:kern w:val="0"/>
          <w:lang w:val="zh-CN"/>
        </w:rPr>
        <w:t>本合同按照中华人民共和国的相关法律进行解释。</w:t>
      </w:r>
    </w:p>
    <w:p w14:paraId="3A6EF023">
      <w:pPr>
        <w:widowControl/>
        <w:spacing w:line="240" w:lineRule="auto"/>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14:paraId="0CFFC684">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331" w:name="_Toc101710030"/>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331"/>
    </w:p>
    <w:p w14:paraId="78EC618F">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14:paraId="43AC4627">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2" w:name="_Toc16431"/>
      <w:bookmarkStart w:id="333" w:name="_Toc984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332"/>
      <w:bookmarkEnd w:id="333"/>
    </w:p>
    <w:p w14:paraId="17B3D0A7">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0F6E67B4">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1FC1F4E9">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176C95D8">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14:paraId="78936FA0">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6A727533">
      <w:pPr>
        <w:pStyle w:val="9"/>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青海省招竞磋（服务）2024-</w:t>
      </w:r>
    </w:p>
    <w:p w14:paraId="35BAE636">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59228A94">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r>
        <w:rPr>
          <w:rFonts w:hint="eastAsia" w:ascii="宋体" w:hAnsi="宋体" w:cs="宋体"/>
          <w:b/>
          <w:bCs/>
          <w:color w:val="000000" w:themeColor="text1"/>
          <w:sz w:val="36"/>
          <w:szCs w:val="36"/>
          <w:highlight w:val="none"/>
          <w:lang w:eastAsia="zh-CN"/>
          <w14:textFill>
            <w14:solidFill>
              <w14:schemeClr w14:val="tx1"/>
            </w14:solidFill>
          </w14:textFill>
        </w:rPr>
        <w:t>海南州乡村振兴规划编制项目</w:t>
      </w:r>
    </w:p>
    <w:p w14:paraId="35BB562A">
      <w:pPr>
        <w:adjustRightInd w:val="0"/>
        <w:spacing w:line="600" w:lineRule="exact"/>
        <w:ind w:firstLine="0" w:firstLineChars="0"/>
        <w:textAlignment w:val="baseline"/>
        <w:rPr>
          <w:rFonts w:hint="eastAsia" w:ascii="宋体" w:hAnsi="宋体" w:cs="宋体"/>
          <w:b/>
          <w:bCs/>
          <w:color w:val="000000" w:themeColor="text1"/>
          <w:sz w:val="36"/>
          <w:szCs w:val="36"/>
          <w:highlight w:val="none"/>
          <w14:textFill>
            <w14:solidFill>
              <w14:schemeClr w14:val="tx1"/>
            </w14:solidFill>
          </w14:textFill>
        </w:rPr>
      </w:pPr>
    </w:p>
    <w:p w14:paraId="24F071BC">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14:paraId="50DD4A82">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14:paraId="46EF6C88">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供应商：（公章）</w:t>
      </w:r>
    </w:p>
    <w:p w14:paraId="364F6513">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14:paraId="30E4B289">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14:paraId="6B7E755F">
      <w:pPr>
        <w:wordWrap w:val="0"/>
        <w:spacing w:line="360" w:lineRule="auto"/>
        <w:ind w:firstLine="0" w:firstLineChars="0"/>
        <w:rPr>
          <w:rFonts w:ascii="宋体" w:hAnsi="宋体" w:cs="宋体"/>
          <w:b/>
          <w:color w:val="000000" w:themeColor="text1"/>
          <w:sz w:val="28"/>
          <w:szCs w:val="28"/>
          <w:highlight w:val="none"/>
          <w14:textFill>
            <w14:solidFill>
              <w14:schemeClr w14:val="tx1"/>
            </w14:solidFill>
          </w14:textFill>
        </w:rPr>
      </w:pPr>
      <w:bookmarkStart w:id="334" w:name="_Toc30269"/>
      <w:bookmarkStart w:id="335" w:name="_Toc17238"/>
    </w:p>
    <w:p w14:paraId="17CC894B">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54C9015C">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14:paraId="3D33F48F">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14:paraId="3D510FF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14:paraId="3BEBA6A1">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14:paraId="5B942E3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14:paraId="534F8B2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 ...    所在页码</w:t>
      </w:r>
    </w:p>
    <w:p w14:paraId="56AC058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14:paraId="75963BB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14:paraId="3FF4F53C">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14:paraId="1B258B9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14:paraId="0FA2BCA4">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14:paraId="47EAB5A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14:paraId="52DB2F0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14:paraId="48F05FC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14:paraId="472A427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14:paraId="208D5A74">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14:paraId="5C74306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14:paraId="6870FB6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14:paraId="04FCA03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14:paraId="0BAE3F6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14:paraId="5B00854F">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72FFFD0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36" w:name="_Toc376936768"/>
      <w:bookmarkStart w:id="337" w:name="_Toc32572603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334"/>
      <w:bookmarkEnd w:id="335"/>
      <w:bookmarkEnd w:id="336"/>
      <w:bookmarkEnd w:id="337"/>
    </w:p>
    <w:p w14:paraId="74FC087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03C95D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14:paraId="0AB3165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F583440">
      <w:pPr>
        <w:spacing w:line="520" w:lineRule="exact"/>
        <w:ind w:firstLine="0" w:firstLineChars="0"/>
        <w:textAlignment w:val="baseline"/>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青海省招标有限责任公司</w:t>
      </w:r>
    </w:p>
    <w:p w14:paraId="24F3FEAD">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DE5F44E">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14:paraId="0EF744CD">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14:paraId="6E16F488">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14:paraId="5DAC5996">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14:paraId="7C0A9B69">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14:paraId="462F2893">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14:paraId="24F3EE54">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5DF9BCF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215358E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292016F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24A126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9DD093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C0DE0E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609E73E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8" w:name="_Toc31069"/>
      <w:bookmarkStart w:id="339" w:name="_Toc2695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338"/>
      <w:bookmarkEnd w:id="339"/>
    </w:p>
    <w:p w14:paraId="06626469">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F7BEA65">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14:paraId="073AA2D7">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77F6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44C8665D">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11054F00">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215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3F6ED05">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41B19A81">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D69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F02A5DF">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61660F0F">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F3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1FFA824">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01ACEAFA">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9E5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5BA7A87A">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服务承诺及其他：</w:t>
            </w:r>
          </w:p>
          <w:p w14:paraId="5836CCEA">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E23D9B2">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2F9EEF15">
      <w:pPr>
        <w:pStyle w:val="64"/>
        <w:spacing w:line="520" w:lineRule="exact"/>
        <w:ind w:firstLine="562" w:firstLineChars="200"/>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注：本项目磋商报价按总价报价，不得超过项目最高限价</w:t>
      </w:r>
    </w:p>
    <w:p w14:paraId="269AFF60">
      <w:pPr>
        <w:pStyle w:val="64"/>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3FB5CA3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BB2BF20">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14:paraId="2EDC747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827B74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867118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A6F48B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D741B0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0" w:name="_Toc13693"/>
      <w:bookmarkStart w:id="341" w:name="_Toc14675"/>
    </w:p>
    <w:p w14:paraId="455BB44C">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p>
    <w:p w14:paraId="732A1B4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37D5E2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14:paraId="2F010672">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8"/>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011CE35F">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427B6BFE">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2734CA2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27A8104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2BE94F1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14:paraId="1698E478">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544D46B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2B95A0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5388BD1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F30B01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22D9FADB">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3F4E5D4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17DE7BC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4D2770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A08D47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7A57240E">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7B45CF7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846DED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430AEB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47BD66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1F09E1C1">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9F50F3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0C7E1CB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1B6EF8D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2A7A558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643C48E0">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59CAC8B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08882677">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242E7467">
      <w:pPr>
        <w:pStyle w:val="64"/>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注：若分项费用的计算依据、过程和公式不便在表中表述，可单独另附表格或描述进行说明。</w:t>
      </w:r>
    </w:p>
    <w:p w14:paraId="25D52BC3">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1D6B0F">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C4F34BC">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8E2D964">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E44E2F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A4F775D">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C63162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22F36F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5AA59A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18A1DC27">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6873644">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687815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42" w:name="_Toc376936774"/>
      <w:bookmarkStart w:id="343" w:name="_Toc32572604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340"/>
      <w:bookmarkEnd w:id="341"/>
      <w:bookmarkEnd w:id="342"/>
      <w:bookmarkEnd w:id="343"/>
    </w:p>
    <w:p w14:paraId="3D69047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2F396B8">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14:paraId="42E08AA4">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F2E54EF">
      <w:pPr>
        <w:autoSpaceDE w:val="0"/>
        <w:autoSpaceDN w:val="0"/>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0E7C501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10F561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14:paraId="265455E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B04E13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14:paraId="2B264A9B">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14:paraId="6F26782C">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14:paraId="172B14D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14:paraId="59CB038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597794F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14:paraId="54DA2F68">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28EAF48">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3DE42A7">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19D9CA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8126B9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14:paraId="5225A45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14:paraId="6236844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12FE22F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4" w:name="_Toc324756736"/>
      <w:bookmarkStart w:id="345" w:name="_Toc201287639"/>
      <w:bookmarkStart w:id="346" w:name="_Toc31614"/>
      <w:bookmarkStart w:id="347" w:name="_Toc2920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344"/>
      <w:bookmarkEnd w:id="345"/>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346"/>
      <w:bookmarkEnd w:id="347"/>
    </w:p>
    <w:p w14:paraId="0F16ADD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E29D409">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14:paraId="57980D17">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8E09AEC">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51327460">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14:paraId="6035006C">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14:paraId="1261942A">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14:paraId="06E5C44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14:paraId="436C31AD">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14:paraId="6DAD526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p>
    <w:p w14:paraId="18E3B87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380250C6">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p>
    <w:p w14:paraId="166DAFBC">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63E0E65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4995D8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14:paraId="3C26915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AB4400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BCC5460">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DE38AA4">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ED98E30">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32335D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7421CB3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310F455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8" w:name="_Toc25884"/>
      <w:bookmarkStart w:id="349" w:name="_Toc302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348"/>
      <w:bookmarkEnd w:id="349"/>
    </w:p>
    <w:p w14:paraId="24CC6F6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44704D7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14:paraId="50998C3B">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160D7B37">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10B3E13F">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1FB7449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14:paraId="4DE7113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14:paraId="267A68B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14:paraId="276A20A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14:paraId="7784FDF1">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A4E857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FC573B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F860C3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D216D1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216D933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0" w:name="_Toc11173"/>
      <w:bookmarkStart w:id="351" w:name="_Toc113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52" w:name="_Toc351475542"/>
      <w:bookmarkStart w:id="353" w:name="_Toc365019584"/>
      <w:bookmarkStart w:id="354" w:name="_Toc37693677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350"/>
      <w:bookmarkEnd w:id="351"/>
      <w:bookmarkEnd w:id="352"/>
      <w:bookmarkEnd w:id="353"/>
      <w:bookmarkEnd w:id="354"/>
    </w:p>
    <w:p w14:paraId="18481F3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14:paraId="7724AE31">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23638BE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14:paraId="0F6C4AB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14:paraId="0F48F54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青海省招标有限责任公司</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组织的政府采购活动时，严格按照磋商文件的规定和要求提供所需的相关材料，并对所提供的各类资料的真实性负责，不虚假应标，不虚列业绩。</w:t>
      </w:r>
    </w:p>
    <w:p w14:paraId="5DE5BA48">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14:paraId="091295E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14:paraId="4C6BDE0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3A05CC2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14:paraId="2B065DCC">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14:paraId="52CB284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14:paraId="7C5BF14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68C727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0EE3202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C946AC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5" w:name="_Toc7486"/>
      <w:bookmarkStart w:id="356" w:name="_Toc2599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355"/>
      <w:bookmarkEnd w:id="356"/>
    </w:p>
    <w:p w14:paraId="4EEBD09C">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CD3B0EE">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14:paraId="257DBF5B">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2C1E23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14:paraId="799DB4B1">
      <w:pPr>
        <w:numPr>
          <w:ilvl w:val="0"/>
          <w:numId w:val="5"/>
        </w:numPr>
        <w:spacing w:line="520" w:lineRule="exact"/>
        <w:ind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14:paraId="24C9433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FD2C8F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14:paraId="71FDD1D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14:paraId="6CC27D6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1AF6DC6">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57" w:name="_Toc32130"/>
      <w:bookmarkStart w:id="358" w:name="_Toc1912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357"/>
      <w:bookmarkEnd w:id="358"/>
    </w:p>
    <w:p w14:paraId="5D374041">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7188932">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14:paraId="5DB846BE">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68D32E5">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7B3FF0E4">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1、投标人是法人的，提供基本开户银行近三个月内出具的资信证明（同时提供基本存款账户开户许可证）或20</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23</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p>
    <w:p w14:paraId="65414549">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投标人是其他组织和自然人或者新成立的投标人，没有经审计的财务报告， 可以提供基本开户银行出具的资信证明（同时提供基本存款账户开户许可证）。</w:t>
      </w:r>
    </w:p>
    <w:p w14:paraId="6422776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58070E5E">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359" w:name="_Toc23114"/>
      <w:bookmarkStart w:id="360" w:name="_Toc271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14:paraId="050CC29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C61C6BD">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14:paraId="6844DB0B">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14:paraId="6AF96413">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08914F9A">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99610F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F6B330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7B7E0B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F477F2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8ED867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AC58F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DBBC83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6A84F0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9B4C1F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B9CEE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E3064A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0E624F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BB109A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9A402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9CA5D8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39B0F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C8BC8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36F812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6AC3DD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61" w:name="_Toc376936781"/>
      <w:bookmarkStart w:id="362" w:name="_Toc3257260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361"/>
      <w:bookmarkEnd w:id="362"/>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359"/>
      <w:bookmarkEnd w:id="360"/>
    </w:p>
    <w:p w14:paraId="6418CCD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B48A3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14:paraId="392728B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23687B">
      <w:pPr>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0A57BE10">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8EBF61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14:paraId="530B998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784399D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734DD7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062502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143B09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C2B5CB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21A7F7D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41DA33B">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3" w:name="_Toc24531"/>
      <w:bookmarkStart w:id="364" w:name="_Toc2295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363"/>
      <w:bookmarkEnd w:id="364"/>
    </w:p>
    <w:p w14:paraId="404D86EA">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17B4D5C">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p>
    <w:p w14:paraId="35A52BC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3E7B8DB">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14:paraId="372FB0F0">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7A6A83A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5" w:name="_Toc1224"/>
    </w:p>
    <w:p w14:paraId="488E3F56">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BABF672">
      <w:pPr>
        <w:spacing w:line="520" w:lineRule="exact"/>
        <w:ind w:firstLine="0" w:firstLineChars="0"/>
        <w:rPr>
          <w:rFonts w:cs="宋体" w:asciiTheme="minorEastAsia" w:hAnsiTheme="minorEastAsia" w:eastAsiaTheme="minorEastAsia"/>
          <w:b/>
          <w:color w:val="000000"/>
          <w:sz w:val="28"/>
          <w:szCs w:val="28"/>
        </w:rPr>
      </w:pPr>
    </w:p>
    <w:p w14:paraId="3E51969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3E2D64CB">
      <w:pPr>
        <w:spacing w:line="520" w:lineRule="exact"/>
        <w:ind w:firstLine="0" w:firstLineChars="0"/>
        <w:rPr>
          <w:rFonts w:cs="宋体" w:asciiTheme="minorEastAsia" w:hAnsiTheme="minorEastAsia" w:eastAsiaTheme="minorEastAsia"/>
          <w:b/>
          <w:color w:val="000000"/>
          <w:sz w:val="28"/>
          <w:szCs w:val="28"/>
        </w:rPr>
      </w:pPr>
    </w:p>
    <w:p w14:paraId="29026F84">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554F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E83740D">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233" w:type="dxa"/>
            <w:tcBorders>
              <w:top w:val="single" w:color="auto" w:sz="4" w:space="0"/>
              <w:left w:val="single" w:color="auto" w:sz="4" w:space="0"/>
              <w:bottom w:val="single" w:color="auto" w:sz="4" w:space="0"/>
              <w:right w:val="single" w:color="auto" w:sz="4" w:space="0"/>
            </w:tcBorders>
            <w:vAlign w:val="center"/>
          </w:tcPr>
          <w:p w14:paraId="524DDC59">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2697C2B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581" w:type="dxa"/>
            <w:tcBorders>
              <w:top w:val="single" w:color="auto" w:sz="4" w:space="0"/>
              <w:left w:val="single" w:color="auto" w:sz="4" w:space="0"/>
              <w:bottom w:val="single" w:color="auto" w:sz="4" w:space="0"/>
              <w:right w:val="single" w:color="auto" w:sz="4" w:space="0"/>
            </w:tcBorders>
            <w:vAlign w:val="center"/>
          </w:tcPr>
          <w:p w14:paraId="5573BAE7">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26D2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58291145">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0A5A9FE9">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56C6F956">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10742FBB">
            <w:pPr>
              <w:spacing w:line="520" w:lineRule="exact"/>
              <w:ind w:firstLine="0" w:firstLineChars="0"/>
              <w:rPr>
                <w:rFonts w:cs="宋体" w:asciiTheme="minorEastAsia" w:hAnsiTheme="minorEastAsia" w:eastAsiaTheme="minorEastAsia"/>
                <w:color w:val="000000"/>
                <w:sz w:val="28"/>
                <w:szCs w:val="28"/>
              </w:rPr>
            </w:pPr>
          </w:p>
        </w:tc>
      </w:tr>
      <w:tr w14:paraId="6799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7CE8F6B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0479FE95">
            <w:pPr>
              <w:spacing w:line="520" w:lineRule="exact"/>
              <w:ind w:firstLine="0" w:firstLineChars="0"/>
              <w:rPr>
                <w:rFonts w:cs="宋体" w:asciiTheme="minorEastAsia" w:hAnsiTheme="minorEastAsia" w:eastAsiaTheme="minorEastAsia"/>
                <w:color w:val="000000"/>
                <w:sz w:val="28"/>
                <w:szCs w:val="28"/>
              </w:rPr>
            </w:pPr>
          </w:p>
          <w:p w14:paraId="1911F7F7">
            <w:pPr>
              <w:spacing w:line="520" w:lineRule="exact"/>
              <w:ind w:firstLine="0" w:firstLineChars="0"/>
              <w:rPr>
                <w:rFonts w:cs="宋体" w:asciiTheme="minorEastAsia" w:hAnsiTheme="minorEastAsia" w:eastAsiaTheme="minorEastAsia"/>
                <w:color w:val="000000"/>
                <w:sz w:val="28"/>
                <w:szCs w:val="28"/>
              </w:rPr>
            </w:pPr>
          </w:p>
          <w:p w14:paraId="669D4A19">
            <w:pPr>
              <w:spacing w:line="520" w:lineRule="exact"/>
              <w:ind w:firstLine="0" w:firstLineChars="0"/>
              <w:rPr>
                <w:rFonts w:cs="宋体" w:asciiTheme="minorEastAsia" w:hAnsiTheme="minorEastAsia" w:eastAsiaTheme="minorEastAsia"/>
                <w:color w:val="000000"/>
                <w:sz w:val="28"/>
                <w:szCs w:val="28"/>
              </w:rPr>
            </w:pPr>
          </w:p>
          <w:p w14:paraId="30585CB0">
            <w:pPr>
              <w:spacing w:line="520" w:lineRule="exact"/>
              <w:ind w:firstLine="0" w:firstLineChars="0"/>
              <w:rPr>
                <w:rFonts w:cs="宋体" w:asciiTheme="minorEastAsia" w:hAnsiTheme="minorEastAsia" w:eastAsiaTheme="minorEastAsia"/>
                <w:color w:val="000000"/>
                <w:sz w:val="28"/>
                <w:szCs w:val="28"/>
              </w:rPr>
            </w:pPr>
          </w:p>
        </w:tc>
      </w:tr>
    </w:tbl>
    <w:p w14:paraId="6F1D4B94">
      <w:pPr>
        <w:spacing w:line="52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注：最后</w:t>
      </w:r>
      <w:r>
        <w:rPr>
          <w:rFonts w:asciiTheme="minorEastAsia" w:hAnsiTheme="minorEastAsia" w:eastAsiaTheme="minorEastAsia"/>
          <w:sz w:val="28"/>
          <w:szCs w:val="28"/>
        </w:rPr>
        <w:t>报价表作为响应文件的组成部分，不</w:t>
      </w:r>
      <w:r>
        <w:rPr>
          <w:rFonts w:hint="eastAsia" w:asciiTheme="minorEastAsia" w:hAnsiTheme="minorEastAsia" w:eastAsiaTheme="minorEastAsia"/>
          <w:sz w:val="28"/>
          <w:szCs w:val="28"/>
        </w:rPr>
        <w:t>与响应文件同时提交。由资格审查合格的供应商填写最后报价表并签字、盖章。</w:t>
      </w:r>
    </w:p>
    <w:p w14:paraId="0D4A6870">
      <w:pPr>
        <w:spacing w:line="520" w:lineRule="exact"/>
        <w:ind w:firstLine="562"/>
        <w:rPr>
          <w:rFonts w:cs="宋体" w:asciiTheme="minorEastAsia" w:hAnsiTheme="minorEastAsia" w:eastAsiaTheme="minorEastAsia"/>
          <w:b/>
          <w:bCs/>
          <w:color w:val="000000"/>
          <w:sz w:val="28"/>
          <w:szCs w:val="28"/>
        </w:rPr>
      </w:pPr>
    </w:p>
    <w:p w14:paraId="5019BD46">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1BB2E9F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EB56C5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5D52F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35B5406">
      <w:pPr>
        <w:spacing w:line="520" w:lineRule="exact"/>
        <w:ind w:firstLine="0" w:firstLineChars="0"/>
        <w:jc w:val="center"/>
        <w:rPr>
          <w:rFonts w:cs="宋体" w:asciiTheme="minorEastAsia" w:hAnsiTheme="minorEastAsia" w:eastAsiaTheme="minorEastAsia"/>
          <w:b/>
          <w:color w:val="000000"/>
          <w:sz w:val="28"/>
          <w:szCs w:val="28"/>
        </w:rPr>
      </w:pPr>
    </w:p>
    <w:p w14:paraId="721AF411">
      <w:pPr>
        <w:spacing w:line="520" w:lineRule="exact"/>
        <w:ind w:firstLine="0" w:firstLineChars="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14:paraId="185EB3D3">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14:paraId="17E67251">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14:paraId="0720B932">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p w14:paraId="5B086454">
      <w:pPr>
        <w:spacing w:line="520" w:lineRule="exact"/>
        <w:ind w:firstLine="56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20</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（附业绩合同或中标通知书加盖公章作为证明材料）</w:t>
      </w:r>
    </w:p>
    <w:bookmarkEnd w:id="365"/>
    <w:p w14:paraId="29D000F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7A461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7F00A6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8C5B08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AECA63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942C83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4C867F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5094191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66" w:name="_Toc31301_WPSOffice_Level3"/>
      <w:bookmarkStart w:id="367" w:name="_Toc4925"/>
      <w:bookmarkStart w:id="368" w:name="_Toc17566"/>
      <w:bookmarkStart w:id="369" w:name="_Toc3146_WPSOffice_Level3"/>
      <w:bookmarkStart w:id="370" w:name="_Toc11887"/>
      <w:bookmarkStart w:id="371" w:name="_Toc1036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14:paraId="3A4991A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E2A8E58">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F17A0F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14:paraId="37D4970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4FC12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F6F403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FEB66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430C27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F2611B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160F92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A5936C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3BCF5F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A55D1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8F05069">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75B4673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366"/>
      <w:bookmarkEnd w:id="367"/>
      <w:bookmarkEnd w:id="368"/>
      <w:bookmarkEnd w:id="369"/>
      <w:bookmarkEnd w:id="370"/>
      <w:bookmarkEnd w:id="371"/>
    </w:p>
    <w:p w14:paraId="76A7A824">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372" w:name="_Toc22784_WPSOffice_Level3"/>
      <w:bookmarkStart w:id="373" w:name="_Toc31539"/>
      <w:bookmarkStart w:id="374" w:name="_Toc645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372"/>
      <w:bookmarkEnd w:id="373"/>
      <w:bookmarkEnd w:id="37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14:paraId="0C43B8D4">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375" w:name="_Toc1901_WPSOffice_Level3"/>
      <w:bookmarkStart w:id="376" w:name="_Toc301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375"/>
      <w:bookmarkEnd w:id="376"/>
    </w:p>
    <w:p w14:paraId="76D5D1D3">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14:paraId="1E0FD665">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14:paraId="510CE7E8">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未列明的其他行业</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0BE5D5F4">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未列明的其他行业</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0A69C806">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14:paraId="15253A98">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4359342F">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14:paraId="5A8360F7">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77"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377"/>
    </w:p>
    <w:p w14:paraId="7E727A2A">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378"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378"/>
    </w:p>
    <w:p w14:paraId="619D1730">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17FB95A1">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4F6773CF">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79" w:name="_Toc12160"/>
      <w:bookmarkStart w:id="380" w:name="_Toc14211_WPSOffice_Level3"/>
      <w:bookmarkStart w:id="381" w:name="_Toc11740"/>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379"/>
      <w:bookmarkEnd w:id="380"/>
      <w:bookmarkEnd w:id="381"/>
    </w:p>
    <w:p w14:paraId="04A3C065">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2" w:name="_Toc12079_WPSOffice_Level3"/>
      <w:bookmarkStart w:id="383" w:name="_Toc1746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382"/>
      <w:bookmarkEnd w:id="383"/>
    </w:p>
    <w:p w14:paraId="2660A7F3">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4CEA7B56">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14:paraId="4B4D9278">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4" w:name="_Toc17628_WPSOffice_Level3"/>
    </w:p>
    <w:p w14:paraId="05855735">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384"/>
    </w:p>
    <w:p w14:paraId="2F429690">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5"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385"/>
    </w:p>
    <w:p w14:paraId="17FF4C7E">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6"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386"/>
    </w:p>
    <w:p w14:paraId="75BBE7DF">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336E590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6A9EE59B">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136ED36F">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65D03CC">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2E307A16">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1A02A07">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11C5B3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57EC3CAC">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2173459C">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0C8FC3ED">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87" w:name="_Toc9477"/>
      <w:bookmarkStart w:id="388" w:name="_Toc30801"/>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387"/>
      <w:bookmarkEnd w:id="388"/>
    </w:p>
    <w:p w14:paraId="3FE38CAA">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389" w:name="_Toc25903_WPSOffice_Level3"/>
      <w:bookmarkStart w:id="390" w:name="_Toc28022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389"/>
      <w:bookmarkEnd w:id="390"/>
    </w:p>
    <w:p w14:paraId="6D61A170">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14:paraId="326AD47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7FD550E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25702E33">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1"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391"/>
    </w:p>
    <w:p w14:paraId="3054C0C3">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2"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392"/>
    </w:p>
    <w:p w14:paraId="7369F67D">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393"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393"/>
    </w:p>
    <w:p w14:paraId="4E1D8372">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3D40A2FE">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FAC8A24">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7009A9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D6BCB0E">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25A3D80">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7729920">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30CECB6">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F168F8A">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0D17D5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561A392">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7EF1D3F">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D33929F">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6819BF3">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7CAEFF76">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D9E05BB">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5BA0DD48">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3532130A">
      <w:pPr>
        <w:pStyle w:val="24"/>
        <w:spacing w:line="240" w:lineRule="auto"/>
        <w:ind w:firstLine="0" w:firstLineChars="0"/>
        <w:rPr>
          <w:rFonts w:ascii="宋体" w:hAnsi="宋体"/>
          <w:color w:val="000000" w:themeColor="text1"/>
          <w:kern w:val="2"/>
          <w:sz w:val="44"/>
          <w:szCs w:val="44"/>
          <w:highlight w:val="none"/>
          <w:lang w:val="zh-CN"/>
          <w14:textFill>
            <w14:solidFill>
              <w14:schemeClr w14:val="tx1"/>
            </w14:solidFill>
          </w14:textFill>
        </w:rPr>
      </w:pPr>
      <w:bookmarkStart w:id="394" w:name="_Toc101710031"/>
      <w:r>
        <w:rPr>
          <w:rFonts w:hint="eastAsia" w:ascii="宋体" w:hAnsi="宋体"/>
          <w:color w:val="000000" w:themeColor="text1"/>
          <w:kern w:val="2"/>
          <w:sz w:val="44"/>
          <w:szCs w:val="44"/>
          <w:highlight w:val="none"/>
          <w:lang w:val="zh-CN"/>
          <w14:textFill>
            <w14:solidFill>
              <w14:schemeClr w14:val="tx1"/>
            </w14:solidFill>
          </w14:textFill>
        </w:rPr>
        <w:t>第五部分</w:t>
      </w:r>
      <w:bookmarkStart w:id="395" w:name="_Toc38126902"/>
      <w:bookmarkStart w:id="396" w:name="_Toc38020434"/>
      <w:bookmarkStart w:id="397" w:name="_Toc116636454"/>
      <w:bookmarkStart w:id="398" w:name="_Toc304808877"/>
      <w:r>
        <w:rPr>
          <w:rFonts w:hint="eastAsia" w:ascii="宋体" w:hAnsi="宋体"/>
          <w:color w:val="000000" w:themeColor="text1"/>
          <w:kern w:val="2"/>
          <w:sz w:val="44"/>
          <w:szCs w:val="44"/>
          <w:highlight w:val="none"/>
          <w:lang w:val="zh-CN"/>
          <w14:textFill>
            <w14:solidFill>
              <w14:schemeClr w14:val="tx1"/>
            </w14:solidFill>
          </w14:textFill>
        </w:rPr>
        <w:t>服务要求</w:t>
      </w:r>
      <w:bookmarkEnd w:id="394"/>
    </w:p>
    <w:bookmarkEnd w:id="395"/>
    <w:bookmarkEnd w:id="396"/>
    <w:bookmarkEnd w:id="397"/>
    <w:bookmarkEnd w:id="398"/>
    <w:p w14:paraId="16DDD733">
      <w:pPr>
        <w:pStyle w:val="3"/>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Arial Unicode MS" w:hAnsi="Arial Unicode MS" w:eastAsia="Arial Unicode MS" w:cs="Arial Unicode MS"/>
          <w:sz w:val="44"/>
          <w:szCs w:val="44"/>
        </w:rPr>
      </w:pPr>
      <w:bookmarkStart w:id="399" w:name="_Toc17186"/>
      <w:r>
        <w:rPr>
          <w:rFonts w:hint="eastAsia" w:ascii="Arial Unicode MS" w:hAnsi="Arial Unicode MS" w:eastAsia="Arial Unicode MS" w:cs="Arial Unicode MS"/>
          <w:sz w:val="44"/>
          <w:szCs w:val="44"/>
        </w:rPr>
        <w:t>项目概况及服务要求</w:t>
      </w:r>
      <w:bookmarkEnd w:id="399"/>
    </w:p>
    <w:p w14:paraId="0C2C9096">
      <w:pPr>
        <w:numPr>
          <w:ilvl w:val="0"/>
          <w:numId w:val="0"/>
        </w:numPr>
        <w:rPr>
          <w:rFonts w:hint="eastAsia"/>
          <w:b/>
          <w:bCs/>
          <w:sz w:val="32"/>
          <w:szCs w:val="40"/>
          <w:highlight w:val="none"/>
          <w:lang w:val="en-US" w:eastAsia="zh-CN"/>
        </w:rPr>
      </w:pPr>
      <w:r>
        <w:rPr>
          <w:rFonts w:hint="eastAsia"/>
          <w:b/>
          <w:bCs/>
          <w:sz w:val="32"/>
          <w:szCs w:val="40"/>
          <w:highlight w:val="none"/>
          <w:lang w:val="en-US" w:eastAsia="zh-CN"/>
        </w:rPr>
        <w:t>一、项目概况</w:t>
      </w:r>
    </w:p>
    <w:p w14:paraId="2095648D">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为全面贯彻落实党的二十大和二十届二中、三中全会精神精神，深入贯彻落实习近平总书记关于“三农”工作的重要论述，锚定建设农业强国目标，有力有效推进乡村全面振兴，以加快农业农村现代化更好推进中国式现代化建设，海南藏族自治州发展和改革委员会特开展《海南藏族自治州乡村振兴规划》编制服务项目。该项目以海南州现有产业基础和资源禀赋为基础，聚焦“四地”“五区”建设和“生态立州、农牧业稳州、清洁能源强州”战略目标，以学习运用“千万工程”经验为引领，以确保国家粮食安全、确保不发生规模性返贫为底线，以提升乡村产业发展水平、提升乡村建设水平、提升乡村治理水平为重点，因地制宜、分类施策，循序渐进、久久为功，在落实国家推进乡村全面振兴战略部署的基础上，完成海南州在生态治理、富民产业、特色文化、城乡治理、和美乡村、民生福祉等领域的统筹规划，促进城乡联动发展，推动乡村全面振兴不断取得新进展。</w:t>
      </w:r>
    </w:p>
    <w:p w14:paraId="5B0DA054">
      <w:pPr>
        <w:numPr>
          <w:ilvl w:val="0"/>
          <w:numId w:val="0"/>
        </w:numPr>
        <w:rPr>
          <w:rFonts w:hint="eastAsia"/>
          <w:b/>
          <w:bCs/>
          <w:sz w:val="32"/>
          <w:szCs w:val="40"/>
          <w:highlight w:val="none"/>
          <w:lang w:val="en-US" w:eastAsia="zh-CN"/>
        </w:rPr>
      </w:pPr>
      <w:r>
        <w:rPr>
          <w:rFonts w:hint="eastAsia"/>
          <w:b/>
          <w:bCs/>
          <w:sz w:val="32"/>
          <w:szCs w:val="40"/>
          <w:highlight w:val="none"/>
          <w:lang w:val="en-US" w:eastAsia="zh-CN"/>
        </w:rPr>
        <w:t>二、服务内容</w:t>
      </w:r>
    </w:p>
    <w:p w14:paraId="7AD16110">
      <w:pPr>
        <w:adjustRightInd w:val="0"/>
        <w:snapToGrid w:val="0"/>
        <w:spacing w:line="520" w:lineRule="exact"/>
        <w:ind w:firstLine="584"/>
        <w:rPr>
          <w:rFonts w:hint="eastAsia"/>
          <w:lang w:val="en-US" w:eastAsia="zh-CN"/>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进一步明确海南州乡村振兴重点工作任务，从发展基础、总体目标、战略部署、发展路径、体制机制、实施保障等方面，对乡村地区的国土空间布局、生态环境整治、自然资源开发、乡村产业发展、和美乡村建设、乡村治理体系等领域开展深入分析，为海南州推进乡村全面振兴工作提供顶层设计和战略指导。</w:t>
      </w:r>
    </w:p>
    <w:p w14:paraId="2EBF8783">
      <w:pPr>
        <w:numPr>
          <w:ilvl w:val="0"/>
          <w:numId w:val="0"/>
        </w:numPr>
        <w:rPr>
          <w:rFonts w:hint="eastAsia"/>
          <w:b/>
          <w:bCs/>
          <w:sz w:val="32"/>
          <w:szCs w:val="40"/>
          <w:highlight w:val="none"/>
          <w:lang w:val="en-US" w:eastAsia="zh-CN"/>
        </w:rPr>
      </w:pPr>
      <w:r>
        <w:rPr>
          <w:rFonts w:hint="eastAsia"/>
          <w:b/>
          <w:bCs/>
          <w:sz w:val="32"/>
          <w:szCs w:val="40"/>
          <w:highlight w:val="none"/>
          <w:lang w:val="en-US" w:eastAsia="zh-CN"/>
        </w:rPr>
        <w:t>三、服务要求</w:t>
      </w:r>
    </w:p>
    <w:p w14:paraId="2C63D2FC">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1、规划成果要按照海南州“12345”战略目标要求，基于海南州的生态、产业、文化、自然资源等，结合高质量发展的要求，参照“千万工程”实践经验，找准乡村振兴的顶层定位，为全州的乡村振兴工作寻找到精准有效的战略抓手。</w:t>
      </w:r>
    </w:p>
    <w:p w14:paraId="560699A9">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2、规划成果应突出开放性、创新性、持续性和协调性，特别要注意规划的可实施性和项目对规划的支撑作用，做到目标科学、思路清晰、重点明确、措施可行；</w:t>
      </w:r>
    </w:p>
    <w:p w14:paraId="5641D7F6">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3、规划编制过程中要做好基础资料调研和核查工作，对所采用的基础性数据要进行认真的复核和分析，保证基础资料的真实性与可靠性，确保规划编制质量；</w:t>
      </w:r>
    </w:p>
    <w:p w14:paraId="3706E3F7">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4、规划成果要符合青海省相关上位规划的要求，要做好与海南州其它规划的衔接关系（包括国土空间规划、“十五五”规划及其他专项规划）；</w:t>
      </w:r>
    </w:p>
    <w:p w14:paraId="09291AB1">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5、规划编制应做到文字流畅、思路清晰、逻辑性强、数据详实可靠、图表规范清晰。</w:t>
      </w:r>
    </w:p>
    <w:p w14:paraId="1A593DAC">
      <w:pPr>
        <w:numPr>
          <w:ilvl w:val="0"/>
          <w:numId w:val="0"/>
        </w:numPr>
        <w:rPr>
          <w:rFonts w:hint="default"/>
          <w:b/>
          <w:bCs/>
          <w:sz w:val="32"/>
          <w:szCs w:val="40"/>
          <w:highlight w:val="none"/>
          <w:lang w:val="en-US" w:eastAsia="zh-CN"/>
        </w:rPr>
      </w:pPr>
      <w:r>
        <w:rPr>
          <w:rFonts w:hint="eastAsia"/>
          <w:b/>
          <w:bCs/>
          <w:sz w:val="32"/>
          <w:szCs w:val="40"/>
          <w:highlight w:val="none"/>
          <w:lang w:val="en-US" w:eastAsia="zh-CN"/>
        </w:rPr>
        <w:t>四、服务期</w:t>
      </w:r>
    </w:p>
    <w:p w14:paraId="7BA4A635">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合同签订之日起至规划审议通过印发。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其中，</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2025年2月底前，完成《海南藏族自治州乡村振兴规划》正式成果，并形成规划报告。</w:t>
      </w:r>
    </w:p>
    <w:p w14:paraId="38AEA3D1">
      <w:pPr>
        <w:pStyle w:val="9"/>
        <w:rPr>
          <w:rFonts w:hint="default" w:ascii="Calibri" w:hAnsi="Calibri" w:eastAsia="宋体" w:cs="Times New Roman"/>
          <w:kern w:val="0"/>
          <w:sz w:val="32"/>
          <w:szCs w:val="40"/>
          <w:highlight w:val="yellow"/>
          <w:lang w:val="en-US" w:eastAsia="zh-CN" w:bidi="ar-SA"/>
        </w:rPr>
      </w:pP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B8F312-B812-443A-A892-B6E14F5BAB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BA3C27-97F0-4287-9B2D-53E0E04241B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D1DFB9A-E901-403C-BC8A-E5AD8890CCBE}"/>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4" w:fontKey="{8BE742D0-56AB-42BC-9D40-992E42B54F1A}"/>
  </w:font>
  <w:font w:name="微软雅黑">
    <w:panose1 w:val="020B0503020204020204"/>
    <w:charset w:val="86"/>
    <w:family w:val="auto"/>
    <w:pitch w:val="default"/>
    <w:sig w:usb0="80000287" w:usb1="2ACF3C50" w:usb2="00000016" w:usb3="00000000" w:csb0="0004001F" w:csb1="00000000"/>
    <w:embedRegular r:id="rId5" w:fontKey="{F525BD3B-9917-4265-960B-2EE4FBEF555D}"/>
  </w:font>
  <w:font w:name="楷体">
    <w:panose1 w:val="02010609060101010101"/>
    <w:charset w:val="86"/>
    <w:family w:val="modern"/>
    <w:pitch w:val="default"/>
    <w:sig w:usb0="800002BF" w:usb1="38CF7CFA" w:usb2="00000016" w:usb3="00000000" w:csb0="00040001" w:csb1="00000000"/>
    <w:embedRegular r:id="rId6" w:fontKey="{221EE42D-C5A3-4470-91D4-18118E8F7A7F}"/>
  </w:font>
  <w:font w:name="Arial Unicode MS">
    <w:panose1 w:val="020B0604020202020204"/>
    <w:charset w:val="86"/>
    <w:family w:val="auto"/>
    <w:pitch w:val="default"/>
    <w:sig w:usb0="FFFFFFFF" w:usb1="E9FFFFFF" w:usb2="0000003F" w:usb3="00000000" w:csb0="603F01FF" w:csb1="FFFF0000"/>
    <w:embedRegular r:id="rId7" w:fontKey="{CA5C59C3-AE60-4C10-8798-B487D18E55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38C1">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112A">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3B7E">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8946">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C305">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3A13">
    <w:pPr>
      <w:pStyle w:val="1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DCA9F">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748DCA9F">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6207">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58D34">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19E58D34">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D6A9">
    <w:pPr>
      <w:pStyle w:val="1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EF4E9">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2CAEF4E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4B87">
    <w:pPr>
      <w:pBdr>
        <w:bottom w:val="single" w:color="auto" w:sz="4" w:space="0"/>
      </w:pBdr>
      <w:ind w:left="0" w:leftChars="0" w:firstLine="0" w:firstLineChars="0"/>
      <w:jc w:val="right"/>
      <w:rPr>
        <w:rFonts w:hint="eastAsia" w:eastAsia="宋体"/>
        <w:kern w:val="2"/>
        <w:lang w:eastAsia="zh-CN"/>
      </w:rPr>
    </w:pPr>
    <w:r>
      <w:rPr>
        <w:rFonts w:hint="eastAsia"/>
        <w:kern w:val="2"/>
        <w:lang w:eastAsia="zh-CN"/>
      </w:rPr>
      <w:t>青海省招标有限责任公司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9C41">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3FF2">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501C">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3"/>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dkOThiNzQzYTFhZWVkZDUwOGMyZmU4MTJjYW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15679D0"/>
    <w:rsid w:val="02210F18"/>
    <w:rsid w:val="033A4890"/>
    <w:rsid w:val="03F275AA"/>
    <w:rsid w:val="04B96508"/>
    <w:rsid w:val="06911B22"/>
    <w:rsid w:val="06FD3566"/>
    <w:rsid w:val="08D4742C"/>
    <w:rsid w:val="09776797"/>
    <w:rsid w:val="0E060087"/>
    <w:rsid w:val="0E800D96"/>
    <w:rsid w:val="10C6464F"/>
    <w:rsid w:val="14BB166B"/>
    <w:rsid w:val="157524F2"/>
    <w:rsid w:val="16D968DA"/>
    <w:rsid w:val="17D450D9"/>
    <w:rsid w:val="1816702E"/>
    <w:rsid w:val="1B9730BC"/>
    <w:rsid w:val="1C3F7586"/>
    <w:rsid w:val="1CEF7B21"/>
    <w:rsid w:val="1E5D655D"/>
    <w:rsid w:val="1E87008D"/>
    <w:rsid w:val="1F3357C3"/>
    <w:rsid w:val="1FA96D62"/>
    <w:rsid w:val="214178C3"/>
    <w:rsid w:val="231F53B1"/>
    <w:rsid w:val="24CD1023"/>
    <w:rsid w:val="250255F5"/>
    <w:rsid w:val="25D7514D"/>
    <w:rsid w:val="290B259E"/>
    <w:rsid w:val="29E31C2B"/>
    <w:rsid w:val="2B5B5560"/>
    <w:rsid w:val="2B8C4425"/>
    <w:rsid w:val="2C9F3729"/>
    <w:rsid w:val="2E9677A7"/>
    <w:rsid w:val="2F4D40E8"/>
    <w:rsid w:val="2F920605"/>
    <w:rsid w:val="30AB2D5F"/>
    <w:rsid w:val="31C851B2"/>
    <w:rsid w:val="3327131B"/>
    <w:rsid w:val="33830F21"/>
    <w:rsid w:val="33C35A9E"/>
    <w:rsid w:val="3444054E"/>
    <w:rsid w:val="38166DB6"/>
    <w:rsid w:val="3817079E"/>
    <w:rsid w:val="381C711B"/>
    <w:rsid w:val="386A108F"/>
    <w:rsid w:val="38C140A7"/>
    <w:rsid w:val="3A5570AA"/>
    <w:rsid w:val="3BCE3093"/>
    <w:rsid w:val="3DBF74FF"/>
    <w:rsid w:val="40FD2557"/>
    <w:rsid w:val="4274539F"/>
    <w:rsid w:val="45C73015"/>
    <w:rsid w:val="4AB17E1E"/>
    <w:rsid w:val="4BDA411C"/>
    <w:rsid w:val="4E271D91"/>
    <w:rsid w:val="526A27BD"/>
    <w:rsid w:val="530F19A9"/>
    <w:rsid w:val="537E3241"/>
    <w:rsid w:val="53F41D95"/>
    <w:rsid w:val="541F4B43"/>
    <w:rsid w:val="54D914AF"/>
    <w:rsid w:val="566640A8"/>
    <w:rsid w:val="5721105B"/>
    <w:rsid w:val="572177D4"/>
    <w:rsid w:val="572C6094"/>
    <w:rsid w:val="588F2DB1"/>
    <w:rsid w:val="590E60B9"/>
    <w:rsid w:val="595B7B41"/>
    <w:rsid w:val="59C2077A"/>
    <w:rsid w:val="59CF4A33"/>
    <w:rsid w:val="5AA11C28"/>
    <w:rsid w:val="5AC91420"/>
    <w:rsid w:val="5ED35136"/>
    <w:rsid w:val="5EFB5A8F"/>
    <w:rsid w:val="60FE319A"/>
    <w:rsid w:val="62542B7F"/>
    <w:rsid w:val="646E37AF"/>
    <w:rsid w:val="650139D3"/>
    <w:rsid w:val="67367AC0"/>
    <w:rsid w:val="6B746F82"/>
    <w:rsid w:val="6E2D223D"/>
    <w:rsid w:val="6F4739C7"/>
    <w:rsid w:val="6FE74DB6"/>
    <w:rsid w:val="723D68EC"/>
    <w:rsid w:val="726309A3"/>
    <w:rsid w:val="72B13295"/>
    <w:rsid w:val="734C3B60"/>
    <w:rsid w:val="74D963BA"/>
    <w:rsid w:val="75386134"/>
    <w:rsid w:val="75D47694"/>
    <w:rsid w:val="76D637B8"/>
    <w:rsid w:val="782A07A0"/>
    <w:rsid w:val="7A6A4943"/>
    <w:rsid w:val="7CAF0A81"/>
    <w:rsid w:val="7D250DA9"/>
    <w:rsid w:val="7DA13E53"/>
    <w:rsid w:val="7E084708"/>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46"/>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8"/>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2"/>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link w:val="65"/>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6"/>
    <w:autoRedefine/>
    <w:semiHidden/>
    <w:unhideWhenUsed/>
    <w:qFormat/>
    <w:uiPriority w:val="0"/>
    <w:pPr>
      <w:keepNext/>
      <w:keepLines/>
      <w:spacing w:before="280" w:after="290" w:line="376" w:lineRule="atLeast"/>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67"/>
    <w:autoRedefine/>
    <w:qFormat/>
    <w:uiPriority w:val="0"/>
    <w:pPr>
      <w:jc w:val="left"/>
    </w:pPr>
  </w:style>
  <w:style w:type="paragraph" w:styleId="9">
    <w:name w:val="Body Text"/>
    <w:basedOn w:val="1"/>
    <w:next w:val="10"/>
    <w:autoRedefine/>
    <w:qFormat/>
    <w:uiPriority w:val="0"/>
    <w:pPr>
      <w:spacing w:after="120" w:line="240" w:lineRule="auto"/>
      <w:ind w:firstLine="0" w:firstLineChars="0"/>
    </w:pPr>
    <w:rPr>
      <w:rFonts w:ascii="Times New Roman" w:hAnsi="Times New Roman"/>
      <w:kern w:val="2"/>
      <w:szCs w:val="24"/>
    </w:rPr>
  </w:style>
  <w:style w:type="paragraph" w:styleId="10">
    <w:name w:val="Plain Text"/>
    <w:basedOn w:val="1"/>
    <w:autoRedefine/>
    <w:qFormat/>
    <w:uiPriority w:val="0"/>
    <w:rPr>
      <w:rFonts w:ascii="宋体" w:hAnsi="Courier New"/>
      <w:szCs w:val="20"/>
    </w:rPr>
  </w:style>
  <w:style w:type="paragraph" w:styleId="11">
    <w:name w:val="Body Text Indent"/>
    <w:basedOn w:val="1"/>
    <w:next w:val="5"/>
    <w:autoRedefine/>
    <w:qFormat/>
    <w:uiPriority w:val="0"/>
    <w:pPr>
      <w:spacing w:after="120"/>
      <w:ind w:left="420" w:leftChars="200"/>
    </w:pPr>
  </w:style>
  <w:style w:type="paragraph" w:styleId="12">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3">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4">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5">
    <w:name w:val="Balloon Text"/>
    <w:basedOn w:val="1"/>
    <w:link w:val="38"/>
    <w:autoRedefine/>
    <w:semiHidden/>
    <w:qFormat/>
    <w:uiPriority w:val="0"/>
    <w:pPr>
      <w:spacing w:line="240" w:lineRule="auto"/>
    </w:pPr>
    <w:rPr>
      <w:sz w:val="18"/>
      <w:szCs w:val="18"/>
    </w:rPr>
  </w:style>
  <w:style w:type="paragraph" w:styleId="16">
    <w:name w:val="footer"/>
    <w:basedOn w:val="1"/>
    <w:link w:val="40"/>
    <w:autoRedefine/>
    <w:qFormat/>
    <w:uiPriority w:val="99"/>
    <w:pPr>
      <w:tabs>
        <w:tab w:val="center" w:pos="4153"/>
        <w:tab w:val="right" w:pos="8306"/>
      </w:tabs>
      <w:snapToGrid w:val="0"/>
      <w:jc w:val="left"/>
    </w:pPr>
    <w:rPr>
      <w:sz w:val="18"/>
      <w:szCs w:val="20"/>
    </w:rPr>
  </w:style>
  <w:style w:type="paragraph" w:styleId="17">
    <w:name w:val="header"/>
    <w:link w:val="42"/>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8">
    <w:name w:val="toc 1"/>
    <w:basedOn w:val="1"/>
    <w:next w:val="1"/>
    <w:autoRedefine/>
    <w:qFormat/>
    <w:uiPriority w:val="39"/>
    <w:pPr>
      <w:spacing w:before="120" w:after="120"/>
      <w:jc w:val="left"/>
    </w:pPr>
    <w:rPr>
      <w:b/>
      <w:bCs/>
      <w:caps/>
      <w:sz w:val="20"/>
      <w:szCs w:val="20"/>
    </w:rPr>
  </w:style>
  <w:style w:type="paragraph" w:styleId="19">
    <w:name w:val="Subtitle"/>
    <w:basedOn w:val="1"/>
    <w:next w:val="1"/>
    <w:link w:val="44"/>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0">
    <w:name w:val="Body Text Indent 3"/>
    <w:basedOn w:val="1"/>
    <w:autoRedefine/>
    <w:qFormat/>
    <w:uiPriority w:val="0"/>
    <w:pPr>
      <w:ind w:left="420" w:leftChars="200"/>
    </w:pPr>
    <w:rPr>
      <w:sz w:val="16"/>
    </w:rPr>
  </w:style>
  <w:style w:type="paragraph" w:styleId="21">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2">
    <w:name w:val="HTML Preformatted"/>
    <w:basedOn w:val="1"/>
    <w:link w:val="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3">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4">
    <w:name w:val="Title"/>
    <w:basedOn w:val="1"/>
    <w:next w:val="1"/>
    <w:link w:val="45"/>
    <w:autoRedefine/>
    <w:qFormat/>
    <w:uiPriority w:val="0"/>
    <w:pPr>
      <w:spacing w:before="240" w:after="60"/>
      <w:jc w:val="center"/>
      <w:outlineLvl w:val="0"/>
    </w:pPr>
    <w:rPr>
      <w:rFonts w:ascii="Cambria" w:hAnsi="Cambria"/>
      <w:b/>
      <w:bCs/>
      <w:sz w:val="36"/>
      <w:szCs w:val="32"/>
    </w:rPr>
  </w:style>
  <w:style w:type="paragraph" w:styleId="25">
    <w:name w:val="annotation subject"/>
    <w:basedOn w:val="8"/>
    <w:next w:val="8"/>
    <w:link w:val="68"/>
    <w:autoRedefine/>
    <w:qFormat/>
    <w:uiPriority w:val="0"/>
    <w:rPr>
      <w:b/>
      <w:bCs/>
    </w:rPr>
  </w:style>
  <w:style w:type="paragraph" w:styleId="26">
    <w:name w:val="Body Text First Indent"/>
    <w:basedOn w:val="9"/>
    <w:next w:val="1"/>
    <w:autoRedefine/>
    <w:qFormat/>
    <w:uiPriority w:val="0"/>
    <w:pPr>
      <w:tabs>
        <w:tab w:val="left" w:pos="360"/>
      </w:tabs>
      <w:ind w:firstLine="420" w:firstLineChars="100"/>
    </w:pPr>
  </w:style>
  <w:style w:type="paragraph" w:styleId="27">
    <w:name w:val="Body Text First Indent 2"/>
    <w:basedOn w:val="11"/>
    <w:autoRedefine/>
    <w:qFormat/>
    <w:uiPriority w:val="0"/>
    <w:pPr>
      <w:widowControl/>
      <w:spacing w:line="276" w:lineRule="auto"/>
      <w:ind w:left="200" w:firstLine="420"/>
      <w:jc w:val="left"/>
    </w:pPr>
    <w:rPr>
      <w:rFonts w:ascii="Arial" w:hAnsi="Arial" w:eastAsia="仿宋_GB2312"/>
      <w:sz w:val="32"/>
    </w:rPr>
  </w:style>
  <w:style w:type="table" w:styleId="29">
    <w:name w:val="Table Grid"/>
    <w:basedOn w:val="2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autoRedefine/>
    <w:qFormat/>
    <w:uiPriority w:val="99"/>
    <w:rPr>
      <w:color w:val="000099"/>
      <w:u w:val="none"/>
    </w:rPr>
  </w:style>
  <w:style w:type="character" w:styleId="36">
    <w:name w:val="annotation reference"/>
    <w:basedOn w:val="30"/>
    <w:autoRedefine/>
    <w:qFormat/>
    <w:uiPriority w:val="0"/>
    <w:rPr>
      <w:sz w:val="21"/>
      <w:szCs w:val="21"/>
    </w:rPr>
  </w:style>
  <w:style w:type="paragraph" w:customStyle="1" w:styleId="37">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8">
    <w:name w:val="批注框文本 Char"/>
    <w:link w:val="15"/>
    <w:autoRedefine/>
    <w:qFormat/>
    <w:locked/>
    <w:uiPriority w:val="0"/>
    <w:rPr>
      <w:rFonts w:ascii="Calibri" w:hAnsi="Calibri" w:eastAsia="宋体"/>
      <w:sz w:val="18"/>
      <w:szCs w:val="18"/>
      <w:lang w:val="en-US" w:eastAsia="zh-CN" w:bidi="ar-SA"/>
    </w:rPr>
  </w:style>
  <w:style w:type="paragraph" w:styleId="39">
    <w:name w:val="List Paragraph"/>
    <w:basedOn w:val="1"/>
    <w:autoRedefine/>
    <w:qFormat/>
    <w:uiPriority w:val="34"/>
    <w:pPr>
      <w:spacing w:line="240" w:lineRule="auto"/>
      <w:ind w:firstLine="420"/>
    </w:pPr>
    <w:rPr>
      <w:kern w:val="2"/>
    </w:rPr>
  </w:style>
  <w:style w:type="character" w:customStyle="1" w:styleId="40">
    <w:name w:val="页脚 Char"/>
    <w:link w:val="16"/>
    <w:autoRedefine/>
    <w:qFormat/>
    <w:uiPriority w:val="99"/>
    <w:rPr>
      <w:rFonts w:ascii="Calibri" w:hAnsi="Calibri" w:eastAsia="宋体"/>
      <w:sz w:val="18"/>
      <w:lang w:val="en-US" w:eastAsia="zh-CN" w:bidi="ar-SA"/>
    </w:rPr>
  </w:style>
  <w:style w:type="paragraph" w:customStyle="1" w:styleId="41">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2">
    <w:name w:val="页眉 Char"/>
    <w:link w:val="17"/>
    <w:autoRedefine/>
    <w:qFormat/>
    <w:uiPriority w:val="99"/>
    <w:rPr>
      <w:rFonts w:ascii="Calibri" w:hAnsi="Calibri"/>
      <w:sz w:val="18"/>
      <w:szCs w:val="18"/>
      <w:lang w:bidi="ar-SA"/>
    </w:rPr>
  </w:style>
  <w:style w:type="paragraph" w:customStyle="1" w:styleId="43">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4">
    <w:name w:val="副标题 Char"/>
    <w:link w:val="19"/>
    <w:autoRedefine/>
    <w:qFormat/>
    <w:uiPriority w:val="0"/>
    <w:rPr>
      <w:rFonts w:ascii="Cambria" w:hAnsi="Cambria" w:eastAsia="宋体"/>
      <w:b/>
      <w:bCs/>
      <w:kern w:val="28"/>
      <w:sz w:val="32"/>
      <w:szCs w:val="32"/>
      <w:lang w:bidi="ar-SA"/>
    </w:rPr>
  </w:style>
  <w:style w:type="character" w:customStyle="1" w:styleId="45">
    <w:name w:val="标题 Char"/>
    <w:link w:val="24"/>
    <w:autoRedefine/>
    <w:qFormat/>
    <w:uiPriority w:val="0"/>
    <w:rPr>
      <w:rFonts w:ascii="Cambria" w:hAnsi="Cambria" w:eastAsia="宋体"/>
      <w:b/>
      <w:bCs/>
      <w:sz w:val="36"/>
      <w:szCs w:val="32"/>
      <w:lang w:val="en-US" w:eastAsia="zh-CN" w:bidi="ar-SA"/>
    </w:rPr>
  </w:style>
  <w:style w:type="character" w:customStyle="1" w:styleId="46">
    <w:name w:val="标题 1 Char"/>
    <w:link w:val="2"/>
    <w:autoRedefine/>
    <w:qFormat/>
    <w:uiPriority w:val="0"/>
    <w:rPr>
      <w:rFonts w:eastAsia="宋体"/>
      <w:b/>
      <w:bCs/>
      <w:kern w:val="44"/>
      <w:sz w:val="30"/>
      <w:szCs w:val="44"/>
      <w:lang w:bidi="ar-SA"/>
    </w:rPr>
  </w:style>
  <w:style w:type="paragraph" w:customStyle="1" w:styleId="4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8">
    <w:name w:val="标题 2 Char"/>
    <w:link w:val="3"/>
    <w:autoRedefine/>
    <w:semiHidden/>
    <w:qFormat/>
    <w:uiPriority w:val="0"/>
    <w:rPr>
      <w:rFonts w:ascii="Cambria" w:hAnsi="Cambria" w:eastAsia="宋体"/>
      <w:b/>
      <w:bCs/>
      <w:kern w:val="2"/>
      <w:sz w:val="32"/>
      <w:szCs w:val="32"/>
      <w:lang w:bidi="ar-SA"/>
    </w:rPr>
  </w:style>
  <w:style w:type="paragraph" w:customStyle="1" w:styleId="49">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0">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1">
    <w:name w:val="U_正文2"/>
    <w:basedOn w:val="1"/>
    <w:link w:val="52"/>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2">
    <w:name w:val="U_正文2 Char"/>
    <w:link w:val="51"/>
    <w:autoRedefine/>
    <w:qFormat/>
    <w:uiPriority w:val="0"/>
    <w:rPr>
      <w:rFonts w:eastAsia="宋体"/>
      <w:kern w:val="2"/>
      <w:sz w:val="24"/>
      <w:lang w:bidi="ar-SA"/>
    </w:rPr>
  </w:style>
  <w:style w:type="paragraph" w:customStyle="1" w:styleId="53">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4">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5">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6">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7">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8">
    <w:name w:val="HTML 预设格式 Char"/>
    <w:link w:val="22"/>
    <w:autoRedefine/>
    <w:qFormat/>
    <w:uiPriority w:val="0"/>
    <w:rPr>
      <w:rFonts w:ascii="Arial" w:hAnsi="Arial"/>
      <w:kern w:val="2"/>
      <w:sz w:val="24"/>
    </w:rPr>
  </w:style>
  <w:style w:type="character" w:customStyle="1" w:styleId="59">
    <w:name w:val="HTML 预设格式 Char1"/>
    <w:autoRedefine/>
    <w:qFormat/>
    <w:uiPriority w:val="0"/>
    <w:rPr>
      <w:rFonts w:ascii="Courier New" w:hAnsi="Courier New" w:cs="Courier New"/>
    </w:rPr>
  </w:style>
  <w:style w:type="paragraph" w:customStyle="1" w:styleId="60">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1">
    <w:name w:val="标题 Char1"/>
    <w:autoRedefine/>
    <w:qFormat/>
    <w:uiPriority w:val="0"/>
    <w:rPr>
      <w:rFonts w:ascii="Arial" w:hAnsi="Arial"/>
      <w:b/>
      <w:smallCaps/>
      <w:kern w:val="28"/>
      <w:sz w:val="36"/>
      <w:lang w:eastAsia="en-US"/>
    </w:rPr>
  </w:style>
  <w:style w:type="character" w:customStyle="1" w:styleId="62">
    <w:name w:val="标题 3 Char"/>
    <w:basedOn w:val="30"/>
    <w:link w:val="4"/>
    <w:autoRedefine/>
    <w:qFormat/>
    <w:uiPriority w:val="0"/>
    <w:rPr>
      <w:b/>
      <w:bCs/>
      <w:kern w:val="2"/>
      <w:sz w:val="32"/>
      <w:szCs w:val="32"/>
    </w:rPr>
  </w:style>
  <w:style w:type="character" w:customStyle="1" w:styleId="63">
    <w:name w:val="Table caption|1_"/>
    <w:basedOn w:val="30"/>
    <w:link w:val="64"/>
    <w:autoRedefine/>
    <w:qFormat/>
    <w:uiPriority w:val="0"/>
    <w:rPr>
      <w:rFonts w:ascii="宋体" w:hAnsi="宋体" w:cs="宋体"/>
      <w:lang w:val="zh-TW" w:eastAsia="zh-TW" w:bidi="zh-TW"/>
    </w:rPr>
  </w:style>
  <w:style w:type="paragraph" w:customStyle="1" w:styleId="64">
    <w:name w:val="Table caption|1"/>
    <w:basedOn w:val="1"/>
    <w:link w:val="63"/>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5">
    <w:name w:val="标题 4 Char"/>
    <w:basedOn w:val="30"/>
    <w:link w:val="5"/>
    <w:autoRedefine/>
    <w:semiHidden/>
    <w:qFormat/>
    <w:uiPriority w:val="0"/>
    <w:rPr>
      <w:rFonts w:asciiTheme="majorHAnsi" w:hAnsiTheme="majorHAnsi" w:eastAsiaTheme="majorEastAsia" w:cstheme="majorBidi"/>
      <w:b/>
      <w:bCs/>
      <w:sz w:val="28"/>
      <w:szCs w:val="28"/>
    </w:rPr>
  </w:style>
  <w:style w:type="character" w:customStyle="1" w:styleId="66">
    <w:name w:val="标题 5 Char"/>
    <w:basedOn w:val="30"/>
    <w:link w:val="6"/>
    <w:autoRedefine/>
    <w:semiHidden/>
    <w:qFormat/>
    <w:uiPriority w:val="0"/>
    <w:rPr>
      <w:rFonts w:ascii="Calibri" w:hAnsi="Calibri"/>
      <w:b/>
      <w:bCs/>
      <w:sz w:val="28"/>
      <w:szCs w:val="28"/>
    </w:rPr>
  </w:style>
  <w:style w:type="character" w:customStyle="1" w:styleId="67">
    <w:name w:val="批注文字 Char"/>
    <w:basedOn w:val="30"/>
    <w:link w:val="8"/>
    <w:autoRedefine/>
    <w:qFormat/>
    <w:uiPriority w:val="0"/>
    <w:rPr>
      <w:rFonts w:ascii="Calibri" w:hAnsi="Calibri"/>
      <w:sz w:val="21"/>
      <w:szCs w:val="22"/>
    </w:rPr>
  </w:style>
  <w:style w:type="character" w:customStyle="1" w:styleId="68">
    <w:name w:val="批注主题 Char"/>
    <w:basedOn w:val="67"/>
    <w:link w:val="25"/>
    <w:autoRedefine/>
    <w:qFormat/>
    <w:uiPriority w:val="0"/>
    <w:rPr>
      <w:rFonts w:ascii="Calibri" w:hAnsi="Calibri"/>
      <w:b/>
      <w:bCs/>
      <w:sz w:val="21"/>
      <w:szCs w:val="22"/>
    </w:rPr>
  </w:style>
  <w:style w:type="paragraph" w:customStyle="1" w:styleId="6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1">
    <w:name w:val="Body Text First Indent 21"/>
    <w:basedOn w:val="72"/>
    <w:autoRedefine/>
    <w:qFormat/>
    <w:uiPriority w:val="0"/>
    <w:pPr>
      <w:spacing w:line="240" w:lineRule="auto"/>
      <w:ind w:left="420" w:leftChars="200" w:firstLine="420" w:firstLineChars="200"/>
    </w:pPr>
    <w:rPr>
      <w:sz w:val="21"/>
    </w:rPr>
  </w:style>
  <w:style w:type="paragraph" w:customStyle="1" w:styleId="72">
    <w:name w:val="Body Text Indent1"/>
    <w:basedOn w:val="1"/>
    <w:autoRedefine/>
    <w:qFormat/>
    <w:uiPriority w:val="0"/>
    <w:pPr>
      <w:ind w:firstLine="480"/>
    </w:pPr>
    <w:rPr>
      <w:rFonts w:ascii="宋体" w:hAnsi="宋体"/>
    </w:rPr>
  </w:style>
  <w:style w:type="paragraph" w:customStyle="1" w:styleId="73">
    <w:name w:val="Table Paragraph"/>
    <w:basedOn w:val="1"/>
    <w:autoRedefine/>
    <w:qFormat/>
    <w:uiPriority w:val="1"/>
    <w:rPr>
      <w:rFonts w:ascii="宋体" w:hAnsi="宋体" w:eastAsia="宋体" w:cs="宋体"/>
    </w:rPr>
  </w:style>
  <w:style w:type="paragraph" w:customStyle="1" w:styleId="74">
    <w:name w:val="Body Text First Indent 2"/>
    <w:basedOn w:val="75"/>
    <w:autoRedefine/>
    <w:qFormat/>
    <w:uiPriority w:val="0"/>
    <w:pPr>
      <w:spacing w:after="120" w:afterLines="0"/>
      <w:ind w:left="420" w:leftChars="200" w:firstLine="420" w:firstLineChars="200"/>
    </w:pPr>
  </w:style>
  <w:style w:type="paragraph" w:customStyle="1" w:styleId="75">
    <w:name w:val="Body Text Indent"/>
    <w:basedOn w:val="1"/>
    <w:autoRedefine/>
    <w:qFormat/>
    <w:uiPriority w:val="0"/>
    <w:pPr>
      <w:spacing w:after="120" w:afterLines="0"/>
      <w:ind w:left="420" w:leftChars="200"/>
    </w:pPr>
    <w:rPr>
      <w:rFonts w:ascii="Times New Roman" w:hAnsi="Times New Roman" w:eastAsia="宋体" w:cs="Times New Roman"/>
      <w:szCs w:val="24"/>
    </w:rPr>
  </w:style>
  <w:style w:type="paragraph" w:customStyle="1" w:styleId="76">
    <w:name w:val="正文文本首行缩进 21"/>
    <w:basedOn w:val="77"/>
    <w:autoRedefine/>
    <w:qFormat/>
    <w:uiPriority w:val="0"/>
    <w:pPr>
      <w:ind w:firstLine="420"/>
    </w:pPr>
  </w:style>
  <w:style w:type="paragraph" w:customStyle="1" w:styleId="77">
    <w:name w:val="正文文本缩进1"/>
    <w:basedOn w:val="1"/>
    <w:autoRedefine/>
    <w:qFormat/>
    <w:uiPriority w:val="0"/>
    <w:pPr>
      <w:spacing w:after="120"/>
      <w:ind w:left="420" w:left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6443D-6098-4428-9E18-6846F70D36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23367</Words>
  <Characters>25174</Characters>
  <Lines>217</Lines>
  <Paragraphs>61</Paragraphs>
  <TotalTime>45</TotalTime>
  <ScaleCrop>false</ScaleCrop>
  <LinksUpToDate>false</LinksUpToDate>
  <CharactersWithSpaces>26057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半世迷离1413521860</cp:lastModifiedBy>
  <cp:lastPrinted>2024-03-06T09:10:00Z</cp:lastPrinted>
  <dcterms:modified xsi:type="dcterms:W3CDTF">2024-10-18T07:00:26Z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DA7EF298159D41508059816AD17949F7_13</vt:lpwstr>
  </property>
</Properties>
</file>