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375C75">
      <w:pPr>
        <w:autoSpaceDE w:val="0"/>
        <w:autoSpaceDN w:val="0"/>
        <w:adjustRightInd w:val="0"/>
        <w:spacing w:line="720" w:lineRule="auto"/>
        <w:ind w:firstLine="0" w:firstLineChars="0"/>
        <w:rPr>
          <w:rFonts w:ascii="宋体" w:hAnsi="宋体" w:cs="宋体"/>
          <w:b/>
          <w:color w:val="000000" w:themeColor="text1"/>
          <w:sz w:val="24"/>
          <w:szCs w:val="24"/>
          <w:highlight w:val="none"/>
          <w:lang w:val="zh-CN"/>
          <w14:textFill>
            <w14:solidFill>
              <w14:schemeClr w14:val="tx1"/>
            </w14:solidFill>
          </w14:textFill>
        </w:rPr>
      </w:pPr>
    </w:p>
    <w:p w14:paraId="149E08B3">
      <w:pPr>
        <w:autoSpaceDE w:val="0"/>
        <w:autoSpaceDN w:val="0"/>
        <w:adjustRightInd w:val="0"/>
        <w:spacing w:line="720" w:lineRule="auto"/>
        <w:ind w:firstLine="0" w:firstLineChars="0"/>
        <w:rPr>
          <w:rFonts w:ascii="宋体" w:hAnsi="宋体" w:cs="宋体"/>
          <w:b/>
          <w:color w:val="000000" w:themeColor="text1"/>
          <w:sz w:val="24"/>
          <w:szCs w:val="24"/>
          <w:highlight w:val="none"/>
          <w:lang w:val="zh-CN"/>
          <w14:textFill>
            <w14:solidFill>
              <w14:schemeClr w14:val="tx1"/>
            </w14:solidFill>
          </w14:textFill>
        </w:rPr>
      </w:pPr>
    </w:p>
    <w:p w14:paraId="537092BD">
      <w:pPr>
        <w:autoSpaceDE w:val="0"/>
        <w:autoSpaceDN w:val="0"/>
        <w:adjustRightInd w:val="0"/>
        <w:spacing w:line="720" w:lineRule="auto"/>
        <w:ind w:firstLine="0" w:firstLineChars="0"/>
        <w:jc w:val="center"/>
        <w:rPr>
          <w:rFonts w:ascii="宋体" w:hAnsi="宋体" w:cs="宋体"/>
          <w:b/>
          <w:color w:val="000000" w:themeColor="text1"/>
          <w:sz w:val="72"/>
          <w:szCs w:val="72"/>
          <w:highlight w:val="none"/>
          <w14:textFill>
            <w14:solidFill>
              <w14:schemeClr w14:val="tx1"/>
            </w14:solidFill>
          </w14:textFill>
        </w:rPr>
      </w:pPr>
      <w:r>
        <w:rPr>
          <w:rFonts w:hint="eastAsia" w:ascii="宋体" w:hAnsi="宋体" w:cs="宋体"/>
          <w:b/>
          <w:color w:val="000000" w:themeColor="text1"/>
          <w:sz w:val="72"/>
          <w:szCs w:val="72"/>
          <w:highlight w:val="none"/>
          <w:lang w:val="zh-CN"/>
          <w14:textFill>
            <w14:solidFill>
              <w14:schemeClr w14:val="tx1"/>
            </w14:solidFill>
          </w14:textFill>
        </w:rPr>
        <w:t>竞争性磋商文件</w:t>
      </w:r>
    </w:p>
    <w:p w14:paraId="441D5D33">
      <w:pPr>
        <w:adjustRightInd w:val="0"/>
        <w:spacing w:line="720" w:lineRule="auto"/>
        <w:ind w:firstLine="0" w:firstLineChars="0"/>
        <w:jc w:val="center"/>
        <w:textAlignment w:val="baseline"/>
        <w:rPr>
          <w:rFonts w:ascii="仿宋_GB2312" w:hAnsi="仿宋_GB2312" w:eastAsia="仿宋_GB2312" w:cs="仿宋_GB2312"/>
          <w:bCs/>
          <w:color w:val="000000" w:themeColor="text1"/>
          <w:sz w:val="32"/>
          <w:szCs w:val="32"/>
          <w:highlight w:val="none"/>
          <w14:textFill>
            <w14:solidFill>
              <w14:schemeClr w14:val="tx1"/>
            </w14:solidFill>
          </w14:textFill>
        </w:rPr>
      </w:pPr>
    </w:p>
    <w:p w14:paraId="3CEC3FCE">
      <w:pPr>
        <w:adjustRightInd w:val="0"/>
        <w:spacing w:line="720" w:lineRule="auto"/>
        <w:ind w:firstLine="0" w:firstLineChars="0"/>
        <w:textAlignment w:val="baseline"/>
        <w:rPr>
          <w:rFonts w:ascii="宋体" w:hAnsi="宋体" w:cs="宋体"/>
          <w:b/>
          <w:color w:val="000000" w:themeColor="text1"/>
          <w:sz w:val="24"/>
          <w:szCs w:val="24"/>
          <w:highlight w:val="none"/>
          <w14:textFill>
            <w14:solidFill>
              <w14:schemeClr w14:val="tx1"/>
            </w14:solidFill>
          </w14:textFill>
        </w:rPr>
      </w:pPr>
    </w:p>
    <w:p w14:paraId="2CC78D27">
      <w:pPr>
        <w:pStyle w:val="16"/>
        <w:spacing w:line="500" w:lineRule="exact"/>
        <w:rPr>
          <w:rFonts w:hint="default" w:ascii="宋体" w:hAnsi="宋体" w:eastAsia="宋体" w:cs="宋体"/>
          <w:b/>
          <w:color w:val="000000" w:themeColor="text1"/>
          <w:sz w:val="32"/>
          <w:szCs w:val="32"/>
          <w:highlight w:val="none"/>
          <w:lang w:val="en-US" w:eastAsia="zh-CN"/>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采购项目编号：</w:t>
      </w:r>
      <w:r>
        <w:rPr>
          <w:rFonts w:hint="eastAsia" w:ascii="宋体" w:hAnsi="宋体" w:cs="宋体"/>
          <w:b/>
          <w:color w:val="000000" w:themeColor="text1"/>
          <w:sz w:val="32"/>
          <w:szCs w:val="32"/>
          <w:highlight w:val="none"/>
          <w:lang w:eastAsia="zh-CN"/>
          <w14:textFill>
            <w14:solidFill>
              <w14:schemeClr w14:val="tx1"/>
            </w14:solidFill>
          </w14:textFill>
        </w:rPr>
        <w:t>青海</w:t>
      </w:r>
      <w:r>
        <w:rPr>
          <w:rFonts w:hint="eastAsia" w:ascii="宋体" w:hAnsi="宋体" w:cs="宋体"/>
          <w:b/>
          <w:color w:val="000000" w:themeColor="text1"/>
          <w:sz w:val="32"/>
          <w:szCs w:val="32"/>
          <w:highlight w:val="none"/>
          <w:lang w:val="en-US" w:eastAsia="zh-CN"/>
          <w14:textFill>
            <w14:solidFill>
              <w14:schemeClr w14:val="tx1"/>
            </w14:solidFill>
          </w14:textFill>
        </w:rPr>
        <w:t>省招</w:t>
      </w:r>
      <w:r>
        <w:rPr>
          <w:rFonts w:hint="eastAsia" w:ascii="宋体" w:hAnsi="宋体" w:cs="宋体"/>
          <w:b/>
          <w:color w:val="000000" w:themeColor="text1"/>
          <w:sz w:val="32"/>
          <w:szCs w:val="32"/>
          <w:highlight w:val="none"/>
          <w:lang w:eastAsia="zh-CN"/>
          <w14:textFill>
            <w14:solidFill>
              <w14:schemeClr w14:val="tx1"/>
            </w14:solidFill>
          </w14:textFill>
        </w:rPr>
        <w:t>竞磋（服务）202</w:t>
      </w:r>
      <w:r>
        <w:rPr>
          <w:rFonts w:hint="eastAsia" w:ascii="宋体" w:hAnsi="宋体" w:cs="宋体"/>
          <w:b/>
          <w:color w:val="000000" w:themeColor="text1"/>
          <w:sz w:val="32"/>
          <w:szCs w:val="32"/>
          <w:highlight w:val="none"/>
          <w:lang w:val="en-US" w:eastAsia="zh-CN"/>
          <w14:textFill>
            <w14:solidFill>
              <w14:schemeClr w14:val="tx1"/>
            </w14:solidFill>
          </w14:textFill>
        </w:rPr>
        <w:t>5</w:t>
      </w:r>
      <w:r>
        <w:rPr>
          <w:rFonts w:hint="eastAsia" w:ascii="宋体" w:hAnsi="宋体" w:cs="宋体"/>
          <w:b/>
          <w:color w:val="000000" w:themeColor="text1"/>
          <w:sz w:val="32"/>
          <w:szCs w:val="32"/>
          <w:highlight w:val="none"/>
          <w:lang w:eastAsia="zh-CN"/>
          <w14:textFill>
            <w14:solidFill>
              <w14:schemeClr w14:val="tx1"/>
            </w14:solidFill>
          </w14:textFill>
        </w:rPr>
        <w:t>-</w:t>
      </w:r>
      <w:r>
        <w:rPr>
          <w:rFonts w:hint="eastAsia" w:ascii="宋体" w:hAnsi="宋体" w:cs="宋体"/>
          <w:b/>
          <w:bCs/>
          <w:color w:val="000000" w:themeColor="text1"/>
          <w:sz w:val="32"/>
          <w:szCs w:val="32"/>
          <w:highlight w:val="none"/>
          <w:lang w:val="en-US" w:eastAsia="zh-CN"/>
          <w14:textFill>
            <w14:solidFill>
              <w14:schemeClr w14:val="tx1"/>
            </w14:solidFill>
          </w14:textFill>
        </w:rPr>
        <w:t>015</w:t>
      </w:r>
    </w:p>
    <w:p w14:paraId="6B677302">
      <w:pPr>
        <w:adjustRightInd w:val="0"/>
        <w:spacing w:line="720" w:lineRule="auto"/>
        <w:ind w:left="2249" w:hanging="2249" w:hangingChars="700"/>
        <w:textAlignment w:val="baseline"/>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采购项目名称：</w:t>
      </w:r>
      <w:r>
        <w:rPr>
          <w:rFonts w:hint="eastAsia" w:ascii="宋体" w:hAnsi="宋体" w:cs="宋体"/>
          <w:b/>
          <w:color w:val="000000" w:themeColor="text1"/>
          <w:sz w:val="32"/>
          <w:szCs w:val="32"/>
          <w:highlight w:val="none"/>
          <w:lang w:val="en-US" w:eastAsia="zh-CN"/>
          <w14:textFill>
            <w14:solidFill>
              <w14:schemeClr w14:val="tx1"/>
            </w14:solidFill>
          </w14:textFill>
        </w:rPr>
        <w:t>青海民族大学研究生招生教育培养</w:t>
      </w:r>
      <w:r>
        <w:rPr>
          <w:rFonts w:hint="eastAsia" w:ascii="宋体" w:hAnsi="宋体" w:cs="宋体"/>
          <w:b/>
          <w:color w:val="000000" w:themeColor="text1"/>
          <w:kern w:val="2"/>
          <w:sz w:val="32"/>
          <w:szCs w:val="32"/>
          <w:highlight w:val="none"/>
          <w14:textFill>
            <w14:solidFill>
              <w14:schemeClr w14:val="tx1"/>
            </w14:solidFill>
          </w14:textFill>
        </w:rPr>
        <w:t xml:space="preserve">  </w:t>
      </w:r>
      <w:r>
        <w:rPr>
          <w:rFonts w:hint="eastAsia" w:ascii="宋体" w:hAnsi="宋体" w:cs="宋体"/>
          <w:b/>
          <w:color w:val="000000" w:themeColor="text1"/>
          <w:sz w:val="32"/>
          <w:szCs w:val="32"/>
          <w:highlight w:val="none"/>
          <w14:textFill>
            <w14:solidFill>
              <w14:schemeClr w14:val="tx1"/>
            </w14:solidFill>
          </w14:textFill>
        </w:rPr>
        <w:t xml:space="preserve">                     </w:t>
      </w:r>
    </w:p>
    <w:p w14:paraId="18B49FF3">
      <w:pPr>
        <w:adjustRightInd w:val="0"/>
        <w:spacing w:line="720" w:lineRule="auto"/>
        <w:ind w:left="2249" w:hanging="2249" w:hangingChars="700"/>
        <w:textAlignment w:val="baseline"/>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采</w:t>
      </w:r>
      <w:r>
        <w:rPr>
          <w:rFonts w:hint="eastAsia" w:ascii="宋体" w:hAnsi="宋体" w:cs="宋体"/>
          <w:b/>
          <w:color w:val="000000" w:themeColor="text1"/>
          <w:sz w:val="32"/>
          <w:szCs w:val="32"/>
          <w:highlight w:val="none"/>
          <w:lang w:val="en-US" w:eastAsia="zh-CN"/>
          <w14:textFill>
            <w14:solidFill>
              <w14:schemeClr w14:val="tx1"/>
            </w14:solidFill>
          </w14:textFill>
        </w:rPr>
        <w:t xml:space="preserve">  </w:t>
      </w:r>
      <w:r>
        <w:rPr>
          <w:rFonts w:hint="eastAsia" w:ascii="宋体" w:hAnsi="宋体" w:cs="宋体"/>
          <w:b/>
          <w:color w:val="000000" w:themeColor="text1"/>
          <w:sz w:val="32"/>
          <w:szCs w:val="32"/>
          <w:highlight w:val="none"/>
          <w14:textFill>
            <w14:solidFill>
              <w14:schemeClr w14:val="tx1"/>
            </w14:solidFill>
          </w14:textFill>
        </w:rPr>
        <w:t xml:space="preserve"> 购</w:t>
      </w:r>
      <w:r>
        <w:rPr>
          <w:rFonts w:hint="eastAsia" w:ascii="宋体" w:hAnsi="宋体" w:cs="宋体"/>
          <w:b/>
          <w:color w:val="000000" w:themeColor="text1"/>
          <w:sz w:val="32"/>
          <w:szCs w:val="32"/>
          <w:highlight w:val="none"/>
          <w:lang w:val="en-US" w:eastAsia="zh-CN"/>
          <w14:textFill>
            <w14:solidFill>
              <w14:schemeClr w14:val="tx1"/>
            </w14:solidFill>
          </w14:textFill>
        </w:rPr>
        <w:t xml:space="preserve">  </w:t>
      </w:r>
      <w:r>
        <w:rPr>
          <w:rFonts w:hint="eastAsia" w:ascii="宋体" w:hAnsi="宋体" w:cs="宋体"/>
          <w:b/>
          <w:color w:val="000000" w:themeColor="text1"/>
          <w:sz w:val="32"/>
          <w:szCs w:val="32"/>
          <w:highlight w:val="none"/>
          <w14:textFill>
            <w14:solidFill>
              <w14:schemeClr w14:val="tx1"/>
            </w14:solidFill>
          </w14:textFill>
        </w:rPr>
        <w:t xml:space="preserve"> 人：</w:t>
      </w:r>
      <w:r>
        <w:rPr>
          <w:rFonts w:hint="eastAsia" w:ascii="宋体" w:hAnsi="宋体" w:cs="宋体"/>
          <w:b/>
          <w:color w:val="000000" w:themeColor="text1"/>
          <w:sz w:val="32"/>
          <w:szCs w:val="32"/>
          <w:highlight w:val="none"/>
          <w:lang w:val="en-US" w:eastAsia="zh-CN"/>
          <w14:textFill>
            <w14:solidFill>
              <w14:schemeClr w14:val="tx1"/>
            </w14:solidFill>
          </w14:textFill>
        </w:rPr>
        <w:t>青海民族大学</w:t>
      </w:r>
      <w:r>
        <w:rPr>
          <w:rFonts w:hint="eastAsia" w:ascii="宋体" w:hAnsi="宋体" w:cs="宋体"/>
          <w:b/>
          <w:color w:val="000000" w:themeColor="text1"/>
          <w:sz w:val="32"/>
          <w:szCs w:val="32"/>
          <w:highlight w:val="none"/>
          <w14:textFill>
            <w14:solidFill>
              <w14:schemeClr w14:val="tx1"/>
            </w14:solidFill>
          </w14:textFill>
        </w:rPr>
        <w:t xml:space="preserve">                        </w:t>
      </w:r>
    </w:p>
    <w:p w14:paraId="1E15078C">
      <w:pPr>
        <w:adjustRightInd w:val="0"/>
        <w:spacing w:line="720" w:lineRule="auto"/>
        <w:ind w:firstLine="0" w:firstLineChars="0"/>
        <w:textAlignment w:val="baseline"/>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采购代理机构：</w:t>
      </w:r>
      <w:r>
        <w:rPr>
          <w:rFonts w:hint="eastAsia" w:ascii="宋体" w:hAnsi="宋体" w:cs="宋体"/>
          <w:b/>
          <w:color w:val="000000" w:themeColor="text1"/>
          <w:sz w:val="32"/>
          <w:szCs w:val="32"/>
          <w:highlight w:val="none"/>
          <w:lang w:eastAsia="zh-CN"/>
          <w14:textFill>
            <w14:solidFill>
              <w14:schemeClr w14:val="tx1"/>
            </w14:solidFill>
          </w14:textFill>
        </w:rPr>
        <w:t>青海省招标有限责任公司</w:t>
      </w:r>
      <w:r>
        <w:rPr>
          <w:rFonts w:hint="eastAsia" w:ascii="宋体" w:hAnsi="宋体" w:cs="宋体"/>
          <w:b/>
          <w:color w:val="000000" w:themeColor="text1"/>
          <w:sz w:val="32"/>
          <w:szCs w:val="32"/>
          <w:highlight w:val="none"/>
          <w14:textFill>
            <w14:solidFill>
              <w14:schemeClr w14:val="tx1"/>
            </w14:solidFill>
          </w14:textFill>
        </w:rPr>
        <w:t xml:space="preserve">                           </w:t>
      </w:r>
    </w:p>
    <w:p w14:paraId="11451BA7">
      <w:pPr>
        <w:spacing w:line="720" w:lineRule="auto"/>
        <w:ind w:firstLine="0" w:firstLineChars="0"/>
        <w:rPr>
          <w:rFonts w:ascii="宋体" w:hAnsi="宋体" w:cs="宋体"/>
          <w:b/>
          <w:bCs/>
          <w:color w:val="000000" w:themeColor="text1"/>
          <w:sz w:val="32"/>
          <w:szCs w:val="32"/>
          <w:highlight w:val="none"/>
          <w14:textFill>
            <w14:solidFill>
              <w14:schemeClr w14:val="tx1"/>
            </w14:solidFill>
          </w14:textFill>
        </w:rPr>
      </w:pPr>
    </w:p>
    <w:p w14:paraId="21951F0A">
      <w:pPr>
        <w:spacing w:line="720" w:lineRule="auto"/>
        <w:ind w:firstLine="0" w:firstLineChars="0"/>
        <w:rPr>
          <w:rFonts w:ascii="宋体" w:hAnsi="宋体" w:cs="宋体"/>
          <w:b/>
          <w:bCs/>
          <w:color w:val="000000" w:themeColor="text1"/>
          <w:sz w:val="32"/>
          <w:szCs w:val="32"/>
          <w:highlight w:val="none"/>
          <w14:textFill>
            <w14:solidFill>
              <w14:schemeClr w14:val="tx1"/>
            </w14:solidFill>
          </w14:textFill>
        </w:rPr>
      </w:pPr>
    </w:p>
    <w:p w14:paraId="33B8E46E">
      <w:pPr>
        <w:spacing w:line="720" w:lineRule="auto"/>
        <w:ind w:firstLine="0" w:firstLineChars="0"/>
        <w:jc w:val="center"/>
        <w:rPr>
          <w:rFonts w:hint="eastAsia" w:ascii="宋体" w:hAnsi="宋体" w:eastAsia="宋体" w:cs="宋体"/>
          <w:b/>
          <w:bCs/>
          <w:color w:val="000000" w:themeColor="text1"/>
          <w:sz w:val="36"/>
          <w:szCs w:val="36"/>
          <w:highlight w:val="none"/>
          <w:lang w:eastAsia="zh-CN"/>
          <w14:textFill>
            <w14:solidFill>
              <w14:schemeClr w14:val="tx1"/>
            </w14:solidFill>
          </w14:textFill>
        </w:rPr>
      </w:pPr>
      <w:r>
        <w:rPr>
          <w:rFonts w:hint="eastAsia" w:ascii="宋体" w:hAnsi="宋体" w:cs="宋体"/>
          <w:b/>
          <w:bCs/>
          <w:color w:val="000000" w:themeColor="text1"/>
          <w:sz w:val="32"/>
          <w:szCs w:val="32"/>
          <w:highlight w:val="none"/>
          <w:lang w:eastAsia="zh-CN"/>
          <w14:textFill>
            <w14:solidFill>
              <w14:schemeClr w14:val="tx1"/>
            </w14:solidFill>
          </w14:textFill>
        </w:rPr>
        <w:t>202</w:t>
      </w:r>
      <w:r>
        <w:rPr>
          <w:rFonts w:hint="eastAsia" w:ascii="宋体" w:hAnsi="宋体" w:cs="宋体"/>
          <w:b/>
          <w:bCs/>
          <w:color w:val="000000" w:themeColor="text1"/>
          <w:sz w:val="32"/>
          <w:szCs w:val="32"/>
          <w:highlight w:val="none"/>
          <w:lang w:val="en-US" w:eastAsia="zh-CN"/>
          <w14:textFill>
            <w14:solidFill>
              <w14:schemeClr w14:val="tx1"/>
            </w14:solidFill>
          </w14:textFill>
        </w:rPr>
        <w:t>5</w:t>
      </w:r>
      <w:r>
        <w:rPr>
          <w:rFonts w:hint="eastAsia" w:ascii="宋体" w:hAnsi="宋体" w:cs="宋体"/>
          <w:b/>
          <w:bCs/>
          <w:color w:val="000000" w:themeColor="text1"/>
          <w:sz w:val="32"/>
          <w:szCs w:val="32"/>
          <w:highlight w:val="none"/>
          <w:lang w:eastAsia="zh-CN"/>
          <w14:textFill>
            <w14:solidFill>
              <w14:schemeClr w14:val="tx1"/>
            </w14:solidFill>
          </w14:textFill>
        </w:rPr>
        <w:t>年</w:t>
      </w:r>
      <w:r>
        <w:rPr>
          <w:rFonts w:hint="eastAsia" w:ascii="宋体" w:hAnsi="宋体" w:cs="宋体"/>
          <w:b/>
          <w:bCs/>
          <w:color w:val="000000" w:themeColor="text1"/>
          <w:sz w:val="32"/>
          <w:szCs w:val="32"/>
          <w:highlight w:val="none"/>
          <w:lang w:val="en-US" w:eastAsia="zh-CN"/>
          <w14:textFill>
            <w14:solidFill>
              <w14:schemeClr w14:val="tx1"/>
            </w14:solidFill>
          </w14:textFill>
        </w:rPr>
        <w:t>3</w:t>
      </w:r>
      <w:r>
        <w:rPr>
          <w:rFonts w:hint="eastAsia" w:ascii="宋体" w:hAnsi="宋体" w:cs="宋体"/>
          <w:b/>
          <w:bCs/>
          <w:color w:val="000000" w:themeColor="text1"/>
          <w:sz w:val="32"/>
          <w:szCs w:val="32"/>
          <w:highlight w:val="none"/>
          <w:lang w:eastAsia="zh-CN"/>
          <w14:textFill>
            <w14:solidFill>
              <w14:schemeClr w14:val="tx1"/>
            </w14:solidFill>
          </w14:textFill>
        </w:rPr>
        <w:t>月</w:t>
      </w:r>
    </w:p>
    <w:p w14:paraId="4A267D41">
      <w:pPr>
        <w:spacing w:line="440" w:lineRule="exact"/>
        <w:ind w:firstLine="0" w:firstLineChars="0"/>
        <w:jc w:val="left"/>
        <w:rPr>
          <w:rFonts w:ascii="宋体" w:hAnsi="宋体" w:cs="宋体"/>
          <w:b/>
          <w:color w:val="000000" w:themeColor="text1"/>
          <w:sz w:val="40"/>
          <w:szCs w:val="30"/>
          <w:highlight w:val="none"/>
          <w14:textFill>
            <w14:solidFill>
              <w14:schemeClr w14:val="tx1"/>
            </w14:solidFill>
          </w14:textFill>
        </w:rPr>
        <w:sectPr>
          <w:footerReference r:id="rId7" w:type="first"/>
          <w:footerReference r:id="rId5" w:type="default"/>
          <w:footerReference r:id="rId6" w:type="even"/>
          <w:pgSz w:w="11906" w:h="16838"/>
          <w:pgMar w:top="1440" w:right="1800" w:bottom="1440" w:left="1800" w:header="851" w:footer="992" w:gutter="0"/>
          <w:pgNumType w:start="1"/>
          <w:cols w:space="425" w:num="1"/>
          <w:docGrid w:type="lines" w:linePitch="312" w:charSpace="0"/>
        </w:sectPr>
      </w:pPr>
    </w:p>
    <w:p w14:paraId="35BBC2ED">
      <w:pPr>
        <w:keepNext/>
        <w:pageBreakBefore/>
        <w:adjustRightInd w:val="0"/>
        <w:spacing w:line="600" w:lineRule="exact"/>
        <w:ind w:firstLine="0" w:firstLineChars="0"/>
        <w:jc w:val="center"/>
        <w:textAlignment w:val="baseline"/>
        <w:rPr>
          <w:rFonts w:cs="宋体" w:asciiTheme="minorEastAsia" w:hAnsiTheme="minorEastAsia" w:eastAsiaTheme="minorEastAsia"/>
          <w:b/>
          <w:color w:val="000000" w:themeColor="text1"/>
          <w:sz w:val="30"/>
          <w:szCs w:val="30"/>
          <w:highlight w:val="none"/>
          <w14:textFill>
            <w14:solidFill>
              <w14:schemeClr w14:val="tx1"/>
            </w14:solidFill>
          </w14:textFill>
        </w:rPr>
      </w:pPr>
      <w:r>
        <w:rPr>
          <w:rFonts w:hint="eastAsia" w:cs="宋体" w:asciiTheme="minorEastAsia" w:hAnsiTheme="minorEastAsia" w:eastAsiaTheme="minorEastAsia"/>
          <w:b/>
          <w:color w:val="000000" w:themeColor="text1"/>
          <w:sz w:val="30"/>
          <w:szCs w:val="30"/>
          <w:highlight w:val="none"/>
          <w14:textFill>
            <w14:solidFill>
              <w14:schemeClr w14:val="tx1"/>
            </w14:solidFill>
          </w14:textFill>
        </w:rPr>
        <w:t>目 录</w:t>
      </w:r>
    </w:p>
    <w:p w14:paraId="5F6C071F">
      <w:pPr>
        <w:pStyle w:val="24"/>
        <w:tabs>
          <w:tab w:val="right" w:leader="dot" w:pos="9062"/>
        </w:tabs>
        <w:spacing w:line="600" w:lineRule="exact"/>
        <w:ind w:left="141" w:leftChars="67" w:firstLine="1" w:firstLineChars="0"/>
        <w:rPr>
          <w:rFonts w:cs="仿宋_GB2312" w:asciiTheme="minorEastAsia" w:hAnsiTheme="minorEastAsia" w:eastAsiaTheme="minorEastAsia"/>
          <w:b w:val="0"/>
          <w:caps w:val="0"/>
          <w:color w:val="000000" w:themeColor="text1"/>
          <w:kern w:val="2"/>
          <w:sz w:val="30"/>
          <w:szCs w:val="30"/>
          <w:highlight w:val="none"/>
          <w14:textFill>
            <w14:solidFill>
              <w14:schemeClr w14:val="tx1"/>
            </w14:solidFill>
          </w14:textFill>
        </w:rPr>
      </w:pPr>
      <w:r>
        <w:rPr>
          <w:rStyle w:val="41"/>
          <w:rFonts w:hint="eastAsia" w:cs="仿宋_GB2312" w:asciiTheme="minorEastAsia" w:hAnsiTheme="minorEastAsia" w:eastAsiaTheme="minorEastAsia"/>
          <w:b w:val="0"/>
          <w:color w:val="000000" w:themeColor="text1"/>
          <w:sz w:val="30"/>
          <w:szCs w:val="30"/>
          <w:highlight w:val="none"/>
          <w:lang w:val="zh-CN"/>
          <w14:textFill>
            <w14:solidFill>
              <w14:schemeClr w14:val="tx1"/>
            </w14:solidFill>
          </w14:textFill>
        </w:rPr>
        <w:fldChar w:fldCharType="begin"/>
      </w:r>
      <w:r>
        <w:rPr>
          <w:rStyle w:val="41"/>
          <w:rFonts w:hint="eastAsia" w:cs="仿宋_GB2312" w:asciiTheme="minorEastAsia" w:hAnsiTheme="minorEastAsia" w:eastAsiaTheme="minorEastAsia"/>
          <w:b w:val="0"/>
          <w:color w:val="000000" w:themeColor="text1"/>
          <w:sz w:val="30"/>
          <w:szCs w:val="30"/>
          <w:highlight w:val="none"/>
          <w:lang w:val="zh-CN"/>
          <w14:textFill>
            <w14:solidFill>
              <w14:schemeClr w14:val="tx1"/>
            </w14:solidFill>
          </w14:textFill>
        </w:rPr>
        <w:instrText xml:space="preserve"> TOC \o "1-3" \h \z \u </w:instrText>
      </w:r>
      <w:r>
        <w:rPr>
          <w:rStyle w:val="41"/>
          <w:rFonts w:hint="eastAsia" w:cs="仿宋_GB2312" w:asciiTheme="minorEastAsia" w:hAnsiTheme="minorEastAsia" w:eastAsiaTheme="minorEastAsia"/>
          <w:b w:val="0"/>
          <w:color w:val="000000" w:themeColor="text1"/>
          <w:sz w:val="30"/>
          <w:szCs w:val="30"/>
          <w:highlight w:val="none"/>
          <w:lang w:val="zh-CN"/>
          <w14:textFill>
            <w14:solidFill>
              <w14:schemeClr w14:val="tx1"/>
            </w14:solidFill>
          </w14:textFill>
        </w:rPr>
        <w:fldChar w:fldCharType="separate"/>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"_Toc101710027" </w:instrText>
      </w:r>
      <w:r>
        <w:rPr>
          <w:color w:val="000000" w:themeColor="text1"/>
          <w:highlight w:val="none"/>
          <w14:textFill>
            <w14:solidFill>
              <w14:schemeClr w14:val="tx1"/>
            </w14:solidFill>
          </w14:textFill>
        </w:rPr>
        <w:fldChar w:fldCharType="separate"/>
      </w:r>
      <w:r>
        <w:rPr>
          <w:rStyle w:val="41"/>
          <w:rFonts w:hint="eastAsia" w:cs="仿宋_GB2312" w:asciiTheme="minorEastAsia" w:hAnsiTheme="minorEastAsia" w:eastAsiaTheme="minorEastAsia"/>
          <w:b w:val="0"/>
          <w:color w:val="000000" w:themeColor="text1"/>
          <w:sz w:val="30"/>
          <w:szCs w:val="30"/>
          <w:highlight w:val="none"/>
          <w:lang w:val="zh-CN"/>
          <w14:textFill>
            <w14:solidFill>
              <w14:schemeClr w14:val="tx1"/>
            </w14:solidFill>
          </w14:textFill>
        </w:rPr>
        <w:t>第一部分 竞争性磋商公告</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ab/>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1</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fldChar w:fldCharType="end"/>
      </w:r>
    </w:p>
    <w:p w14:paraId="1C1C3419">
      <w:pPr>
        <w:pStyle w:val="24"/>
        <w:tabs>
          <w:tab w:val="right" w:leader="dot" w:pos="9062"/>
        </w:tabs>
        <w:spacing w:line="600" w:lineRule="exact"/>
        <w:ind w:firstLine="94" w:firstLineChars="47"/>
        <w:rPr>
          <w:rFonts w:cs="仿宋_GB2312" w:asciiTheme="minorEastAsia" w:hAnsiTheme="minorEastAsia" w:eastAsiaTheme="minorEastAsia"/>
          <w:b w:val="0"/>
          <w:caps w:val="0"/>
          <w:color w:val="000000" w:themeColor="text1"/>
          <w:kern w:val="2"/>
          <w:sz w:val="30"/>
          <w:szCs w:val="30"/>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"_Toc101710028" </w:instrText>
      </w:r>
      <w:r>
        <w:rPr>
          <w:color w:val="000000" w:themeColor="text1"/>
          <w:highlight w:val="none"/>
          <w14:textFill>
            <w14:solidFill>
              <w14:schemeClr w14:val="tx1"/>
            </w14:solidFill>
          </w14:textFill>
        </w:rPr>
        <w:fldChar w:fldCharType="separate"/>
      </w:r>
      <w:r>
        <w:rPr>
          <w:rStyle w:val="41"/>
          <w:rFonts w:hint="eastAsia" w:cs="仿宋_GB2312" w:asciiTheme="minorEastAsia" w:hAnsiTheme="minorEastAsia" w:eastAsiaTheme="minorEastAsia"/>
          <w:b w:val="0"/>
          <w:color w:val="000000" w:themeColor="text1"/>
          <w:sz w:val="30"/>
          <w:szCs w:val="30"/>
          <w:highlight w:val="none"/>
          <w:lang w:val="zh-CN"/>
          <w14:textFill>
            <w14:solidFill>
              <w14:schemeClr w14:val="tx1"/>
            </w14:solidFill>
          </w14:textFill>
        </w:rPr>
        <w:t>第二部分 供应商须知</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ab/>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4</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fldChar w:fldCharType="end"/>
      </w:r>
    </w:p>
    <w:p w14:paraId="3BA9A9EF">
      <w:pPr>
        <w:pStyle w:val="24"/>
        <w:tabs>
          <w:tab w:val="right" w:leader="dot" w:pos="9062"/>
        </w:tabs>
        <w:spacing w:line="600" w:lineRule="exact"/>
        <w:ind w:firstLine="94" w:firstLineChars="47"/>
        <w:rPr>
          <w:rFonts w:hint="eastAsia" w:cs="仿宋_GB2312" w:asciiTheme="minorEastAsia" w:hAnsiTheme="minorEastAsia" w:eastAsiaTheme="minorEastAsia"/>
          <w:b w:val="0"/>
          <w:caps w:val="0"/>
          <w:color w:val="000000" w:themeColor="text1"/>
          <w:kern w:val="2"/>
          <w:sz w:val="30"/>
          <w:szCs w:val="30"/>
          <w:highlight w:val="none"/>
          <w:lang w:val="en-US" w:eastAsia="zh-CN"/>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"_Toc101710029" </w:instrText>
      </w:r>
      <w:r>
        <w:rPr>
          <w:color w:val="000000" w:themeColor="text1"/>
          <w:highlight w:val="none"/>
          <w14:textFill>
            <w14:solidFill>
              <w14:schemeClr w14:val="tx1"/>
            </w14:solidFill>
          </w14:textFill>
        </w:rPr>
        <w:fldChar w:fldCharType="separate"/>
      </w:r>
      <w:r>
        <w:rPr>
          <w:rStyle w:val="41"/>
          <w:rFonts w:hint="eastAsia" w:cs="仿宋_GB2312" w:asciiTheme="minorEastAsia" w:hAnsiTheme="minorEastAsia" w:eastAsiaTheme="minorEastAsia"/>
          <w:b w:val="0"/>
          <w:color w:val="000000" w:themeColor="text1"/>
          <w:kern w:val="28"/>
          <w:sz w:val="30"/>
          <w:szCs w:val="30"/>
          <w:highlight w:val="none"/>
          <w14:textFill>
            <w14:solidFill>
              <w14:schemeClr w14:val="tx1"/>
            </w14:solidFill>
          </w14:textFill>
        </w:rPr>
        <w:t>第三部分 采购项目合同书</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ab/>
      </w:r>
      <w:r>
        <w:rPr>
          <w:rFonts w:hint="eastAsia" w:cs="仿宋_GB2312" w:asciiTheme="minorEastAsia" w:hAnsiTheme="minorEastAsia" w:eastAsiaTheme="minorEastAsia"/>
          <w:b w:val="0"/>
          <w:color w:val="000000" w:themeColor="text1"/>
          <w:sz w:val="30"/>
          <w:szCs w:val="30"/>
          <w:highlight w:val="none"/>
          <w:lang w:val="en-US" w:eastAsia="zh-CN"/>
          <w14:textFill>
            <w14:solidFill>
              <w14:schemeClr w14:val="tx1"/>
            </w14:solidFill>
          </w14:textFill>
        </w:rPr>
        <w:t>2</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fldChar w:fldCharType="end"/>
      </w:r>
      <w:r>
        <w:rPr>
          <w:rFonts w:hint="eastAsia" w:cs="仿宋_GB2312" w:asciiTheme="minorEastAsia" w:hAnsiTheme="minorEastAsia" w:eastAsiaTheme="minorEastAsia"/>
          <w:b w:val="0"/>
          <w:color w:val="000000" w:themeColor="text1"/>
          <w:sz w:val="30"/>
          <w:szCs w:val="30"/>
          <w:highlight w:val="none"/>
          <w:lang w:val="en-US" w:eastAsia="zh-CN"/>
          <w14:textFill>
            <w14:solidFill>
              <w14:schemeClr w14:val="tx1"/>
            </w14:solidFill>
          </w14:textFill>
        </w:rPr>
        <w:t>2</w:t>
      </w:r>
    </w:p>
    <w:p w14:paraId="4DA1EB8A">
      <w:pPr>
        <w:pStyle w:val="24"/>
        <w:tabs>
          <w:tab w:val="right" w:leader="dot" w:pos="9062"/>
        </w:tabs>
        <w:spacing w:line="600" w:lineRule="exact"/>
        <w:ind w:firstLine="94" w:firstLineChars="47"/>
        <w:rPr>
          <w:rFonts w:hint="default" w:cs="仿宋_GB2312" w:asciiTheme="minorEastAsia" w:hAnsiTheme="minorEastAsia" w:eastAsiaTheme="minorEastAsia"/>
          <w:b w:val="0"/>
          <w:caps w:val="0"/>
          <w:color w:val="000000" w:themeColor="text1"/>
          <w:kern w:val="2"/>
          <w:sz w:val="30"/>
          <w:szCs w:val="30"/>
          <w:highlight w:val="none"/>
          <w:lang w:val="en-US" w:eastAsia="zh-CN"/>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"_Toc101710030" </w:instrText>
      </w:r>
      <w:r>
        <w:rPr>
          <w:color w:val="000000" w:themeColor="text1"/>
          <w:highlight w:val="none"/>
          <w14:textFill>
            <w14:solidFill>
              <w14:schemeClr w14:val="tx1"/>
            </w14:solidFill>
          </w14:textFill>
        </w:rPr>
        <w:fldChar w:fldCharType="separate"/>
      </w:r>
      <w:r>
        <w:rPr>
          <w:rStyle w:val="41"/>
          <w:rFonts w:hint="eastAsia" w:cs="仿宋_GB2312" w:asciiTheme="minorEastAsia" w:hAnsiTheme="minorEastAsia" w:eastAsiaTheme="minorEastAsia"/>
          <w:b w:val="0"/>
          <w:color w:val="000000" w:themeColor="text1"/>
          <w:kern w:val="28"/>
          <w:sz w:val="30"/>
          <w:szCs w:val="30"/>
          <w:highlight w:val="none"/>
          <w14:textFill>
            <w14:solidFill>
              <w14:schemeClr w14:val="tx1"/>
            </w14:solidFill>
          </w14:textFill>
        </w:rPr>
        <w:t>第四部分 响应文件格式</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ab/>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fldChar w:fldCharType="end"/>
      </w:r>
      <w:r>
        <w:rPr>
          <w:rFonts w:hint="eastAsia" w:cs="仿宋_GB2312" w:asciiTheme="minorEastAsia" w:hAnsiTheme="minorEastAsia" w:eastAsiaTheme="minorEastAsia"/>
          <w:b w:val="0"/>
          <w:color w:val="000000" w:themeColor="text1"/>
          <w:sz w:val="30"/>
          <w:szCs w:val="30"/>
          <w:highlight w:val="none"/>
          <w:lang w:val="en-US" w:eastAsia="zh-CN"/>
          <w14:textFill>
            <w14:solidFill>
              <w14:schemeClr w14:val="tx1"/>
            </w14:solidFill>
          </w14:textFill>
        </w:rPr>
        <w:t>24</w:t>
      </w:r>
    </w:p>
    <w:p w14:paraId="109C49D0">
      <w:pPr>
        <w:pStyle w:val="24"/>
        <w:tabs>
          <w:tab w:val="right" w:leader="dot" w:pos="9062"/>
        </w:tabs>
        <w:spacing w:line="600" w:lineRule="exact"/>
        <w:ind w:firstLine="94" w:firstLineChars="47"/>
        <w:rPr>
          <w:rFonts w:hint="default" w:cs="仿宋_GB2312" w:asciiTheme="minorEastAsia" w:hAnsiTheme="minorEastAsia" w:eastAsiaTheme="minorEastAsia"/>
          <w:b w:val="0"/>
          <w:caps w:val="0"/>
          <w:color w:val="000000" w:themeColor="text1"/>
          <w:kern w:val="2"/>
          <w:sz w:val="30"/>
          <w:szCs w:val="30"/>
          <w:highlight w:val="none"/>
          <w:lang w:val="en-US" w:eastAsia="zh-CN"/>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"_Toc101710031" </w:instrText>
      </w:r>
      <w:r>
        <w:rPr>
          <w:color w:val="000000" w:themeColor="text1"/>
          <w:highlight w:val="none"/>
          <w14:textFill>
            <w14:solidFill>
              <w14:schemeClr w14:val="tx1"/>
            </w14:solidFill>
          </w14:textFill>
        </w:rPr>
        <w:fldChar w:fldCharType="separate"/>
      </w:r>
      <w:r>
        <w:rPr>
          <w:rStyle w:val="41"/>
          <w:rFonts w:hint="eastAsia" w:cs="仿宋_GB2312" w:asciiTheme="minorEastAsia" w:hAnsiTheme="minorEastAsia" w:eastAsiaTheme="minorEastAsia"/>
          <w:b w:val="0"/>
          <w:color w:val="000000" w:themeColor="text1"/>
          <w:sz w:val="30"/>
          <w:szCs w:val="30"/>
          <w:highlight w:val="none"/>
          <w:lang w:val="zh-CN"/>
          <w14:textFill>
            <w14:solidFill>
              <w14:schemeClr w14:val="tx1"/>
            </w14:solidFill>
          </w14:textFill>
        </w:rPr>
        <w:t>第五部分 服务要求</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ab/>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fldChar w:fldCharType="end"/>
      </w:r>
      <w:r>
        <w:rPr>
          <w:rFonts w:hint="eastAsia" w:cs="仿宋_GB2312" w:asciiTheme="minorEastAsia" w:hAnsiTheme="minorEastAsia" w:eastAsiaTheme="minorEastAsia"/>
          <w:b w:val="0"/>
          <w:color w:val="000000" w:themeColor="text1"/>
          <w:sz w:val="30"/>
          <w:szCs w:val="30"/>
          <w:highlight w:val="none"/>
          <w:lang w:val="en-US" w:eastAsia="zh-CN"/>
          <w14:textFill>
            <w14:solidFill>
              <w14:schemeClr w14:val="tx1"/>
            </w14:solidFill>
          </w14:textFill>
        </w:rPr>
        <w:t>45</w:t>
      </w:r>
    </w:p>
    <w:p w14:paraId="15E10AB6">
      <w:pPr>
        <w:spacing w:line="600" w:lineRule="exact"/>
        <w:ind w:firstLine="141" w:firstLineChars="47"/>
        <w:jc w:val="center"/>
        <w:rPr>
          <w:rFonts w:ascii="宋体" w:hAnsi="宋体" w:cs="宋体"/>
          <w:bCs/>
          <w:color w:val="000000" w:themeColor="text1"/>
          <w:szCs w:val="24"/>
          <w:highlight w:val="none"/>
          <w:lang w:val="zh-CN"/>
          <w14:textFill>
            <w14:solidFill>
              <w14:schemeClr w14:val="tx1"/>
            </w14:solidFill>
          </w14:textFill>
        </w:rPr>
      </w:pPr>
      <w:r>
        <w:rPr>
          <w:rStyle w:val="41"/>
          <w:rFonts w:hint="eastAsia" w:cs="仿宋_GB2312" w:asciiTheme="minorEastAsia" w:hAnsiTheme="minorEastAsia" w:eastAsiaTheme="minorEastAsia"/>
          <w:bCs/>
          <w:color w:val="000000" w:themeColor="text1"/>
          <w:sz w:val="30"/>
          <w:szCs w:val="30"/>
          <w:highlight w:val="none"/>
          <w:lang w:val="zh-CN"/>
          <w14:textFill>
            <w14:solidFill>
              <w14:schemeClr w14:val="tx1"/>
            </w14:solidFill>
          </w14:textFill>
        </w:rPr>
        <w:fldChar w:fldCharType="end"/>
      </w:r>
    </w:p>
    <w:p w14:paraId="0324B633">
      <w:pPr>
        <w:pStyle w:val="9"/>
        <w:spacing w:before="60" w:after="20"/>
        <w:jc w:val="center"/>
        <w:rPr>
          <w:rFonts w:ascii="Microsoft YaHei UI" w:hAnsi="Microsoft YaHei UI" w:eastAsia="Microsoft YaHei UI"/>
          <w:color w:val="000000" w:themeColor="text1"/>
          <w:spacing w:val="7"/>
          <w:sz w:val="19"/>
          <w:szCs w:val="19"/>
          <w:highlight w:val="none"/>
          <w14:textFill>
            <w14:solidFill>
              <w14:schemeClr w14:val="tx1"/>
            </w14:solidFill>
          </w14:textFill>
        </w:rPr>
        <w:sectPr>
          <w:headerReference r:id="rId9" w:type="first"/>
          <w:footerReference r:id="rId11" w:type="first"/>
          <w:headerReference r:id="rId8" w:type="default"/>
          <w:footerReference r:id="rId10" w:type="default"/>
          <w:pgSz w:w="11907" w:h="16840"/>
          <w:pgMar w:top="1701" w:right="1134" w:bottom="1701" w:left="1701" w:header="1134" w:footer="1134" w:gutter="0"/>
          <w:pgNumType w:start="1"/>
          <w:cols w:space="720" w:num="1"/>
          <w:titlePg/>
          <w:docGrid w:linePitch="319" w:charSpace="-630"/>
        </w:sectPr>
      </w:pPr>
    </w:p>
    <w:p w14:paraId="706E6A5C">
      <w:pPr>
        <w:pStyle w:val="9"/>
        <w:spacing w:before="60" w:after="20"/>
        <w:jc w:val="center"/>
        <w:rPr>
          <w:rFonts w:ascii="宋体" w:hAnsi="宋体"/>
          <w:color w:val="000000" w:themeColor="text1"/>
          <w:sz w:val="44"/>
          <w:highlight w:val="none"/>
          <w14:textFill>
            <w14:solidFill>
              <w14:schemeClr w14:val="tx1"/>
            </w14:solidFill>
          </w14:textFill>
        </w:rPr>
      </w:pPr>
      <w:r>
        <w:rPr>
          <w:rFonts w:hint="eastAsia" w:ascii="Microsoft YaHei UI" w:hAnsi="Microsoft YaHei UI" w:eastAsia="Microsoft YaHei UI"/>
          <w:color w:val="000000" w:themeColor="text1"/>
          <w:spacing w:val="7"/>
          <w:sz w:val="19"/>
          <w:szCs w:val="19"/>
          <w:highlight w:val="none"/>
          <w14:textFill>
            <w14:solidFill>
              <w14:schemeClr w14:val="tx1"/>
            </w14:solidFill>
          </w14:textFill>
        </w:rPr>
        <w:t> </w:t>
      </w:r>
      <w:bookmarkStart w:id="0" w:name="_Toc101710027"/>
      <w:r>
        <w:rPr>
          <w:rFonts w:hint="eastAsia" w:ascii="宋体" w:hAnsi="宋体" w:cs="宋体"/>
          <w:bCs w:val="0"/>
          <w:color w:val="000000" w:themeColor="text1"/>
          <w:sz w:val="44"/>
          <w:highlight w:val="none"/>
          <w:lang w:val="zh-CN"/>
          <w14:textFill>
            <w14:solidFill>
              <w14:schemeClr w14:val="tx1"/>
            </w14:solidFill>
          </w14:textFill>
        </w:rPr>
        <w:t>第一部分竞争性磋商公告</w:t>
      </w:r>
      <w:bookmarkEnd w:id="0"/>
    </w:p>
    <w:p w14:paraId="521F4A99">
      <w:pPr>
        <w:spacing w:line="520" w:lineRule="exact"/>
        <w:ind w:firstLine="628"/>
        <w:rPr>
          <w:rStyle w:val="40"/>
          <w:rFonts w:ascii="仿宋_GB2312" w:eastAsia="仿宋_GB2312"/>
          <w:b/>
          <w:i w:val="0"/>
          <w:color w:val="000000" w:themeColor="text1"/>
          <w:spacing w:val="7"/>
          <w:kern w:val="2"/>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青海民族大学研究生招生教育培养</w:t>
      </w:r>
      <w:r>
        <w:rPr>
          <w:rFonts w:hint="eastAsia" w:ascii="仿宋_GB2312" w:eastAsia="仿宋_GB2312" w:hAnsiTheme="minorEastAsia"/>
          <w:color w:val="000000" w:themeColor="text1"/>
          <w:spacing w:val="7"/>
          <w:sz w:val="30"/>
          <w:szCs w:val="30"/>
          <w:highlight w:val="none"/>
          <w14:textFill>
            <w14:solidFill>
              <w14:schemeClr w14:val="tx1"/>
            </w14:solidFill>
          </w14:textFill>
        </w:rPr>
        <w:t>采购项目的潜在供应商应在青海省政府采购网下载采购文件，并于</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202</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5</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年</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04</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月</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10</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日</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09</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点</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00</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分</w:t>
      </w:r>
      <w:r>
        <w:rPr>
          <w:rFonts w:hint="eastAsia" w:ascii="仿宋_GB2312" w:eastAsia="仿宋_GB2312" w:hAnsiTheme="minorEastAsia"/>
          <w:color w:val="000000" w:themeColor="text1"/>
          <w:spacing w:val="7"/>
          <w:sz w:val="30"/>
          <w:szCs w:val="30"/>
          <w:highlight w:val="none"/>
          <w14:textFill>
            <w14:solidFill>
              <w14:schemeClr w14:val="tx1"/>
            </w14:solidFill>
          </w14:textFill>
        </w:rPr>
        <w:t>（北京时间）前提交响应文件。</w:t>
      </w:r>
    </w:p>
    <w:p w14:paraId="531DE8EE">
      <w:pPr>
        <w:pStyle w:val="29"/>
        <w:spacing w:line="520" w:lineRule="exact"/>
        <w:ind w:firstLine="630" w:firstLineChars="200"/>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一、项目基本情况</w:t>
      </w:r>
    </w:p>
    <w:p w14:paraId="0B943A89">
      <w:pPr>
        <w:pStyle w:val="29"/>
        <w:spacing w:line="520" w:lineRule="exact"/>
        <w:ind w:firstLine="444"/>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项目编号：</w:t>
      </w: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青海省招竞磋（服务）2025-</w:t>
      </w: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015</w:t>
      </w:r>
    </w:p>
    <w:p w14:paraId="32A07780">
      <w:pPr>
        <w:pStyle w:val="29"/>
        <w:spacing w:line="520" w:lineRule="exact"/>
        <w:ind w:firstLine="444"/>
        <w:rPr>
          <w:rFonts w:hint="eastAsia" w:ascii="仿宋_GB2312" w:eastAsia="仿宋_GB2312" w:hAnsiTheme="minorEastAsia"/>
          <w:color w:val="000000" w:themeColor="text1"/>
          <w:spacing w:val="7"/>
          <w:sz w:val="30"/>
          <w:szCs w:val="30"/>
          <w:highlight w:val="yellow"/>
          <w:lang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项目名称：</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青海民族大学研究生招生教育培养</w:t>
      </w:r>
    </w:p>
    <w:p w14:paraId="376FAEEF">
      <w:pPr>
        <w:pStyle w:val="29"/>
        <w:spacing w:line="520" w:lineRule="exact"/>
        <w:ind w:firstLine="444"/>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采购方式：竞争性磋商</w:t>
      </w:r>
    </w:p>
    <w:p w14:paraId="5803A314">
      <w:pPr>
        <w:pStyle w:val="29"/>
        <w:spacing w:line="520" w:lineRule="exact"/>
        <w:ind w:firstLine="444"/>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预算金额：</w:t>
      </w: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360万元</w:t>
      </w:r>
      <w:r>
        <w:rPr>
          <w:rFonts w:hint="eastAsia" w:ascii="仿宋_GB2312" w:eastAsia="仿宋_GB2312" w:hAnsiTheme="minorEastAsia"/>
          <w:color w:val="000000" w:themeColor="text1"/>
          <w:spacing w:val="7"/>
          <w:sz w:val="30"/>
          <w:szCs w:val="30"/>
          <w:highlight w:val="none"/>
          <w14:textFill>
            <w14:solidFill>
              <w14:schemeClr w14:val="tx1"/>
            </w14:solidFill>
          </w14:textFill>
        </w:rPr>
        <w:t>（大写：</w:t>
      </w: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叁佰陆拾万元整</w:t>
      </w:r>
      <w:r>
        <w:rPr>
          <w:rFonts w:hint="eastAsia" w:ascii="仿宋_GB2312" w:eastAsia="仿宋_GB2312" w:hAnsiTheme="minorEastAsia"/>
          <w:color w:val="000000" w:themeColor="text1"/>
          <w:spacing w:val="7"/>
          <w:sz w:val="30"/>
          <w:szCs w:val="30"/>
          <w:highlight w:val="none"/>
          <w14:textFill>
            <w14:solidFill>
              <w14:schemeClr w14:val="tx1"/>
            </w14:solidFill>
          </w14:textFill>
        </w:rPr>
        <w:t>）</w:t>
      </w:r>
    </w:p>
    <w:p w14:paraId="0D43C36D">
      <w:pPr>
        <w:pStyle w:val="29"/>
        <w:spacing w:line="520" w:lineRule="exact"/>
        <w:ind w:firstLine="444"/>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最高限价：</w:t>
      </w: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360万元</w:t>
      </w:r>
      <w:r>
        <w:rPr>
          <w:rFonts w:hint="eastAsia" w:ascii="仿宋_GB2312" w:eastAsia="仿宋_GB2312" w:hAnsiTheme="minorEastAsia"/>
          <w:color w:val="000000" w:themeColor="text1"/>
          <w:spacing w:val="7"/>
          <w:sz w:val="30"/>
          <w:szCs w:val="30"/>
          <w:highlight w:val="none"/>
          <w14:textFill>
            <w14:solidFill>
              <w14:schemeClr w14:val="tx1"/>
            </w14:solidFill>
          </w14:textFill>
        </w:rPr>
        <w:t>（大写：</w:t>
      </w: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叁佰陆拾万元整</w:t>
      </w:r>
      <w:r>
        <w:rPr>
          <w:rFonts w:hint="eastAsia" w:ascii="仿宋_GB2312" w:eastAsia="仿宋_GB2312" w:hAnsiTheme="minorEastAsia"/>
          <w:color w:val="000000" w:themeColor="text1"/>
          <w:spacing w:val="7"/>
          <w:sz w:val="30"/>
          <w:szCs w:val="30"/>
          <w:highlight w:val="none"/>
          <w14:textFill>
            <w14:solidFill>
              <w14:schemeClr w14:val="tx1"/>
            </w14:solidFill>
          </w14:textFill>
        </w:rPr>
        <w:t>）</w:t>
      </w:r>
    </w:p>
    <w:p w14:paraId="47DA21F4">
      <w:pPr>
        <w:pStyle w:val="29"/>
        <w:spacing w:line="520" w:lineRule="exact"/>
        <w:ind w:firstLine="444"/>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采购需求：全委托送审，在约定的时间内实现我校2025年博士硕士研究生学位论文送交符合我校论文评审条件的3位专家进行匿名评审、结果反馈等各环节工作，并做好聘请专家、评审管理、代付劳务费与管理费等相关工作，同时确保送审工作的保密性、安全性、科学性、有效性。论文评审结束后，应在规定时间内完成专家评阅意见书和评审结果汇总表的反馈工作</w:t>
      </w: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w:t>
      </w: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具体内容要求</w:t>
      </w:r>
      <w:r>
        <w:rPr>
          <w:rFonts w:hint="eastAsia" w:ascii="仿宋_GB2312" w:eastAsia="仿宋_GB2312" w:hAnsiTheme="minorEastAsia"/>
          <w:color w:val="000000" w:themeColor="text1"/>
          <w:spacing w:val="7"/>
          <w:sz w:val="30"/>
          <w:szCs w:val="30"/>
          <w:highlight w:val="none"/>
          <w14:textFill>
            <w14:solidFill>
              <w14:schemeClr w14:val="tx1"/>
            </w14:solidFill>
          </w14:textFill>
        </w:rPr>
        <w:t>详见第五部分服务要求</w:t>
      </w: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w:t>
      </w:r>
    </w:p>
    <w:p w14:paraId="3A4D246F">
      <w:pPr>
        <w:pStyle w:val="29"/>
        <w:spacing w:line="520" w:lineRule="exact"/>
        <w:ind w:firstLine="444"/>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合同履行期限：合同签订后三年。</w:t>
      </w:r>
    </w:p>
    <w:p w14:paraId="4E268FAD">
      <w:pPr>
        <w:pStyle w:val="29"/>
        <w:spacing w:line="520" w:lineRule="exact"/>
        <w:ind w:firstLine="444"/>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本项目（否）接受联合体。</w:t>
      </w:r>
    </w:p>
    <w:p w14:paraId="1DED048F">
      <w:pPr>
        <w:pStyle w:val="29"/>
        <w:spacing w:line="520" w:lineRule="exact"/>
        <w:ind w:firstLine="444"/>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二、申请人的资格要求：</w:t>
      </w:r>
    </w:p>
    <w:p w14:paraId="034431E8">
      <w:pPr>
        <w:spacing w:line="520" w:lineRule="exact"/>
        <w:ind w:firstLine="630"/>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(1)符合《政府采购法》第22条条件，并提供下列材料：</w:t>
      </w:r>
    </w:p>
    <w:p w14:paraId="2E51B0D3">
      <w:pPr>
        <w:spacing w:line="520" w:lineRule="exact"/>
        <w:ind w:firstLine="630"/>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①投标人的营业执照等证明文件，自然人的身份证明。</w:t>
      </w:r>
    </w:p>
    <w:p w14:paraId="0FF31AB0">
      <w:pPr>
        <w:spacing w:line="520" w:lineRule="exact"/>
        <w:ind w:firstLine="630"/>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②财务状况报告，依法缴纳税收和社会保障资金的相关材料。</w:t>
      </w:r>
    </w:p>
    <w:p w14:paraId="08B0EA56">
      <w:pPr>
        <w:spacing w:line="520" w:lineRule="exact"/>
        <w:ind w:firstLine="630"/>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③具备履行合同所必需的设备和专业技术能力的证明材料。</w:t>
      </w:r>
    </w:p>
    <w:p w14:paraId="1D17243A">
      <w:pPr>
        <w:spacing w:line="520" w:lineRule="exact"/>
        <w:ind w:firstLine="630"/>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④参加政府采购活动前3年内在经营活动中没有重大违法记录的书面声明。</w:t>
      </w:r>
    </w:p>
    <w:p w14:paraId="74DA07A3">
      <w:pPr>
        <w:spacing w:line="520" w:lineRule="exact"/>
        <w:ind w:firstLine="630"/>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⑤具备法律、行政法规规定的其他条件的证明材料。</w:t>
      </w:r>
    </w:p>
    <w:p w14:paraId="1BBE7BF9">
      <w:pPr>
        <w:spacing w:line="520" w:lineRule="exact"/>
        <w:ind w:firstLine="630"/>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(2)单位负责人为同一人或者存在直接控股、管理关系的不同投标人，不得参加同一合同项下的政府采购活动。否则，皆取消投标资格；</w:t>
      </w:r>
    </w:p>
    <w:p w14:paraId="521CF91D">
      <w:pPr>
        <w:spacing w:line="520" w:lineRule="exact"/>
        <w:ind w:firstLine="630"/>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(3)为本采购项目提供整体设计、规范编制或者项目管理、监理</w:t>
      </w: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w:t>
      </w: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检测</w:t>
      </w:r>
      <w:r>
        <w:rPr>
          <w:rFonts w:hint="eastAsia" w:ascii="仿宋_GB2312" w:eastAsia="仿宋_GB2312" w:hAnsiTheme="minorEastAsia"/>
          <w:color w:val="000000" w:themeColor="text1"/>
          <w:spacing w:val="7"/>
          <w:sz w:val="30"/>
          <w:szCs w:val="30"/>
          <w:highlight w:val="none"/>
          <w14:textFill>
            <w14:solidFill>
              <w14:schemeClr w14:val="tx1"/>
            </w14:solidFill>
          </w14:textFill>
        </w:rPr>
        <w:t>等服务的投标人，不得再参加该采购项目的其他采购活动；</w:t>
      </w:r>
    </w:p>
    <w:p w14:paraId="63DC3D15">
      <w:pPr>
        <w:spacing w:line="520" w:lineRule="exact"/>
        <w:ind w:firstLine="630"/>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(4)本项目不接受投标人以联合体方式进行投标；</w:t>
      </w:r>
    </w:p>
    <w:p w14:paraId="718CC62D">
      <w:pPr>
        <w:spacing w:line="520" w:lineRule="exact"/>
        <w:ind w:firstLine="630"/>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(5)经信用中国（www.creditchina.gov.cn）、中国政府采购网（www.ccgp.gov.cn）等渠道查询后，列入失信被执行人、重大税收违法案件当事人名单、政府采购严重违法失信行为记录名单的，取消投标资格。（提供“信用中国、中国政府采购网”网站无任何不良记录的查询截图，时间为投标截止时间前20天内）</w:t>
      </w: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w:t>
      </w:r>
    </w:p>
    <w:p w14:paraId="638676A2">
      <w:pPr>
        <w:spacing w:line="520" w:lineRule="exact"/>
        <w:ind w:firstLine="630"/>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(6)本项目专门面向中小企业。</w:t>
      </w:r>
    </w:p>
    <w:p w14:paraId="1F883129">
      <w:pPr>
        <w:spacing w:line="520" w:lineRule="exact"/>
        <w:ind w:firstLine="630"/>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三、获取采购文件</w:t>
      </w:r>
    </w:p>
    <w:p w14:paraId="404B3BED">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时间：</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202</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5</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年</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03</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月</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28</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日至202</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5</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年</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04</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月</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07</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日</w:t>
      </w:r>
      <w:r>
        <w:rPr>
          <w:rFonts w:hint="eastAsia" w:ascii="仿宋_GB2312" w:eastAsia="仿宋_GB2312" w:hAnsiTheme="minorEastAsia"/>
          <w:color w:val="000000" w:themeColor="text1"/>
          <w:spacing w:val="7"/>
          <w:sz w:val="30"/>
          <w:szCs w:val="30"/>
          <w:highlight w:val="none"/>
          <w14:textFill>
            <w14:solidFill>
              <w14:schemeClr w14:val="tx1"/>
            </w14:solidFill>
          </w14:textFill>
        </w:rPr>
        <w:t>，每天上午</w:t>
      </w:r>
      <w:r>
        <w:rPr>
          <w:rFonts w:hint="eastAsia" w:ascii="仿宋_GB2312" w:eastAsia="仿宋_GB2312" w:hAnsiTheme="minorEastAsia"/>
          <w:color w:val="000000" w:themeColor="text1"/>
          <w:spacing w:val="7"/>
          <w:sz w:val="30"/>
          <w:szCs w:val="30"/>
          <w:highlight w:val="none"/>
          <w:u w:val="single"/>
          <w14:textFill>
            <w14:solidFill>
              <w14:schemeClr w14:val="tx1"/>
            </w14:solidFill>
          </w14:textFill>
        </w:rPr>
        <w:t>00:00</w:t>
      </w:r>
      <w:r>
        <w:rPr>
          <w:rFonts w:hint="eastAsia" w:ascii="仿宋_GB2312" w:eastAsia="仿宋_GB2312" w:hAnsiTheme="minorEastAsia"/>
          <w:color w:val="000000" w:themeColor="text1"/>
          <w:spacing w:val="7"/>
          <w:sz w:val="30"/>
          <w:szCs w:val="30"/>
          <w:highlight w:val="none"/>
          <w14:textFill>
            <w14:solidFill>
              <w14:schemeClr w14:val="tx1"/>
            </w14:solidFill>
          </w14:textFill>
        </w:rPr>
        <w:t>至</w:t>
      </w:r>
      <w:r>
        <w:rPr>
          <w:rFonts w:hint="eastAsia" w:ascii="仿宋_GB2312" w:eastAsia="仿宋_GB2312" w:hAnsiTheme="minorEastAsia"/>
          <w:color w:val="000000" w:themeColor="text1"/>
          <w:spacing w:val="7"/>
          <w:sz w:val="30"/>
          <w:szCs w:val="30"/>
          <w:highlight w:val="none"/>
          <w:u w:val="single"/>
          <w14:textFill>
            <w14:solidFill>
              <w14:schemeClr w14:val="tx1"/>
            </w14:solidFill>
          </w14:textFill>
        </w:rPr>
        <w:t>12:00</w:t>
      </w:r>
      <w:r>
        <w:rPr>
          <w:rFonts w:hint="eastAsia" w:ascii="仿宋_GB2312" w:eastAsia="仿宋_GB2312" w:hAnsiTheme="minorEastAsia"/>
          <w:color w:val="000000" w:themeColor="text1"/>
          <w:spacing w:val="7"/>
          <w:sz w:val="30"/>
          <w:szCs w:val="30"/>
          <w:highlight w:val="none"/>
          <w14:textFill>
            <w14:solidFill>
              <w14:schemeClr w14:val="tx1"/>
            </w14:solidFill>
          </w14:textFill>
        </w:rPr>
        <w:t>，下午</w:t>
      </w:r>
      <w:r>
        <w:rPr>
          <w:rFonts w:hint="eastAsia" w:ascii="仿宋_GB2312" w:eastAsia="仿宋_GB2312" w:hAnsiTheme="minorEastAsia"/>
          <w:color w:val="000000" w:themeColor="text1"/>
          <w:spacing w:val="7"/>
          <w:sz w:val="30"/>
          <w:szCs w:val="30"/>
          <w:highlight w:val="none"/>
          <w:u w:val="single"/>
          <w14:textFill>
            <w14:solidFill>
              <w14:schemeClr w14:val="tx1"/>
            </w14:solidFill>
          </w14:textFill>
        </w:rPr>
        <w:t>12:00</w:t>
      </w:r>
      <w:r>
        <w:rPr>
          <w:rFonts w:hint="eastAsia" w:ascii="仿宋_GB2312" w:eastAsia="仿宋_GB2312" w:hAnsiTheme="minorEastAsia"/>
          <w:color w:val="000000" w:themeColor="text1"/>
          <w:spacing w:val="7"/>
          <w:sz w:val="30"/>
          <w:szCs w:val="30"/>
          <w:highlight w:val="none"/>
          <w14:textFill>
            <w14:solidFill>
              <w14:schemeClr w14:val="tx1"/>
            </w14:solidFill>
          </w14:textFill>
        </w:rPr>
        <w:t>至</w:t>
      </w:r>
      <w:r>
        <w:rPr>
          <w:rFonts w:hint="eastAsia" w:ascii="仿宋_GB2312" w:eastAsia="仿宋_GB2312" w:hAnsiTheme="minorEastAsia"/>
          <w:color w:val="000000" w:themeColor="text1"/>
          <w:spacing w:val="7"/>
          <w:sz w:val="30"/>
          <w:szCs w:val="30"/>
          <w:highlight w:val="none"/>
          <w:u w:val="single"/>
          <w14:textFill>
            <w14:solidFill>
              <w14:schemeClr w14:val="tx1"/>
            </w14:solidFill>
          </w14:textFill>
        </w:rPr>
        <w:t>23:59</w:t>
      </w:r>
      <w:r>
        <w:rPr>
          <w:rFonts w:hint="eastAsia" w:ascii="仿宋_GB2312" w:eastAsia="仿宋_GB2312" w:hAnsiTheme="minorEastAsia"/>
          <w:color w:val="000000" w:themeColor="text1"/>
          <w:spacing w:val="7"/>
          <w:sz w:val="30"/>
          <w:szCs w:val="30"/>
          <w:highlight w:val="none"/>
          <w14:textFill>
            <w14:solidFill>
              <w14:schemeClr w14:val="tx1"/>
            </w14:solidFill>
          </w14:textFill>
        </w:rPr>
        <w:t>（北京时间，法定节假日除外）</w:t>
      </w:r>
    </w:p>
    <w:p w14:paraId="70715502">
      <w:pPr>
        <w:spacing w:line="520" w:lineRule="exact"/>
        <w:ind w:firstLine="628"/>
        <w:rPr>
          <w:rFonts w:ascii="仿宋_GB2312" w:eastAsia="仿宋_GB2312" w:hAnsiTheme="minorEastAsia"/>
          <w:bCs/>
          <w:color w:val="000000" w:themeColor="text1"/>
          <w:spacing w:val="7"/>
          <w:sz w:val="30"/>
          <w:szCs w:val="30"/>
          <w:highlight w:val="none"/>
          <w14:textFill>
            <w14:solidFill>
              <w14:schemeClr w14:val="tx1"/>
            </w14:solidFill>
          </w14:textFill>
        </w:rPr>
      </w:pPr>
      <w:r>
        <w:rPr>
          <w:rFonts w:hint="eastAsia" w:ascii="仿宋_GB2312" w:eastAsia="仿宋_GB2312" w:hAnsiTheme="minorEastAsia"/>
          <w:bCs/>
          <w:color w:val="000000" w:themeColor="text1"/>
          <w:spacing w:val="7"/>
          <w:sz w:val="30"/>
          <w:szCs w:val="30"/>
          <w:highlight w:val="none"/>
          <w14:textFill>
            <w14:solidFill>
              <w14:schemeClr w14:val="tx1"/>
            </w14:solidFill>
          </w14:textFill>
        </w:rPr>
        <w:t>方式：《青海政府采购网》免费下载磋商文件。</w:t>
      </w:r>
    </w:p>
    <w:p w14:paraId="0965F383">
      <w:pPr>
        <w:spacing w:line="520" w:lineRule="exact"/>
        <w:ind w:firstLine="628"/>
        <w:rPr>
          <w:rFonts w:ascii="仿宋_GB2312" w:eastAsia="仿宋_GB2312" w:hAnsiTheme="minorEastAsia"/>
          <w:bCs/>
          <w:color w:val="000000" w:themeColor="text1"/>
          <w:spacing w:val="7"/>
          <w:sz w:val="30"/>
          <w:szCs w:val="30"/>
          <w:highlight w:val="none"/>
          <w14:textFill>
            <w14:solidFill>
              <w14:schemeClr w14:val="tx1"/>
            </w14:solidFill>
          </w14:textFill>
        </w:rPr>
      </w:pPr>
      <w:r>
        <w:rPr>
          <w:rFonts w:hint="eastAsia" w:ascii="仿宋_GB2312" w:eastAsia="仿宋_GB2312" w:hAnsiTheme="minorEastAsia"/>
          <w:bCs/>
          <w:color w:val="000000" w:themeColor="text1"/>
          <w:spacing w:val="7"/>
          <w:sz w:val="30"/>
          <w:szCs w:val="30"/>
          <w:highlight w:val="none"/>
          <w14:textFill>
            <w14:solidFill>
              <w14:schemeClr w14:val="tx1"/>
            </w14:solidFill>
          </w14:textFill>
        </w:rPr>
        <w:t>具体流程请咨询线上电子化交易系统；咨询电话：政采云95763。（提示：请潜在供应商获取文件前务必在政采云平台完成网上企业注册等手续；具体操作详见附件操作指南）</w:t>
      </w:r>
    </w:p>
    <w:p w14:paraId="381AD61C">
      <w:pPr>
        <w:spacing w:line="520" w:lineRule="exact"/>
        <w:ind w:firstLine="630"/>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四、响应文件接收</w:t>
      </w:r>
    </w:p>
    <w:p w14:paraId="4F628B5C">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截止时间：</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202</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5</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年</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04</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月</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10</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日</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09</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点</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00</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分</w:t>
      </w:r>
      <w:r>
        <w:rPr>
          <w:rFonts w:hint="eastAsia" w:ascii="仿宋_GB2312" w:eastAsia="仿宋_GB2312" w:hAnsiTheme="minorEastAsia"/>
          <w:color w:val="000000" w:themeColor="text1"/>
          <w:spacing w:val="7"/>
          <w:sz w:val="30"/>
          <w:szCs w:val="30"/>
          <w:highlight w:val="none"/>
          <w14:textFill>
            <w14:solidFill>
              <w14:schemeClr w14:val="tx1"/>
            </w14:solidFill>
          </w14:textFill>
        </w:rPr>
        <w:t>（北京时间）</w:t>
      </w:r>
    </w:p>
    <w:p w14:paraId="56B0C272">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地点：政采云平台线上提交</w:t>
      </w:r>
    </w:p>
    <w:p w14:paraId="532F899F">
      <w:pPr>
        <w:spacing w:line="520" w:lineRule="exact"/>
        <w:ind w:firstLine="630"/>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五、开启</w:t>
      </w:r>
    </w:p>
    <w:p w14:paraId="4CFD5ADC">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开启时间：</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202</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5</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年</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04</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月</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10</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日</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09</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点</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00</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分</w:t>
      </w:r>
      <w:r>
        <w:rPr>
          <w:rFonts w:hint="eastAsia" w:ascii="仿宋_GB2312" w:eastAsia="仿宋_GB2312" w:hAnsiTheme="minorEastAsia"/>
          <w:color w:val="000000" w:themeColor="text1"/>
          <w:spacing w:val="7"/>
          <w:sz w:val="30"/>
          <w:szCs w:val="30"/>
          <w:highlight w:val="none"/>
          <w14:textFill>
            <w14:solidFill>
              <w14:schemeClr w14:val="tx1"/>
            </w14:solidFill>
          </w14:textFill>
        </w:rPr>
        <w:t>（北京时间）</w:t>
      </w:r>
    </w:p>
    <w:p w14:paraId="4F8A5B63">
      <w:pPr>
        <w:spacing w:line="520" w:lineRule="exact"/>
        <w:ind w:firstLine="628"/>
        <w:rPr>
          <w:rFonts w:hint="eastAsia" w:ascii="仿宋_GB2312" w:eastAsia="仿宋_GB2312" w:hAnsiTheme="minorEastAsia"/>
          <w:b/>
          <w:color w:val="000000" w:themeColor="text1"/>
          <w:spacing w:val="7"/>
          <w:sz w:val="30"/>
          <w:szCs w:val="30"/>
          <w:highlight w:val="none"/>
          <w:lang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地点：</w:t>
      </w: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青海省招标有限责任公司</w:t>
      </w:r>
    </w:p>
    <w:p w14:paraId="012900CC">
      <w:pPr>
        <w:spacing w:line="520" w:lineRule="exact"/>
        <w:ind w:firstLine="630"/>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六、公告期限</w:t>
      </w:r>
    </w:p>
    <w:p w14:paraId="2F9E6B99">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自本公告发布之日起5个工作日。</w:t>
      </w:r>
    </w:p>
    <w:p w14:paraId="353F7599">
      <w:pPr>
        <w:spacing w:line="520" w:lineRule="exact"/>
        <w:ind w:firstLine="630"/>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七、其他补充事宜</w:t>
      </w:r>
    </w:p>
    <w:p w14:paraId="5EDE2C83">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项目公告将在《青海政府采购网》发布。</w:t>
      </w:r>
    </w:p>
    <w:p w14:paraId="3346B125">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公告期限：自青海政府采购网发布之日起5个工作日</w:t>
      </w:r>
    </w:p>
    <w:p w14:paraId="2FE3AA42">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1、本次项目采用线上进行，供应商无需到现场开标；如非系统原因造成无法上传、无法解密或解密不成功的视为放弃参加采购。线上电子响应文件必须在提交响应文件截止时间前上传至电子开评标系统；</w:t>
      </w:r>
    </w:p>
    <w:p w14:paraId="620393AD">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2、线上电子化开评标系统操作及办理CA数字证书等相关事宜请咨询政采云：咨询电话：95763；</w:t>
      </w:r>
    </w:p>
    <w:p w14:paraId="3EAD8B58">
      <w:pPr>
        <w:spacing w:line="520" w:lineRule="exact"/>
        <w:ind w:firstLine="628"/>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3、线上CA数字证书：PC咨询网址（可及时反馈问题截图，让客服快速定位问题）:http://tseal.cn/k.html，咨询电话：400-</w:t>
      </w: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088</w:t>
      </w:r>
      <w:r>
        <w:rPr>
          <w:rFonts w:hint="eastAsia" w:ascii="仿宋_GB2312" w:eastAsia="仿宋_GB2312" w:hAnsiTheme="minorEastAsia"/>
          <w:color w:val="000000" w:themeColor="text1"/>
          <w:spacing w:val="7"/>
          <w:sz w:val="30"/>
          <w:szCs w:val="30"/>
          <w:highlight w:val="none"/>
          <w14:textFill>
            <w14:solidFill>
              <w14:schemeClr w14:val="tx1"/>
            </w14:solidFill>
          </w14:textFill>
        </w:rPr>
        <w:t>8-198</w:t>
      </w: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w:t>
      </w:r>
    </w:p>
    <w:p w14:paraId="4ACFA31F">
      <w:pPr>
        <w:spacing w:line="520" w:lineRule="exact"/>
        <w:ind w:firstLine="628"/>
        <w:rPr>
          <w:rFonts w:hint="default" w:ascii="仿宋_GB2312" w:eastAsia="仿宋_GB2312" w:hAnsiTheme="minorEastAsia"/>
          <w:color w:val="000000" w:themeColor="text1"/>
          <w:spacing w:val="7"/>
          <w:sz w:val="30"/>
          <w:szCs w:val="30"/>
          <w:highlight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4、本项目供应商可通过政采云线上平台进行质疑程序，代理机构通过线上平台进行质疑投诉流程工作。</w:t>
      </w:r>
    </w:p>
    <w:p w14:paraId="665C743D">
      <w:pPr>
        <w:spacing w:line="520" w:lineRule="exact"/>
        <w:ind w:firstLine="630"/>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八、凡对本次采购提出询问，请按以下方式联系。</w:t>
      </w:r>
    </w:p>
    <w:p w14:paraId="66C0C554">
      <w:pPr>
        <w:spacing w:line="520" w:lineRule="exact"/>
        <w:ind w:firstLine="630"/>
        <w:rPr>
          <w:rFonts w:ascii="仿宋_GB2312" w:eastAsia="仿宋_GB2312" w:hAnsiTheme="minorEastAsia"/>
          <w:b/>
          <w:bCs/>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1.采购人信息</w:t>
      </w:r>
    </w:p>
    <w:p w14:paraId="591A6C9B">
      <w:pPr>
        <w:spacing w:line="520" w:lineRule="exact"/>
        <w:ind w:firstLine="628"/>
        <w:rPr>
          <w:rFonts w:hint="eastAsia" w:ascii="仿宋_GB2312" w:eastAsia="仿宋_GB2312" w:hAnsiTheme="minorEastAsia"/>
          <w:color w:val="000000" w:themeColor="text1"/>
          <w:spacing w:val="7"/>
          <w:sz w:val="30"/>
          <w:szCs w:val="30"/>
          <w:highlight w:val="none"/>
          <w:u w:val="none"/>
          <w:lang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u w:val="none"/>
          <w14:textFill>
            <w14:solidFill>
              <w14:schemeClr w14:val="tx1"/>
            </w14:solidFill>
          </w14:textFill>
        </w:rPr>
        <w:t>名</w:t>
      </w:r>
      <w:r>
        <w:rPr>
          <w:rFonts w:hint="eastAsia" w:eastAsia="仿宋_GB2312" w:asciiTheme="minorEastAsia" w:hAnsiTheme="minorEastAsia"/>
          <w:color w:val="000000" w:themeColor="text1"/>
          <w:spacing w:val="7"/>
          <w:sz w:val="30"/>
          <w:szCs w:val="30"/>
          <w:highlight w:val="none"/>
          <w:u w:val="none"/>
          <w14:textFill>
            <w14:solidFill>
              <w14:schemeClr w14:val="tx1"/>
            </w14:solidFill>
          </w14:textFill>
        </w:rPr>
        <w:t>  </w:t>
      </w:r>
      <w:r>
        <w:rPr>
          <w:rFonts w:hint="eastAsia" w:ascii="仿宋_GB2312" w:eastAsia="仿宋_GB2312" w:hAnsiTheme="minorEastAsia"/>
          <w:color w:val="000000" w:themeColor="text1"/>
          <w:spacing w:val="7"/>
          <w:sz w:val="30"/>
          <w:szCs w:val="30"/>
          <w:highlight w:val="none"/>
          <w:u w:val="none"/>
          <w14:textFill>
            <w14:solidFill>
              <w14:schemeClr w14:val="tx1"/>
            </w14:solidFill>
          </w14:textFill>
        </w:rPr>
        <w:t>称：</w:t>
      </w:r>
      <w:r>
        <w:rPr>
          <w:rFonts w:hint="eastAsia" w:ascii="仿宋_GB2312" w:eastAsia="仿宋_GB2312" w:hAnsiTheme="minorEastAsia"/>
          <w:color w:val="000000" w:themeColor="text1"/>
          <w:spacing w:val="7"/>
          <w:sz w:val="30"/>
          <w:szCs w:val="30"/>
          <w:highlight w:val="none"/>
          <w:u w:val="none"/>
          <w:lang w:eastAsia="zh-CN"/>
          <w14:textFill>
            <w14:solidFill>
              <w14:schemeClr w14:val="tx1"/>
            </w14:solidFill>
          </w14:textFill>
        </w:rPr>
        <w:t>青海民族大学</w:t>
      </w:r>
    </w:p>
    <w:p w14:paraId="69522273">
      <w:pPr>
        <w:spacing w:line="520" w:lineRule="exact"/>
        <w:ind w:firstLine="628"/>
        <w:rPr>
          <w:rFonts w:hint="default" w:ascii="仿宋_GB2312" w:eastAsia="仿宋_GB2312" w:hAnsiTheme="minorEastAsia"/>
          <w:color w:val="000000" w:themeColor="text1"/>
          <w:spacing w:val="7"/>
          <w:sz w:val="30"/>
          <w:szCs w:val="30"/>
          <w:highlight w:val="none"/>
          <w:u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u w:val="none"/>
          <w14:textFill>
            <w14:solidFill>
              <w14:schemeClr w14:val="tx1"/>
            </w14:solidFill>
          </w14:textFill>
        </w:rPr>
        <w:t>联 系 人：拜老师</w:t>
      </w:r>
    </w:p>
    <w:p w14:paraId="1390944E">
      <w:pPr>
        <w:spacing w:line="520" w:lineRule="exact"/>
        <w:ind w:firstLine="628"/>
        <w:rPr>
          <w:rFonts w:hint="eastAsia" w:ascii="仿宋_GB2312" w:eastAsia="仿宋_GB2312" w:hAnsiTheme="minorEastAsia"/>
          <w:color w:val="000000" w:themeColor="text1"/>
          <w:spacing w:val="7"/>
          <w:sz w:val="30"/>
          <w:szCs w:val="30"/>
          <w:highlight w:val="none"/>
          <w:u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u w:val="none"/>
          <w14:textFill>
            <w14:solidFill>
              <w14:schemeClr w14:val="tx1"/>
            </w14:solidFill>
          </w14:textFill>
        </w:rPr>
        <w:t>地</w:t>
      </w:r>
      <w:r>
        <w:rPr>
          <w:rFonts w:hint="eastAsia" w:eastAsia="仿宋_GB2312" w:asciiTheme="minorEastAsia" w:hAnsiTheme="minorEastAsia"/>
          <w:color w:val="000000" w:themeColor="text1"/>
          <w:spacing w:val="7"/>
          <w:sz w:val="30"/>
          <w:szCs w:val="30"/>
          <w:highlight w:val="none"/>
          <w:u w:val="none"/>
          <w14:textFill>
            <w14:solidFill>
              <w14:schemeClr w14:val="tx1"/>
            </w14:solidFill>
          </w14:textFill>
        </w:rPr>
        <w:t>  </w:t>
      </w:r>
      <w:r>
        <w:rPr>
          <w:rFonts w:hint="eastAsia" w:ascii="仿宋_GB2312" w:eastAsia="仿宋_GB2312" w:hAnsiTheme="minorEastAsia"/>
          <w:color w:val="000000" w:themeColor="text1"/>
          <w:spacing w:val="7"/>
          <w:sz w:val="30"/>
          <w:szCs w:val="30"/>
          <w:highlight w:val="none"/>
          <w:u w:val="none"/>
          <w14:textFill>
            <w14:solidFill>
              <w14:schemeClr w14:val="tx1"/>
            </w14:solidFill>
          </w14:textFill>
        </w:rPr>
        <w:t>址</w:t>
      </w:r>
      <w:r>
        <w:rPr>
          <w:rFonts w:hint="eastAsia" w:ascii="仿宋_GB2312" w:eastAsia="仿宋_GB2312" w:hAnsiTheme="minorEastAsia"/>
          <w:color w:val="000000" w:themeColor="text1"/>
          <w:spacing w:val="7"/>
          <w:sz w:val="30"/>
          <w:szCs w:val="30"/>
          <w:highlight w:val="none"/>
          <w:u w:val="none"/>
          <w:lang w:eastAsia="zh-CN"/>
          <w14:textFill>
            <w14:solidFill>
              <w14:schemeClr w14:val="tx1"/>
            </w14:solidFill>
          </w14:textFill>
        </w:rPr>
        <w:t>：西宁市城东区八一路街道八一中路3号</w:t>
      </w:r>
    </w:p>
    <w:p w14:paraId="2C4BA524">
      <w:pPr>
        <w:spacing w:line="520" w:lineRule="exact"/>
        <w:ind w:firstLine="628"/>
        <w:rPr>
          <w:rFonts w:hint="default" w:ascii="仿宋_GB2312" w:eastAsia="仿宋_GB2312" w:hAnsiTheme="minorEastAsia"/>
          <w:color w:val="000000" w:themeColor="text1"/>
          <w:spacing w:val="7"/>
          <w:sz w:val="30"/>
          <w:szCs w:val="30"/>
          <w:highlight w:val="none"/>
          <w:u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u w:val="none"/>
          <w14:textFill>
            <w14:solidFill>
              <w14:schemeClr w14:val="tx1"/>
            </w14:solidFill>
          </w14:textFill>
        </w:rPr>
        <w:t>联系方式：</w:t>
      </w:r>
      <w:r>
        <w:rPr>
          <w:rFonts w:hint="eastAsia" w:ascii="仿宋_GB2312" w:eastAsia="仿宋_GB2312" w:hAnsiTheme="minorEastAsia"/>
          <w:color w:val="000000" w:themeColor="text1"/>
          <w:spacing w:val="7"/>
          <w:sz w:val="30"/>
          <w:szCs w:val="30"/>
          <w:highlight w:val="none"/>
          <w:u w:val="none"/>
          <w:lang w:val="en-US" w:eastAsia="zh-CN"/>
          <w14:textFill>
            <w14:solidFill>
              <w14:schemeClr w14:val="tx1"/>
            </w14:solidFill>
          </w14:textFill>
        </w:rPr>
        <w:t>0971-8802687</w:t>
      </w:r>
    </w:p>
    <w:p w14:paraId="041FC2E4">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2.采购代理机构信息</w:t>
      </w:r>
    </w:p>
    <w:p w14:paraId="3808B4F1">
      <w:pPr>
        <w:spacing w:line="520" w:lineRule="exact"/>
        <w:ind w:firstLine="628"/>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名</w:t>
      </w:r>
      <w:r>
        <w:rPr>
          <w:rFonts w:hint="eastAsia" w:eastAsia="仿宋_GB2312" w:asciiTheme="minorEastAsia" w:hAnsiTheme="minorEastAsia"/>
          <w:color w:val="000000" w:themeColor="text1"/>
          <w:spacing w:val="7"/>
          <w:sz w:val="30"/>
          <w:szCs w:val="30"/>
          <w:highlight w:val="none"/>
          <w14:textFill>
            <w14:solidFill>
              <w14:schemeClr w14:val="tx1"/>
            </w14:solidFill>
          </w14:textFill>
        </w:rPr>
        <w:t>  </w:t>
      </w:r>
      <w:r>
        <w:rPr>
          <w:rFonts w:hint="eastAsia" w:ascii="仿宋_GB2312" w:eastAsia="仿宋_GB2312" w:hAnsiTheme="minorEastAsia"/>
          <w:color w:val="000000" w:themeColor="text1"/>
          <w:spacing w:val="7"/>
          <w:sz w:val="30"/>
          <w:szCs w:val="30"/>
          <w:highlight w:val="none"/>
          <w14:textFill>
            <w14:solidFill>
              <w14:schemeClr w14:val="tx1"/>
            </w14:solidFill>
          </w14:textFill>
        </w:rPr>
        <w:t>称：</w:t>
      </w: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青海省招标有限责任公司</w:t>
      </w:r>
    </w:p>
    <w:p w14:paraId="1067E05E">
      <w:pPr>
        <w:spacing w:line="520" w:lineRule="exact"/>
        <w:ind w:firstLine="628"/>
        <w:rPr>
          <w:rFonts w:hint="default" w:eastAsia="仿宋_GB2312" w:asciiTheme="minorEastAsia" w:hAnsiTheme="minorEastAsia"/>
          <w:color w:val="000000" w:themeColor="text1"/>
          <w:spacing w:val="7"/>
          <w:sz w:val="24"/>
          <w:szCs w:val="24"/>
          <w:highlight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地　　址：青海省西宁市城西区</w:t>
      </w: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五四西路65号</w:t>
      </w:r>
    </w:p>
    <w:p w14:paraId="0D7B4D6E">
      <w:pPr>
        <w:spacing w:line="520" w:lineRule="exact"/>
        <w:ind w:firstLine="628"/>
        <w:rPr>
          <w:rFonts w:hint="default" w:ascii="仿宋_GB2312" w:eastAsia="仿宋_GB2312" w:hAnsiTheme="minorEastAsia"/>
          <w:color w:val="000000" w:themeColor="text1"/>
          <w:spacing w:val="7"/>
          <w:sz w:val="30"/>
          <w:szCs w:val="30"/>
          <w:highlight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项目联系人：</w:t>
      </w: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付静芸</w:t>
      </w:r>
    </w:p>
    <w:p w14:paraId="38FAAB34">
      <w:pPr>
        <w:pStyle w:val="29"/>
        <w:spacing w:line="520" w:lineRule="exact"/>
        <w:ind w:firstLine="628" w:firstLineChars="200"/>
        <w:rPr>
          <w:rFonts w:hint="default" w:eastAsia="仿宋_GB2312" w:asciiTheme="minorEastAsia" w:hAnsiTheme="minorEastAsia"/>
          <w:color w:val="000000" w:themeColor="text1"/>
          <w:spacing w:val="7"/>
          <w:highlight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电　　 话：</w:t>
      </w:r>
      <w:r>
        <w:rPr>
          <w:rFonts w:hint="eastAsia" w:ascii="仿宋_GB2312" w:eastAsia="仿宋_GB2312" w:hAnsiTheme="minorEastAsia"/>
          <w:color w:val="000000" w:themeColor="text1"/>
          <w:spacing w:val="7"/>
          <w:kern w:val="0"/>
          <w:sz w:val="30"/>
          <w:szCs w:val="30"/>
          <w:highlight w:val="none"/>
          <w:lang w:eastAsia="zh-CN"/>
          <w14:textFill>
            <w14:solidFill>
              <w14:schemeClr w14:val="tx1"/>
            </w14:solidFill>
          </w14:textFill>
        </w:rPr>
        <w:t>0971-</w:t>
      </w:r>
      <w:r>
        <w:rPr>
          <w:rFonts w:hint="eastAsia" w:ascii="仿宋_GB2312" w:eastAsia="仿宋_GB2312" w:hAnsiTheme="minorEastAsia"/>
          <w:color w:val="000000" w:themeColor="text1"/>
          <w:spacing w:val="7"/>
          <w:kern w:val="0"/>
          <w:sz w:val="30"/>
          <w:szCs w:val="30"/>
          <w:highlight w:val="none"/>
          <w:lang w:val="en-US" w:eastAsia="zh-CN"/>
          <w14:textFill>
            <w14:solidFill>
              <w14:schemeClr w14:val="tx1"/>
            </w14:solidFill>
          </w14:textFill>
        </w:rPr>
        <w:t>6157379</w:t>
      </w:r>
    </w:p>
    <w:p w14:paraId="7A47E2E8">
      <w:pPr>
        <w:pStyle w:val="29"/>
        <w:spacing w:line="384" w:lineRule="atLeast"/>
        <w:jc w:val="center"/>
        <w:outlineLvl w:val="0"/>
        <w:rPr>
          <w:rFonts w:ascii="宋体" w:hAnsi="宋体" w:cs="宋体"/>
          <w:b/>
          <w:bCs/>
          <w:color w:val="000000" w:themeColor="text1"/>
          <w:sz w:val="44"/>
          <w:szCs w:val="44"/>
          <w:highlight w:val="none"/>
          <w:lang w:val="zh-CN"/>
          <w14:textFill>
            <w14:solidFill>
              <w14:schemeClr w14:val="tx1"/>
            </w14:solidFill>
          </w14:textFill>
        </w:rPr>
      </w:pPr>
      <w:r>
        <w:rPr>
          <w:rFonts w:ascii="宋体" w:hAnsi="宋体"/>
          <w:color w:val="000000" w:themeColor="text1"/>
          <w:highlight w:val="none"/>
          <w14:textFill>
            <w14:solidFill>
              <w14:schemeClr w14:val="tx1"/>
            </w14:solidFill>
          </w14:textFill>
        </w:rPr>
        <w:br w:type="page"/>
      </w:r>
      <w:bookmarkStart w:id="1" w:name="_Toc101710028"/>
      <w:bookmarkStart w:id="2" w:name="_Toc3201"/>
      <w:r>
        <w:rPr>
          <w:rFonts w:hint="eastAsia" w:ascii="宋体" w:hAnsi="宋体" w:cs="宋体"/>
          <w:b/>
          <w:color w:val="000000" w:themeColor="text1"/>
          <w:sz w:val="44"/>
          <w:szCs w:val="44"/>
          <w:highlight w:val="none"/>
          <w:lang w:val="zh-CN"/>
          <w14:textFill>
            <w14:solidFill>
              <w14:schemeClr w14:val="tx1"/>
            </w14:solidFill>
          </w14:textFill>
        </w:rPr>
        <w:t>第二部分供应商须知</w:t>
      </w:r>
      <w:bookmarkEnd w:id="1"/>
    </w:p>
    <w:p w14:paraId="6B51A013">
      <w:pPr>
        <w:spacing w:line="520" w:lineRule="exact"/>
        <w:ind w:firstLine="0" w:firstLineChars="0"/>
        <w:jc w:val="center"/>
        <w:rPr>
          <w:rFonts w:cs="宋体" w:asciiTheme="minorEastAsia" w:hAnsiTheme="minorEastAsia" w:eastAsiaTheme="minorEastAsia"/>
          <w:color w:val="000000" w:themeColor="text1"/>
          <w:sz w:val="32"/>
          <w:szCs w:val="32"/>
          <w:highlight w:val="none"/>
          <w:lang w:val="zh-CN"/>
          <w14:textFill>
            <w14:solidFill>
              <w14:schemeClr w14:val="tx1"/>
            </w14:solidFill>
          </w14:textFill>
        </w:rPr>
      </w:pPr>
      <w:r>
        <w:rPr>
          <w:rFonts w:hint="eastAsia" w:cs="宋体" w:asciiTheme="minorEastAsia" w:hAnsiTheme="minorEastAsia" w:eastAsiaTheme="minorEastAsia"/>
          <w:b/>
          <w:bCs/>
          <w:color w:val="000000" w:themeColor="text1"/>
          <w:sz w:val="32"/>
          <w:szCs w:val="32"/>
          <w:highlight w:val="none"/>
          <w:lang w:val="zh-CN"/>
          <w14:textFill>
            <w14:solidFill>
              <w14:schemeClr w14:val="tx1"/>
            </w14:solidFill>
          </w14:textFill>
        </w:rPr>
        <w:t>供应商须知前附表</w:t>
      </w:r>
      <w:bookmarkEnd w:id="2"/>
    </w:p>
    <w:tbl>
      <w:tblPr>
        <w:tblStyle w:val="34"/>
        <w:tblW w:w="9781" w:type="dxa"/>
        <w:jc w:val="center"/>
        <w:tblLayout w:type="fixed"/>
        <w:tblCellMar>
          <w:top w:w="0" w:type="dxa"/>
          <w:left w:w="57" w:type="dxa"/>
          <w:bottom w:w="0" w:type="dxa"/>
          <w:right w:w="57" w:type="dxa"/>
        </w:tblCellMar>
      </w:tblPr>
      <w:tblGrid>
        <w:gridCol w:w="744"/>
        <w:gridCol w:w="2413"/>
        <w:gridCol w:w="6624"/>
      </w:tblGrid>
      <w:tr w14:paraId="77D80B17">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bottom"/>
          </w:tcPr>
          <w:p w14:paraId="5980CED5">
            <w:pPr>
              <w:autoSpaceDE w:val="0"/>
              <w:autoSpaceDN w:val="0"/>
              <w:spacing w:line="520" w:lineRule="exact"/>
              <w:ind w:firstLine="0" w:firstLineChars="0"/>
              <w:jc w:val="center"/>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序号</w:t>
            </w:r>
          </w:p>
        </w:tc>
        <w:tc>
          <w:tcPr>
            <w:tcW w:w="9037" w:type="dxa"/>
            <w:gridSpan w:val="2"/>
            <w:tcBorders>
              <w:top w:val="single" w:color="000000" w:sz="6" w:space="0"/>
              <w:left w:val="single" w:color="000000" w:sz="6" w:space="0"/>
              <w:bottom w:val="single" w:color="000000" w:sz="6" w:space="0"/>
              <w:right w:val="single" w:color="000000" w:sz="6" w:space="0"/>
            </w:tcBorders>
            <w:vAlign w:val="bottom"/>
          </w:tcPr>
          <w:p w14:paraId="16F1A6B5">
            <w:pPr>
              <w:autoSpaceDE w:val="0"/>
              <w:autoSpaceDN w:val="0"/>
              <w:spacing w:line="520" w:lineRule="exact"/>
              <w:ind w:firstLine="0" w:firstLineChars="0"/>
              <w:jc w:val="center"/>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内容</w:t>
            </w:r>
          </w:p>
        </w:tc>
      </w:tr>
      <w:tr w14:paraId="4C6EF303">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4A35CF1C">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w:t>
            </w:r>
          </w:p>
        </w:tc>
        <w:tc>
          <w:tcPr>
            <w:tcW w:w="2413" w:type="dxa"/>
            <w:tcBorders>
              <w:top w:val="single" w:color="000000" w:sz="6" w:space="0"/>
              <w:left w:val="single" w:color="000000" w:sz="6" w:space="0"/>
              <w:bottom w:val="single" w:color="000000" w:sz="6" w:space="0"/>
              <w:right w:val="single" w:color="000000" w:sz="6" w:space="0"/>
            </w:tcBorders>
            <w:vAlign w:val="center"/>
          </w:tcPr>
          <w:p w14:paraId="49333CEB">
            <w:pPr>
              <w:autoSpaceDE w:val="0"/>
              <w:autoSpaceDN w:val="0"/>
              <w:spacing w:line="520" w:lineRule="exact"/>
              <w:ind w:firstLine="0" w:firstLineChars="0"/>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采购项目编号</w:t>
            </w:r>
          </w:p>
        </w:tc>
        <w:tc>
          <w:tcPr>
            <w:tcW w:w="6624" w:type="dxa"/>
            <w:tcBorders>
              <w:top w:val="single" w:color="000000" w:sz="6" w:space="0"/>
              <w:left w:val="single" w:color="000000" w:sz="6" w:space="0"/>
              <w:bottom w:val="single" w:color="000000" w:sz="6" w:space="0"/>
              <w:right w:val="single" w:color="000000" w:sz="6" w:space="0"/>
            </w:tcBorders>
            <w:vAlign w:val="center"/>
          </w:tcPr>
          <w:p w14:paraId="56EF632E">
            <w:pPr>
              <w:autoSpaceDE w:val="0"/>
              <w:autoSpaceDN w:val="0"/>
              <w:spacing w:line="520" w:lineRule="exact"/>
              <w:ind w:firstLine="0" w:firstLineChars="0"/>
              <w:rPr>
                <w:rFonts w:hint="default" w:ascii="仿宋_GB2312" w:hAnsi="宋体" w:eastAsia="仿宋_GB2312" w:cs="宋体"/>
                <w:b/>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青海省招竞磋（服务）2025-</w:t>
            </w:r>
            <w:r>
              <w:rPr>
                <w:rFonts w:hint="eastAsia" w:ascii="仿宋_GB2312" w:hAnsi="宋体" w:eastAsia="仿宋_GB2312" w:cs="宋体"/>
                <w:color w:val="000000" w:themeColor="text1"/>
                <w:sz w:val="28"/>
                <w:szCs w:val="28"/>
                <w:highlight w:val="none"/>
                <w:lang w:val="zh-CN" w:eastAsia="zh-CN"/>
                <w14:textFill>
                  <w14:solidFill>
                    <w14:schemeClr w14:val="tx1"/>
                  </w14:solidFill>
                </w14:textFill>
              </w:rPr>
              <w:t>015</w:t>
            </w:r>
          </w:p>
        </w:tc>
      </w:tr>
      <w:tr w14:paraId="5849F452">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343DF1F7">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2</w:t>
            </w:r>
          </w:p>
        </w:tc>
        <w:tc>
          <w:tcPr>
            <w:tcW w:w="2413" w:type="dxa"/>
            <w:tcBorders>
              <w:top w:val="single" w:color="000000" w:sz="6" w:space="0"/>
              <w:left w:val="single" w:color="000000" w:sz="6" w:space="0"/>
              <w:bottom w:val="single" w:color="000000" w:sz="6" w:space="0"/>
              <w:right w:val="single" w:color="000000" w:sz="6" w:space="0"/>
            </w:tcBorders>
            <w:vAlign w:val="center"/>
          </w:tcPr>
          <w:p w14:paraId="423C7478">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采购项目名称</w:t>
            </w:r>
          </w:p>
        </w:tc>
        <w:tc>
          <w:tcPr>
            <w:tcW w:w="6624" w:type="dxa"/>
            <w:tcBorders>
              <w:top w:val="single" w:color="000000" w:sz="6" w:space="0"/>
              <w:left w:val="single" w:color="000000" w:sz="6" w:space="0"/>
              <w:bottom w:val="single" w:color="000000" w:sz="6" w:space="0"/>
              <w:right w:val="single" w:color="000000" w:sz="6" w:space="0"/>
            </w:tcBorders>
          </w:tcPr>
          <w:p w14:paraId="45400166">
            <w:pPr>
              <w:autoSpaceDE w:val="0"/>
              <w:autoSpaceDN w:val="0"/>
              <w:spacing w:line="520" w:lineRule="exact"/>
              <w:ind w:firstLine="0" w:firstLineChars="0"/>
              <w:jc w:val="left"/>
              <w:rPr>
                <w:rFonts w:hint="eastAsia" w:ascii="仿宋_GB2312" w:hAnsi="宋体" w:eastAsia="仿宋_GB2312" w:cs="宋体"/>
                <w:color w:val="000000" w:themeColor="text1"/>
                <w:sz w:val="28"/>
                <w:szCs w:val="28"/>
                <w:highlight w:val="none"/>
                <w:lang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zh-CN" w:eastAsia="zh-CN"/>
                <w14:textFill>
                  <w14:solidFill>
                    <w14:schemeClr w14:val="tx1"/>
                  </w14:solidFill>
                </w14:textFill>
              </w:rPr>
              <w:t>青海民族大学研究生招生教育培养</w:t>
            </w:r>
          </w:p>
        </w:tc>
      </w:tr>
      <w:tr w14:paraId="333D8DBC">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4E18F930">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3</w:t>
            </w:r>
          </w:p>
        </w:tc>
        <w:tc>
          <w:tcPr>
            <w:tcW w:w="2413" w:type="dxa"/>
            <w:tcBorders>
              <w:top w:val="single" w:color="000000" w:sz="6" w:space="0"/>
              <w:left w:val="single" w:color="000000" w:sz="6" w:space="0"/>
              <w:bottom w:val="single" w:color="000000" w:sz="6" w:space="0"/>
              <w:right w:val="single" w:color="000000" w:sz="6" w:space="0"/>
            </w:tcBorders>
            <w:vAlign w:val="center"/>
          </w:tcPr>
          <w:p w14:paraId="27AE21D5">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采购人</w:t>
            </w:r>
          </w:p>
        </w:tc>
        <w:tc>
          <w:tcPr>
            <w:tcW w:w="6624" w:type="dxa"/>
            <w:tcBorders>
              <w:top w:val="single" w:color="000000" w:sz="6" w:space="0"/>
              <w:left w:val="single" w:color="000000" w:sz="6" w:space="0"/>
              <w:bottom w:val="single" w:color="000000" w:sz="6" w:space="0"/>
              <w:right w:val="single" w:color="000000" w:sz="6" w:space="0"/>
            </w:tcBorders>
          </w:tcPr>
          <w:p w14:paraId="21B58ABF">
            <w:pPr>
              <w:autoSpaceDE w:val="0"/>
              <w:autoSpaceDN w:val="0"/>
              <w:spacing w:line="520" w:lineRule="exact"/>
              <w:ind w:firstLine="0" w:firstLineChars="0"/>
              <w:jc w:val="left"/>
              <w:rPr>
                <w:rFonts w:hint="eastAsia" w:ascii="仿宋_GB2312" w:hAnsi="宋体" w:eastAsia="仿宋_GB2312" w:cs="宋体"/>
                <w:color w:val="000000" w:themeColor="text1"/>
                <w:sz w:val="28"/>
                <w:szCs w:val="28"/>
                <w:highlight w:val="none"/>
                <w:lang w:val="zh-CN"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zh-CN" w:eastAsia="zh-CN"/>
                <w14:textFill>
                  <w14:solidFill>
                    <w14:schemeClr w14:val="tx1"/>
                  </w14:solidFill>
                </w14:textFill>
              </w:rPr>
              <w:t>青海民族大学</w:t>
            </w:r>
          </w:p>
        </w:tc>
      </w:tr>
      <w:tr w14:paraId="2FA4B7E8">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51C4EF42">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4</w:t>
            </w:r>
          </w:p>
        </w:tc>
        <w:tc>
          <w:tcPr>
            <w:tcW w:w="2413" w:type="dxa"/>
            <w:tcBorders>
              <w:top w:val="single" w:color="000000" w:sz="6" w:space="0"/>
              <w:left w:val="single" w:color="000000" w:sz="6" w:space="0"/>
              <w:bottom w:val="single" w:color="000000" w:sz="6" w:space="0"/>
              <w:right w:val="single" w:color="000000" w:sz="6" w:space="0"/>
            </w:tcBorders>
            <w:vAlign w:val="center"/>
          </w:tcPr>
          <w:p w14:paraId="7E709BB4">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采购代理机构</w:t>
            </w:r>
          </w:p>
        </w:tc>
        <w:tc>
          <w:tcPr>
            <w:tcW w:w="6624" w:type="dxa"/>
            <w:tcBorders>
              <w:top w:val="single" w:color="000000" w:sz="6" w:space="0"/>
              <w:left w:val="single" w:color="000000" w:sz="6" w:space="0"/>
              <w:bottom w:val="single" w:color="000000" w:sz="6" w:space="0"/>
              <w:right w:val="single" w:color="000000" w:sz="6" w:space="0"/>
            </w:tcBorders>
          </w:tcPr>
          <w:p w14:paraId="3971BBC6">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青海省招标有限责任公司</w:t>
            </w:r>
          </w:p>
        </w:tc>
      </w:tr>
      <w:tr w14:paraId="0E904C69">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196B09F4">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5</w:t>
            </w:r>
          </w:p>
        </w:tc>
        <w:tc>
          <w:tcPr>
            <w:tcW w:w="2413" w:type="dxa"/>
            <w:tcBorders>
              <w:top w:val="single" w:color="000000" w:sz="6" w:space="0"/>
              <w:left w:val="single" w:color="000000" w:sz="6" w:space="0"/>
              <w:bottom w:val="single" w:color="000000" w:sz="6" w:space="0"/>
              <w:right w:val="single" w:color="000000" w:sz="6" w:space="0"/>
            </w:tcBorders>
            <w:vAlign w:val="center"/>
          </w:tcPr>
          <w:p w14:paraId="4C73876F">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采购方式</w:t>
            </w:r>
          </w:p>
        </w:tc>
        <w:tc>
          <w:tcPr>
            <w:tcW w:w="6624" w:type="dxa"/>
            <w:tcBorders>
              <w:top w:val="single" w:color="000000" w:sz="6" w:space="0"/>
              <w:left w:val="single" w:color="000000" w:sz="6" w:space="0"/>
              <w:bottom w:val="single" w:color="000000" w:sz="6" w:space="0"/>
              <w:right w:val="single" w:color="000000" w:sz="6" w:space="0"/>
            </w:tcBorders>
          </w:tcPr>
          <w:p w14:paraId="2B4E6A8B">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竞争性磋商</w:t>
            </w:r>
          </w:p>
        </w:tc>
      </w:tr>
      <w:tr w14:paraId="737C4C57">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3AF0128F">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6</w:t>
            </w:r>
          </w:p>
        </w:tc>
        <w:tc>
          <w:tcPr>
            <w:tcW w:w="2413" w:type="dxa"/>
            <w:tcBorders>
              <w:top w:val="single" w:color="000000" w:sz="6" w:space="0"/>
              <w:left w:val="single" w:color="000000" w:sz="6" w:space="0"/>
              <w:bottom w:val="single" w:color="000000" w:sz="6" w:space="0"/>
              <w:right w:val="single" w:color="000000" w:sz="6" w:space="0"/>
            </w:tcBorders>
            <w:vAlign w:val="center"/>
          </w:tcPr>
          <w:p w14:paraId="65A76620">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评审办法</w:t>
            </w:r>
          </w:p>
        </w:tc>
        <w:tc>
          <w:tcPr>
            <w:tcW w:w="6624" w:type="dxa"/>
            <w:tcBorders>
              <w:top w:val="single" w:color="000000" w:sz="6" w:space="0"/>
              <w:left w:val="single" w:color="000000" w:sz="6" w:space="0"/>
              <w:bottom w:val="single" w:color="000000" w:sz="6" w:space="0"/>
              <w:right w:val="single" w:color="000000" w:sz="6" w:space="0"/>
            </w:tcBorders>
          </w:tcPr>
          <w:p w14:paraId="61B3ED3C">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综合评分法</w:t>
            </w:r>
          </w:p>
        </w:tc>
      </w:tr>
      <w:tr w14:paraId="60B9AD78">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1D7131D7">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7</w:t>
            </w:r>
          </w:p>
        </w:tc>
        <w:tc>
          <w:tcPr>
            <w:tcW w:w="2413" w:type="dxa"/>
            <w:tcBorders>
              <w:top w:val="single" w:color="000000" w:sz="6" w:space="0"/>
              <w:left w:val="single" w:color="000000" w:sz="6" w:space="0"/>
              <w:bottom w:val="single" w:color="000000" w:sz="6" w:space="0"/>
              <w:right w:val="single" w:color="000000" w:sz="6" w:space="0"/>
            </w:tcBorders>
            <w:vAlign w:val="center"/>
          </w:tcPr>
          <w:p w14:paraId="37CBBF2C">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采购预算</w:t>
            </w:r>
          </w:p>
        </w:tc>
        <w:tc>
          <w:tcPr>
            <w:tcW w:w="6624" w:type="dxa"/>
            <w:tcBorders>
              <w:top w:val="single" w:color="000000" w:sz="6" w:space="0"/>
              <w:left w:val="single" w:color="000000" w:sz="6" w:space="0"/>
              <w:bottom w:val="single" w:color="000000" w:sz="6" w:space="0"/>
              <w:right w:val="single" w:color="000000" w:sz="6" w:space="0"/>
            </w:tcBorders>
            <w:vAlign w:val="center"/>
          </w:tcPr>
          <w:p w14:paraId="0FAFC35C">
            <w:pPr>
              <w:autoSpaceDE w:val="0"/>
              <w:autoSpaceDN w:val="0"/>
              <w:spacing w:line="520" w:lineRule="exact"/>
              <w:ind w:firstLine="0" w:firstLineChars="0"/>
              <w:jc w:val="left"/>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360万元</w:t>
            </w:r>
            <w:r>
              <w:rPr>
                <w:rFonts w:hint="eastAsia" w:ascii="仿宋_GB2312" w:hAnsi="宋体" w:eastAsia="仿宋_GB2312" w:cs="宋体"/>
                <w:color w:val="000000" w:themeColor="text1"/>
                <w:sz w:val="28"/>
                <w:szCs w:val="28"/>
                <w:highlight w:val="none"/>
                <w14:textFill>
                  <w14:solidFill>
                    <w14:schemeClr w14:val="tx1"/>
                  </w14:solidFill>
                </w14:textFill>
              </w:rPr>
              <w:t>（大写：</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叁佰陆拾万元整</w:t>
            </w:r>
            <w:r>
              <w:rPr>
                <w:rFonts w:hint="eastAsia" w:ascii="仿宋_GB2312" w:hAnsi="宋体" w:eastAsia="仿宋_GB2312" w:cs="宋体"/>
                <w:color w:val="000000" w:themeColor="text1"/>
                <w:sz w:val="28"/>
                <w:szCs w:val="28"/>
                <w:highlight w:val="none"/>
                <w14:textFill>
                  <w14:solidFill>
                    <w14:schemeClr w14:val="tx1"/>
                  </w14:solidFill>
                </w14:textFill>
              </w:rPr>
              <w:t>）</w:t>
            </w:r>
          </w:p>
        </w:tc>
      </w:tr>
      <w:tr w14:paraId="26AAB122">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66F7CD8D">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8</w:t>
            </w:r>
          </w:p>
        </w:tc>
        <w:tc>
          <w:tcPr>
            <w:tcW w:w="2413" w:type="dxa"/>
            <w:tcBorders>
              <w:top w:val="single" w:color="000000" w:sz="6" w:space="0"/>
              <w:left w:val="single" w:color="000000" w:sz="6" w:space="0"/>
              <w:bottom w:val="single" w:color="000000" w:sz="6" w:space="0"/>
              <w:right w:val="single" w:color="000000" w:sz="6" w:space="0"/>
            </w:tcBorders>
            <w:vAlign w:val="center"/>
          </w:tcPr>
          <w:p w14:paraId="0D6784AD">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最高限价</w:t>
            </w:r>
          </w:p>
        </w:tc>
        <w:tc>
          <w:tcPr>
            <w:tcW w:w="6624" w:type="dxa"/>
            <w:tcBorders>
              <w:top w:val="single" w:color="000000" w:sz="6" w:space="0"/>
              <w:left w:val="single" w:color="000000" w:sz="6" w:space="0"/>
              <w:bottom w:val="single" w:color="000000" w:sz="6" w:space="0"/>
              <w:right w:val="single" w:color="000000" w:sz="6" w:space="0"/>
            </w:tcBorders>
            <w:vAlign w:val="center"/>
          </w:tcPr>
          <w:p w14:paraId="4950D439">
            <w:pPr>
              <w:autoSpaceDE w:val="0"/>
              <w:autoSpaceDN w:val="0"/>
              <w:spacing w:line="520" w:lineRule="exact"/>
              <w:ind w:firstLine="0" w:firstLineChars="0"/>
              <w:jc w:val="left"/>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360万元</w:t>
            </w:r>
            <w:r>
              <w:rPr>
                <w:rFonts w:hint="eastAsia" w:ascii="仿宋_GB2312" w:hAnsi="宋体" w:eastAsia="仿宋_GB2312" w:cs="宋体"/>
                <w:color w:val="000000" w:themeColor="text1"/>
                <w:sz w:val="28"/>
                <w:szCs w:val="28"/>
                <w:highlight w:val="none"/>
                <w14:textFill>
                  <w14:solidFill>
                    <w14:schemeClr w14:val="tx1"/>
                  </w14:solidFill>
                </w14:textFill>
              </w:rPr>
              <w:t>（大写：</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叁佰陆拾万元整</w:t>
            </w:r>
            <w:r>
              <w:rPr>
                <w:rFonts w:hint="eastAsia" w:ascii="仿宋_GB2312" w:hAnsi="宋体" w:eastAsia="仿宋_GB2312" w:cs="宋体"/>
                <w:color w:val="000000" w:themeColor="text1"/>
                <w:sz w:val="28"/>
                <w:szCs w:val="28"/>
                <w:highlight w:val="none"/>
                <w14:textFill>
                  <w14:solidFill>
                    <w14:schemeClr w14:val="tx1"/>
                  </w14:solidFill>
                </w14:textFill>
              </w:rPr>
              <w:t>）</w:t>
            </w:r>
          </w:p>
        </w:tc>
      </w:tr>
      <w:tr w14:paraId="4B194028">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78DB47A7">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9</w:t>
            </w:r>
          </w:p>
        </w:tc>
        <w:tc>
          <w:tcPr>
            <w:tcW w:w="2413" w:type="dxa"/>
            <w:tcBorders>
              <w:top w:val="single" w:color="000000" w:sz="6" w:space="0"/>
              <w:left w:val="single" w:color="000000" w:sz="6" w:space="0"/>
              <w:bottom w:val="single" w:color="000000" w:sz="6" w:space="0"/>
              <w:right w:val="single" w:color="000000" w:sz="6" w:space="0"/>
            </w:tcBorders>
            <w:vAlign w:val="center"/>
          </w:tcPr>
          <w:p w14:paraId="50D1EE8D">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项目分包个数</w:t>
            </w:r>
          </w:p>
        </w:tc>
        <w:tc>
          <w:tcPr>
            <w:tcW w:w="6624" w:type="dxa"/>
            <w:tcBorders>
              <w:top w:val="single" w:color="000000" w:sz="6" w:space="0"/>
              <w:left w:val="single" w:color="000000" w:sz="6" w:space="0"/>
              <w:bottom w:val="single" w:color="000000" w:sz="6" w:space="0"/>
              <w:right w:val="single" w:color="000000" w:sz="6" w:space="0"/>
            </w:tcBorders>
            <w:vAlign w:val="center"/>
          </w:tcPr>
          <w:p w14:paraId="43FF9DC1">
            <w:pPr>
              <w:spacing w:line="520" w:lineRule="exact"/>
              <w:ind w:firstLine="0" w:firstLineChars="0"/>
              <w:jc w:val="left"/>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无分包</w:t>
            </w:r>
          </w:p>
        </w:tc>
      </w:tr>
      <w:tr w14:paraId="46FE0D12">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1B04E240">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10</w:t>
            </w:r>
          </w:p>
        </w:tc>
        <w:tc>
          <w:tcPr>
            <w:tcW w:w="2413" w:type="dxa"/>
            <w:tcBorders>
              <w:top w:val="single" w:color="000000" w:sz="6" w:space="0"/>
              <w:left w:val="single" w:color="000000" w:sz="6" w:space="0"/>
              <w:bottom w:val="single" w:color="000000" w:sz="6" w:space="0"/>
              <w:right w:val="single" w:color="000000" w:sz="6" w:space="0"/>
            </w:tcBorders>
            <w:vAlign w:val="center"/>
          </w:tcPr>
          <w:p w14:paraId="251D3EA6">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采购要求</w:t>
            </w:r>
          </w:p>
        </w:tc>
        <w:tc>
          <w:tcPr>
            <w:tcW w:w="6624" w:type="dxa"/>
            <w:tcBorders>
              <w:top w:val="single" w:color="000000" w:sz="6" w:space="0"/>
              <w:left w:val="single" w:color="000000" w:sz="6" w:space="0"/>
              <w:bottom w:val="single" w:color="000000" w:sz="6" w:space="0"/>
              <w:right w:val="single" w:color="000000" w:sz="6" w:space="0"/>
            </w:tcBorders>
            <w:vAlign w:val="center"/>
          </w:tcPr>
          <w:p w14:paraId="564F00AA">
            <w:pPr>
              <w:autoSpaceDE w:val="0"/>
              <w:autoSpaceDN w:val="0"/>
              <w:spacing w:line="520" w:lineRule="exact"/>
              <w:ind w:firstLine="0" w:firstLineChars="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全委托送审，在约定的时间内实现我校2025年博士硕士研究生学位论文送交符合我校论文评审条件的3位专家进行匿名评审、结果反馈等各环节工作，并做好聘请专家、评审管理、代付劳务费与管理费等相关工作，同时确保送审工作的保密性、安全性、科学性、有效性。论文评审结束后，应在规定时间内完成专家评阅意见书和评审结果汇总表的反馈工作，具体内容要求详见第五部分服务要求</w:t>
            </w:r>
          </w:p>
        </w:tc>
      </w:tr>
      <w:tr w14:paraId="2031394E">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2B967F01">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11</w:t>
            </w:r>
          </w:p>
        </w:tc>
        <w:tc>
          <w:tcPr>
            <w:tcW w:w="2413" w:type="dxa"/>
            <w:tcBorders>
              <w:top w:val="single" w:color="000000" w:sz="6" w:space="0"/>
              <w:left w:val="single" w:color="000000" w:sz="6" w:space="0"/>
              <w:bottom w:val="single" w:color="000000" w:sz="6" w:space="0"/>
              <w:right w:val="single" w:color="000000" w:sz="6" w:space="0"/>
            </w:tcBorders>
            <w:vAlign w:val="center"/>
          </w:tcPr>
          <w:p w14:paraId="47456E4A">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供应商资格条件</w:t>
            </w:r>
          </w:p>
        </w:tc>
        <w:tc>
          <w:tcPr>
            <w:tcW w:w="6624" w:type="dxa"/>
            <w:tcBorders>
              <w:top w:val="single" w:color="000000" w:sz="6" w:space="0"/>
              <w:left w:val="single" w:color="000000" w:sz="6" w:space="0"/>
              <w:bottom w:val="single" w:color="000000" w:sz="6" w:space="0"/>
              <w:right w:val="single" w:color="000000" w:sz="6" w:space="0"/>
            </w:tcBorders>
            <w:vAlign w:val="center"/>
          </w:tcPr>
          <w:p w14:paraId="3625A4D6">
            <w:pPr>
              <w:pStyle w:val="29"/>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(1)符合《政府采购法》第 22 条条件，并提供下列材料：</w:t>
            </w:r>
          </w:p>
          <w:p w14:paraId="7521B033">
            <w:pPr>
              <w:pStyle w:val="29"/>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①投标人的营业执照等证明文件，自然人的身份证明。</w:t>
            </w:r>
          </w:p>
          <w:p w14:paraId="648369A4">
            <w:pPr>
              <w:pStyle w:val="29"/>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②财务状况报告，依法缴纳税收和社会保障资金的相关材料。</w:t>
            </w:r>
          </w:p>
          <w:p w14:paraId="3CA13B4B">
            <w:pPr>
              <w:pStyle w:val="29"/>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③具备履行合同所必需的设备和专业技术能力的证明材料。</w:t>
            </w:r>
          </w:p>
          <w:p w14:paraId="586E914D">
            <w:pPr>
              <w:pStyle w:val="29"/>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④参加政府采购活动前3 年内在经营活动中没有重大违法记录的书面声明。</w:t>
            </w:r>
          </w:p>
          <w:p w14:paraId="28E0DE89">
            <w:pPr>
              <w:pStyle w:val="29"/>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⑤具备法律、行政法规规定的其他条件的证明材料。</w:t>
            </w:r>
          </w:p>
          <w:p w14:paraId="581D1AF2">
            <w:pPr>
              <w:pStyle w:val="29"/>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(2)单位负责人为同一人或者存在直接控股、管理关系的不同投标人，不得参加同一合同项下的政府采购活动。否则，皆取消投标资格</w:t>
            </w:r>
            <w:r>
              <w:rPr>
                <w:rFonts w:hint="eastAsia" w:ascii="仿宋_GB2312" w:eastAsia="仿宋_GB2312" w:hAnsiTheme="minorEastAsia"/>
                <w:color w:val="000000" w:themeColor="text1"/>
                <w:spacing w:val="7"/>
                <w:sz w:val="28"/>
                <w:szCs w:val="28"/>
                <w:highlight w:val="none"/>
                <w:lang w:eastAsia="zh-CN"/>
                <w14:textFill>
                  <w14:solidFill>
                    <w14:schemeClr w14:val="tx1"/>
                  </w14:solidFill>
                </w14:textFill>
              </w:rPr>
              <w:t>（提供书面承诺）；</w:t>
            </w:r>
          </w:p>
          <w:p w14:paraId="43435712">
            <w:pPr>
              <w:pStyle w:val="29"/>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(3)为本采购项目提供整体设计、规范编制或者项目管理、监理、检测等服务的投标人，不得再参加该采购项目的其他采购活动</w:t>
            </w:r>
            <w:r>
              <w:rPr>
                <w:rFonts w:hint="eastAsia" w:ascii="仿宋_GB2312" w:eastAsia="仿宋_GB2312" w:hAnsiTheme="minorEastAsia"/>
                <w:color w:val="000000" w:themeColor="text1"/>
                <w:spacing w:val="7"/>
                <w:sz w:val="28"/>
                <w:szCs w:val="28"/>
                <w:highlight w:val="none"/>
                <w:lang w:eastAsia="zh-CN"/>
                <w14:textFill>
                  <w14:solidFill>
                    <w14:schemeClr w14:val="tx1"/>
                  </w14:solidFill>
                </w14:textFill>
              </w:rPr>
              <w:t>（提供书面承诺）；</w:t>
            </w:r>
          </w:p>
          <w:p w14:paraId="5BFC1EFE">
            <w:pPr>
              <w:pStyle w:val="29"/>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(4)本项目不接受投标人以联合体方式进行投标；</w:t>
            </w:r>
          </w:p>
          <w:p w14:paraId="6BA05CFB">
            <w:pPr>
              <w:pStyle w:val="29"/>
              <w:spacing w:line="520" w:lineRule="exact"/>
              <w:ind w:firstLine="444"/>
              <w:rPr>
                <w:rFonts w:hint="eastAsia" w:ascii="仿宋_GB2312" w:eastAsia="仿宋_GB2312" w:hAnsiTheme="minorEastAsia"/>
                <w:color w:val="000000" w:themeColor="text1"/>
                <w:spacing w:val="7"/>
                <w:sz w:val="28"/>
                <w:szCs w:val="28"/>
                <w:highlight w:val="none"/>
                <w:lang w:eastAsia="zh-CN"/>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(5)经信用中国（www.creditchina.gov.cn）、中国政府采购网（www.ccgp.gov.cn）等渠道查询后，列入失信被执行人、重大税收违法案件当事人名单、政府采购严重违法失信行为记录名单的，取消投标资格。（提供“信用中国、中国政府采购网”网站无任何不良记录的查询截图，时间为投标截止时间前20天内）</w:t>
            </w:r>
            <w:r>
              <w:rPr>
                <w:rFonts w:hint="eastAsia" w:ascii="仿宋_GB2312" w:eastAsia="仿宋_GB2312" w:hAnsiTheme="minorEastAsia"/>
                <w:color w:val="000000" w:themeColor="text1"/>
                <w:spacing w:val="7"/>
                <w:sz w:val="28"/>
                <w:szCs w:val="28"/>
                <w:highlight w:val="none"/>
                <w:lang w:eastAsia="zh-CN"/>
                <w14:textFill>
                  <w14:solidFill>
                    <w14:schemeClr w14:val="tx1"/>
                  </w14:solidFill>
                </w14:textFill>
              </w:rPr>
              <w:t>；</w:t>
            </w:r>
          </w:p>
          <w:p w14:paraId="1C9C651E">
            <w:pPr>
              <w:pStyle w:val="29"/>
              <w:spacing w:line="520" w:lineRule="exact"/>
              <w:ind w:firstLine="444"/>
              <w:rPr>
                <w:rFonts w:hint="default" w:ascii="仿宋_GB2312" w:eastAsia="仿宋_GB2312" w:hAnsiTheme="minorEastAsia"/>
                <w:color w:val="000000" w:themeColor="text1"/>
                <w:spacing w:val="7"/>
                <w:sz w:val="28"/>
                <w:szCs w:val="28"/>
                <w:highlight w:val="none"/>
                <w:lang w:val="en-US" w:eastAsia="zh-CN"/>
                <w14:textFill>
                  <w14:solidFill>
                    <w14:schemeClr w14:val="tx1"/>
                  </w14:solidFill>
                </w14:textFill>
              </w:rPr>
            </w:pPr>
            <w:r>
              <w:rPr>
                <w:rFonts w:hint="eastAsia" w:ascii="仿宋_GB2312" w:eastAsia="仿宋_GB2312" w:hAnsiTheme="minorEastAsia"/>
                <w:color w:val="000000" w:themeColor="text1"/>
                <w:spacing w:val="7"/>
                <w:sz w:val="28"/>
                <w:szCs w:val="28"/>
                <w:highlight w:val="none"/>
                <w:lang w:eastAsia="zh-CN"/>
                <w14:textFill>
                  <w14:solidFill>
                    <w14:schemeClr w14:val="tx1"/>
                  </w14:solidFill>
                </w14:textFill>
              </w:rPr>
              <w:t>(6)本项目</w:t>
            </w:r>
            <w:r>
              <w:rPr>
                <w:rFonts w:hint="eastAsia" w:ascii="仿宋_GB2312" w:eastAsia="仿宋_GB2312" w:hAnsiTheme="minorEastAsia"/>
                <w:color w:val="000000" w:themeColor="text1"/>
                <w:spacing w:val="7"/>
                <w:sz w:val="28"/>
                <w:szCs w:val="28"/>
                <w:highlight w:val="none"/>
                <w:lang w:val="en-US" w:eastAsia="zh-CN"/>
                <w14:textFill>
                  <w14:solidFill>
                    <w14:schemeClr w14:val="tx1"/>
                  </w14:solidFill>
                </w14:textFill>
              </w:rPr>
              <w:t>专门</w:t>
            </w:r>
            <w:r>
              <w:rPr>
                <w:rFonts w:hint="eastAsia" w:ascii="仿宋_GB2312" w:eastAsia="仿宋_GB2312" w:hAnsiTheme="minorEastAsia"/>
                <w:color w:val="000000" w:themeColor="text1"/>
                <w:spacing w:val="7"/>
                <w:sz w:val="28"/>
                <w:szCs w:val="28"/>
                <w:highlight w:val="none"/>
                <w:lang w:eastAsia="zh-CN"/>
                <w14:textFill>
                  <w14:solidFill>
                    <w14:schemeClr w14:val="tx1"/>
                  </w14:solidFill>
                </w14:textFill>
              </w:rPr>
              <w:t>面向中小企业。</w:t>
            </w:r>
          </w:p>
        </w:tc>
      </w:tr>
      <w:tr w14:paraId="434C121C">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2503C30C">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12</w:t>
            </w:r>
          </w:p>
        </w:tc>
        <w:tc>
          <w:tcPr>
            <w:tcW w:w="2413" w:type="dxa"/>
            <w:tcBorders>
              <w:top w:val="single" w:color="000000" w:sz="6" w:space="0"/>
              <w:left w:val="single" w:color="000000" w:sz="6" w:space="0"/>
              <w:bottom w:val="single" w:color="000000" w:sz="6" w:space="0"/>
              <w:right w:val="single" w:color="000000" w:sz="6" w:space="0"/>
            </w:tcBorders>
            <w:vAlign w:val="center"/>
          </w:tcPr>
          <w:p w14:paraId="6A23AE9D">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磋商保证金</w:t>
            </w:r>
          </w:p>
        </w:tc>
        <w:tc>
          <w:tcPr>
            <w:tcW w:w="6624" w:type="dxa"/>
            <w:tcBorders>
              <w:top w:val="single" w:color="000000" w:sz="6" w:space="0"/>
              <w:left w:val="single" w:color="000000" w:sz="6" w:space="0"/>
              <w:bottom w:val="single" w:color="000000" w:sz="6" w:space="0"/>
              <w:right w:val="single" w:color="000000" w:sz="6" w:space="0"/>
            </w:tcBorders>
          </w:tcPr>
          <w:p w14:paraId="21E591B8">
            <w:pPr>
              <w:ind w:left="0" w:leftChars="0" w:firstLine="0" w:firstLineChars="0"/>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人民币：伍万元整（50000.00</w:t>
            </w:r>
            <w:bookmarkStart w:id="402" w:name="_GoBack"/>
            <w:bookmarkEnd w:id="402"/>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元）</w:t>
            </w:r>
          </w:p>
          <w:p w14:paraId="0A3C0923">
            <w:pPr>
              <w:ind w:left="0" w:leftChars="0" w:firstLine="0" w:firstLineChars="0"/>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保证金形式：以转账、支票、汇票、本票或者金融机构、担保机构出具的保函等非现金形式提交。</w:t>
            </w:r>
          </w:p>
          <w:p w14:paraId="4BA2A55E">
            <w:pPr>
              <w:ind w:left="0" w:leftChars="0" w:firstLine="0" w:firstLineChars="0"/>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户  名：青海省招标有限责任公司</w:t>
            </w:r>
          </w:p>
          <w:p w14:paraId="67ECD122">
            <w:pPr>
              <w:ind w:left="0" w:leftChars="0" w:firstLine="0" w:firstLineChars="0"/>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账  号：9902001814221212</w:t>
            </w:r>
          </w:p>
          <w:p w14:paraId="26A9F004">
            <w:pPr>
              <w:ind w:left="0" w:leftChars="0" w:firstLine="0" w:firstLineChars="0"/>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开户行：中国民生银行股份有限公司西宁分行营业部</w:t>
            </w:r>
          </w:p>
          <w:p w14:paraId="09B3E06D">
            <w:pPr>
              <w:ind w:left="0" w:leftChars="0" w:firstLine="0" w:firstLineChars="0"/>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行  号：305851007001</w:t>
            </w:r>
          </w:p>
        </w:tc>
      </w:tr>
      <w:tr w14:paraId="307BCD3D">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6CBA2BE2">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13</w:t>
            </w:r>
          </w:p>
        </w:tc>
        <w:tc>
          <w:tcPr>
            <w:tcW w:w="2413" w:type="dxa"/>
            <w:tcBorders>
              <w:top w:val="single" w:color="000000" w:sz="6" w:space="0"/>
              <w:left w:val="single" w:color="000000" w:sz="6" w:space="0"/>
              <w:bottom w:val="single" w:color="000000" w:sz="6" w:space="0"/>
              <w:right w:val="single" w:color="000000" w:sz="6" w:space="0"/>
            </w:tcBorders>
            <w:vAlign w:val="center"/>
          </w:tcPr>
          <w:p w14:paraId="4066A63F">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提交方式</w:t>
            </w:r>
          </w:p>
        </w:tc>
        <w:tc>
          <w:tcPr>
            <w:tcW w:w="6624" w:type="dxa"/>
            <w:tcBorders>
              <w:top w:val="single" w:color="000000" w:sz="6" w:space="0"/>
              <w:left w:val="single" w:color="000000" w:sz="6" w:space="0"/>
              <w:bottom w:val="single" w:color="000000" w:sz="6" w:space="0"/>
              <w:right w:val="single" w:color="000000" w:sz="6" w:space="0"/>
            </w:tcBorders>
          </w:tcPr>
          <w:p w14:paraId="5F27CDF1">
            <w:pPr>
              <w:spacing w:line="520" w:lineRule="exact"/>
              <w:ind w:firstLine="0" w:firstLineChars="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提交方式：1.磋商保证金应当以支票、汇票、本票或者金融机构、担保机构出具的保函等非现金形式提交。通过银行转账的，必须由供应商从其账户汇（转）入采购代理机构指定账户。</w:t>
            </w:r>
          </w:p>
          <w:p w14:paraId="09D198A4">
            <w:pPr>
              <w:spacing w:line="520" w:lineRule="exact"/>
              <w:ind w:firstLine="0" w:firstLineChars="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2.采用银行保函形式提交的，格式由金融机构提供。</w:t>
            </w:r>
          </w:p>
          <w:p w14:paraId="706337BE">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供应商未按照磋商文件要求提交磋商保证金的，响应无效。</w:t>
            </w:r>
          </w:p>
        </w:tc>
      </w:tr>
      <w:tr w14:paraId="593FD046">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5F2C8A83">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14</w:t>
            </w:r>
          </w:p>
        </w:tc>
        <w:tc>
          <w:tcPr>
            <w:tcW w:w="2413" w:type="dxa"/>
            <w:tcBorders>
              <w:top w:val="single" w:color="000000" w:sz="6" w:space="0"/>
              <w:left w:val="single" w:color="000000" w:sz="6" w:space="0"/>
              <w:bottom w:val="single" w:color="000000" w:sz="6" w:space="0"/>
              <w:right w:val="single" w:color="000000" w:sz="6" w:space="0"/>
            </w:tcBorders>
            <w:vAlign w:val="center"/>
          </w:tcPr>
          <w:p w14:paraId="12BE9F50">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磋商保证金退还</w:t>
            </w:r>
          </w:p>
        </w:tc>
        <w:tc>
          <w:tcPr>
            <w:tcW w:w="6624" w:type="dxa"/>
            <w:tcBorders>
              <w:top w:val="single" w:color="000000" w:sz="6" w:space="0"/>
              <w:left w:val="single" w:color="000000" w:sz="6" w:space="0"/>
              <w:bottom w:val="single" w:color="000000" w:sz="6" w:space="0"/>
              <w:right w:val="single" w:color="000000" w:sz="6" w:space="0"/>
            </w:tcBorders>
          </w:tcPr>
          <w:p w14:paraId="64ECFAAA">
            <w:pPr>
              <w:spacing w:line="520" w:lineRule="exact"/>
              <w:ind w:firstLine="0" w:firstLineChars="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未成交供应商的磋商保证金自成交通知书发出之日起5个工作日内退还；成交供应商的磋商保证金，自采购合同签订之日起5个工作日内退还。</w:t>
            </w:r>
          </w:p>
        </w:tc>
      </w:tr>
      <w:tr w14:paraId="4D85492E">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2F71BEE7">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15</w:t>
            </w:r>
          </w:p>
        </w:tc>
        <w:tc>
          <w:tcPr>
            <w:tcW w:w="2413" w:type="dxa"/>
            <w:tcBorders>
              <w:top w:val="single" w:color="000000" w:sz="6" w:space="0"/>
              <w:left w:val="single" w:color="000000" w:sz="6" w:space="0"/>
              <w:bottom w:val="single" w:color="000000" w:sz="6" w:space="0"/>
              <w:right w:val="single" w:color="000000" w:sz="6" w:space="0"/>
            </w:tcBorders>
            <w:vAlign w:val="center"/>
          </w:tcPr>
          <w:p w14:paraId="4D1E9676">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磋商响应文件编制要求</w:t>
            </w:r>
          </w:p>
        </w:tc>
        <w:tc>
          <w:tcPr>
            <w:tcW w:w="6624" w:type="dxa"/>
            <w:tcBorders>
              <w:top w:val="single" w:color="000000" w:sz="6" w:space="0"/>
              <w:left w:val="single" w:color="000000" w:sz="6" w:space="0"/>
              <w:bottom w:val="single" w:color="000000" w:sz="6" w:space="0"/>
              <w:right w:val="single" w:color="000000" w:sz="6" w:space="0"/>
            </w:tcBorders>
          </w:tcPr>
          <w:p w14:paraId="66557221">
            <w:pPr>
              <w:autoSpaceDE w:val="0"/>
              <w:autoSpaceDN w:val="0"/>
              <w:spacing w:line="520" w:lineRule="exact"/>
              <w:ind w:firstLine="0" w:firstLineChars="0"/>
              <w:rPr>
                <w:rFonts w:ascii="仿宋_GB2312" w:eastAsia="仿宋_GB2312"/>
                <w:color w:val="000000" w:themeColor="text1"/>
                <w:sz w:val="28"/>
                <w:szCs w:val="28"/>
                <w:highlight w:val="none"/>
                <w:lang w:val="zh-CN"/>
                <w14:textFill>
                  <w14:solidFill>
                    <w14:schemeClr w14:val="tx1"/>
                  </w14:solidFill>
                </w14:textFill>
              </w:rPr>
            </w:pPr>
            <w:r>
              <w:rPr>
                <w:rFonts w:hint="eastAsia" w:ascii="仿宋_GB2312" w:eastAsia="仿宋_GB2312"/>
                <w:color w:val="000000" w:themeColor="text1"/>
                <w:sz w:val="28"/>
                <w:szCs w:val="28"/>
                <w:highlight w:val="none"/>
                <w:lang w:val="zh-CN"/>
                <w14:textFill>
                  <w14:solidFill>
                    <w14:schemeClr w14:val="tx1"/>
                  </w14:solidFill>
                </w14:textFill>
              </w:rPr>
              <w:t>供应商应按照磋商文件所提供的响应文件格式，分别填写磋商文件第四部分的内容，并由法定代表人或委托代理人按要求签字、加盖公章。</w:t>
            </w:r>
          </w:p>
        </w:tc>
      </w:tr>
      <w:tr w14:paraId="042BCA6F">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4FA9E4F6">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16</w:t>
            </w:r>
          </w:p>
        </w:tc>
        <w:tc>
          <w:tcPr>
            <w:tcW w:w="2413" w:type="dxa"/>
            <w:tcBorders>
              <w:top w:val="single" w:color="000000" w:sz="6" w:space="0"/>
              <w:left w:val="single" w:color="000000" w:sz="6" w:space="0"/>
              <w:bottom w:val="single" w:color="000000" w:sz="6" w:space="0"/>
              <w:right w:val="single" w:color="000000" w:sz="6" w:space="0"/>
            </w:tcBorders>
            <w:vAlign w:val="center"/>
          </w:tcPr>
          <w:p w14:paraId="2C092D7F">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响应文件提交方式</w:t>
            </w:r>
          </w:p>
        </w:tc>
        <w:tc>
          <w:tcPr>
            <w:tcW w:w="6624" w:type="dxa"/>
            <w:tcBorders>
              <w:top w:val="single" w:color="000000" w:sz="6" w:space="0"/>
              <w:left w:val="single" w:color="000000" w:sz="6" w:space="0"/>
              <w:bottom w:val="single" w:color="000000" w:sz="6" w:space="0"/>
              <w:right w:val="single" w:color="000000" w:sz="6" w:space="0"/>
            </w:tcBorders>
            <w:vAlign w:val="center"/>
          </w:tcPr>
          <w:p w14:paraId="2C4B7CFF">
            <w:pPr>
              <w:spacing w:line="520" w:lineRule="exact"/>
              <w:ind w:firstLine="0" w:firstLineChars="0"/>
              <w:rPr>
                <w:rFonts w:ascii="仿宋_GB2312" w:eastAsia="仿宋_GB2312"/>
                <w:iCs/>
                <w:color w:val="000000" w:themeColor="text1"/>
                <w:spacing w:val="7"/>
                <w:kern w:val="2"/>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政采云平台线上提交</w:t>
            </w:r>
          </w:p>
        </w:tc>
      </w:tr>
      <w:tr w14:paraId="067B2C98">
        <w:tblPrEx>
          <w:tblCellMar>
            <w:top w:w="0" w:type="dxa"/>
            <w:left w:w="57" w:type="dxa"/>
            <w:bottom w:w="0" w:type="dxa"/>
            <w:right w:w="57" w:type="dxa"/>
          </w:tblCellMar>
        </w:tblPrEx>
        <w:trPr>
          <w:trHeight w:val="646"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25261C34">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17</w:t>
            </w:r>
          </w:p>
        </w:tc>
        <w:tc>
          <w:tcPr>
            <w:tcW w:w="2413" w:type="dxa"/>
            <w:tcBorders>
              <w:top w:val="single" w:color="000000" w:sz="6" w:space="0"/>
              <w:left w:val="single" w:color="000000" w:sz="6" w:space="0"/>
              <w:bottom w:val="single" w:color="000000" w:sz="6" w:space="0"/>
              <w:right w:val="single" w:color="000000" w:sz="6" w:space="0"/>
            </w:tcBorders>
            <w:vAlign w:val="center"/>
          </w:tcPr>
          <w:p w14:paraId="7E4B7433">
            <w:pPr>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14:textFill>
                  <w14:solidFill>
                    <w14:schemeClr w14:val="tx1"/>
                  </w14:solidFill>
                </w14:textFill>
              </w:rPr>
              <w:t>提交响应文件截止时间</w:t>
            </w:r>
          </w:p>
        </w:tc>
        <w:tc>
          <w:tcPr>
            <w:tcW w:w="6624" w:type="dxa"/>
            <w:tcBorders>
              <w:top w:val="single" w:color="000000" w:sz="6" w:space="0"/>
              <w:left w:val="single" w:color="000000" w:sz="6" w:space="0"/>
              <w:bottom w:val="single" w:color="000000" w:sz="6" w:space="0"/>
              <w:right w:val="single" w:color="000000" w:sz="6" w:space="0"/>
            </w:tcBorders>
            <w:vAlign w:val="center"/>
          </w:tcPr>
          <w:p w14:paraId="4B7732DB">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202</w:t>
            </w: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5</w:t>
            </w:r>
            <w:r>
              <w:rPr>
                <w:rFonts w:hint="eastAsia" w:ascii="仿宋_GB2312" w:hAnsi="宋体" w:eastAsia="仿宋_GB2312" w:cs="宋体"/>
                <w:bCs/>
                <w:color w:val="000000" w:themeColor="text1"/>
                <w:sz w:val="28"/>
                <w:szCs w:val="28"/>
                <w:highlight w:val="none"/>
                <w:lang w:val="zh-CN"/>
                <w14:textFill>
                  <w14:solidFill>
                    <w14:schemeClr w14:val="tx1"/>
                  </w14:solidFill>
                </w14:textFill>
              </w:rPr>
              <w:t>年</w:t>
            </w: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04</w:t>
            </w:r>
            <w:r>
              <w:rPr>
                <w:rFonts w:hint="eastAsia" w:ascii="仿宋_GB2312" w:hAnsi="宋体" w:eastAsia="仿宋_GB2312" w:cs="宋体"/>
                <w:bCs/>
                <w:color w:val="000000" w:themeColor="text1"/>
                <w:sz w:val="28"/>
                <w:szCs w:val="28"/>
                <w:highlight w:val="none"/>
                <w:lang w:val="zh-CN"/>
                <w14:textFill>
                  <w14:solidFill>
                    <w14:schemeClr w14:val="tx1"/>
                  </w14:solidFill>
                </w14:textFill>
              </w:rPr>
              <w:t>月</w:t>
            </w: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10</w:t>
            </w:r>
            <w:r>
              <w:rPr>
                <w:rFonts w:hint="eastAsia" w:ascii="仿宋_GB2312" w:hAnsi="宋体" w:eastAsia="仿宋_GB2312" w:cs="宋体"/>
                <w:bCs/>
                <w:color w:val="000000" w:themeColor="text1"/>
                <w:sz w:val="28"/>
                <w:szCs w:val="28"/>
                <w:highlight w:val="none"/>
                <w:lang w:val="zh-CN"/>
                <w14:textFill>
                  <w14:solidFill>
                    <w14:schemeClr w14:val="tx1"/>
                  </w14:solidFill>
                </w14:textFill>
              </w:rPr>
              <w:t>日</w:t>
            </w: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09</w:t>
            </w:r>
            <w:r>
              <w:rPr>
                <w:rFonts w:hint="eastAsia" w:ascii="仿宋_GB2312" w:hAnsi="宋体" w:eastAsia="仿宋_GB2312" w:cs="宋体"/>
                <w:bCs/>
                <w:color w:val="000000" w:themeColor="text1"/>
                <w:sz w:val="28"/>
                <w:szCs w:val="28"/>
                <w:highlight w:val="none"/>
                <w:lang w:val="zh-CN"/>
                <w14:textFill>
                  <w14:solidFill>
                    <w14:schemeClr w14:val="tx1"/>
                  </w14:solidFill>
                </w14:textFill>
              </w:rPr>
              <w:t>点</w:t>
            </w: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0</w:t>
            </w:r>
            <w:r>
              <w:rPr>
                <w:rFonts w:hint="eastAsia" w:ascii="仿宋_GB2312" w:hAnsi="宋体" w:eastAsia="仿宋_GB2312" w:cs="宋体"/>
                <w:bCs/>
                <w:color w:val="000000" w:themeColor="text1"/>
                <w:sz w:val="28"/>
                <w:szCs w:val="28"/>
                <w:highlight w:val="none"/>
                <w:lang w:val="zh-CN"/>
                <w14:textFill>
                  <w14:solidFill>
                    <w14:schemeClr w14:val="tx1"/>
                  </w14:solidFill>
                </w14:textFill>
              </w:rPr>
              <w:t>0分（北京时间）</w:t>
            </w:r>
          </w:p>
        </w:tc>
      </w:tr>
      <w:tr w14:paraId="41584828">
        <w:tblPrEx>
          <w:tblCellMar>
            <w:top w:w="0" w:type="dxa"/>
            <w:left w:w="57" w:type="dxa"/>
            <w:bottom w:w="0" w:type="dxa"/>
            <w:right w:w="57" w:type="dxa"/>
          </w:tblCellMar>
        </w:tblPrEx>
        <w:trPr>
          <w:trHeight w:val="1873"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2D4556B7">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18</w:t>
            </w:r>
          </w:p>
        </w:tc>
        <w:tc>
          <w:tcPr>
            <w:tcW w:w="2413" w:type="dxa"/>
            <w:tcBorders>
              <w:top w:val="single" w:color="000000" w:sz="6" w:space="0"/>
              <w:left w:val="single" w:color="000000" w:sz="6" w:space="0"/>
              <w:bottom w:val="single" w:color="000000" w:sz="6" w:space="0"/>
              <w:right w:val="single" w:color="000000" w:sz="6" w:space="0"/>
            </w:tcBorders>
            <w:vAlign w:val="center"/>
          </w:tcPr>
          <w:p w14:paraId="5BEA71EA">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代理服务费收取</w:t>
            </w:r>
          </w:p>
        </w:tc>
        <w:tc>
          <w:tcPr>
            <w:tcW w:w="6624" w:type="dxa"/>
            <w:tcBorders>
              <w:top w:val="single" w:color="000000" w:sz="6" w:space="0"/>
              <w:left w:val="single" w:color="000000" w:sz="6" w:space="0"/>
              <w:bottom w:val="single" w:color="000000" w:sz="6" w:space="0"/>
              <w:right w:val="single" w:color="000000" w:sz="6" w:space="0"/>
            </w:tcBorders>
          </w:tcPr>
          <w:p w14:paraId="683CC4A9">
            <w:pPr>
              <w:autoSpaceDE w:val="0"/>
              <w:autoSpaceDN w:val="0"/>
              <w:adjustRightInd w:val="0"/>
              <w:spacing w:line="520" w:lineRule="exact"/>
              <w:ind w:firstLine="0" w:firstLineChars="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收取对象：</w:t>
            </w:r>
          </w:p>
          <w:p w14:paraId="22CB7E44">
            <w:pPr>
              <w:spacing w:line="520" w:lineRule="exact"/>
              <w:ind w:firstLine="0" w:firstLineChars="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b/>
                <w:color w:val="000000" w:themeColor="text1"/>
                <w:sz w:val="28"/>
                <w:szCs w:val="28"/>
                <w:highlight w:val="none"/>
                <w:u w:val="single"/>
                <w:lang w:val="en-US" w:eastAsia="zh-CN"/>
                <w14:textFill>
                  <w14:solidFill>
                    <w14:schemeClr w14:val="tx1"/>
                  </w14:solidFill>
                </w14:textFill>
              </w:rPr>
              <w:t>成交供应商</w:t>
            </w:r>
            <w:r>
              <w:rPr>
                <w:rFonts w:hint="eastAsia" w:ascii="仿宋_GB2312" w:hAnsi="宋体" w:eastAsia="仿宋_GB2312" w:cs="宋体"/>
                <w:color w:val="000000" w:themeColor="text1"/>
                <w:sz w:val="28"/>
                <w:szCs w:val="28"/>
                <w:highlight w:val="none"/>
                <w14:textFill>
                  <w14:solidFill>
                    <w14:schemeClr w14:val="tx1"/>
                  </w14:solidFill>
                </w14:textFill>
              </w:rPr>
              <w:t>须向采购代理机构支付代理服务费：</w:t>
            </w:r>
          </w:p>
          <w:p w14:paraId="4DCC0F93">
            <w:pPr>
              <w:spacing w:line="520" w:lineRule="exact"/>
              <w:ind w:firstLine="0" w:firstLineChars="0"/>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代理</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服务费金额：人民币叁万伍仟捌佰元整（35800元）</w:t>
            </w:r>
          </w:p>
          <w:p w14:paraId="007FAEB8">
            <w:pPr>
              <w:autoSpaceDE w:val="0"/>
              <w:autoSpaceDN w:val="0"/>
              <w:spacing w:line="520" w:lineRule="exact"/>
              <w:ind w:firstLine="0" w:firstLineChars="0"/>
              <w:jc w:val="left"/>
              <w:rPr>
                <w:rFonts w:hint="eastAsia" w:ascii="仿宋_GB2312" w:hAnsi="宋体" w:eastAsia="仿宋_GB2312" w:cs="宋体"/>
                <w:bCs/>
                <w:color w:val="000000" w:themeColor="text1"/>
                <w:sz w:val="28"/>
                <w:szCs w:val="28"/>
                <w:lang w:val="en-US" w:eastAsia="zh-CN"/>
                <w14:textFill>
                  <w14:solidFill>
                    <w14:schemeClr w14:val="tx1"/>
                  </w14:solidFill>
                </w14:textFill>
              </w:rPr>
            </w:pPr>
            <w:r>
              <w:rPr>
                <w:rFonts w:hint="eastAsia" w:ascii="仿宋_GB2312" w:hAnsi="宋体" w:eastAsia="仿宋_GB2312" w:cs="宋体"/>
                <w:bCs/>
                <w:color w:val="000000" w:themeColor="text1"/>
                <w:sz w:val="28"/>
                <w:szCs w:val="28"/>
                <w:lang w:val="zh-CN"/>
                <w14:textFill>
                  <w14:solidFill>
                    <w14:schemeClr w14:val="tx1"/>
                  </w14:solidFill>
                </w14:textFill>
              </w:rPr>
              <w:t>账号：</w:t>
            </w:r>
            <w:r>
              <w:rPr>
                <w:rFonts w:hint="eastAsia" w:ascii="仿宋_GB2312" w:hAnsi="宋体" w:eastAsia="仿宋_GB2312" w:cs="宋体"/>
                <w:bCs/>
                <w:color w:val="000000" w:themeColor="text1"/>
                <w:sz w:val="28"/>
                <w:szCs w:val="28"/>
                <w:lang w:val="en-US" w:eastAsia="zh-CN"/>
                <w14:textFill>
                  <w14:solidFill>
                    <w14:schemeClr w14:val="tx1"/>
                  </w14:solidFill>
                </w14:textFill>
              </w:rPr>
              <w:t>63001373637350019785</w:t>
            </w:r>
          </w:p>
          <w:p w14:paraId="5B0A67B2">
            <w:pPr>
              <w:autoSpaceDE w:val="0"/>
              <w:autoSpaceDN w:val="0"/>
              <w:spacing w:line="520" w:lineRule="exact"/>
              <w:ind w:firstLine="0" w:firstLineChars="0"/>
              <w:jc w:val="left"/>
              <w:rPr>
                <w:rFonts w:hint="default" w:ascii="仿宋_GB2312" w:hAnsi="宋体" w:eastAsia="仿宋_GB2312" w:cs="宋体"/>
                <w:bCs/>
                <w:color w:val="000000" w:themeColor="text1"/>
                <w:sz w:val="28"/>
                <w:szCs w:val="28"/>
                <w:lang w:val="en-US" w:eastAsia="zh-CN"/>
                <w14:textFill>
                  <w14:solidFill>
                    <w14:schemeClr w14:val="tx1"/>
                  </w14:solidFill>
                </w14:textFill>
              </w:rPr>
            </w:pPr>
            <w:r>
              <w:rPr>
                <w:rFonts w:hint="eastAsia" w:ascii="仿宋_GB2312" w:hAnsi="宋体" w:eastAsia="仿宋_GB2312" w:cs="宋体"/>
                <w:bCs/>
                <w:color w:val="000000" w:themeColor="text1"/>
                <w:sz w:val="28"/>
                <w:szCs w:val="28"/>
                <w:lang w:val="zh-CN"/>
                <w14:textFill>
                  <w14:solidFill>
                    <w14:schemeClr w14:val="tx1"/>
                  </w14:solidFill>
                </w14:textFill>
              </w:rPr>
              <w:t>开户行：</w:t>
            </w:r>
            <w:r>
              <w:rPr>
                <w:rFonts w:hint="eastAsia" w:ascii="仿宋_GB2312" w:hAnsi="宋体" w:eastAsia="仿宋_GB2312" w:cs="宋体"/>
                <w:bCs/>
                <w:color w:val="000000" w:themeColor="text1"/>
                <w:sz w:val="28"/>
                <w:szCs w:val="28"/>
                <w:lang w:val="en-US" w:eastAsia="zh-CN"/>
                <w14:textFill>
                  <w14:solidFill>
                    <w14:schemeClr w14:val="tx1"/>
                  </w14:solidFill>
                </w14:textFill>
              </w:rPr>
              <w:t>建行西宁城西支行</w:t>
            </w:r>
          </w:p>
          <w:p w14:paraId="552A19C2">
            <w:pPr>
              <w:pStyle w:val="18"/>
              <w:ind w:left="0" w:leftChars="0" w:firstLine="0" w:firstLineChars="0"/>
              <w:rPr>
                <w:color w:val="000000" w:themeColor="text1"/>
                <w:lang w:val="zh-CN"/>
                <w14:textFill>
                  <w14:solidFill>
                    <w14:schemeClr w14:val="tx1"/>
                  </w14:solidFill>
                </w14:textFill>
              </w:rPr>
            </w:pPr>
            <w:r>
              <w:rPr>
                <w:rFonts w:hint="eastAsia" w:ascii="仿宋_GB2312" w:hAnsi="宋体" w:eastAsia="仿宋_GB2312" w:cs="宋体"/>
                <w:bCs/>
                <w:color w:val="000000" w:themeColor="text1"/>
                <w:sz w:val="28"/>
                <w:szCs w:val="28"/>
                <w:lang w:val="zh-CN"/>
                <w14:textFill>
                  <w14:solidFill>
                    <w14:schemeClr w14:val="tx1"/>
                  </w14:solidFill>
                </w14:textFill>
              </w:rPr>
              <w:t>收款人：青海省招标有限责任公司</w:t>
            </w:r>
          </w:p>
        </w:tc>
      </w:tr>
      <w:tr w14:paraId="180D8E3A">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00D153FF">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19</w:t>
            </w:r>
          </w:p>
        </w:tc>
        <w:tc>
          <w:tcPr>
            <w:tcW w:w="2413" w:type="dxa"/>
            <w:tcBorders>
              <w:top w:val="single" w:color="000000" w:sz="6" w:space="0"/>
              <w:left w:val="single" w:color="000000" w:sz="6" w:space="0"/>
              <w:bottom w:val="single" w:color="000000" w:sz="6" w:space="0"/>
              <w:right w:val="single" w:color="000000" w:sz="6" w:space="0"/>
            </w:tcBorders>
            <w:vAlign w:val="center"/>
          </w:tcPr>
          <w:p w14:paraId="20D26FF5">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合同签订期限</w:t>
            </w:r>
          </w:p>
        </w:tc>
        <w:tc>
          <w:tcPr>
            <w:tcW w:w="6624" w:type="dxa"/>
            <w:tcBorders>
              <w:top w:val="single" w:color="000000" w:sz="6" w:space="0"/>
              <w:left w:val="single" w:color="000000" w:sz="6" w:space="0"/>
              <w:bottom w:val="single" w:color="000000" w:sz="6" w:space="0"/>
              <w:right w:val="single" w:color="000000" w:sz="6" w:space="0"/>
            </w:tcBorders>
          </w:tcPr>
          <w:p w14:paraId="3C4F4DA3">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自成交通知书发出之日起</w:t>
            </w:r>
            <w:r>
              <w:rPr>
                <w:rFonts w:hint="eastAsia" w:ascii="仿宋_GB2312" w:hAnsi="宋体" w:eastAsia="仿宋_GB2312" w:cs="宋体"/>
                <w:color w:val="000000" w:themeColor="text1"/>
                <w:sz w:val="28"/>
                <w:szCs w:val="28"/>
                <w:highlight w:val="none"/>
                <w14:textFill>
                  <w14:solidFill>
                    <w14:schemeClr w14:val="tx1"/>
                  </w14:solidFill>
                </w14:textFill>
              </w:rPr>
              <w:t>30</w:t>
            </w:r>
            <w:r>
              <w:rPr>
                <w:rFonts w:hint="eastAsia" w:ascii="仿宋_GB2312" w:hAnsi="宋体" w:eastAsia="仿宋_GB2312" w:cs="宋体"/>
                <w:color w:val="000000" w:themeColor="text1"/>
                <w:sz w:val="28"/>
                <w:szCs w:val="28"/>
                <w:highlight w:val="none"/>
                <w:lang w:val="zh-CN"/>
                <w14:textFill>
                  <w14:solidFill>
                    <w14:schemeClr w14:val="tx1"/>
                  </w14:solidFill>
                </w14:textFill>
              </w:rPr>
              <w:t>日内与采购人签订采购合同</w:t>
            </w:r>
          </w:p>
        </w:tc>
      </w:tr>
      <w:tr w14:paraId="269B1E1D">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473DCAE6">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20</w:t>
            </w:r>
          </w:p>
        </w:tc>
        <w:tc>
          <w:tcPr>
            <w:tcW w:w="2413" w:type="dxa"/>
            <w:tcBorders>
              <w:top w:val="single" w:color="000000" w:sz="6" w:space="0"/>
              <w:left w:val="single" w:color="000000" w:sz="6" w:space="0"/>
              <w:bottom w:val="single" w:color="000000" w:sz="6" w:space="0"/>
              <w:right w:val="single" w:color="000000" w:sz="6" w:space="0"/>
            </w:tcBorders>
            <w:vAlign w:val="center"/>
          </w:tcPr>
          <w:p w14:paraId="0FEEF750">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政府采购合同备案</w:t>
            </w:r>
          </w:p>
        </w:tc>
        <w:tc>
          <w:tcPr>
            <w:tcW w:w="6624" w:type="dxa"/>
            <w:tcBorders>
              <w:top w:val="single" w:color="000000" w:sz="6" w:space="0"/>
              <w:left w:val="single" w:color="000000" w:sz="6" w:space="0"/>
              <w:bottom w:val="single" w:color="000000" w:sz="6" w:space="0"/>
              <w:right w:val="single" w:color="000000" w:sz="6" w:space="0"/>
            </w:tcBorders>
          </w:tcPr>
          <w:p w14:paraId="51A0F1F4">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采购合同全数返回采购代理机构签字，盖章。</w:t>
            </w:r>
          </w:p>
          <w:p w14:paraId="7D6E1799">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采购代理机构留存一份原件备案。</w:t>
            </w:r>
          </w:p>
        </w:tc>
      </w:tr>
      <w:tr w14:paraId="4B41FFAC">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606E6FEC">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21</w:t>
            </w:r>
          </w:p>
        </w:tc>
        <w:tc>
          <w:tcPr>
            <w:tcW w:w="2413" w:type="dxa"/>
            <w:tcBorders>
              <w:top w:val="single" w:color="000000" w:sz="6" w:space="0"/>
              <w:left w:val="single" w:color="000000" w:sz="6" w:space="0"/>
              <w:bottom w:val="single" w:color="000000" w:sz="6" w:space="0"/>
              <w:right w:val="single" w:color="000000" w:sz="6" w:space="0"/>
            </w:tcBorders>
            <w:vAlign w:val="center"/>
          </w:tcPr>
          <w:p w14:paraId="69FE686E">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14:textFill>
                  <w14:solidFill>
                    <w14:schemeClr w14:val="tx1"/>
                  </w14:solidFill>
                </w14:textFill>
              </w:rPr>
              <w:t>响应有效期</w:t>
            </w:r>
          </w:p>
        </w:tc>
        <w:tc>
          <w:tcPr>
            <w:tcW w:w="6624" w:type="dxa"/>
            <w:tcBorders>
              <w:top w:val="single" w:color="000000" w:sz="6" w:space="0"/>
              <w:left w:val="single" w:color="000000" w:sz="6" w:space="0"/>
              <w:bottom w:val="single" w:color="000000" w:sz="6" w:space="0"/>
              <w:right w:val="single" w:color="000000" w:sz="6" w:space="0"/>
            </w:tcBorders>
          </w:tcPr>
          <w:p w14:paraId="598B2A0D">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自提交响应文件截止之日起60个日历日</w:t>
            </w:r>
          </w:p>
        </w:tc>
      </w:tr>
      <w:tr w14:paraId="15242579">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1781C41C">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22</w:t>
            </w:r>
          </w:p>
        </w:tc>
        <w:tc>
          <w:tcPr>
            <w:tcW w:w="2413" w:type="dxa"/>
            <w:tcBorders>
              <w:top w:val="single" w:color="000000" w:sz="6" w:space="0"/>
              <w:left w:val="single" w:color="000000" w:sz="6" w:space="0"/>
              <w:bottom w:val="single" w:color="000000" w:sz="6" w:space="0"/>
              <w:right w:val="single" w:color="000000" w:sz="6" w:space="0"/>
            </w:tcBorders>
            <w:vAlign w:val="center"/>
          </w:tcPr>
          <w:p w14:paraId="623E65E5">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14:textFill>
                  <w14:solidFill>
                    <w14:schemeClr w14:val="tx1"/>
                  </w14:solidFill>
                </w14:textFill>
              </w:rPr>
            </w:pPr>
            <w:r>
              <w:rPr>
                <w:rFonts w:hint="eastAsia" w:ascii="仿宋_GB2312" w:hAnsi="宋体" w:eastAsia="仿宋_GB2312" w:cs="宋体"/>
                <w:bCs/>
                <w:color w:val="000000" w:themeColor="text1"/>
                <w:sz w:val="28"/>
                <w:szCs w:val="28"/>
                <w:highlight w:val="none"/>
                <w14:textFill>
                  <w14:solidFill>
                    <w14:schemeClr w14:val="tx1"/>
                  </w14:solidFill>
                </w14:textFill>
              </w:rPr>
              <w:t>服务期</w:t>
            </w:r>
          </w:p>
        </w:tc>
        <w:tc>
          <w:tcPr>
            <w:tcW w:w="6624" w:type="dxa"/>
            <w:tcBorders>
              <w:top w:val="single" w:color="000000" w:sz="6" w:space="0"/>
              <w:left w:val="single" w:color="000000" w:sz="6" w:space="0"/>
              <w:bottom w:val="single" w:color="000000" w:sz="6" w:space="0"/>
              <w:right w:val="single" w:color="000000" w:sz="6" w:space="0"/>
            </w:tcBorders>
          </w:tcPr>
          <w:p w14:paraId="4942373C">
            <w:pPr>
              <w:autoSpaceDE w:val="0"/>
              <w:autoSpaceDN w:val="0"/>
              <w:spacing w:line="520" w:lineRule="exact"/>
              <w:ind w:firstLine="0" w:firstLineChars="0"/>
              <w:jc w:val="left"/>
              <w:rPr>
                <w:rFonts w:hint="default" w:ascii="仿宋_GB2312" w:hAnsi="宋体" w:eastAsia="仿宋_GB2312" w:cs="宋体"/>
                <w:color w:val="000000" w:themeColor="text1"/>
                <w:sz w:val="28"/>
                <w:szCs w:val="28"/>
                <w:highlight w:val="none"/>
                <w:lang w:val="en-US"/>
                <w14:textFill>
                  <w14:solidFill>
                    <w14:schemeClr w14:val="tx1"/>
                  </w14:solidFill>
                </w14:textFill>
              </w:rPr>
            </w:pPr>
            <w:r>
              <w:rPr>
                <w:rFonts w:hint="default" w:ascii="仿宋_GB2312" w:hAnsi="宋体" w:eastAsia="仿宋_GB2312" w:cs="宋体"/>
                <w:color w:val="000000" w:themeColor="text1"/>
                <w:sz w:val="28"/>
                <w:szCs w:val="28"/>
                <w:highlight w:val="none"/>
                <w:lang w:val="en-US"/>
                <w14:textFill>
                  <w14:solidFill>
                    <w14:schemeClr w14:val="tx1"/>
                  </w14:solidFill>
                </w14:textFill>
              </w:rPr>
              <w:t>合同签订之日起至草案审议通过并印发。</w:t>
            </w:r>
          </w:p>
        </w:tc>
      </w:tr>
      <w:tr w14:paraId="13CD6C65">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08FB34E6">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bookmarkStart w:id="3" w:name="_Toc325725997"/>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23</w:t>
            </w:r>
          </w:p>
        </w:tc>
        <w:tc>
          <w:tcPr>
            <w:tcW w:w="2413" w:type="dxa"/>
            <w:tcBorders>
              <w:top w:val="single" w:color="000000" w:sz="6" w:space="0"/>
              <w:left w:val="single" w:color="000000" w:sz="6" w:space="0"/>
              <w:bottom w:val="single" w:color="000000" w:sz="6" w:space="0"/>
              <w:right w:val="single" w:color="000000" w:sz="6" w:space="0"/>
            </w:tcBorders>
            <w:vAlign w:val="center"/>
          </w:tcPr>
          <w:p w14:paraId="01577F8E">
            <w:pPr>
              <w:autoSpaceDE w:val="0"/>
              <w:autoSpaceDN w:val="0"/>
              <w:spacing w:line="520" w:lineRule="exact"/>
              <w:ind w:firstLine="0" w:firstLineChars="0"/>
              <w:jc w:val="left"/>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监督单位</w:t>
            </w:r>
          </w:p>
        </w:tc>
        <w:tc>
          <w:tcPr>
            <w:tcW w:w="6624" w:type="dxa"/>
            <w:tcBorders>
              <w:top w:val="single" w:color="000000" w:sz="6" w:space="0"/>
              <w:left w:val="single" w:color="000000" w:sz="6" w:space="0"/>
              <w:bottom w:val="single" w:color="000000" w:sz="6" w:space="0"/>
              <w:right w:val="single" w:color="000000" w:sz="6" w:space="0"/>
            </w:tcBorders>
          </w:tcPr>
          <w:p w14:paraId="699FC01E">
            <w:pPr>
              <w:autoSpaceDE w:val="0"/>
              <w:autoSpaceDN w:val="0"/>
              <w:spacing w:line="520" w:lineRule="exact"/>
              <w:ind w:firstLine="0" w:firstLineChars="0"/>
              <w:jc w:val="left"/>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 xml:space="preserve">青海省财政厅 </w:t>
            </w:r>
          </w:p>
          <w:p w14:paraId="46077AAB">
            <w:pPr>
              <w:autoSpaceDE w:val="0"/>
              <w:autoSpaceDN w:val="0"/>
              <w:spacing w:line="520" w:lineRule="exact"/>
              <w:ind w:firstLine="0" w:firstLineChars="0"/>
              <w:jc w:val="left"/>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联系电话：0971-3660357</w:t>
            </w:r>
          </w:p>
        </w:tc>
      </w:tr>
    </w:tbl>
    <w:p w14:paraId="051278A0">
      <w:pPr>
        <w:ind w:firstLine="0" w:firstLineChars="0"/>
        <w:jc w:val="center"/>
        <w:rPr>
          <w:rFonts w:ascii="宋体" w:hAnsi="宋体" w:cs="宋体"/>
          <w:b/>
          <w:color w:val="000000" w:themeColor="text1"/>
          <w:kern w:val="28"/>
          <w:sz w:val="36"/>
          <w:szCs w:val="20"/>
          <w:highlight w:val="none"/>
          <w14:textFill>
            <w14:solidFill>
              <w14:schemeClr w14:val="tx1"/>
            </w14:solidFill>
          </w14:textFill>
        </w:rPr>
      </w:pPr>
    </w:p>
    <w:p w14:paraId="58158958">
      <w:pPr>
        <w:ind w:firstLine="0" w:firstLineChars="0"/>
        <w:jc w:val="center"/>
        <w:rPr>
          <w:rFonts w:hint="eastAsia" w:ascii="宋体" w:hAnsi="宋体" w:cs="宋体"/>
          <w:b/>
          <w:color w:val="000000" w:themeColor="text1"/>
          <w:kern w:val="28"/>
          <w:sz w:val="32"/>
          <w:szCs w:val="32"/>
          <w:highlight w:val="none"/>
          <w14:textFill>
            <w14:solidFill>
              <w14:schemeClr w14:val="tx1"/>
            </w14:solidFill>
          </w14:textFill>
        </w:rPr>
      </w:pPr>
    </w:p>
    <w:p w14:paraId="0D8BA8EC">
      <w:pPr>
        <w:ind w:firstLine="0" w:firstLineChars="0"/>
        <w:jc w:val="center"/>
        <w:rPr>
          <w:rFonts w:ascii="宋体" w:hAnsi="宋体" w:cs="宋体"/>
          <w:b/>
          <w:color w:val="000000" w:themeColor="text1"/>
          <w:kern w:val="28"/>
          <w:sz w:val="32"/>
          <w:szCs w:val="32"/>
          <w:highlight w:val="none"/>
          <w14:textFill>
            <w14:solidFill>
              <w14:schemeClr w14:val="tx1"/>
            </w14:solidFill>
          </w14:textFill>
        </w:rPr>
      </w:pPr>
      <w:r>
        <w:rPr>
          <w:rFonts w:hint="eastAsia" w:ascii="宋体" w:hAnsi="宋体" w:cs="宋体"/>
          <w:b/>
          <w:color w:val="000000" w:themeColor="text1"/>
          <w:kern w:val="28"/>
          <w:sz w:val="32"/>
          <w:szCs w:val="32"/>
          <w:highlight w:val="none"/>
          <w14:textFill>
            <w14:solidFill>
              <w14:schemeClr w14:val="tx1"/>
            </w14:solidFill>
          </w14:textFill>
        </w:rPr>
        <w:t>供应商须知</w:t>
      </w:r>
    </w:p>
    <w:p w14:paraId="585730B4">
      <w:pPr>
        <w:ind w:firstLine="0" w:firstLineChars="0"/>
        <w:jc w:val="center"/>
        <w:rPr>
          <w:rFonts w:ascii="宋体" w:hAnsi="宋体" w:cs="宋体"/>
          <w:b/>
          <w:color w:val="000000" w:themeColor="text1"/>
          <w:kern w:val="28"/>
          <w:sz w:val="36"/>
          <w:szCs w:val="20"/>
          <w:highlight w:val="none"/>
          <w14:textFill>
            <w14:solidFill>
              <w14:schemeClr w14:val="tx1"/>
            </w14:solidFill>
          </w14:textFill>
        </w:rPr>
      </w:pPr>
    </w:p>
    <w:p w14:paraId="101F6032">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4" w:name="_Toc24622"/>
      <w:bookmarkStart w:id="5" w:name="_Toc376936728"/>
      <w:bookmarkStart w:id="6" w:name="_Toc14943"/>
      <w:r>
        <w:rPr>
          <w:rFonts w:hint="eastAsia" w:ascii="仿宋_GB2312" w:hAnsi="宋体" w:eastAsia="仿宋_GB2312" w:cs="宋体"/>
          <w:b/>
          <w:bCs/>
          <w:color w:val="000000" w:themeColor="text1"/>
          <w:sz w:val="28"/>
          <w:szCs w:val="28"/>
          <w:highlight w:val="none"/>
          <w14:textFill>
            <w14:solidFill>
              <w14:schemeClr w14:val="tx1"/>
            </w14:solidFill>
          </w14:textFill>
        </w:rPr>
        <w:t>一、说明</w:t>
      </w:r>
      <w:bookmarkEnd w:id="3"/>
      <w:bookmarkEnd w:id="4"/>
      <w:bookmarkEnd w:id="5"/>
      <w:bookmarkEnd w:id="6"/>
    </w:p>
    <w:p w14:paraId="7929240E">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7" w:name="_Toc26944"/>
      <w:bookmarkStart w:id="8" w:name="_Toc325725998"/>
      <w:bookmarkStart w:id="9" w:name="_Toc376936729"/>
      <w:bookmarkStart w:id="10" w:name="_Toc9770"/>
      <w:r>
        <w:rPr>
          <w:rFonts w:hint="eastAsia" w:ascii="仿宋_GB2312" w:hAnsi="宋体" w:eastAsia="仿宋_GB2312" w:cs="宋体"/>
          <w:b/>
          <w:bCs/>
          <w:color w:val="000000" w:themeColor="text1"/>
          <w:sz w:val="28"/>
          <w:szCs w:val="28"/>
          <w:highlight w:val="none"/>
          <w14:textFill>
            <w14:solidFill>
              <w14:schemeClr w14:val="tx1"/>
            </w14:solidFill>
          </w14:textFill>
        </w:rPr>
        <w:t>1.适用范围</w:t>
      </w:r>
      <w:bookmarkEnd w:id="7"/>
      <w:bookmarkEnd w:id="8"/>
      <w:bookmarkEnd w:id="9"/>
      <w:bookmarkEnd w:id="10"/>
    </w:p>
    <w:p w14:paraId="0216D56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本文件仅适用于此次采购项目。</w:t>
      </w:r>
    </w:p>
    <w:p w14:paraId="4001A4ED">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1" w:name="_Toc376936730"/>
      <w:bookmarkStart w:id="12" w:name="_Toc325725999"/>
      <w:bookmarkStart w:id="13" w:name="_Toc21998"/>
      <w:bookmarkStart w:id="14" w:name="_Toc31556"/>
      <w:r>
        <w:rPr>
          <w:rFonts w:hint="eastAsia" w:ascii="仿宋_GB2312" w:hAnsi="宋体" w:eastAsia="仿宋_GB2312" w:cs="宋体"/>
          <w:b/>
          <w:bCs/>
          <w:color w:val="000000" w:themeColor="text1"/>
          <w:sz w:val="28"/>
          <w:szCs w:val="28"/>
          <w:highlight w:val="none"/>
          <w14:textFill>
            <w14:solidFill>
              <w14:schemeClr w14:val="tx1"/>
            </w14:solidFill>
          </w14:textFill>
        </w:rPr>
        <w:t>2.采购方式、合格的</w:t>
      </w:r>
      <w:bookmarkEnd w:id="11"/>
      <w:bookmarkEnd w:id="12"/>
      <w:bookmarkEnd w:id="13"/>
      <w:r>
        <w:rPr>
          <w:rFonts w:hint="eastAsia" w:ascii="仿宋_GB2312" w:hAnsi="宋体" w:eastAsia="仿宋_GB2312" w:cs="宋体"/>
          <w:b/>
          <w:bCs/>
          <w:color w:val="000000" w:themeColor="text1"/>
          <w:sz w:val="28"/>
          <w:szCs w:val="28"/>
          <w:highlight w:val="none"/>
          <w14:textFill>
            <w14:solidFill>
              <w14:schemeClr w14:val="tx1"/>
            </w14:solidFill>
          </w14:textFill>
        </w:rPr>
        <w:t>供应商</w:t>
      </w:r>
      <w:bookmarkEnd w:id="14"/>
    </w:p>
    <w:p w14:paraId="446E799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2.1本次采购采取竞争性磋商方式。</w:t>
      </w:r>
    </w:p>
    <w:p w14:paraId="0C85D628">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2.2供应商资格条件：详见【供应商须知前附表】2.2。</w:t>
      </w:r>
    </w:p>
    <w:p w14:paraId="64509815">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5" w:name="_Toc8805"/>
      <w:bookmarkStart w:id="16" w:name="_Toc8820"/>
      <w:bookmarkStart w:id="17" w:name="_Toc376936731"/>
      <w:bookmarkStart w:id="18" w:name="_Toc325726000"/>
      <w:r>
        <w:rPr>
          <w:rFonts w:hint="eastAsia" w:ascii="仿宋_GB2312" w:hAnsi="宋体" w:eastAsia="仿宋_GB2312" w:cs="宋体"/>
          <w:b/>
          <w:bCs/>
          <w:color w:val="000000" w:themeColor="text1"/>
          <w:sz w:val="28"/>
          <w:szCs w:val="28"/>
          <w:highlight w:val="none"/>
          <w14:textFill>
            <w14:solidFill>
              <w14:schemeClr w14:val="tx1"/>
            </w14:solidFill>
          </w14:textFill>
        </w:rPr>
        <w:t>3.磋商费用</w:t>
      </w:r>
      <w:bookmarkEnd w:id="15"/>
      <w:bookmarkEnd w:id="16"/>
      <w:bookmarkEnd w:id="17"/>
      <w:bookmarkEnd w:id="18"/>
    </w:p>
    <w:p w14:paraId="42D1AEA4">
      <w:pPr>
        <w:spacing w:line="520" w:lineRule="exact"/>
        <w:ind w:firstLine="560"/>
        <w:rPr>
          <w:rFonts w:ascii="仿宋_GB2312" w:hAnsi="宋体" w:eastAsia="仿宋_GB2312" w:cs="Arial"/>
          <w:color w:val="000000" w:themeColor="text1"/>
          <w:sz w:val="28"/>
          <w:szCs w:val="28"/>
          <w:highlight w:val="none"/>
          <w14:textFill>
            <w14:solidFill>
              <w14:schemeClr w14:val="tx1"/>
            </w14:solidFill>
          </w14:textFill>
        </w:rPr>
      </w:pPr>
      <w:r>
        <w:rPr>
          <w:rFonts w:hint="eastAsia" w:ascii="仿宋_GB2312" w:hAnsi="宋体" w:eastAsia="仿宋_GB2312" w:cs="Arial"/>
          <w:color w:val="000000" w:themeColor="text1"/>
          <w:sz w:val="28"/>
          <w:szCs w:val="28"/>
          <w:highlight w:val="none"/>
          <w14:textFill>
            <w14:solidFill>
              <w14:schemeClr w14:val="tx1"/>
            </w14:solidFill>
          </w14:textFill>
        </w:rPr>
        <w:t>无论磋商采购结果如何，供应商应自愿承担与参加本次磋商有关的费用。采购代理机构对供应商发生的费用不承担任何责任。</w:t>
      </w:r>
      <w:bookmarkStart w:id="19" w:name="_Toc18155"/>
      <w:bookmarkStart w:id="20" w:name="_Toc325726001"/>
      <w:bookmarkStart w:id="21" w:name="_Toc376936732"/>
    </w:p>
    <w:p w14:paraId="04971001">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二、磋商文件说明</w:t>
      </w:r>
      <w:bookmarkEnd w:id="19"/>
      <w:bookmarkEnd w:id="20"/>
      <w:bookmarkEnd w:id="21"/>
    </w:p>
    <w:p w14:paraId="4CDDD6DB">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22" w:name="_Toc376936733"/>
      <w:bookmarkStart w:id="23" w:name="_Toc10649"/>
      <w:bookmarkStart w:id="24" w:name="_Toc14153"/>
      <w:bookmarkStart w:id="25" w:name="_Toc325726002"/>
      <w:r>
        <w:rPr>
          <w:rFonts w:hint="eastAsia" w:ascii="仿宋_GB2312" w:hAnsi="宋体" w:eastAsia="仿宋_GB2312" w:cs="宋体"/>
          <w:b/>
          <w:bCs/>
          <w:color w:val="000000" w:themeColor="text1"/>
          <w:sz w:val="28"/>
          <w:szCs w:val="28"/>
          <w:highlight w:val="none"/>
          <w14:textFill>
            <w14:solidFill>
              <w14:schemeClr w14:val="tx1"/>
            </w14:solidFill>
          </w14:textFill>
        </w:rPr>
        <w:t>4.磋商文件的构成</w:t>
      </w:r>
      <w:bookmarkEnd w:id="22"/>
      <w:bookmarkEnd w:id="23"/>
      <w:bookmarkEnd w:id="24"/>
      <w:bookmarkEnd w:id="25"/>
    </w:p>
    <w:p w14:paraId="625E475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4.1磋商文件包括：</w:t>
      </w:r>
    </w:p>
    <w:p w14:paraId="65107C8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（1）竞争性磋商公告；</w:t>
      </w:r>
    </w:p>
    <w:p w14:paraId="0D9D4E5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zh-CN"/>
          <w14:textFill>
            <w14:solidFill>
              <w14:schemeClr w14:val="tx1"/>
            </w14:solidFill>
          </w14:textFill>
        </w:rPr>
        <w:t>供应商须知前附表；</w:t>
      </w:r>
    </w:p>
    <w:p w14:paraId="4A5F7CC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（3）供应商须知；</w:t>
      </w:r>
    </w:p>
    <w:p w14:paraId="7B71AAB8">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（4）采购项目合同书；</w:t>
      </w:r>
    </w:p>
    <w:p w14:paraId="05E2B4E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（5）响应文件格式（相关附件）；</w:t>
      </w:r>
    </w:p>
    <w:p w14:paraId="611BD2C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（6）服务要求；</w:t>
      </w:r>
    </w:p>
    <w:p w14:paraId="4CC8030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（7）磋商过程中发生的澄清、变更和补充文件。</w:t>
      </w:r>
    </w:p>
    <w:p w14:paraId="74F4A3B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bookmarkStart w:id="26" w:name="_Toc325726003"/>
      <w:bookmarkStart w:id="27" w:name="_Toc376936734"/>
      <w:bookmarkStart w:id="28" w:name="_Toc6482"/>
      <w:bookmarkStart w:id="29" w:name="_Toc3451"/>
      <w:r>
        <w:rPr>
          <w:rFonts w:hint="eastAsia" w:ascii="仿宋_GB2312" w:hAnsi="宋体" w:eastAsia="仿宋_GB2312" w:cs="宋体"/>
          <w:color w:val="000000" w:themeColor="text1"/>
          <w:sz w:val="28"/>
          <w:szCs w:val="28"/>
          <w:highlight w:val="none"/>
          <w14:textFill>
            <w14:solidFill>
              <w14:schemeClr w14:val="tx1"/>
            </w14:solidFill>
          </w14:textFill>
        </w:rPr>
        <w:t>4.2供应商应认真阅读磋商文件中列示的事项、格式、条款和要求等内容。供应商应按磋商文件要求提交全部资料，并对磋商文件做出实质性响应。</w:t>
      </w:r>
    </w:p>
    <w:p w14:paraId="74E3229E">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5.磋商文件的</w:t>
      </w:r>
      <w:bookmarkEnd w:id="26"/>
      <w:bookmarkEnd w:id="27"/>
      <w:r>
        <w:rPr>
          <w:rFonts w:hint="eastAsia" w:ascii="仿宋_GB2312" w:hAnsi="宋体" w:eastAsia="仿宋_GB2312" w:cs="宋体"/>
          <w:b/>
          <w:bCs/>
          <w:color w:val="000000" w:themeColor="text1"/>
          <w:sz w:val="28"/>
          <w:szCs w:val="28"/>
          <w:highlight w:val="none"/>
          <w14:textFill>
            <w14:solidFill>
              <w14:schemeClr w14:val="tx1"/>
            </w14:solidFill>
          </w14:textFill>
        </w:rPr>
        <w:t>质疑</w:t>
      </w:r>
      <w:bookmarkEnd w:id="28"/>
      <w:bookmarkEnd w:id="29"/>
    </w:p>
    <w:p w14:paraId="20AD13C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5.1供应商对磋商文件有疑问的，可以向采购人、采购代理机构提出询问。</w:t>
      </w:r>
    </w:p>
    <w:p w14:paraId="383AEB3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5.2提出质疑的供应商应当符合《中华人民共和国政府采购法》第二十二条等相关规定，对磋商文件提出质疑的，应当在获取采购文件或者采购文件公告期限届满之日起7个工作日内，按法律法规及其规章的规定向采购人、采购代理机构书面提出质疑。</w:t>
      </w:r>
    </w:p>
    <w:p w14:paraId="29EFF6C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5.3供应商认为磋商文件使自己的权益受到损害的，应以书面形式提出质疑（不接受匿名质疑），供应商须在法定质疑期内一次性提出针对同一采购程序环节的质疑。</w:t>
      </w:r>
    </w:p>
    <w:p w14:paraId="5F4421AA">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30" w:name="_Toc376936735"/>
      <w:bookmarkStart w:id="31" w:name="_Toc325726004"/>
      <w:bookmarkStart w:id="32" w:name="_Toc26515"/>
      <w:bookmarkStart w:id="33" w:name="_Toc13050"/>
      <w:r>
        <w:rPr>
          <w:rFonts w:hint="eastAsia" w:ascii="仿宋_GB2312" w:hAnsi="宋体" w:eastAsia="仿宋_GB2312" w:cs="宋体"/>
          <w:b/>
          <w:bCs/>
          <w:color w:val="000000" w:themeColor="text1"/>
          <w:sz w:val="28"/>
          <w:szCs w:val="28"/>
          <w:highlight w:val="none"/>
          <w14:textFill>
            <w14:solidFill>
              <w14:schemeClr w14:val="tx1"/>
            </w14:solidFill>
          </w14:textFill>
        </w:rPr>
        <w:t>6.磋商文件的澄清、修改</w:t>
      </w:r>
      <w:bookmarkEnd w:id="30"/>
      <w:bookmarkEnd w:id="31"/>
      <w:bookmarkEnd w:id="32"/>
      <w:bookmarkEnd w:id="33"/>
    </w:p>
    <w:p w14:paraId="2E5ED8B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6.1</w:t>
      </w:r>
      <w:r>
        <w:rPr>
          <w:rFonts w:hint="eastAsia" w:ascii="仿宋_GB2312" w:hAnsi="宋体" w:eastAsia="仿宋_GB2312" w:cs="宋体"/>
          <w:snapToGrid w:val="0"/>
          <w:color w:val="000000" w:themeColor="text1"/>
          <w:sz w:val="28"/>
          <w:szCs w:val="28"/>
          <w:highlight w:val="none"/>
          <w14:textFill>
            <w14:solidFill>
              <w14:schemeClr w14:val="tx1"/>
            </w14:solidFill>
          </w14:textFill>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w:t>
      </w:r>
      <w:r>
        <w:rPr>
          <w:rFonts w:hint="eastAsia" w:ascii="仿宋_GB2312" w:hAnsi="宋体" w:eastAsia="仿宋_GB2312" w:cs="宋体"/>
          <w:color w:val="000000" w:themeColor="text1"/>
          <w:sz w:val="28"/>
          <w:szCs w:val="28"/>
          <w:highlight w:val="none"/>
          <w14:textFill>
            <w14:solidFill>
              <w14:schemeClr w14:val="tx1"/>
            </w14:solidFill>
          </w14:textFill>
        </w:rPr>
        <w:t>以书面形式通知所有获取磋商文件的供应商</w:t>
      </w:r>
      <w:r>
        <w:rPr>
          <w:rFonts w:hint="eastAsia" w:ascii="仿宋_GB2312" w:hAnsi="宋体" w:eastAsia="仿宋_GB2312" w:cs="宋体"/>
          <w:snapToGrid w:val="0"/>
          <w:color w:val="000000" w:themeColor="text1"/>
          <w:sz w:val="28"/>
          <w:szCs w:val="28"/>
          <w:highlight w:val="none"/>
          <w14:textFill>
            <w14:solidFill>
              <w14:schemeClr w14:val="tx1"/>
            </w14:solidFill>
          </w14:textFill>
        </w:rPr>
        <w:t>；不足5日的，采购人、采购代理机构应当顺延提交首次响应文件截止时间。</w:t>
      </w:r>
    </w:p>
    <w:p w14:paraId="73CDA81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6.2在提交响应文件截止时间前，采购人、采购代理机构可以视采购具体情况，延长提交响应文件截止时间和开启时间，并在磋商文件中要求的提交响应文件截止时间和开启时间前，将变更公告发布在青海政府采购网上。</w:t>
      </w:r>
      <w:bookmarkStart w:id="34" w:name="_Toc23340"/>
      <w:bookmarkStart w:id="35" w:name="_Toc325726005"/>
      <w:bookmarkStart w:id="36" w:name="_Toc376936736"/>
    </w:p>
    <w:p w14:paraId="34516C3C">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三、响应文件的编制</w:t>
      </w:r>
      <w:bookmarkEnd w:id="34"/>
      <w:bookmarkEnd w:id="35"/>
      <w:bookmarkEnd w:id="36"/>
    </w:p>
    <w:p w14:paraId="771592AE">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37" w:name="_Toc13057"/>
      <w:bookmarkStart w:id="38" w:name="_Toc376936737"/>
      <w:bookmarkStart w:id="39" w:name="_Toc9674"/>
      <w:bookmarkStart w:id="40" w:name="_Toc325726006"/>
      <w:r>
        <w:rPr>
          <w:rFonts w:hint="eastAsia" w:ascii="仿宋_GB2312" w:hAnsi="宋体" w:eastAsia="仿宋_GB2312" w:cs="宋体"/>
          <w:b/>
          <w:bCs/>
          <w:color w:val="000000" w:themeColor="text1"/>
          <w:sz w:val="28"/>
          <w:szCs w:val="28"/>
          <w:highlight w:val="none"/>
          <w14:textFill>
            <w14:solidFill>
              <w14:schemeClr w14:val="tx1"/>
            </w14:solidFill>
          </w14:textFill>
        </w:rPr>
        <w:t>7.响应文件的语言及计量单位</w:t>
      </w:r>
      <w:bookmarkEnd w:id="37"/>
      <w:bookmarkEnd w:id="38"/>
      <w:bookmarkEnd w:id="39"/>
      <w:bookmarkEnd w:id="40"/>
    </w:p>
    <w:p w14:paraId="07BDA9D8">
      <w:pPr>
        <w:tabs>
          <w:tab w:val="left" w:pos="3103"/>
        </w:tabs>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7.1供应商提交的响应文件以及供应商与采购代理机构就此磋商发生的所有来往函电均应使用简体中文。</w:t>
      </w:r>
    </w:p>
    <w:p w14:paraId="59EB754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7.2 除磋商文件中另有规定外，响应文件所使用的计量单位，均须采用国家法定计量单位。</w:t>
      </w:r>
    </w:p>
    <w:p w14:paraId="6714124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7.3附有外文资料的，须翻译成中文并加盖供应商公章，如果翻译的中文资料与外文资料存在差异和矛盾时，以中文资料为准。其准确性由供应商负责。</w:t>
      </w:r>
    </w:p>
    <w:p w14:paraId="572F5C49">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41" w:name="_Toc17093"/>
      <w:bookmarkStart w:id="42" w:name="_Toc325726012"/>
      <w:bookmarkStart w:id="43" w:name="_Toc376936743"/>
      <w:bookmarkStart w:id="44" w:name="_Toc21569"/>
      <w:r>
        <w:rPr>
          <w:rFonts w:hint="eastAsia" w:ascii="仿宋_GB2312" w:hAnsi="宋体" w:eastAsia="仿宋_GB2312" w:cs="宋体"/>
          <w:b/>
          <w:bCs/>
          <w:color w:val="000000" w:themeColor="text1"/>
          <w:sz w:val="28"/>
          <w:szCs w:val="28"/>
          <w:highlight w:val="none"/>
          <w14:textFill>
            <w14:solidFill>
              <w14:schemeClr w14:val="tx1"/>
            </w14:solidFill>
          </w14:textFill>
        </w:rPr>
        <w:t>8.磋商报价</w:t>
      </w:r>
    </w:p>
    <w:p w14:paraId="61EED822">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8.1供应商应当根据磋商文件“分项报价表”逐一报价（如有）；</w:t>
      </w:r>
    </w:p>
    <w:p w14:paraId="3FEC13C0">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8.2供应商的每次报价均不得超过采购项目预算，否则视为无效响应。采购项目预算见【供应商须知前附表】。</w:t>
      </w:r>
    </w:p>
    <w:p w14:paraId="67637891">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8.3供应商提交的最后报价在合同执行过程中是固定不变的，不得以任何理由予以变更。</w:t>
      </w:r>
    </w:p>
    <w:p w14:paraId="606059FB">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 xml:space="preserve">8.4磋商报价为总价。供应商须按要求填写磋商总报价，最后报价不得出现两个或两个以上的报价方案。 </w:t>
      </w:r>
    </w:p>
    <w:p w14:paraId="13C3BF7D">
      <w:pPr>
        <w:adjustRightInd w:val="0"/>
        <w:snapToGrid w:val="0"/>
        <w:spacing w:line="520" w:lineRule="exact"/>
        <w:ind w:firstLine="560"/>
        <w:jc w:val="left"/>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8.5报价币种为人民币。</w:t>
      </w:r>
    </w:p>
    <w:p w14:paraId="47955418">
      <w:pPr>
        <w:spacing w:line="520" w:lineRule="exact"/>
        <w:ind w:firstLine="562"/>
        <w:rPr>
          <w:rFonts w:hint="eastAsia" w:ascii="仿宋_GB2312" w:hAnsi="宋体" w:eastAsia="仿宋_GB2312" w:cs="宋体"/>
          <w:b/>
          <w:bCs/>
          <w:color w:val="000000" w:themeColor="text1"/>
          <w:sz w:val="28"/>
          <w:szCs w:val="28"/>
          <w:highlight w:val="none"/>
          <w:lang w:eastAsia="zh-CN"/>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9.磋商保证金</w:t>
      </w:r>
      <w:bookmarkEnd w:id="41"/>
      <w:bookmarkEnd w:id="42"/>
      <w:bookmarkEnd w:id="43"/>
      <w:bookmarkEnd w:id="44"/>
    </w:p>
    <w:p w14:paraId="55DA894F">
      <w:pPr>
        <w:spacing w:line="520" w:lineRule="exact"/>
        <w:ind w:firstLine="56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9.1磋商保证金采用前附表规定转账方式的，由供应商直接转入“青海省招标有限责任公司”</w:t>
      </w:r>
      <w:r>
        <w:rPr>
          <w:rFonts w:hint="eastAsia" w:ascii="仿宋_GB2312" w:hAnsi="宋体" w:eastAsia="仿宋_GB2312" w:cs="宋体"/>
          <w:color w:val="000000" w:themeColor="text1"/>
          <w:sz w:val="28"/>
          <w:szCs w:val="28"/>
          <w:highlight w:val="none"/>
          <w14:textFill>
            <w14:solidFill>
              <w14:schemeClr w14:val="tx1"/>
            </w14:solidFill>
          </w14:textFill>
        </w:rPr>
        <w:t>保证金专用</w:t>
      </w:r>
      <w:r>
        <w:rPr>
          <w:rFonts w:hint="eastAsia" w:ascii="仿宋_GB2312" w:hAnsi="宋体" w:eastAsia="仿宋_GB2312" w:cs="宋体"/>
          <w:color w:val="000000" w:themeColor="text1"/>
          <w:sz w:val="28"/>
          <w:szCs w:val="28"/>
          <w:highlight w:val="none"/>
          <w:lang w:val="zh-CN"/>
          <w14:textFill>
            <w14:solidFill>
              <w14:schemeClr w14:val="tx1"/>
            </w14:solidFill>
          </w14:textFill>
        </w:rPr>
        <w:t>账户。</w:t>
      </w:r>
    </w:p>
    <w:p w14:paraId="3F738EBE">
      <w:pPr>
        <w:spacing w:line="520" w:lineRule="exact"/>
        <w:ind w:firstLine="56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9</w:t>
      </w:r>
      <w:r>
        <w:rPr>
          <w:rFonts w:hint="eastAsia" w:ascii="仿宋_GB2312" w:hAnsi="宋体" w:eastAsia="仿宋_GB2312" w:cs="宋体"/>
          <w:color w:val="000000" w:themeColor="text1"/>
          <w:sz w:val="28"/>
          <w:szCs w:val="28"/>
          <w:highlight w:val="none"/>
          <w:lang w:val="zh-CN"/>
          <w14:textFill>
            <w14:solidFill>
              <w14:schemeClr w14:val="tx1"/>
            </w14:solidFill>
          </w14:textFill>
        </w:rPr>
        <w:t>.2供应商须在磋商文件开启时间前提交磋商保证金；未成交供应商的磋商保证金在成交通知书发出后5个工作日内退还，成交供应商的磋商保证金在采购合同签订后5个工作日内退还</w:t>
      </w:r>
      <w:r>
        <w:rPr>
          <w:rFonts w:hint="eastAsia" w:ascii="仿宋_GB2312" w:hAnsi="宋体" w:eastAsia="仿宋_GB2312" w:cs="宋体"/>
          <w:color w:val="000000" w:themeColor="text1"/>
          <w:sz w:val="28"/>
          <w:szCs w:val="28"/>
          <w:highlight w:val="none"/>
          <w14:textFill>
            <w14:solidFill>
              <w14:schemeClr w14:val="tx1"/>
            </w14:solidFill>
          </w14:textFill>
        </w:rPr>
        <w:t>。</w:t>
      </w:r>
    </w:p>
    <w:p w14:paraId="4A9D8A0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9</w:t>
      </w:r>
      <w:r>
        <w:rPr>
          <w:rFonts w:hint="eastAsia" w:ascii="仿宋_GB2312" w:hAnsi="宋体" w:eastAsia="仿宋_GB2312" w:cs="宋体"/>
          <w:color w:val="000000" w:themeColor="text1"/>
          <w:sz w:val="28"/>
          <w:szCs w:val="28"/>
          <w:highlight w:val="none"/>
          <w:lang w:val="zh-CN"/>
          <w14:textFill>
            <w14:solidFill>
              <w14:schemeClr w14:val="tx1"/>
            </w14:solidFill>
          </w14:textFill>
        </w:rPr>
        <w:t xml:space="preserve">.3 </w:t>
      </w:r>
      <w:r>
        <w:rPr>
          <w:rFonts w:hint="eastAsia" w:ascii="仿宋_GB2312" w:hAnsi="宋体" w:eastAsia="仿宋_GB2312" w:cs="宋体"/>
          <w:color w:val="000000" w:themeColor="text1"/>
          <w:sz w:val="28"/>
          <w:szCs w:val="28"/>
          <w:highlight w:val="none"/>
          <w14:textFill>
            <w14:solidFill>
              <w14:schemeClr w14:val="tx1"/>
            </w14:solidFill>
          </w14:textFill>
        </w:rPr>
        <w:t>有下列情形之一的，磋商保证金不予退还：</w:t>
      </w:r>
    </w:p>
    <w:p w14:paraId="4BF749F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（1）供应商在提交响应文件截止时间后撤回响应文件的；</w:t>
      </w:r>
    </w:p>
    <w:p w14:paraId="5D242D5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（2）供应商在响应文件中提供虚假材料的；</w:t>
      </w:r>
    </w:p>
    <w:p w14:paraId="0CD4D5B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（3）除因不可抗力或磋商文件认可的情形以外，成交供应商不与采购人签订合同的；</w:t>
      </w:r>
    </w:p>
    <w:p w14:paraId="352F541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（4）供应商与采购人、其他供应商或者采购代理机构恶意串通的；</w:t>
      </w:r>
    </w:p>
    <w:p w14:paraId="2FD9A1C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（5）法律法规规定的其他情形。</w:t>
      </w:r>
    </w:p>
    <w:p w14:paraId="4109FF2A">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45" w:name="_Toc325726013"/>
      <w:bookmarkStart w:id="46" w:name="_Toc22044"/>
      <w:bookmarkStart w:id="47" w:name="_Toc32704"/>
      <w:bookmarkStart w:id="48" w:name="_Toc376936744"/>
      <w:r>
        <w:rPr>
          <w:rFonts w:hint="eastAsia" w:ascii="仿宋_GB2312" w:hAnsi="宋体" w:eastAsia="仿宋_GB2312" w:cs="宋体"/>
          <w:b/>
          <w:bCs/>
          <w:color w:val="000000" w:themeColor="text1"/>
          <w:sz w:val="28"/>
          <w:szCs w:val="28"/>
          <w:highlight w:val="none"/>
          <w14:textFill>
            <w14:solidFill>
              <w14:schemeClr w14:val="tx1"/>
            </w14:solidFill>
          </w14:textFill>
        </w:rPr>
        <w:t>10.响应有效期</w:t>
      </w:r>
      <w:bookmarkEnd w:id="45"/>
      <w:bookmarkEnd w:id="46"/>
      <w:bookmarkEnd w:id="47"/>
      <w:bookmarkEnd w:id="48"/>
    </w:p>
    <w:p w14:paraId="66A4F40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自提交响应文件截止之日起60个日历日。（供应商须知前附表另有规定的除外）</w:t>
      </w:r>
    </w:p>
    <w:p w14:paraId="0BB7A10F">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49" w:name="_Toc31915"/>
      <w:bookmarkStart w:id="50" w:name="_Toc325726008"/>
      <w:bookmarkStart w:id="51" w:name="_Toc376936739"/>
      <w:bookmarkStart w:id="52" w:name="_Toc16445"/>
      <w:r>
        <w:rPr>
          <w:rFonts w:hint="eastAsia" w:ascii="仿宋_GB2312" w:hAnsi="宋体" w:eastAsia="仿宋_GB2312" w:cs="宋体"/>
          <w:b/>
          <w:bCs/>
          <w:color w:val="000000" w:themeColor="text1"/>
          <w:sz w:val="28"/>
          <w:szCs w:val="28"/>
          <w:highlight w:val="none"/>
          <w14:textFill>
            <w14:solidFill>
              <w14:schemeClr w14:val="tx1"/>
            </w14:solidFill>
          </w14:textFill>
        </w:rPr>
        <w:t>11.响应文件构成</w:t>
      </w:r>
      <w:bookmarkEnd w:id="49"/>
      <w:bookmarkEnd w:id="50"/>
      <w:bookmarkEnd w:id="51"/>
      <w:bookmarkEnd w:id="52"/>
    </w:p>
    <w:p w14:paraId="16FCFCA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11</w:t>
      </w:r>
      <w:r>
        <w:rPr>
          <w:rFonts w:hint="eastAsia" w:ascii="仿宋_GB2312" w:hAnsi="宋体" w:eastAsia="仿宋_GB2312" w:cs="宋体"/>
          <w:color w:val="000000" w:themeColor="text1"/>
          <w:sz w:val="28"/>
          <w:szCs w:val="28"/>
          <w:highlight w:val="none"/>
          <w:lang w:val="zh-CN"/>
          <w14:textFill>
            <w14:solidFill>
              <w14:schemeClr w14:val="tx1"/>
            </w14:solidFill>
          </w14:textFill>
        </w:rPr>
        <w:t>.1</w:t>
      </w:r>
      <w:r>
        <w:rPr>
          <w:rFonts w:hint="eastAsia" w:ascii="仿宋_GB2312" w:hAnsi="宋体" w:eastAsia="仿宋_GB2312" w:cs="宋体"/>
          <w:color w:val="000000" w:themeColor="text1"/>
          <w:sz w:val="28"/>
          <w:szCs w:val="28"/>
          <w:highlight w:val="none"/>
          <w14:textFill>
            <w14:solidFill>
              <w14:schemeClr w14:val="tx1"/>
            </w14:solidFill>
          </w14:textFill>
        </w:rPr>
        <w:t>供应商应提交相关证明材料，作为其参加磋商和成交后有能力履行合同的证明。编写的响应文件须包括以下内容（格式详见磋商文件第四部分内容）：</w:t>
      </w:r>
    </w:p>
    <w:p w14:paraId="44560D7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（1）响应文件封面</w:t>
      </w:r>
    </w:p>
    <w:p w14:paraId="6595627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（2）目录</w:t>
      </w:r>
    </w:p>
    <w:p w14:paraId="6A442141">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（3）磋商函</w:t>
      </w:r>
    </w:p>
    <w:p w14:paraId="41E94FFB">
      <w:pPr>
        <w:spacing w:line="520" w:lineRule="exact"/>
        <w:ind w:firstLine="56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（4）首次报价</w:t>
      </w:r>
      <w:r>
        <w:rPr>
          <w:rFonts w:hint="eastAsia" w:ascii="仿宋_GB2312" w:hAnsi="宋体" w:eastAsia="仿宋_GB2312" w:cs="宋体"/>
          <w:color w:val="000000" w:themeColor="text1"/>
          <w:sz w:val="28"/>
          <w:szCs w:val="28"/>
          <w:highlight w:val="none"/>
          <w:lang w:val="zh-CN"/>
          <w14:textFill>
            <w14:solidFill>
              <w14:schemeClr w14:val="tx1"/>
            </w14:solidFill>
          </w14:textFill>
        </w:rPr>
        <w:t>一览表</w:t>
      </w:r>
    </w:p>
    <w:p w14:paraId="5D7608DE">
      <w:pPr>
        <w:spacing w:line="520" w:lineRule="exact"/>
        <w:ind w:firstLine="56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w:t>
      </w:r>
      <w:r>
        <w:rPr>
          <w:rFonts w:hint="eastAsia" w:ascii="仿宋_GB2312" w:hAnsi="宋体" w:eastAsia="仿宋_GB2312" w:cs="宋体"/>
          <w:color w:val="000000" w:themeColor="text1"/>
          <w:sz w:val="28"/>
          <w:szCs w:val="28"/>
          <w:highlight w:val="none"/>
          <w14:textFill>
            <w14:solidFill>
              <w14:schemeClr w14:val="tx1"/>
            </w14:solidFill>
          </w14:textFill>
        </w:rPr>
        <w:t>5</w:t>
      </w:r>
      <w:r>
        <w:rPr>
          <w:rFonts w:hint="eastAsia" w:ascii="仿宋_GB2312" w:hAnsi="宋体" w:eastAsia="仿宋_GB2312" w:cs="宋体"/>
          <w:color w:val="000000" w:themeColor="text1"/>
          <w:sz w:val="28"/>
          <w:szCs w:val="28"/>
          <w:highlight w:val="none"/>
          <w:lang w:val="zh-CN"/>
          <w14:textFill>
            <w14:solidFill>
              <w14:schemeClr w14:val="tx1"/>
            </w14:solidFill>
          </w14:textFill>
        </w:rPr>
        <w:t>）分项报价表</w:t>
      </w:r>
    </w:p>
    <w:p w14:paraId="36B378C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（6）法定代表人（非法人组织负责人）证明书</w:t>
      </w:r>
    </w:p>
    <w:p w14:paraId="0BD761C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（7）法定代表人（非法人组织负责人）授权书</w:t>
      </w:r>
    </w:p>
    <w:p w14:paraId="4FB9878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（8）供应商承诺函</w:t>
      </w:r>
    </w:p>
    <w:p w14:paraId="7D3CFBF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（9）供应商诚信承诺书</w:t>
      </w:r>
    </w:p>
    <w:p w14:paraId="63178BF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（10）资格证明材料</w:t>
      </w:r>
    </w:p>
    <w:p w14:paraId="18B3C45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（11）财务状况证明</w:t>
      </w:r>
    </w:p>
    <w:p w14:paraId="3DCB640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（12）具备履行合同所必须的设备和专业技术能力证明</w:t>
      </w:r>
    </w:p>
    <w:p w14:paraId="49CC6E6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（13）无重大违法记录声明</w:t>
      </w:r>
    </w:p>
    <w:p w14:paraId="793CB97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（14）磋商保证金</w:t>
      </w:r>
    </w:p>
    <w:p w14:paraId="67AED35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5</w:t>
      </w:r>
      <w:r>
        <w:rPr>
          <w:rFonts w:hint="eastAsia" w:ascii="仿宋_GB2312" w:hAnsi="宋体" w:eastAsia="仿宋_GB2312" w:cs="宋体"/>
          <w:color w:val="000000" w:themeColor="text1"/>
          <w:sz w:val="28"/>
          <w:szCs w:val="28"/>
          <w:highlight w:val="none"/>
          <w14:textFill>
            <w14:solidFill>
              <w14:schemeClr w14:val="tx1"/>
            </w14:solidFill>
          </w14:textFill>
        </w:rPr>
        <w:t>）供应商最后报价表</w:t>
      </w:r>
    </w:p>
    <w:p w14:paraId="5DFD6D8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6</w:t>
      </w:r>
      <w:r>
        <w:rPr>
          <w:rFonts w:hint="eastAsia" w:ascii="仿宋_GB2312" w:hAnsi="宋体" w:eastAsia="仿宋_GB2312" w:cs="宋体"/>
          <w:color w:val="000000" w:themeColor="text1"/>
          <w:sz w:val="28"/>
          <w:szCs w:val="28"/>
          <w:highlight w:val="none"/>
          <w14:textFill>
            <w14:solidFill>
              <w14:schemeClr w14:val="tx1"/>
            </w14:solidFill>
          </w14:textFill>
        </w:rPr>
        <w:t>）供应商类似业绩证明材料</w:t>
      </w:r>
    </w:p>
    <w:p w14:paraId="45E114D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7</w:t>
      </w:r>
      <w:r>
        <w:rPr>
          <w:rFonts w:hint="eastAsia" w:ascii="仿宋_GB2312" w:hAnsi="宋体" w:eastAsia="仿宋_GB2312" w:cs="宋体"/>
          <w:color w:val="000000" w:themeColor="text1"/>
          <w:sz w:val="28"/>
          <w:szCs w:val="28"/>
          <w:highlight w:val="none"/>
          <w14:textFill>
            <w14:solidFill>
              <w14:schemeClr w14:val="tx1"/>
            </w14:solidFill>
          </w14:textFill>
        </w:rPr>
        <w:t>）服务方案</w:t>
      </w:r>
    </w:p>
    <w:p w14:paraId="1640240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8</w:t>
      </w:r>
      <w:r>
        <w:rPr>
          <w:rFonts w:hint="eastAsia" w:ascii="仿宋_GB2312" w:hAnsi="宋体" w:eastAsia="仿宋_GB2312" w:cs="宋体"/>
          <w:color w:val="000000" w:themeColor="text1"/>
          <w:sz w:val="28"/>
          <w:szCs w:val="28"/>
          <w:highlight w:val="none"/>
          <w14:textFill>
            <w14:solidFill>
              <w14:schemeClr w14:val="tx1"/>
            </w14:solidFill>
          </w14:textFill>
        </w:rPr>
        <w:t>）享受政府采购政策优惠的证明材料</w:t>
      </w:r>
    </w:p>
    <w:p w14:paraId="7B3E6D8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19</w:t>
      </w:r>
      <w:r>
        <w:rPr>
          <w:rFonts w:hint="eastAsia" w:ascii="仿宋_GB2312" w:hAnsi="宋体" w:eastAsia="仿宋_GB2312" w:cs="宋体"/>
          <w:color w:val="000000" w:themeColor="text1"/>
          <w:sz w:val="28"/>
          <w:szCs w:val="28"/>
          <w:highlight w:val="none"/>
          <w14:textFill>
            <w14:solidFill>
              <w14:schemeClr w14:val="tx1"/>
            </w14:solidFill>
          </w14:textFill>
        </w:rPr>
        <w:t>）供应商认为在其他方面有必要说明的事项</w:t>
      </w:r>
    </w:p>
    <w:p w14:paraId="3CF17CB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注：磋商文件要求签字、盖章的地方必须由供应商的法定代表人或委托代理人按要求签字、盖章；供应商须按上述内容、顺序和格式编制响应文件，并按要求编制目录、页码。</w:t>
      </w:r>
    </w:p>
    <w:p w14:paraId="1612B42C">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53" w:name="_Toc373392580"/>
      <w:bookmarkStart w:id="54" w:name="_Toc412617729"/>
      <w:bookmarkStart w:id="55" w:name="_Toc16453"/>
      <w:bookmarkStart w:id="56" w:name="_Toc11377"/>
      <w:r>
        <w:rPr>
          <w:rFonts w:hint="eastAsia" w:ascii="仿宋_GB2312" w:hAnsi="宋体" w:eastAsia="仿宋_GB2312" w:cs="宋体"/>
          <w:b/>
          <w:bCs/>
          <w:color w:val="000000" w:themeColor="text1"/>
          <w:sz w:val="28"/>
          <w:szCs w:val="28"/>
          <w:highlight w:val="none"/>
          <w14:textFill>
            <w14:solidFill>
              <w14:schemeClr w14:val="tx1"/>
            </w14:solidFill>
          </w14:textFill>
        </w:rPr>
        <w:t>12.电子版响应文件编制和签署</w:t>
      </w:r>
      <w:bookmarkEnd w:id="53"/>
      <w:bookmarkEnd w:id="54"/>
      <w:bookmarkEnd w:id="55"/>
      <w:bookmarkEnd w:id="56"/>
    </w:p>
    <w:p w14:paraId="2A2C6369">
      <w:pPr>
        <w:spacing w:line="520" w:lineRule="exact"/>
        <w:ind w:firstLine="464" w:firstLineChars="166"/>
        <w:rPr>
          <w:rFonts w:hint="eastAsia" w:ascii="仿宋_GB2312" w:hAnsi="宋体" w:eastAsia="仿宋_GB2312" w:cs="宋体"/>
          <w:color w:val="000000" w:themeColor="text1"/>
          <w:sz w:val="28"/>
          <w:szCs w:val="28"/>
          <w:highlight w:val="none"/>
          <w14:textFill>
            <w14:solidFill>
              <w14:schemeClr w14:val="tx1"/>
            </w14:solidFill>
          </w14:textFill>
        </w:rPr>
      </w:pPr>
      <w:bookmarkStart w:id="57" w:name="_Toc15102"/>
      <w:bookmarkStart w:id="58" w:name="_Toc412617730"/>
      <w:bookmarkStart w:id="59" w:name="_Toc376936748"/>
      <w:bookmarkStart w:id="60" w:name="_Toc371090029"/>
      <w:r>
        <w:rPr>
          <w:rFonts w:hint="eastAsia" w:ascii="仿宋_GB2312" w:hAnsi="宋体" w:eastAsia="仿宋_GB2312" w:cs="宋体"/>
          <w:color w:val="000000" w:themeColor="text1"/>
          <w:sz w:val="28"/>
          <w:szCs w:val="28"/>
          <w:highlight w:val="none"/>
          <w14:textFill>
            <w14:solidFill>
              <w14:schemeClr w14:val="tx1"/>
            </w14:solidFill>
          </w14:textFill>
        </w:rPr>
        <w:t>本次磋商采用线上提交响应文件的方式进行采购，若对项目采购电子交易系统操作有疑问，可登录政采云（https://www.zcygov.cn/），点击右侧咨询小采，获取采小蜜智能服务管家帮助，或拨打政采云服务热线95763获取热线服务帮助。CA问题联系电话（人工）；天谷CA 400-</w:t>
      </w:r>
      <w:r>
        <w:rPr>
          <w:rFonts w:hint="eastAsia" w:ascii="仿宋_GB2312" w:hAnsi="宋体" w:eastAsia="仿宋_GB2312" w:cs="宋体"/>
          <w:color w:val="000000" w:themeColor="text1"/>
          <w:sz w:val="28"/>
          <w:szCs w:val="28"/>
          <w:highlight w:val="none"/>
          <w:lang w:eastAsia="zh-CN"/>
          <w14:textFill>
            <w14:solidFill>
              <w14:schemeClr w14:val="tx1"/>
            </w14:solidFill>
          </w14:textFill>
        </w:rPr>
        <w:t>088</w:t>
      </w:r>
      <w:r>
        <w:rPr>
          <w:rFonts w:hint="eastAsia" w:ascii="仿宋_GB2312" w:hAnsi="宋体" w:eastAsia="仿宋_GB2312" w:cs="宋体"/>
          <w:color w:val="000000" w:themeColor="text1"/>
          <w:sz w:val="28"/>
          <w:szCs w:val="28"/>
          <w:highlight w:val="none"/>
          <w14:textFill>
            <w14:solidFill>
              <w14:schemeClr w14:val="tx1"/>
            </w14:solidFill>
          </w14:textFill>
        </w:rPr>
        <w:t>-8198。</w:t>
      </w:r>
    </w:p>
    <w:p w14:paraId="3AC7AF7A">
      <w:pPr>
        <w:spacing w:line="520" w:lineRule="exact"/>
        <w:ind w:firstLine="467" w:firstLineChars="166"/>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四、响应文件的</w:t>
      </w:r>
      <w:bookmarkEnd w:id="57"/>
      <w:bookmarkEnd w:id="58"/>
      <w:r>
        <w:rPr>
          <w:rFonts w:hint="eastAsia" w:ascii="仿宋_GB2312" w:hAnsi="宋体" w:eastAsia="仿宋_GB2312" w:cs="宋体"/>
          <w:b/>
          <w:bCs/>
          <w:color w:val="000000" w:themeColor="text1"/>
          <w:sz w:val="28"/>
          <w:szCs w:val="28"/>
          <w:highlight w:val="none"/>
          <w14:textFill>
            <w14:solidFill>
              <w14:schemeClr w14:val="tx1"/>
            </w14:solidFill>
          </w14:textFill>
        </w:rPr>
        <w:t>提交</w:t>
      </w:r>
    </w:p>
    <w:p w14:paraId="7E942C44">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61" w:name="_Toc1176"/>
      <w:bookmarkStart w:id="62" w:name="_Toc23823"/>
      <w:bookmarkStart w:id="63" w:name="_Toc412617731"/>
      <w:bookmarkStart w:id="64" w:name="_Toc373392582"/>
      <w:bookmarkStart w:id="65" w:name="_Toc325726016"/>
      <w:r>
        <w:rPr>
          <w:rFonts w:hint="eastAsia" w:ascii="仿宋_GB2312" w:hAnsi="宋体" w:eastAsia="仿宋_GB2312" w:cs="宋体"/>
          <w:b/>
          <w:bCs/>
          <w:color w:val="000000" w:themeColor="text1"/>
          <w:sz w:val="28"/>
          <w:szCs w:val="28"/>
          <w:highlight w:val="none"/>
          <w14:textFill>
            <w14:solidFill>
              <w14:schemeClr w14:val="tx1"/>
            </w14:solidFill>
          </w14:textFill>
        </w:rPr>
        <w:t>13.响应文件的</w:t>
      </w:r>
      <w:bookmarkEnd w:id="61"/>
      <w:bookmarkEnd w:id="62"/>
      <w:bookmarkEnd w:id="63"/>
      <w:bookmarkEnd w:id="64"/>
      <w:bookmarkEnd w:id="65"/>
      <w:r>
        <w:rPr>
          <w:rFonts w:hint="eastAsia" w:ascii="仿宋_GB2312" w:hAnsi="宋体" w:eastAsia="仿宋_GB2312" w:cs="宋体"/>
          <w:b/>
          <w:bCs/>
          <w:color w:val="000000" w:themeColor="text1"/>
          <w:sz w:val="28"/>
          <w:szCs w:val="28"/>
          <w:highlight w:val="none"/>
          <w14:textFill>
            <w14:solidFill>
              <w14:schemeClr w14:val="tx1"/>
            </w14:solidFill>
          </w14:textFill>
        </w:rPr>
        <w:t>提交</w:t>
      </w:r>
    </w:p>
    <w:bookmarkEnd w:id="59"/>
    <w:bookmarkEnd w:id="60"/>
    <w:p w14:paraId="622F0491">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bookmarkStart w:id="66" w:name="_Toc325726017"/>
      <w:bookmarkStart w:id="67" w:name="_Toc373392583"/>
      <w:bookmarkStart w:id="68" w:name="_Toc4009"/>
      <w:bookmarkStart w:id="69" w:name="_Toc412617732"/>
      <w:bookmarkStart w:id="70" w:name="_Toc30756"/>
      <w:bookmarkStart w:id="71" w:name="_Toc376936749"/>
      <w:bookmarkStart w:id="72" w:name="_Toc371090030"/>
      <w:r>
        <w:rPr>
          <w:rFonts w:hint="eastAsia" w:ascii="仿宋_GB2312" w:hAnsi="宋体" w:eastAsia="仿宋_GB2312" w:cs="宋体"/>
          <w:color w:val="000000" w:themeColor="text1"/>
          <w:sz w:val="28"/>
          <w:szCs w:val="28"/>
          <w:highlight w:val="none"/>
          <w14:textFill>
            <w14:solidFill>
              <w14:schemeClr w14:val="tx1"/>
            </w14:solidFill>
          </w14:textFill>
        </w:rPr>
        <w:t>本次磋商采用线上提交响应文件的方式进行采购，若对项目采购电子交易系统操作有疑问，可登录政采云（https://www.zcygov.cn/），点击右侧咨询小采，获取采小蜜智能服务管家帮助，或拨打政采云服务热线95763获取热线服务帮助。CA问题联系电话（人工）；天谷CA 400-</w:t>
      </w:r>
      <w:r>
        <w:rPr>
          <w:rFonts w:hint="eastAsia" w:ascii="仿宋_GB2312" w:hAnsi="宋体" w:eastAsia="仿宋_GB2312" w:cs="宋体"/>
          <w:color w:val="000000" w:themeColor="text1"/>
          <w:sz w:val="28"/>
          <w:szCs w:val="28"/>
          <w:highlight w:val="none"/>
          <w:lang w:eastAsia="zh-CN"/>
          <w14:textFill>
            <w14:solidFill>
              <w14:schemeClr w14:val="tx1"/>
            </w14:solidFill>
          </w14:textFill>
        </w:rPr>
        <w:t>088</w:t>
      </w:r>
      <w:r>
        <w:rPr>
          <w:rFonts w:hint="eastAsia" w:ascii="仿宋_GB2312" w:hAnsi="宋体" w:eastAsia="仿宋_GB2312" w:cs="宋体"/>
          <w:color w:val="000000" w:themeColor="text1"/>
          <w:sz w:val="28"/>
          <w:szCs w:val="28"/>
          <w:highlight w:val="none"/>
          <w14:textFill>
            <w14:solidFill>
              <w14:schemeClr w14:val="tx1"/>
            </w14:solidFill>
          </w14:textFill>
        </w:rPr>
        <w:t>-8198。</w:t>
      </w:r>
    </w:p>
    <w:p w14:paraId="5A5E7A48">
      <w:pPr>
        <w:spacing w:line="520" w:lineRule="exact"/>
        <w:ind w:firstLine="560"/>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14.</w:t>
      </w:r>
      <w:bookmarkEnd w:id="66"/>
      <w:bookmarkEnd w:id="67"/>
      <w:bookmarkEnd w:id="68"/>
      <w:bookmarkEnd w:id="69"/>
      <w:bookmarkEnd w:id="70"/>
      <w:r>
        <w:rPr>
          <w:rFonts w:hint="eastAsia" w:ascii="仿宋_GB2312" w:hAnsi="宋体" w:eastAsia="仿宋_GB2312" w:cs="宋体"/>
          <w:b/>
          <w:bCs/>
          <w:color w:val="000000" w:themeColor="text1"/>
          <w:sz w:val="28"/>
          <w:szCs w:val="28"/>
          <w:highlight w:val="none"/>
          <w14:textFill>
            <w14:solidFill>
              <w14:schemeClr w14:val="tx1"/>
            </w14:solidFill>
          </w14:textFill>
        </w:rPr>
        <w:t>提交响应文件截止时间</w:t>
      </w:r>
    </w:p>
    <w:p w14:paraId="75554A78">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14.1提交响应文件截止时间及邮箱详见“供应商须知前附表”。</w:t>
      </w:r>
    </w:p>
    <w:p w14:paraId="20A9838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14.2采购代理机构将拒绝接受在提交响应文件截止时间之后提交的响应文件。</w:t>
      </w:r>
      <w:bookmarkEnd w:id="71"/>
      <w:bookmarkEnd w:id="72"/>
      <w:bookmarkStart w:id="73" w:name="_Toc325726019"/>
      <w:bookmarkStart w:id="74" w:name="_Toc376936750"/>
      <w:bookmarkStart w:id="75" w:name="_Toc9147"/>
    </w:p>
    <w:p w14:paraId="74D01DD8">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76" w:name="_Toc5644"/>
      <w:r>
        <w:rPr>
          <w:rFonts w:hint="eastAsia" w:ascii="仿宋_GB2312" w:hAnsi="宋体" w:eastAsia="仿宋_GB2312" w:cs="宋体"/>
          <w:b/>
          <w:bCs/>
          <w:color w:val="000000" w:themeColor="text1"/>
          <w:sz w:val="28"/>
          <w:szCs w:val="28"/>
          <w:highlight w:val="none"/>
          <w14:textFill>
            <w14:solidFill>
              <w14:schemeClr w14:val="tx1"/>
            </w14:solidFill>
          </w14:textFill>
        </w:rPr>
        <w:t>五、</w:t>
      </w:r>
      <w:bookmarkEnd w:id="73"/>
      <w:bookmarkEnd w:id="74"/>
      <w:r>
        <w:rPr>
          <w:rFonts w:hint="eastAsia" w:ascii="仿宋_GB2312" w:hAnsi="宋体" w:eastAsia="仿宋_GB2312" w:cs="宋体"/>
          <w:b/>
          <w:bCs/>
          <w:color w:val="000000" w:themeColor="text1"/>
          <w:sz w:val="28"/>
          <w:szCs w:val="28"/>
          <w:highlight w:val="none"/>
          <w14:textFill>
            <w14:solidFill>
              <w14:schemeClr w14:val="tx1"/>
            </w14:solidFill>
          </w14:textFill>
        </w:rPr>
        <w:t>磋商过程</w:t>
      </w:r>
      <w:bookmarkEnd w:id="75"/>
      <w:bookmarkEnd w:id="76"/>
    </w:p>
    <w:p w14:paraId="5798CC1F">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77" w:name="_Toc325726020"/>
      <w:bookmarkStart w:id="78" w:name="_Toc376936751"/>
      <w:bookmarkStart w:id="79" w:name="_Toc26723"/>
      <w:bookmarkStart w:id="80" w:name="_Toc15630"/>
      <w:r>
        <w:rPr>
          <w:rFonts w:hint="eastAsia" w:ascii="仿宋_GB2312" w:hAnsi="宋体" w:eastAsia="仿宋_GB2312" w:cs="宋体"/>
          <w:b/>
          <w:bCs/>
          <w:color w:val="000000" w:themeColor="text1"/>
          <w:sz w:val="28"/>
          <w:szCs w:val="28"/>
          <w:highlight w:val="none"/>
          <w14:textFill>
            <w14:solidFill>
              <w14:schemeClr w14:val="tx1"/>
            </w14:solidFill>
          </w14:textFill>
        </w:rPr>
        <w:t>15.</w:t>
      </w:r>
      <w:bookmarkEnd w:id="77"/>
      <w:bookmarkEnd w:id="78"/>
      <w:r>
        <w:rPr>
          <w:rFonts w:hint="eastAsia" w:ascii="仿宋_GB2312" w:hAnsi="宋体" w:eastAsia="仿宋_GB2312" w:cs="宋体"/>
          <w:b/>
          <w:bCs/>
          <w:color w:val="000000" w:themeColor="text1"/>
          <w:sz w:val="28"/>
          <w:szCs w:val="28"/>
          <w:highlight w:val="none"/>
          <w14:textFill>
            <w14:solidFill>
              <w14:schemeClr w14:val="tx1"/>
            </w14:solidFill>
          </w14:textFill>
        </w:rPr>
        <w:t>磋商过程</w:t>
      </w:r>
      <w:bookmarkEnd w:id="79"/>
      <w:bookmarkEnd w:id="80"/>
    </w:p>
    <w:p w14:paraId="3206D48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15.1采购人、采购代理机构按本磋商文件中确定的时间和方式组织本项目的磋商活动。供应商应由其法定代表人或委托代理人参加。</w:t>
      </w:r>
    </w:p>
    <w:p w14:paraId="01362D21">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15.2磋商时，对不同文字文本响应文件的解释发生异议的，以中文文本为准。</w:t>
      </w:r>
    </w:p>
    <w:p w14:paraId="1ECFE2D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15.3磋商工作由采购人或采购代理机构组织。</w:t>
      </w:r>
    </w:p>
    <w:p w14:paraId="4FBB3D1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15.4磋商过程有专人记录，并存档备查。</w:t>
      </w:r>
    </w:p>
    <w:p w14:paraId="2F409A96">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81" w:name="_Toc325726021"/>
      <w:bookmarkStart w:id="82" w:name="_Toc18107"/>
      <w:bookmarkStart w:id="83" w:name="_Toc19030"/>
      <w:bookmarkStart w:id="84" w:name="_Toc376936752"/>
      <w:r>
        <w:rPr>
          <w:rFonts w:hint="eastAsia" w:ascii="仿宋_GB2312" w:hAnsi="宋体" w:eastAsia="仿宋_GB2312" w:cs="宋体"/>
          <w:b/>
          <w:bCs/>
          <w:color w:val="000000" w:themeColor="text1"/>
          <w:sz w:val="28"/>
          <w:szCs w:val="28"/>
          <w:highlight w:val="none"/>
          <w14:textFill>
            <w14:solidFill>
              <w14:schemeClr w14:val="tx1"/>
            </w14:solidFill>
          </w14:textFill>
        </w:rPr>
        <w:t>六、磋商程序及方法</w:t>
      </w:r>
      <w:bookmarkEnd w:id="81"/>
      <w:bookmarkEnd w:id="82"/>
      <w:bookmarkEnd w:id="83"/>
      <w:bookmarkEnd w:id="84"/>
    </w:p>
    <w:p w14:paraId="3174FA8D">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85" w:name="_Toc376936753"/>
      <w:bookmarkStart w:id="86" w:name="_Toc325726022"/>
      <w:bookmarkStart w:id="87" w:name="_Toc26121"/>
      <w:bookmarkStart w:id="88" w:name="_Toc16935"/>
      <w:r>
        <w:rPr>
          <w:rFonts w:hint="eastAsia" w:ascii="仿宋_GB2312" w:hAnsi="宋体" w:eastAsia="仿宋_GB2312" w:cs="宋体"/>
          <w:b/>
          <w:bCs/>
          <w:color w:val="000000" w:themeColor="text1"/>
          <w:sz w:val="28"/>
          <w:szCs w:val="28"/>
          <w:highlight w:val="none"/>
          <w14:textFill>
            <w14:solidFill>
              <w14:schemeClr w14:val="tx1"/>
            </w14:solidFill>
          </w14:textFill>
        </w:rPr>
        <w:t>16.磋商小组</w:t>
      </w:r>
      <w:bookmarkEnd w:id="85"/>
      <w:bookmarkEnd w:id="86"/>
      <w:bookmarkEnd w:id="87"/>
      <w:bookmarkEnd w:id="88"/>
    </w:p>
    <w:p w14:paraId="5A1775A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16.1依法组建的磋商小组，其成员由具有一定专业水平的技术、经济等方面的专家和采购人代表三人以上单数组成。其中技术、经济等方面的专家不少于成员总数的三分之二。</w:t>
      </w:r>
    </w:p>
    <w:p w14:paraId="70BA93D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16.2磋商由采购代理机构负责组织，具体磋商事务由依法组建的磋商小组负责，并独立履行下列职责：</w:t>
      </w:r>
    </w:p>
    <w:p w14:paraId="520547F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（1）审查响应文件是否符合磋商文件要求，并做出评价；</w:t>
      </w:r>
    </w:p>
    <w:p w14:paraId="334DBD88">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（2）要求供应商对响应文件有关事项做出解释或澄清；</w:t>
      </w:r>
    </w:p>
    <w:p w14:paraId="1809571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（3）推荐预成交候选供应商；</w:t>
      </w:r>
    </w:p>
    <w:p w14:paraId="35AA4BB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（4）对非法干预评审工作的人员和机构进行举报或投诉。</w:t>
      </w:r>
    </w:p>
    <w:p w14:paraId="15429C9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16.3磋商小组应遵守并履行下列义务：</w:t>
      </w:r>
    </w:p>
    <w:p w14:paraId="14D8333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（1）遵纪守法，客观、公平、公正、廉洁地履行职责；</w:t>
      </w:r>
    </w:p>
    <w:p w14:paraId="35AD690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（2）按照磋商文件规定的评审办法和评审标准进行评审，磋商小组成员对评审意见承担责任；</w:t>
      </w:r>
    </w:p>
    <w:p w14:paraId="26CD734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（3）对响应文件、磋商情况和磋商中获悉的商业秘密保密；</w:t>
      </w:r>
    </w:p>
    <w:p w14:paraId="659E0D7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（4）参与评审报告的起草；</w:t>
      </w:r>
    </w:p>
    <w:p w14:paraId="7BD8641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（5）解答供应商及有关方面的质疑；</w:t>
      </w:r>
    </w:p>
    <w:p w14:paraId="4323A31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（6）配合纪检部门进行投诉处理工作。</w:t>
      </w:r>
    </w:p>
    <w:p w14:paraId="42A9D68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16.4磋商小组所有成员应当集中与单一供应商分别进行磋商，并给予所有参加磋商的供应商平等的磋商机会。</w:t>
      </w:r>
    </w:p>
    <w:p w14:paraId="167FAC3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16.5磋商工作在严格保密的情况下依法开展，任何单位和个人不得非法干预、影响磋商工作和磋商结果。</w:t>
      </w:r>
    </w:p>
    <w:p w14:paraId="3FCD7D3F">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89" w:name="_Toc325726023"/>
      <w:bookmarkStart w:id="90" w:name="_Toc14694"/>
      <w:bookmarkStart w:id="91" w:name="_Toc376936754"/>
      <w:bookmarkStart w:id="92" w:name="_Toc27086"/>
      <w:r>
        <w:rPr>
          <w:rFonts w:hint="eastAsia" w:ascii="仿宋_GB2312" w:hAnsi="宋体" w:eastAsia="仿宋_GB2312" w:cs="宋体"/>
          <w:b/>
          <w:bCs/>
          <w:color w:val="000000" w:themeColor="text1"/>
          <w:sz w:val="28"/>
          <w:szCs w:val="28"/>
          <w:highlight w:val="none"/>
          <w14:textFill>
            <w14:solidFill>
              <w14:schemeClr w14:val="tx1"/>
            </w14:solidFill>
          </w14:textFill>
        </w:rPr>
        <w:t>17.磋商程序</w:t>
      </w:r>
      <w:bookmarkEnd w:id="89"/>
      <w:bookmarkEnd w:id="90"/>
      <w:bookmarkEnd w:id="91"/>
      <w:bookmarkEnd w:id="92"/>
    </w:p>
    <w:p w14:paraId="2899E4C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17.1进入磋商阶段后，磋商小组成员按照客观、公正、审慎的原则，根据磋商文件规定的评审程序、评审办法和评审标准进行独立评审，负责审议所有响应文件，并按先初审、后详审的程序对响应文件进行评审、评分。未实质性响应磋商文件的按无效响应处理，磋商小组应当告知提交响应文件的供应商。</w:t>
      </w:r>
    </w:p>
    <w:p w14:paraId="7B0B35F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17.2初审阶段为资格性审查和符合性审查。响应文件在响应磋商文件要求方面出现的偏离，分为实质性偏离和非实质性偏离。</w:t>
      </w:r>
    </w:p>
    <w:p w14:paraId="4F4FE37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17.2.1实质性偏离是指响应文件未能实质性响应磋商文件的要求。以下情况属于实质性偏离，响应文件有下列情况之一的，按无效响应处理。</w:t>
      </w:r>
    </w:p>
    <w:p w14:paraId="5FC25F6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（1）不符合第</w:t>
      </w:r>
      <w:r>
        <w:rPr>
          <w:rFonts w:hint="eastAsia" w:ascii="仿宋_GB2312" w:hAnsi="宋体" w:eastAsia="仿宋_GB2312" w:cs="宋体"/>
          <w:color w:val="000000" w:themeColor="text1"/>
          <w:sz w:val="28"/>
          <w:szCs w:val="28"/>
          <w:highlight w:val="none"/>
          <w:lang w:val="zh-CN"/>
          <w14:textFill>
            <w14:solidFill>
              <w14:schemeClr w14:val="tx1"/>
            </w14:solidFill>
          </w14:textFill>
        </w:rPr>
        <w:t>2</w:t>
      </w:r>
      <w:r>
        <w:rPr>
          <w:rFonts w:hint="eastAsia" w:ascii="仿宋_GB2312" w:hAnsi="宋体" w:eastAsia="仿宋_GB2312" w:cs="宋体"/>
          <w:color w:val="000000" w:themeColor="text1"/>
          <w:sz w:val="28"/>
          <w:szCs w:val="28"/>
          <w:highlight w:val="none"/>
          <w14:textFill>
            <w14:solidFill>
              <w14:schemeClr w14:val="tx1"/>
            </w14:solidFill>
          </w14:textFill>
        </w:rPr>
        <w:t>.</w:t>
      </w:r>
      <w:r>
        <w:rPr>
          <w:rFonts w:hint="eastAsia" w:ascii="仿宋_GB2312" w:hAnsi="宋体" w:eastAsia="仿宋_GB2312" w:cs="宋体"/>
          <w:color w:val="000000" w:themeColor="text1"/>
          <w:sz w:val="28"/>
          <w:szCs w:val="28"/>
          <w:highlight w:val="none"/>
          <w:lang w:val="zh-CN"/>
          <w14:textFill>
            <w14:solidFill>
              <w14:schemeClr w14:val="tx1"/>
            </w14:solidFill>
          </w14:textFill>
        </w:rPr>
        <w:t>2款“供应商资格条件”之规定的；</w:t>
      </w:r>
    </w:p>
    <w:p w14:paraId="2D7C82F8">
      <w:pPr>
        <w:spacing w:line="520" w:lineRule="exact"/>
        <w:ind w:firstLine="56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zh-CN"/>
          <w14:textFill>
            <w14:solidFill>
              <w14:schemeClr w14:val="tx1"/>
            </w14:solidFill>
          </w14:textFill>
        </w:rPr>
        <w:t>未按磋商文件要求提交或未足额提交磋商保证金的；</w:t>
      </w:r>
    </w:p>
    <w:p w14:paraId="2A56F03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（3）未按第11.1（1）-（14）要求提供相关资料的；</w:t>
      </w:r>
    </w:p>
    <w:p w14:paraId="515D5A5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（4）响应文件内容没有按磋商文件规定和要求签字、盖章的；</w:t>
      </w:r>
    </w:p>
    <w:p w14:paraId="3FE3DC6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（5）响应文件不符合磋商文件规定的格式和顺序要求的；</w:t>
      </w:r>
    </w:p>
    <w:p w14:paraId="3434AFC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（6）服务期、响应有效期最终不能满足磋商文件要求的；</w:t>
      </w:r>
    </w:p>
    <w:p w14:paraId="16553CE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（7）响应文件完全不满足磋商文件第五部分“服务要求”的；</w:t>
      </w:r>
    </w:p>
    <w:p w14:paraId="44BD488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（8）响应文件中附有采购人不能接受的条件的；</w:t>
      </w:r>
    </w:p>
    <w:p w14:paraId="631B8BC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（9）报价超过采购预算额度或最高限价的；</w:t>
      </w:r>
    </w:p>
    <w:p w14:paraId="12E3601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（10）法律、法规规定的其他情形。</w:t>
      </w:r>
    </w:p>
    <w:p w14:paraId="6933399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17.2.2非实质性偏离指磋商小组在对响应文件的有效性、完整性和响应程度进行审查时，可以要求供应商对响应文件中含义不明确、同类问题表述不一致或者有明显文字和计算错误的内容等做出必要的澄清、说明或者更正。供应商的澄清、说明或者更正不得超出响应文件的范围或者改变响应文件的实质性内容。</w:t>
      </w:r>
    </w:p>
    <w:p w14:paraId="35E8FA9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磋商小组要求供应商澄清、说明或者更正响应文件应当以书面形式做出。供应商的澄清、说明或者更正应当由法定代表人或其授权代表签字或者加盖公章。由授权代表签字的，应当附法定代表人授权书。</w:t>
      </w:r>
    </w:p>
    <w:p w14:paraId="411DD39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17.2.3 响应文件报价出现前后不一致的，按照下列规定修正：</w:t>
      </w:r>
    </w:p>
    <w:p w14:paraId="7D432CE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（1）响应文件中首次报价一览表内容与响应文件中分项报价表相应内容不一致的，以分项报价表为准；（如有）</w:t>
      </w:r>
    </w:p>
    <w:p w14:paraId="14717991">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（2）大写金额和小写金额不一致的，以大写金额为准；</w:t>
      </w:r>
    </w:p>
    <w:p w14:paraId="2261337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（3）单价金额小数点或者百分比有明显错位的，以分项报价表的总价为准，并修改单价；</w:t>
      </w:r>
    </w:p>
    <w:p w14:paraId="7E46AEC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（4）总价金额与按单价汇总金额不一致的，以单价金额计算结果为准。</w:t>
      </w:r>
    </w:p>
    <w:p w14:paraId="24655E1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同时出现2种以上不一致的，按照前款规定的顺序修正。修正后的报价按17.2.2第二款的规定经供应商确认后产生约束力。</w:t>
      </w:r>
    </w:p>
    <w:p w14:paraId="20B4114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17.2.4在响应文件初审、详审过程中，如果磋商小组成员出现对评审结果有不同意见的，应当以书面形式反映，评审报告中应注明该不同意见。磋商小组成员拒绝在评审报告中签字又不书面说明其不同意见和理由的，视为同意磋商结果。</w:t>
      </w:r>
    </w:p>
    <w:p w14:paraId="3923367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17.3 在磋商过程中，磋商小组可以根据磋商文件和磋商情况实质性变动采购需求中的技术、服务要求以及合同草案条款，但不得变动磋商文件中的其他内容。实质性变动的内容，须经采购人代表确认。对磋商文件做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14:paraId="5E941F1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17.4 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办法。</w:t>
      </w:r>
    </w:p>
    <w:p w14:paraId="24E4C0A3">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93" w:name="_Toc325726024"/>
      <w:bookmarkStart w:id="94" w:name="_Toc20611"/>
      <w:bookmarkStart w:id="95" w:name="_Toc13668"/>
      <w:bookmarkStart w:id="96" w:name="_Toc376936755"/>
      <w:r>
        <w:rPr>
          <w:rFonts w:hint="eastAsia" w:ascii="仿宋_GB2312" w:hAnsi="宋体" w:eastAsia="仿宋_GB2312" w:cs="宋体"/>
          <w:b/>
          <w:bCs/>
          <w:color w:val="000000" w:themeColor="text1"/>
          <w:sz w:val="28"/>
          <w:szCs w:val="28"/>
          <w:highlight w:val="none"/>
          <w14:textFill>
            <w14:solidFill>
              <w14:schemeClr w14:val="tx1"/>
            </w14:solidFill>
          </w14:textFill>
        </w:rPr>
        <w:t>18.评审办法</w:t>
      </w:r>
      <w:bookmarkEnd w:id="93"/>
      <w:bookmarkEnd w:id="94"/>
      <w:bookmarkEnd w:id="95"/>
      <w:bookmarkEnd w:id="96"/>
    </w:p>
    <w:p w14:paraId="209662A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18.1依照《中华人民共和国政府采购法》、《中华人民共和国政府采购法实施条例》、《政府采购竞争性磋商采购方式管理暂行办法》的规定，结合该项目的特点制定本评审办法。本次评审采用综合评分法。</w:t>
      </w:r>
    </w:p>
    <w:p w14:paraId="59E2EEE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18.2评审标准和分值分配：</w:t>
      </w:r>
    </w:p>
    <w:tbl>
      <w:tblPr>
        <w:tblStyle w:val="34"/>
        <w:tblpPr w:leftFromText="180" w:rightFromText="180" w:vertAnchor="text" w:horzAnchor="page" w:tblpX="1559" w:tblpY="327"/>
        <w:tblOverlap w:val="never"/>
        <w:tblW w:w="92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14"/>
        <w:gridCol w:w="6399"/>
        <w:gridCol w:w="1125"/>
      </w:tblGrid>
      <w:tr w14:paraId="5FA65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1714" w:type="dxa"/>
            <w:tcBorders>
              <w:top w:val="single" w:color="auto" w:sz="4" w:space="0"/>
              <w:left w:val="single" w:color="auto" w:sz="4" w:space="0"/>
              <w:bottom w:val="single" w:color="auto" w:sz="4" w:space="0"/>
              <w:right w:val="single" w:color="auto" w:sz="4" w:space="0"/>
            </w:tcBorders>
            <w:vAlign w:val="center"/>
          </w:tcPr>
          <w:p w14:paraId="38E52A8D">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bookmarkStart w:id="97" w:name="_Toc325726025"/>
            <w:bookmarkStart w:id="98" w:name="_Toc376936756"/>
            <w:bookmarkStart w:id="99" w:name="_Toc2506"/>
            <w:bookmarkStart w:id="100" w:name="_Toc6689"/>
            <w:r>
              <w:rPr>
                <w:rFonts w:hint="eastAsia" w:ascii="仿宋_GB2312" w:hAnsi="宋体" w:eastAsia="仿宋_GB2312" w:cs="宋体"/>
                <w:color w:val="000000" w:themeColor="text1"/>
                <w:sz w:val="28"/>
                <w:szCs w:val="28"/>
                <w:highlight w:val="none"/>
                <w14:textFill>
                  <w14:solidFill>
                    <w14:schemeClr w14:val="tx1"/>
                  </w14:solidFill>
                </w14:textFill>
              </w:rPr>
              <w:t>评审因素</w:t>
            </w:r>
          </w:p>
        </w:tc>
        <w:tc>
          <w:tcPr>
            <w:tcW w:w="6399" w:type="dxa"/>
            <w:tcBorders>
              <w:top w:val="single" w:color="auto" w:sz="4" w:space="0"/>
              <w:left w:val="single" w:color="auto" w:sz="4" w:space="0"/>
              <w:bottom w:val="single" w:color="auto" w:sz="4" w:space="0"/>
              <w:right w:val="single" w:color="auto" w:sz="4" w:space="0"/>
            </w:tcBorders>
            <w:vAlign w:val="center"/>
          </w:tcPr>
          <w:p w14:paraId="4A9E260F">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内     容</w:t>
            </w:r>
          </w:p>
        </w:tc>
        <w:tc>
          <w:tcPr>
            <w:tcW w:w="1125" w:type="dxa"/>
            <w:tcBorders>
              <w:top w:val="single" w:color="auto" w:sz="4" w:space="0"/>
              <w:left w:val="single" w:color="auto" w:sz="4" w:space="0"/>
              <w:bottom w:val="single" w:color="auto" w:sz="4" w:space="0"/>
              <w:right w:val="single" w:color="auto" w:sz="4" w:space="0"/>
            </w:tcBorders>
            <w:vAlign w:val="center"/>
          </w:tcPr>
          <w:p w14:paraId="3026E830">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权值%</w:t>
            </w:r>
          </w:p>
        </w:tc>
      </w:tr>
      <w:tr w14:paraId="0CBBA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8" w:hRule="atLeast"/>
        </w:trPr>
        <w:tc>
          <w:tcPr>
            <w:tcW w:w="1714" w:type="dxa"/>
            <w:tcBorders>
              <w:top w:val="single" w:color="auto" w:sz="4" w:space="0"/>
              <w:left w:val="single" w:color="auto" w:sz="4" w:space="0"/>
              <w:bottom w:val="single" w:color="auto" w:sz="4" w:space="0"/>
              <w:right w:val="single" w:color="auto" w:sz="4" w:space="0"/>
            </w:tcBorders>
            <w:vAlign w:val="center"/>
          </w:tcPr>
          <w:p w14:paraId="0AA4BEAB">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p>
          <w:p w14:paraId="6D33527A">
            <w:pPr>
              <w:spacing w:line="520" w:lineRule="exact"/>
              <w:ind w:left="0" w:leftChars="0" w:firstLine="0" w:firstLineChars="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投标报价</w:t>
            </w:r>
          </w:p>
          <w:p w14:paraId="64F0008A">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p>
        </w:tc>
        <w:tc>
          <w:tcPr>
            <w:tcW w:w="6399" w:type="dxa"/>
            <w:tcBorders>
              <w:top w:val="single" w:color="auto" w:sz="4" w:space="0"/>
              <w:left w:val="single" w:color="auto" w:sz="4" w:space="0"/>
              <w:bottom w:val="single" w:color="auto" w:sz="4" w:space="0"/>
              <w:right w:val="single" w:color="auto" w:sz="4" w:space="0"/>
            </w:tcBorders>
            <w:vAlign w:val="center"/>
          </w:tcPr>
          <w:p w14:paraId="66518F76">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满足投标文件要求且最后报价最低的供应商的价格为评审基准价，其价格分为满分。其他供应商的价格分统一按照下列公式计算：</w:t>
            </w:r>
          </w:p>
          <w:p w14:paraId="610DA0E1">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投标报价得分=（评审基准价/最后投标报价）×价格权值×100%。</w:t>
            </w:r>
          </w:p>
        </w:tc>
        <w:tc>
          <w:tcPr>
            <w:tcW w:w="1125" w:type="dxa"/>
            <w:tcBorders>
              <w:top w:val="single" w:color="auto" w:sz="4" w:space="0"/>
              <w:left w:val="single" w:color="auto" w:sz="4" w:space="0"/>
              <w:bottom w:val="single" w:color="auto" w:sz="4" w:space="0"/>
              <w:right w:val="single" w:color="auto" w:sz="4" w:space="0"/>
            </w:tcBorders>
            <w:vAlign w:val="center"/>
          </w:tcPr>
          <w:p w14:paraId="62E1D52B">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10</w:t>
            </w:r>
          </w:p>
        </w:tc>
      </w:tr>
      <w:tr w14:paraId="2713B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714" w:type="dxa"/>
            <w:tcBorders>
              <w:top w:val="single" w:color="auto" w:sz="4" w:space="0"/>
              <w:left w:val="single" w:color="auto" w:sz="4" w:space="0"/>
              <w:bottom w:val="single" w:color="auto" w:sz="4" w:space="0"/>
              <w:right w:val="single" w:color="auto" w:sz="4" w:space="0"/>
            </w:tcBorders>
            <w:vAlign w:val="center"/>
          </w:tcPr>
          <w:p w14:paraId="1735B825">
            <w:pPr>
              <w:spacing w:line="520" w:lineRule="exact"/>
              <w:ind w:left="0" w:leftChars="0" w:firstLine="0" w:firstLineChars="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服务</w:t>
            </w:r>
            <w:r>
              <w:rPr>
                <w:rFonts w:hint="eastAsia" w:ascii="仿宋_GB2312" w:hAnsi="宋体" w:eastAsia="仿宋_GB2312" w:cs="宋体"/>
                <w:color w:val="000000" w:themeColor="text1"/>
                <w:sz w:val="28"/>
                <w:szCs w:val="28"/>
                <w:highlight w:val="none"/>
                <w14:textFill>
                  <w14:solidFill>
                    <w14:schemeClr w14:val="tx1"/>
                  </w14:solidFill>
                </w14:textFill>
              </w:rPr>
              <w:t>方案</w:t>
            </w:r>
          </w:p>
        </w:tc>
        <w:tc>
          <w:tcPr>
            <w:tcW w:w="6399" w:type="dxa"/>
            <w:tcBorders>
              <w:top w:val="single" w:color="auto" w:sz="4" w:space="0"/>
              <w:left w:val="single" w:color="auto" w:sz="4" w:space="0"/>
              <w:bottom w:val="single" w:color="auto" w:sz="4" w:space="0"/>
              <w:right w:val="single" w:color="auto" w:sz="4" w:space="0"/>
            </w:tcBorders>
            <w:vAlign w:val="center"/>
          </w:tcPr>
          <w:p w14:paraId="1E582A21">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根据供应商提供的具体实施方案进行评审。方案至少包含：</w:t>
            </w:r>
          </w:p>
          <w:p w14:paraId="32FA9C0B">
            <w:pPr>
              <w:spacing w:line="520" w:lineRule="exact"/>
              <w:ind w:firstLine="560"/>
              <w:rPr>
                <w:rFonts w:hint="eastAsia" w:ascii="仿宋_GB2312" w:hAnsi="宋体" w:eastAsia="仿宋_GB2312" w:cs="宋体"/>
                <w:color w:val="000000" w:themeColor="text1"/>
                <w:sz w:val="28"/>
                <w:szCs w:val="28"/>
                <w:highlight w:val="none"/>
                <w:lang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eastAsia="zh-CN"/>
                <w14:textFill>
                  <w14:solidFill>
                    <w14:schemeClr w14:val="tx1"/>
                  </w14:solidFill>
                </w14:textFill>
              </w:rPr>
              <w:t>（1）</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技术平台功能</w:t>
            </w:r>
            <w:r>
              <w:rPr>
                <w:rFonts w:hint="eastAsia" w:ascii="仿宋_GB2312" w:hAnsi="宋体" w:eastAsia="仿宋_GB2312" w:cs="宋体"/>
                <w:color w:val="000000" w:themeColor="text1"/>
                <w:sz w:val="28"/>
                <w:szCs w:val="28"/>
                <w:highlight w:val="none"/>
                <w:lang w:eastAsia="zh-CN"/>
                <w14:textFill>
                  <w14:solidFill>
                    <w14:schemeClr w14:val="tx1"/>
                  </w14:solidFill>
                </w14:textFill>
              </w:rPr>
              <w:t>方案；</w:t>
            </w:r>
          </w:p>
          <w:p w14:paraId="25CDE55B">
            <w:pPr>
              <w:spacing w:line="520" w:lineRule="exact"/>
              <w:ind w:firstLine="560"/>
              <w:rPr>
                <w:rFonts w:hint="eastAsia" w:ascii="仿宋_GB2312" w:hAnsi="宋体" w:eastAsia="仿宋_GB2312" w:cs="宋体"/>
                <w:color w:val="000000" w:themeColor="text1"/>
                <w:sz w:val="28"/>
                <w:szCs w:val="28"/>
                <w:highlight w:val="none"/>
                <w:lang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eastAsia="zh-CN"/>
                <w14:textFill>
                  <w14:solidFill>
                    <w14:schemeClr w14:val="tx1"/>
                  </w14:solidFill>
                </w14:textFill>
              </w:rPr>
              <w:t>（2）</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运维服务</w:t>
            </w:r>
            <w:r>
              <w:rPr>
                <w:rFonts w:hint="eastAsia" w:ascii="仿宋_GB2312" w:hAnsi="宋体" w:eastAsia="仿宋_GB2312" w:cs="宋体"/>
                <w:color w:val="000000" w:themeColor="text1"/>
                <w:sz w:val="28"/>
                <w:szCs w:val="28"/>
                <w:highlight w:val="none"/>
                <w:lang w:eastAsia="zh-CN"/>
                <w14:textFill>
                  <w14:solidFill>
                    <w14:schemeClr w14:val="tx1"/>
                  </w14:solidFill>
                </w14:textFill>
              </w:rPr>
              <w:t>方案；</w:t>
            </w:r>
          </w:p>
          <w:p w14:paraId="591DE001">
            <w:pPr>
              <w:spacing w:line="520" w:lineRule="exact"/>
              <w:ind w:firstLine="560"/>
              <w:rPr>
                <w:rFonts w:hint="eastAsia" w:ascii="仿宋_GB2312" w:hAnsi="宋体" w:eastAsia="仿宋_GB2312" w:cs="宋体"/>
                <w:color w:val="000000" w:themeColor="text1"/>
                <w:sz w:val="28"/>
                <w:szCs w:val="28"/>
                <w:highlight w:val="none"/>
                <w:lang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eastAsia="zh-CN"/>
                <w14:textFill>
                  <w14:solidFill>
                    <w14:schemeClr w14:val="tx1"/>
                  </w14:solidFill>
                </w14:textFill>
              </w:rPr>
              <w:t>（3）培训方案；</w:t>
            </w:r>
          </w:p>
          <w:p w14:paraId="785EFE88">
            <w:pPr>
              <w:spacing w:line="520" w:lineRule="exact"/>
              <w:ind w:firstLine="560"/>
              <w:rPr>
                <w:rFonts w:hint="eastAsia" w:ascii="仿宋_GB2312" w:hAnsi="宋体" w:eastAsia="仿宋_GB2312" w:cs="宋体"/>
                <w:color w:val="000000" w:themeColor="text1"/>
                <w:sz w:val="28"/>
                <w:szCs w:val="28"/>
                <w:highlight w:val="none"/>
                <w:lang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eastAsia="zh-CN"/>
                <w14:textFill>
                  <w14:solidFill>
                    <w14:schemeClr w14:val="tx1"/>
                  </w14:solidFill>
                </w14:textFill>
              </w:rPr>
              <w:t>（4）数据安全保密措施；</w:t>
            </w:r>
          </w:p>
          <w:p w14:paraId="0A55AE7F">
            <w:pPr>
              <w:spacing w:line="520" w:lineRule="exact"/>
              <w:ind w:firstLine="560"/>
              <w:rPr>
                <w:rFonts w:hint="eastAsia" w:ascii="仿宋_GB2312" w:hAnsi="宋体" w:eastAsia="仿宋_GB2312" w:cs="宋体"/>
                <w:color w:val="000000" w:themeColor="text1"/>
                <w:sz w:val="28"/>
                <w:szCs w:val="28"/>
                <w:highlight w:val="none"/>
                <w:lang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eastAsia="zh-CN"/>
                <w14:textFill>
                  <w14:solidFill>
                    <w14:schemeClr w14:val="tx1"/>
                  </w14:solidFill>
                </w14:textFill>
              </w:rPr>
              <w:t>（5）质量控制及保障措施；</w:t>
            </w:r>
          </w:p>
          <w:p w14:paraId="360DD53F">
            <w:pPr>
              <w:spacing w:line="520" w:lineRule="exact"/>
              <w:ind w:firstLine="560"/>
              <w:rPr>
                <w:rFonts w:hint="eastAsia" w:ascii="仿宋_GB2312" w:hAnsi="宋体" w:eastAsia="仿宋_GB2312" w:cs="宋体"/>
                <w:color w:val="000000" w:themeColor="text1"/>
                <w:sz w:val="28"/>
                <w:szCs w:val="28"/>
                <w:highlight w:val="none"/>
                <w:lang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eastAsia="zh-CN"/>
                <w14:textFill>
                  <w14:solidFill>
                    <w14:schemeClr w14:val="tx1"/>
                  </w14:solidFill>
                </w14:textFill>
              </w:rPr>
              <w:t>（6）建立台账方案。</w:t>
            </w:r>
          </w:p>
          <w:p w14:paraId="4F17F61C">
            <w:pPr>
              <w:spacing w:line="520" w:lineRule="exact"/>
              <w:ind w:firstLine="560"/>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eastAsia="zh-CN"/>
                <w14:textFill>
                  <w14:solidFill>
                    <w14:schemeClr w14:val="tx1"/>
                  </w14:solidFill>
                </w14:textFill>
              </w:rPr>
              <w:t>（</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7</w:t>
            </w:r>
            <w:r>
              <w:rPr>
                <w:rFonts w:hint="eastAsia" w:ascii="仿宋_GB2312" w:hAnsi="宋体" w:eastAsia="仿宋_GB2312" w:cs="宋体"/>
                <w:color w:val="000000" w:themeColor="text1"/>
                <w:sz w:val="28"/>
                <w:szCs w:val="28"/>
                <w:highlight w:val="none"/>
                <w:lang w:eastAsia="zh-CN"/>
                <w14:textFill>
                  <w14:solidFill>
                    <w14:schemeClr w14:val="tx1"/>
                  </w14:solidFill>
                </w14:textFill>
              </w:rPr>
              <w:t>）</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专家资源数据库构成方案</w:t>
            </w:r>
          </w:p>
          <w:p w14:paraId="792BB510">
            <w:pPr>
              <w:spacing w:line="520" w:lineRule="exact"/>
              <w:ind w:firstLine="560"/>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以上内容每缺一项扣6分，满分42分。</w:t>
            </w:r>
          </w:p>
          <w:p w14:paraId="2EC3E060">
            <w:pPr>
              <w:spacing w:line="520" w:lineRule="exact"/>
              <w:ind w:firstLine="560"/>
              <w:rPr>
                <w:rFonts w:hint="default" w:ascii="仿宋_GB2312" w:hAnsi="宋体" w:eastAsia="仿宋_GB2312" w:cs="宋体"/>
                <w:color w:val="000000" w:themeColor="text1"/>
                <w:sz w:val="28"/>
                <w:szCs w:val="28"/>
                <w:highlight w:val="none"/>
                <w:lang w:val="en-US"/>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在此基础上，服务方案内容编制要求：①具有针对性（能够准确凸显项目特点、要点）且全面完整（有具体详尽的文字阐述）；②层次分明（次序清晰，前后有序，不存在相互矛盾、杂乱无章等情形）且具有合理性（符合实际，不存在夸大、凭空编造、内容缺陷、无法实施等情形）③符合国家标准及规程、规范要求，内容科学严谨、经济合理（符合采购项目实际需求、有利于项目实施）。</w:t>
            </w:r>
          </w:p>
        </w:tc>
        <w:tc>
          <w:tcPr>
            <w:tcW w:w="1125" w:type="dxa"/>
            <w:tcBorders>
              <w:top w:val="single" w:color="auto" w:sz="4" w:space="0"/>
              <w:left w:val="single" w:color="auto" w:sz="4" w:space="0"/>
              <w:bottom w:val="single" w:color="auto" w:sz="4" w:space="0"/>
              <w:right w:val="single" w:color="auto" w:sz="4" w:space="0"/>
            </w:tcBorders>
            <w:vAlign w:val="center"/>
          </w:tcPr>
          <w:p w14:paraId="63C8BD51">
            <w:pPr>
              <w:spacing w:line="520" w:lineRule="exact"/>
              <w:ind w:firstLine="560"/>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42</w:t>
            </w:r>
          </w:p>
        </w:tc>
      </w:tr>
      <w:tr w14:paraId="66FBD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7" w:hRule="atLeast"/>
        </w:trPr>
        <w:tc>
          <w:tcPr>
            <w:tcW w:w="1714" w:type="dxa"/>
            <w:tcBorders>
              <w:left w:val="single" w:color="auto" w:sz="4" w:space="0"/>
              <w:bottom w:val="single" w:color="auto" w:sz="4" w:space="0"/>
              <w:right w:val="single" w:color="auto" w:sz="4" w:space="0"/>
            </w:tcBorders>
            <w:vAlign w:val="center"/>
          </w:tcPr>
          <w:p w14:paraId="39767E03">
            <w:pPr>
              <w:spacing w:line="520" w:lineRule="exact"/>
              <w:ind w:left="0" w:leftChars="0" w:firstLine="0" w:firstLineChars="0"/>
              <w:rPr>
                <w:rFonts w:hint="eastAsia" w:ascii="仿宋_GB2312" w:hAnsi="宋体" w:eastAsia="仿宋_GB2312" w:cs="宋体"/>
                <w:color w:val="000000" w:themeColor="text1"/>
                <w:sz w:val="28"/>
                <w:szCs w:val="28"/>
                <w:highlight w:val="none"/>
                <w:lang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售后服务</w:t>
            </w:r>
          </w:p>
        </w:tc>
        <w:tc>
          <w:tcPr>
            <w:tcW w:w="6399" w:type="dxa"/>
            <w:tcBorders>
              <w:top w:val="single" w:color="auto" w:sz="4" w:space="0"/>
              <w:left w:val="single" w:color="auto" w:sz="4" w:space="0"/>
              <w:bottom w:val="single" w:color="auto" w:sz="4" w:space="0"/>
              <w:right w:val="single" w:color="auto" w:sz="4" w:space="0"/>
            </w:tcBorders>
            <w:vAlign w:val="center"/>
          </w:tcPr>
          <w:p w14:paraId="11CD08BE">
            <w:pPr>
              <w:spacing w:line="520" w:lineRule="exact"/>
              <w:ind w:firstLine="560"/>
              <w:rPr>
                <w:rFonts w:hint="default" w:ascii="仿宋_GB2312" w:hAnsi="宋体" w:eastAsia="仿宋_GB2312" w:cs="宋体"/>
                <w:color w:val="000000" w:themeColor="text1"/>
                <w:sz w:val="28"/>
                <w:szCs w:val="28"/>
                <w:highlight w:val="none"/>
                <w:lang w:val="en-US"/>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售后服务包括：（1）售后服务团队人员架构；（2）后期技术支持方案、服务内容与范围；（3）售后服务承诺（响应时间、服务方式、应急处理措施等）。以上内容提供齐全的满分18分，每缺一项扣6分。</w:t>
            </w:r>
          </w:p>
        </w:tc>
        <w:tc>
          <w:tcPr>
            <w:tcW w:w="1125" w:type="dxa"/>
            <w:tcBorders>
              <w:top w:val="single" w:color="auto" w:sz="4" w:space="0"/>
              <w:left w:val="single" w:color="auto" w:sz="4" w:space="0"/>
              <w:bottom w:val="single" w:color="auto" w:sz="4" w:space="0"/>
              <w:right w:val="single" w:color="auto" w:sz="4" w:space="0"/>
            </w:tcBorders>
            <w:vAlign w:val="center"/>
          </w:tcPr>
          <w:p w14:paraId="01D517BA">
            <w:pPr>
              <w:spacing w:line="520" w:lineRule="exact"/>
              <w:ind w:firstLine="560"/>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18</w:t>
            </w:r>
          </w:p>
        </w:tc>
      </w:tr>
      <w:tr w14:paraId="78A31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14" w:type="dxa"/>
            <w:tcBorders>
              <w:top w:val="single" w:color="auto" w:sz="4" w:space="0"/>
              <w:left w:val="single" w:color="auto" w:sz="4" w:space="0"/>
              <w:bottom w:val="single" w:color="auto" w:sz="4" w:space="0"/>
              <w:right w:val="single" w:color="auto" w:sz="4" w:space="0"/>
            </w:tcBorders>
            <w:vAlign w:val="center"/>
          </w:tcPr>
          <w:p w14:paraId="41CA7DA3">
            <w:pPr>
              <w:spacing w:line="520" w:lineRule="exact"/>
              <w:ind w:left="0" w:leftChars="0" w:firstLine="0" w:firstLineChars="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人员配备</w:t>
            </w:r>
          </w:p>
        </w:tc>
        <w:tc>
          <w:tcPr>
            <w:tcW w:w="6399" w:type="dxa"/>
            <w:tcBorders>
              <w:top w:val="single" w:color="auto" w:sz="4" w:space="0"/>
              <w:left w:val="single" w:color="auto" w:sz="4" w:space="0"/>
              <w:bottom w:val="single" w:color="auto" w:sz="4" w:space="0"/>
              <w:right w:val="single" w:color="auto" w:sz="4" w:space="0"/>
            </w:tcBorders>
            <w:vAlign w:val="center"/>
          </w:tcPr>
          <w:p w14:paraId="2E95CCAD">
            <w:pPr>
              <w:spacing w:line="520" w:lineRule="exact"/>
              <w:ind w:firstLine="560"/>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本项目要求技术人员（除项目负责人外）不少于5人，每多配备一人加3分，满分15分。</w:t>
            </w:r>
          </w:p>
        </w:tc>
        <w:tc>
          <w:tcPr>
            <w:tcW w:w="1125" w:type="dxa"/>
            <w:tcBorders>
              <w:top w:val="single" w:color="auto" w:sz="4" w:space="0"/>
              <w:left w:val="single" w:color="auto" w:sz="4" w:space="0"/>
              <w:bottom w:val="single" w:color="auto" w:sz="4" w:space="0"/>
              <w:right w:val="single" w:color="auto" w:sz="4" w:space="0"/>
            </w:tcBorders>
            <w:vAlign w:val="center"/>
          </w:tcPr>
          <w:p w14:paraId="69157E82">
            <w:pPr>
              <w:spacing w:line="520" w:lineRule="exact"/>
              <w:ind w:firstLine="560"/>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15</w:t>
            </w:r>
          </w:p>
        </w:tc>
      </w:tr>
      <w:tr w14:paraId="0D943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6" w:hRule="atLeast"/>
        </w:trPr>
        <w:tc>
          <w:tcPr>
            <w:tcW w:w="1714" w:type="dxa"/>
            <w:tcBorders>
              <w:top w:val="single" w:color="auto" w:sz="4" w:space="0"/>
              <w:left w:val="single" w:color="auto" w:sz="4" w:space="0"/>
              <w:bottom w:val="single" w:color="auto" w:sz="4" w:space="0"/>
              <w:right w:val="single" w:color="auto" w:sz="4" w:space="0"/>
            </w:tcBorders>
            <w:vAlign w:val="center"/>
          </w:tcPr>
          <w:p w14:paraId="24EA85FF">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业绩</w:t>
            </w:r>
          </w:p>
        </w:tc>
        <w:tc>
          <w:tcPr>
            <w:tcW w:w="6399" w:type="dxa"/>
            <w:tcBorders>
              <w:top w:val="single" w:color="auto" w:sz="4" w:space="0"/>
              <w:left w:val="single" w:color="auto" w:sz="4" w:space="0"/>
              <w:bottom w:val="single" w:color="auto" w:sz="4" w:space="0"/>
              <w:right w:val="single" w:color="auto" w:sz="4" w:space="0"/>
            </w:tcBorders>
            <w:vAlign w:val="center"/>
          </w:tcPr>
          <w:p w14:paraId="54234680">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202</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2</w:t>
            </w:r>
            <w:r>
              <w:rPr>
                <w:rFonts w:hint="eastAsia" w:ascii="仿宋_GB2312" w:hAnsi="宋体" w:eastAsia="仿宋_GB2312" w:cs="宋体"/>
                <w:color w:val="000000" w:themeColor="text1"/>
                <w:sz w:val="28"/>
                <w:szCs w:val="28"/>
                <w:highlight w:val="none"/>
                <w14:textFill>
                  <w14:solidFill>
                    <w14:schemeClr w14:val="tx1"/>
                  </w14:solidFill>
                </w14:textFill>
              </w:rPr>
              <w:t>年</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1月1日</w:t>
            </w:r>
            <w:r>
              <w:rPr>
                <w:rFonts w:hint="eastAsia" w:ascii="仿宋_GB2312" w:hAnsi="宋体" w:eastAsia="仿宋_GB2312" w:cs="宋体"/>
                <w:color w:val="000000" w:themeColor="text1"/>
                <w:sz w:val="28"/>
                <w:szCs w:val="28"/>
                <w:highlight w:val="none"/>
                <w14:textFill>
                  <w14:solidFill>
                    <w14:schemeClr w14:val="tx1"/>
                  </w14:solidFill>
                </w14:textFill>
              </w:rPr>
              <w:t>至今具有</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类似</w:t>
            </w:r>
            <w:r>
              <w:rPr>
                <w:rFonts w:hint="eastAsia" w:ascii="仿宋_GB2312" w:hAnsi="宋体" w:eastAsia="仿宋_GB2312" w:cs="宋体"/>
                <w:color w:val="000000" w:themeColor="text1"/>
                <w:sz w:val="28"/>
                <w:szCs w:val="28"/>
                <w:highlight w:val="none"/>
                <w14:textFill>
                  <w14:solidFill>
                    <w14:schemeClr w14:val="tx1"/>
                  </w14:solidFill>
                </w14:textFill>
              </w:rPr>
              <w:t>业绩经验，</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每提供一项得3分，</w:t>
            </w:r>
            <w:r>
              <w:rPr>
                <w:rFonts w:hint="eastAsia" w:ascii="仿宋_GB2312" w:hAnsi="宋体" w:eastAsia="仿宋_GB2312" w:cs="宋体"/>
                <w:color w:val="000000" w:themeColor="text1"/>
                <w:sz w:val="28"/>
                <w:szCs w:val="28"/>
                <w:highlight w:val="none"/>
                <w14:textFill>
                  <w14:solidFill>
                    <w14:schemeClr w14:val="tx1"/>
                  </w14:solidFill>
                </w14:textFill>
              </w:rPr>
              <w:t>满分</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15</w:t>
            </w:r>
            <w:r>
              <w:rPr>
                <w:rFonts w:hint="eastAsia" w:ascii="仿宋_GB2312" w:hAnsi="宋体" w:eastAsia="仿宋_GB2312" w:cs="宋体"/>
                <w:color w:val="000000" w:themeColor="text1"/>
                <w:sz w:val="28"/>
                <w:szCs w:val="28"/>
                <w:highlight w:val="none"/>
                <w14:textFill>
                  <w14:solidFill>
                    <w14:schemeClr w14:val="tx1"/>
                  </w14:solidFill>
                </w14:textFill>
              </w:rPr>
              <w:t>分。（附业绩合同或中标通知书加盖</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供应商</w:t>
            </w:r>
            <w:r>
              <w:rPr>
                <w:rFonts w:hint="eastAsia" w:ascii="仿宋_GB2312" w:hAnsi="宋体" w:eastAsia="仿宋_GB2312" w:cs="宋体"/>
                <w:color w:val="000000" w:themeColor="text1"/>
                <w:sz w:val="28"/>
                <w:szCs w:val="28"/>
                <w:highlight w:val="none"/>
                <w14:textFill>
                  <w14:solidFill>
                    <w14:schemeClr w14:val="tx1"/>
                  </w14:solidFill>
                </w14:textFill>
              </w:rPr>
              <w:t>公章作为证明材料）</w:t>
            </w:r>
          </w:p>
        </w:tc>
        <w:tc>
          <w:tcPr>
            <w:tcW w:w="1125" w:type="dxa"/>
            <w:tcBorders>
              <w:top w:val="single" w:color="auto" w:sz="4" w:space="0"/>
              <w:left w:val="single" w:color="auto" w:sz="4" w:space="0"/>
              <w:bottom w:val="single" w:color="auto" w:sz="4" w:space="0"/>
              <w:right w:val="single" w:color="auto" w:sz="4" w:space="0"/>
            </w:tcBorders>
            <w:vAlign w:val="center"/>
          </w:tcPr>
          <w:p w14:paraId="6854858C">
            <w:pPr>
              <w:spacing w:line="520" w:lineRule="exact"/>
              <w:ind w:firstLine="560"/>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15</w:t>
            </w:r>
          </w:p>
        </w:tc>
      </w:tr>
    </w:tbl>
    <w:p w14:paraId="661D267E">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七、</w:t>
      </w:r>
      <w:bookmarkEnd w:id="97"/>
      <w:bookmarkEnd w:id="98"/>
      <w:r>
        <w:rPr>
          <w:rFonts w:hint="eastAsia" w:ascii="仿宋_GB2312" w:hAnsi="宋体" w:eastAsia="仿宋_GB2312" w:cs="宋体"/>
          <w:b/>
          <w:bCs/>
          <w:color w:val="000000" w:themeColor="text1"/>
          <w:sz w:val="28"/>
          <w:szCs w:val="28"/>
          <w:highlight w:val="none"/>
          <w14:textFill>
            <w14:solidFill>
              <w14:schemeClr w14:val="tx1"/>
            </w14:solidFill>
          </w14:textFill>
        </w:rPr>
        <w:t>确定成交供应商</w:t>
      </w:r>
      <w:bookmarkEnd w:id="99"/>
      <w:bookmarkEnd w:id="100"/>
    </w:p>
    <w:p w14:paraId="7C12B1DE">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01" w:name="_Toc325726026"/>
      <w:bookmarkStart w:id="102" w:name="_Toc376936757"/>
      <w:bookmarkStart w:id="103" w:name="_Toc28889"/>
      <w:bookmarkStart w:id="104" w:name="_Toc17038"/>
      <w:r>
        <w:rPr>
          <w:rFonts w:hint="eastAsia" w:ascii="仿宋_GB2312" w:hAnsi="宋体" w:eastAsia="仿宋_GB2312" w:cs="宋体"/>
          <w:b/>
          <w:bCs/>
          <w:color w:val="000000" w:themeColor="text1"/>
          <w:sz w:val="28"/>
          <w:szCs w:val="28"/>
          <w:highlight w:val="none"/>
          <w14:textFill>
            <w14:solidFill>
              <w14:schemeClr w14:val="tx1"/>
            </w14:solidFill>
          </w14:textFill>
        </w:rPr>
        <w:t>19.推荐并确定成交</w:t>
      </w:r>
      <w:bookmarkEnd w:id="101"/>
      <w:bookmarkEnd w:id="102"/>
      <w:r>
        <w:rPr>
          <w:rFonts w:hint="eastAsia" w:ascii="仿宋_GB2312" w:hAnsi="宋体" w:eastAsia="仿宋_GB2312" w:cs="宋体"/>
          <w:b/>
          <w:bCs/>
          <w:color w:val="000000" w:themeColor="text1"/>
          <w:sz w:val="28"/>
          <w:szCs w:val="28"/>
          <w:highlight w:val="none"/>
          <w14:textFill>
            <w14:solidFill>
              <w14:schemeClr w14:val="tx1"/>
            </w14:solidFill>
          </w14:textFill>
        </w:rPr>
        <w:t>供应商</w:t>
      </w:r>
      <w:bookmarkEnd w:id="103"/>
      <w:bookmarkEnd w:id="104"/>
    </w:p>
    <w:p w14:paraId="1C34DF5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58133D68">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05" w:name="_Toc376936759"/>
      <w:bookmarkStart w:id="106" w:name="_Toc325726028"/>
      <w:bookmarkStart w:id="107" w:name="_Toc2963"/>
      <w:bookmarkStart w:id="108" w:name="_Toc2346"/>
      <w:bookmarkStart w:id="109" w:name="_Toc325726027"/>
      <w:r>
        <w:rPr>
          <w:rFonts w:hint="eastAsia" w:ascii="仿宋_GB2312" w:hAnsi="宋体" w:eastAsia="仿宋_GB2312" w:cs="宋体"/>
          <w:b/>
          <w:bCs/>
          <w:color w:val="000000" w:themeColor="text1"/>
          <w:sz w:val="28"/>
          <w:szCs w:val="28"/>
          <w:highlight w:val="none"/>
          <w14:textFill>
            <w14:solidFill>
              <w14:schemeClr w14:val="tx1"/>
            </w14:solidFill>
          </w14:textFill>
        </w:rPr>
        <w:t>20.成交通知</w:t>
      </w:r>
      <w:bookmarkEnd w:id="105"/>
      <w:bookmarkEnd w:id="106"/>
      <w:bookmarkEnd w:id="107"/>
      <w:bookmarkEnd w:id="108"/>
    </w:p>
    <w:p w14:paraId="1855E7B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20.1采购人或者采购代理机构应当在成交供应商确定后2个工作日内，在青海政府采购网上公告成交结果，同时向成交供应商发出成交通知书。</w:t>
      </w:r>
    </w:p>
    <w:p w14:paraId="75D76DF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20.2《成交通知书》发出后，采购人改变成交结果的，或者成交供应商无正当理由放弃成交项目的，依法承担法律责任。</w:t>
      </w:r>
    </w:p>
    <w:p w14:paraId="505A9443">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10" w:name="_Toc18063"/>
      <w:bookmarkStart w:id="111" w:name="_Toc376936758"/>
      <w:bookmarkStart w:id="112" w:name="_Toc5556"/>
      <w:r>
        <w:rPr>
          <w:rFonts w:hint="eastAsia" w:ascii="仿宋_GB2312" w:hAnsi="宋体" w:eastAsia="仿宋_GB2312" w:cs="宋体"/>
          <w:b/>
          <w:bCs/>
          <w:color w:val="000000" w:themeColor="text1"/>
          <w:sz w:val="28"/>
          <w:szCs w:val="28"/>
          <w:highlight w:val="none"/>
          <w14:textFill>
            <w14:solidFill>
              <w14:schemeClr w14:val="tx1"/>
            </w14:solidFill>
          </w14:textFill>
        </w:rPr>
        <w:t>八、授予合同</w:t>
      </w:r>
      <w:bookmarkEnd w:id="109"/>
      <w:bookmarkEnd w:id="110"/>
      <w:bookmarkEnd w:id="111"/>
      <w:bookmarkEnd w:id="112"/>
    </w:p>
    <w:p w14:paraId="121864D1">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13" w:name="_Toc376936760"/>
      <w:bookmarkStart w:id="114" w:name="_Toc921"/>
      <w:bookmarkStart w:id="115" w:name="_Toc28394"/>
      <w:bookmarkStart w:id="116" w:name="_Toc325726029"/>
      <w:r>
        <w:rPr>
          <w:rFonts w:hint="eastAsia" w:ascii="仿宋_GB2312" w:hAnsi="宋体" w:eastAsia="仿宋_GB2312" w:cs="宋体"/>
          <w:b/>
          <w:bCs/>
          <w:color w:val="000000" w:themeColor="text1"/>
          <w:sz w:val="28"/>
          <w:szCs w:val="28"/>
          <w:highlight w:val="none"/>
          <w14:textFill>
            <w14:solidFill>
              <w14:schemeClr w14:val="tx1"/>
            </w14:solidFill>
          </w14:textFill>
        </w:rPr>
        <w:t>21.签订合同</w:t>
      </w:r>
      <w:bookmarkEnd w:id="113"/>
      <w:bookmarkEnd w:id="114"/>
      <w:bookmarkEnd w:id="115"/>
      <w:bookmarkEnd w:id="116"/>
    </w:p>
    <w:p w14:paraId="793A15B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bookmarkStart w:id="117" w:name="_Toc325726030"/>
      <w:bookmarkStart w:id="118" w:name="_Toc376936761"/>
      <w:r>
        <w:rPr>
          <w:rFonts w:hint="eastAsia" w:ascii="仿宋_GB2312" w:hAnsi="宋体" w:eastAsia="仿宋_GB2312" w:cs="宋体"/>
          <w:color w:val="000000" w:themeColor="text1"/>
          <w:sz w:val="28"/>
          <w:szCs w:val="28"/>
          <w:highlight w:val="none"/>
          <w14:textFill>
            <w14:solidFill>
              <w14:schemeClr w14:val="tx1"/>
            </w14:solidFill>
          </w14:textFill>
        </w:rPr>
        <w:t>21.1采购人与成交供应商双方应当自《成交通知书》发出之日起30日内，签订采购合同，送采购代理机构备案。</w:t>
      </w:r>
    </w:p>
    <w:p w14:paraId="770AEC36">
      <w:pPr>
        <w:spacing w:line="520" w:lineRule="exact"/>
        <w:ind w:firstLine="560"/>
        <w:rPr>
          <w:rFonts w:ascii="仿宋_GB2312" w:hAnsi="宋体" w:eastAsia="仿宋_GB2312" w:cs="宋体"/>
          <w:color w:val="000000" w:themeColor="text1"/>
          <w:sz w:val="28"/>
          <w:szCs w:val="28"/>
          <w:highlight w:val="yellow"/>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21.2</w:t>
      </w:r>
      <w:r>
        <w:rPr>
          <w:rFonts w:hint="eastAsia" w:ascii="仿宋_GB2312" w:hAnsi="宋体" w:eastAsia="仿宋_GB2312" w:cs="宋体"/>
          <w:b/>
          <w:color w:val="000000" w:themeColor="text1"/>
          <w:sz w:val="28"/>
          <w:szCs w:val="28"/>
          <w:highlight w:val="none"/>
          <w14:textFill>
            <w14:solidFill>
              <w14:schemeClr w14:val="tx1"/>
            </w14:solidFill>
          </w14:textFill>
        </w:rPr>
        <w:t>签订合同前，成交供应商应当以支票、汇票、本票等非现金形式缴纳成交金额</w:t>
      </w:r>
      <w:r>
        <w:rPr>
          <w:rFonts w:hint="eastAsia" w:ascii="仿宋_GB2312" w:hAnsi="宋体" w:eastAsia="仿宋_GB2312" w:cs="宋体"/>
          <w:b/>
          <w:color w:val="000000" w:themeColor="text1"/>
          <w:sz w:val="28"/>
          <w:szCs w:val="28"/>
          <w:highlight w:val="none"/>
          <w:u w:val="single"/>
          <w14:textFill>
            <w14:solidFill>
              <w14:schemeClr w14:val="tx1"/>
            </w14:solidFill>
          </w14:textFill>
        </w:rPr>
        <w:t xml:space="preserve"> </w:t>
      </w:r>
      <w:r>
        <w:rPr>
          <w:rFonts w:hint="eastAsia" w:ascii="仿宋_GB2312" w:hAnsi="宋体" w:eastAsia="仿宋_GB2312" w:cs="宋体"/>
          <w:b/>
          <w:color w:val="000000" w:themeColor="text1"/>
          <w:sz w:val="28"/>
          <w:szCs w:val="28"/>
          <w:highlight w:val="none"/>
          <w:u w:val="single"/>
          <w:lang w:val="en-US" w:eastAsia="zh-CN"/>
          <w14:textFill>
            <w14:solidFill>
              <w14:schemeClr w14:val="tx1"/>
            </w14:solidFill>
          </w14:textFill>
        </w:rPr>
        <w:t>5</w:t>
      </w:r>
      <w:r>
        <w:rPr>
          <w:rFonts w:hint="eastAsia" w:ascii="仿宋_GB2312" w:hAnsi="宋体" w:eastAsia="仿宋_GB2312" w:cs="宋体"/>
          <w:b/>
          <w:color w:val="000000" w:themeColor="text1"/>
          <w:sz w:val="28"/>
          <w:szCs w:val="28"/>
          <w:highlight w:val="none"/>
          <w:u w:val="single"/>
          <w14:textFill>
            <w14:solidFill>
              <w14:schemeClr w14:val="tx1"/>
            </w14:solidFill>
          </w14:textFill>
        </w:rPr>
        <w:t xml:space="preserve"> %</w:t>
      </w:r>
      <w:r>
        <w:rPr>
          <w:rFonts w:hint="eastAsia" w:ascii="仿宋_GB2312" w:hAnsi="宋体" w:eastAsia="仿宋_GB2312" w:cs="宋体"/>
          <w:b/>
          <w:color w:val="000000" w:themeColor="text1"/>
          <w:sz w:val="28"/>
          <w:szCs w:val="28"/>
          <w:highlight w:val="none"/>
          <w14:textFill>
            <w14:solidFill>
              <w14:schemeClr w14:val="tx1"/>
            </w14:solidFill>
          </w14:textFill>
        </w:rPr>
        <w:t>的履约保证金到采购人指定的账户</w:t>
      </w:r>
      <w:r>
        <w:rPr>
          <w:rFonts w:hint="eastAsia" w:ascii="仿宋_GB2312" w:hAnsi="宋体" w:eastAsia="仿宋_GB2312" w:cs="宋体"/>
          <w:color w:val="000000" w:themeColor="text1"/>
          <w:sz w:val="28"/>
          <w:szCs w:val="28"/>
          <w:highlight w:val="none"/>
          <w14:textFill>
            <w14:solidFill>
              <w14:schemeClr w14:val="tx1"/>
            </w14:solidFill>
          </w14:textFill>
        </w:rPr>
        <w:t>。</w:t>
      </w:r>
    </w:p>
    <w:p w14:paraId="58D0812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21.3成交供应商拒绝与采购人签订合同的，采购人可以按照评审报告推荐的中标或者成交候选人名单排序，确定下一候选人为中标或者成交供应商，也可以重新开展政府采购活动。</w:t>
      </w:r>
    </w:p>
    <w:p w14:paraId="4B610EC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21.4采购人不得向成交供应商提出任何不合理的要求作为订立合同的条件，采购人和成交供应商不得私下订立背离合同实质性内容的协议。</w:t>
      </w:r>
    </w:p>
    <w:p w14:paraId="589C604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21.5磋商文件、成交供应商的响应文件、《成交通知书》及其澄清、说明文件、承诺等，均为签订采购合同的依据，作为采购合同的组成部分。</w:t>
      </w:r>
    </w:p>
    <w:p w14:paraId="28EC08F3">
      <w:pPr>
        <w:spacing w:line="520" w:lineRule="exact"/>
        <w:ind w:firstLine="560"/>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21.6采购合同签订之日起2个工作日内，由采购人将采购合同在青海政府采购网上公告，但采购合同中涉及国家秘密、商业秘密的内容除外。</w:t>
      </w:r>
      <w:bookmarkStart w:id="119" w:name="_Toc896"/>
      <w:bookmarkStart w:id="120" w:name="_Toc22442"/>
    </w:p>
    <w:p w14:paraId="1CF53249">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21" w:name="_Toc32362"/>
      <w:bookmarkStart w:id="122" w:name="_Toc31604_WPSOffice_Level2"/>
      <w:bookmarkStart w:id="123" w:name="_Toc3517_WPSOffice_Level2"/>
      <w:bookmarkStart w:id="124" w:name="_Toc4328"/>
      <w:bookmarkStart w:id="125" w:name="_Toc2658_WPSOffice_Level2"/>
      <w:bookmarkStart w:id="126" w:name="_Toc6881"/>
      <w:bookmarkStart w:id="127" w:name="_Toc2728"/>
      <w:r>
        <w:rPr>
          <w:rFonts w:hint="eastAsia" w:ascii="仿宋_GB2312" w:hAnsi="宋体" w:eastAsia="仿宋_GB2312" w:cs="宋体"/>
          <w:b/>
          <w:bCs/>
          <w:color w:val="000000" w:themeColor="text1"/>
          <w:sz w:val="28"/>
          <w:szCs w:val="28"/>
          <w:highlight w:val="none"/>
          <w14:textFill>
            <w14:solidFill>
              <w14:schemeClr w14:val="tx1"/>
            </w14:solidFill>
          </w14:textFill>
        </w:rPr>
        <w:t>九、询问与质疑</w:t>
      </w:r>
      <w:bookmarkEnd w:id="121"/>
      <w:bookmarkEnd w:id="122"/>
      <w:bookmarkEnd w:id="123"/>
      <w:bookmarkEnd w:id="124"/>
      <w:bookmarkEnd w:id="125"/>
      <w:bookmarkEnd w:id="126"/>
      <w:bookmarkEnd w:id="127"/>
    </w:p>
    <w:p w14:paraId="602C1E1C">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28" w:name="_Toc23314_WPSOffice_Level3"/>
      <w:bookmarkStart w:id="129" w:name="_Toc14109"/>
      <w:bookmarkStart w:id="130" w:name="_Toc21641"/>
      <w:bookmarkStart w:id="131" w:name="_Toc25982_WPSOffice_Level3"/>
      <w:bookmarkStart w:id="132" w:name="_Toc29785"/>
      <w:r>
        <w:rPr>
          <w:rFonts w:hint="eastAsia" w:ascii="仿宋_GB2312" w:hAnsi="宋体" w:eastAsia="仿宋_GB2312" w:cs="宋体"/>
          <w:b/>
          <w:bCs/>
          <w:color w:val="000000" w:themeColor="text1"/>
          <w:sz w:val="28"/>
          <w:szCs w:val="28"/>
          <w:highlight w:val="none"/>
          <w14:textFill>
            <w14:solidFill>
              <w14:schemeClr w14:val="tx1"/>
            </w14:solidFill>
          </w14:textFill>
        </w:rPr>
        <w:t>22.对采购过程、结果的询问及质疑</w:t>
      </w:r>
      <w:bookmarkEnd w:id="128"/>
      <w:bookmarkEnd w:id="129"/>
      <w:bookmarkEnd w:id="130"/>
      <w:bookmarkEnd w:id="131"/>
      <w:bookmarkEnd w:id="132"/>
    </w:p>
    <w:p w14:paraId="2899887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22.1供应商对政府采购过程、结果有疑问的，可以向采购人、采购代理机构提出询问。</w:t>
      </w:r>
    </w:p>
    <w:p w14:paraId="64DD30A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22.2参与所质疑项目的供应商认为采购过程、成交结果使自己的权益受到损害的，可以在知道或者应知其权益受到损害之日起7个工作日内，以书面形式向采购人、采购代理机构提出质疑。</w:t>
      </w:r>
    </w:p>
    <w:p w14:paraId="1D039DE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22.3供应商应在法定质疑期内一次性提出针对同一采购程序环节的质疑。</w:t>
      </w:r>
    </w:p>
    <w:p w14:paraId="4D61D7B7">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33" w:name="_Toc22889"/>
      <w:bookmarkStart w:id="134" w:name="_Toc21832"/>
      <w:bookmarkStart w:id="135" w:name="_Toc4534"/>
      <w:bookmarkStart w:id="136" w:name="_Toc6866_WPSOffice_Level2"/>
      <w:bookmarkStart w:id="137" w:name="_Toc34637771"/>
      <w:bookmarkStart w:id="138" w:name="_Toc22201076"/>
      <w:bookmarkStart w:id="139" w:name="_Toc28133"/>
      <w:bookmarkStart w:id="140" w:name="_Toc11509_WPSOffice_Level2"/>
      <w:bookmarkStart w:id="141" w:name="_Toc9701_WPSOffice_Level2"/>
      <w:r>
        <w:rPr>
          <w:rFonts w:hint="eastAsia" w:ascii="仿宋_GB2312" w:hAnsi="宋体" w:eastAsia="仿宋_GB2312" w:cs="宋体"/>
          <w:b/>
          <w:bCs/>
          <w:color w:val="000000" w:themeColor="text1"/>
          <w:sz w:val="28"/>
          <w:szCs w:val="28"/>
          <w:highlight w:val="none"/>
          <w14:textFill>
            <w14:solidFill>
              <w14:schemeClr w14:val="tx1"/>
            </w14:solidFill>
          </w14:textFill>
        </w:rPr>
        <w:t>十、政府采购政策</w:t>
      </w:r>
      <w:bookmarkEnd w:id="133"/>
      <w:bookmarkEnd w:id="134"/>
      <w:bookmarkEnd w:id="135"/>
      <w:bookmarkEnd w:id="136"/>
      <w:bookmarkEnd w:id="137"/>
      <w:bookmarkEnd w:id="138"/>
      <w:bookmarkEnd w:id="139"/>
      <w:bookmarkEnd w:id="140"/>
      <w:bookmarkEnd w:id="141"/>
    </w:p>
    <w:p w14:paraId="77DA123B">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42" w:name="_Toc27584"/>
      <w:bookmarkStart w:id="143" w:name="_Toc17253_WPSOffice_Level3"/>
      <w:bookmarkStart w:id="144" w:name="_Toc19360_WPSOffice_Level3"/>
      <w:bookmarkStart w:id="145" w:name="_Toc16893"/>
      <w:bookmarkStart w:id="146" w:name="_Toc22921"/>
      <w:r>
        <w:rPr>
          <w:rFonts w:hint="eastAsia" w:ascii="仿宋_GB2312" w:hAnsi="宋体" w:eastAsia="仿宋_GB2312" w:cs="宋体"/>
          <w:b/>
          <w:bCs/>
          <w:color w:val="000000" w:themeColor="text1"/>
          <w:sz w:val="28"/>
          <w:szCs w:val="28"/>
          <w:highlight w:val="none"/>
          <w14:textFill>
            <w14:solidFill>
              <w14:schemeClr w14:val="tx1"/>
            </w14:solidFill>
          </w14:textFill>
        </w:rPr>
        <w:t>23.政府采购政策</w:t>
      </w:r>
      <w:bookmarkEnd w:id="142"/>
      <w:bookmarkEnd w:id="143"/>
      <w:bookmarkEnd w:id="144"/>
      <w:bookmarkEnd w:id="145"/>
      <w:bookmarkEnd w:id="146"/>
    </w:p>
    <w:p w14:paraId="6B842BB9">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23.1价格评审优惠：</w:t>
      </w:r>
    </w:p>
    <w:p w14:paraId="2F7E9954">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在政府采购活动中，供应商提供的服务符合下列情形的，享受</w:t>
      </w:r>
      <w:r>
        <w:rPr>
          <w:rFonts w:hint="eastAsia" w:ascii="仿宋_GB2312" w:hAnsi="宋体" w:eastAsia="仿宋_GB2312"/>
          <w:color w:val="000000" w:themeColor="text1"/>
          <w:sz w:val="28"/>
          <w:szCs w:val="28"/>
          <w:highlight w:val="none"/>
          <w14:textFill>
            <w14:solidFill>
              <w14:schemeClr w14:val="tx1"/>
            </w14:solidFill>
          </w14:textFill>
        </w:rPr>
        <w:t>《政府采购促进中小企业发展管理办法》</w:t>
      </w:r>
      <w:r>
        <w:rPr>
          <w:rFonts w:hint="eastAsia" w:ascii="仿宋_GB2312" w:hAnsi="宋体" w:eastAsia="仿宋_GB2312" w:cs="宋体"/>
          <w:color w:val="000000" w:themeColor="text1"/>
          <w:sz w:val="28"/>
          <w:szCs w:val="28"/>
          <w:highlight w:val="none"/>
          <w14:textFill>
            <w14:solidFill>
              <w14:schemeClr w14:val="tx1"/>
            </w14:solidFill>
          </w14:textFill>
        </w:rPr>
        <w:t xml:space="preserve">规定的中小企业扶持政策: </w:t>
      </w:r>
    </w:p>
    <w:p w14:paraId="4A0CDEF9">
      <w:pPr>
        <w:pStyle w:val="45"/>
        <w:adjustRightInd w:val="0"/>
        <w:snapToGrid w:val="0"/>
        <w:spacing w:line="520" w:lineRule="exact"/>
        <w:ind w:firstLine="560"/>
        <w:jc w:val="left"/>
        <w:rPr>
          <w:rFonts w:ascii="仿宋_GB2312" w:hAnsi="宋体" w:eastAsia="仿宋_GB2312"/>
          <w:color w:val="000000" w:themeColor="text1"/>
          <w:kern w:val="0"/>
          <w:sz w:val="28"/>
          <w:szCs w:val="28"/>
          <w:highlight w:val="none"/>
          <w14:textFill>
            <w14:solidFill>
              <w14:schemeClr w14:val="tx1"/>
            </w14:solidFill>
          </w14:textFill>
        </w:rPr>
      </w:pPr>
      <w:r>
        <w:rPr>
          <w:rFonts w:hint="eastAsia" w:ascii="仿宋_GB2312" w:hAnsi="宋体" w:eastAsia="仿宋_GB2312"/>
          <w:color w:val="000000" w:themeColor="text1"/>
          <w:kern w:val="0"/>
          <w:sz w:val="28"/>
          <w:szCs w:val="28"/>
          <w:highlight w:val="none"/>
          <w14:textFill>
            <w14:solidFill>
              <w14:schemeClr w14:val="tx1"/>
            </w14:solidFill>
          </w14:textFill>
        </w:rPr>
        <w:t>（1）在服务采购项目中，服务由中小企业承接，即提供服务的人员为中小企业依照《中华人民共和国劳动</w:t>
      </w:r>
      <w:r>
        <w:rPr>
          <w:rFonts w:hint="eastAsia" w:ascii="仿宋_GB2312" w:hAnsi="宋体" w:eastAsia="仿宋_GB2312"/>
          <w:color w:val="000000" w:themeColor="text1"/>
          <w:kern w:val="0"/>
          <w:sz w:val="28"/>
          <w:szCs w:val="28"/>
          <w:highlight w:val="none"/>
          <w:lang w:val="en-US" w:eastAsia="zh-CN"/>
          <w14:textFill>
            <w14:solidFill>
              <w14:schemeClr w14:val="tx1"/>
            </w14:solidFill>
          </w14:textFill>
        </w:rPr>
        <w:t>民法典</w:t>
      </w:r>
      <w:r>
        <w:rPr>
          <w:rFonts w:hint="eastAsia" w:ascii="仿宋_GB2312" w:hAnsi="宋体" w:eastAsia="仿宋_GB2312"/>
          <w:color w:val="000000" w:themeColor="text1"/>
          <w:kern w:val="0"/>
          <w:sz w:val="28"/>
          <w:szCs w:val="28"/>
          <w:highlight w:val="none"/>
          <w14:textFill>
            <w14:solidFill>
              <w14:schemeClr w14:val="tx1"/>
            </w14:solidFill>
          </w14:textFill>
        </w:rPr>
        <w:t>》订立劳动合同的从业人员。</w:t>
      </w:r>
    </w:p>
    <w:p w14:paraId="6E0978FE">
      <w:pPr>
        <w:adjustRightInd w:val="0"/>
        <w:snapToGrid w:val="0"/>
        <w:spacing w:line="520" w:lineRule="exact"/>
        <w:ind w:firstLine="700" w:firstLineChars="250"/>
        <w:jc w:val="left"/>
        <w:rPr>
          <w:rFonts w:ascii="仿宋_GB2312" w:hAnsi="宋体" w:eastAsia="仿宋_GB2312"/>
          <w:color w:val="000000" w:themeColor="text1"/>
          <w:sz w:val="28"/>
          <w:szCs w:val="28"/>
          <w:highlight w:val="none"/>
          <w14:textFill>
            <w14:solidFill>
              <w14:schemeClr w14:val="tx1"/>
            </w14:solidFill>
          </w14:textFill>
        </w:rPr>
      </w:pPr>
      <w:r>
        <w:rPr>
          <w:rFonts w:hint="eastAsia" w:ascii="仿宋_GB2312" w:hAnsi="宋体" w:eastAsia="仿宋_GB2312"/>
          <w:color w:val="000000" w:themeColor="text1"/>
          <w:sz w:val="28"/>
          <w:szCs w:val="28"/>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3E68DCFE">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（2）对于经主管预算单位统筹后未预留份额专门面向中小企业采购的采购项目，以及预留份额项目中的非预留部分采购包，采购人、采购代理机构应当对符合</w:t>
      </w:r>
      <w:r>
        <w:rPr>
          <w:rFonts w:hint="eastAsia" w:ascii="仿宋_GB2312" w:hAnsi="宋体" w:eastAsia="仿宋_GB2312"/>
          <w:color w:val="000000" w:themeColor="text1"/>
          <w:sz w:val="28"/>
          <w:szCs w:val="28"/>
          <w:highlight w:val="none"/>
          <w14:textFill>
            <w14:solidFill>
              <w14:schemeClr w14:val="tx1"/>
            </w14:solidFill>
          </w14:textFill>
        </w:rPr>
        <w:t>《政府采购促进中小企业发展管理办法》</w:t>
      </w:r>
      <w:r>
        <w:rPr>
          <w:rFonts w:hint="eastAsia" w:ascii="仿宋_GB2312" w:hAnsi="宋体" w:eastAsia="仿宋_GB2312" w:cs="宋体"/>
          <w:color w:val="000000" w:themeColor="text1"/>
          <w:sz w:val="28"/>
          <w:szCs w:val="28"/>
          <w:highlight w:val="none"/>
          <w14:textFill>
            <w14:solidFill>
              <w14:schemeClr w14:val="tx1"/>
            </w14:solidFill>
          </w14:textFill>
        </w:rPr>
        <w:t>规定的小微企业报价给予10%-20%的扣除，用扣除后的价格参加评审。</w:t>
      </w:r>
    </w:p>
    <w:p w14:paraId="2D42EFF0">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的扣除，用扣除后的价格参加评审。组成联合体或者接受分包的小微企业与联合体内其他企业、分包企业之间存在直接控股、管理关系的，不享受价格扣除优惠政策。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1D382CD6">
      <w:pPr>
        <w:adjustRightInd w:val="0"/>
        <w:snapToGrid w:val="0"/>
        <w:spacing w:line="520" w:lineRule="exact"/>
        <w:ind w:firstLine="700" w:firstLineChars="25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（4）中小企业参加政府采购活动，应当出具</w:t>
      </w:r>
      <w:r>
        <w:rPr>
          <w:rFonts w:hint="eastAsia" w:ascii="仿宋_GB2312" w:hAnsi="宋体" w:eastAsia="仿宋_GB2312"/>
          <w:color w:val="000000" w:themeColor="text1"/>
          <w:sz w:val="28"/>
          <w:szCs w:val="28"/>
          <w:highlight w:val="none"/>
          <w14:textFill>
            <w14:solidFill>
              <w14:schemeClr w14:val="tx1"/>
            </w14:solidFill>
          </w14:textFill>
        </w:rPr>
        <w:t>《政府采购促进中小企业发展管理办法》</w:t>
      </w:r>
      <w:r>
        <w:rPr>
          <w:rFonts w:hint="eastAsia" w:ascii="仿宋_GB2312" w:hAnsi="宋体" w:eastAsia="仿宋_GB2312" w:cs="宋体"/>
          <w:color w:val="000000" w:themeColor="text1"/>
          <w:sz w:val="28"/>
          <w:szCs w:val="28"/>
          <w:highlight w:val="none"/>
          <w14:textFill>
            <w14:solidFill>
              <w14:schemeClr w14:val="tx1"/>
            </w14:solidFill>
          </w14:textFill>
        </w:rPr>
        <w:t>规定的《中小企业声明函》(附件)，否则不得享受相关中小企业扶持政策。任何单位和个人不得要求供应商提供《中小企业声明函》之外的中小企业身份证明文件。</w:t>
      </w:r>
    </w:p>
    <w:p w14:paraId="6E170D64">
      <w:pPr>
        <w:adjustRightInd w:val="0"/>
        <w:snapToGrid w:val="0"/>
        <w:spacing w:line="520" w:lineRule="exact"/>
        <w:ind w:firstLine="700" w:firstLineChars="25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 xml:space="preserve">（5）监狱企业、残疾人福利性单位视同小型、微型企业，享受评审中价格扣除等促进中小企业发展的政府采购政策。 </w:t>
      </w:r>
    </w:p>
    <w:p w14:paraId="7571A060">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23.2供应商同时符合小型、微型企业及监狱企业、残疾人福利性单位要求的，评审时只有一种类型享受价格评审优惠政策；</w:t>
      </w:r>
    </w:p>
    <w:p w14:paraId="4ABF3355">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23.3响应文件符合本章前款规定的，供应商应提供相关证明资料，且所提供资料必须真实可信。如有虚假，将依法承担相应责任。</w:t>
      </w:r>
    </w:p>
    <w:p w14:paraId="371A707C">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十一、</w:t>
      </w:r>
      <w:bookmarkEnd w:id="117"/>
      <w:bookmarkEnd w:id="118"/>
      <w:r>
        <w:rPr>
          <w:rFonts w:hint="eastAsia" w:ascii="仿宋_GB2312" w:hAnsi="宋体" w:eastAsia="仿宋_GB2312" w:cs="宋体"/>
          <w:b/>
          <w:bCs/>
          <w:color w:val="000000" w:themeColor="text1"/>
          <w:sz w:val="28"/>
          <w:szCs w:val="28"/>
          <w:highlight w:val="none"/>
          <w14:textFill>
            <w14:solidFill>
              <w14:schemeClr w14:val="tx1"/>
            </w14:solidFill>
          </w14:textFill>
        </w:rPr>
        <w:t>磋商活动终止</w:t>
      </w:r>
      <w:bookmarkEnd w:id="119"/>
      <w:bookmarkEnd w:id="120"/>
    </w:p>
    <w:p w14:paraId="0ED028E7">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47" w:name="_Toc11684"/>
      <w:bookmarkStart w:id="148" w:name="_Toc7098"/>
      <w:bookmarkStart w:id="149" w:name="_Toc376936762"/>
      <w:bookmarkStart w:id="150" w:name="_Toc325726031"/>
      <w:r>
        <w:rPr>
          <w:rFonts w:hint="eastAsia" w:ascii="仿宋_GB2312" w:hAnsi="宋体" w:eastAsia="仿宋_GB2312" w:cs="宋体"/>
          <w:b/>
          <w:bCs/>
          <w:color w:val="000000" w:themeColor="text1"/>
          <w:sz w:val="28"/>
          <w:szCs w:val="28"/>
          <w:highlight w:val="none"/>
          <w14:textFill>
            <w14:solidFill>
              <w14:schemeClr w14:val="tx1"/>
            </w14:solidFill>
          </w14:textFill>
        </w:rPr>
        <w:t>24.终止情形</w:t>
      </w:r>
      <w:bookmarkEnd w:id="147"/>
      <w:bookmarkEnd w:id="148"/>
    </w:p>
    <w:p w14:paraId="3D70EBA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24.1</w:t>
      </w:r>
      <w:bookmarkEnd w:id="149"/>
      <w:bookmarkEnd w:id="150"/>
      <w:r>
        <w:rPr>
          <w:rFonts w:hint="eastAsia" w:ascii="仿宋_GB2312" w:hAnsi="宋体" w:eastAsia="仿宋_GB2312" w:cs="宋体"/>
          <w:color w:val="000000" w:themeColor="text1"/>
          <w:sz w:val="28"/>
          <w:szCs w:val="28"/>
          <w:highlight w:val="none"/>
          <w14:textFill>
            <w14:solidFill>
              <w14:schemeClr w14:val="tx1"/>
            </w14:solidFill>
          </w14:textFill>
        </w:rPr>
        <w:t>出现下列情形之一的，采购人或采购代理机构应当终止竞争性磋商采购活动，发布项目终止公告并说明原因，重新开展采购活动：</w:t>
      </w:r>
    </w:p>
    <w:p w14:paraId="79FCDEC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（1）因情况变化，不再符合规定的竞争性磋商采购方式适用情形的；</w:t>
      </w:r>
    </w:p>
    <w:p w14:paraId="5366844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（2）出现影响采购公正的违法、违规行为的；</w:t>
      </w:r>
    </w:p>
    <w:p w14:paraId="0345723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（3）除《政府采购竞争性磋商采购方式管理暂行办法》第二十一条第三款规定的情形外，在采购过程中符合要求的供应商或者报价未超过采购预算或最高限价的供应商不足3家的。</w:t>
      </w:r>
    </w:p>
    <w:p w14:paraId="1CE0B51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24.2终止磋商活动后，由采购代理机构发布终止公告并说明原因。</w:t>
      </w:r>
      <w:bookmarkStart w:id="151" w:name="_Toc325726032"/>
    </w:p>
    <w:bookmarkEnd w:id="151"/>
    <w:p w14:paraId="51CDA803">
      <w:pPr>
        <w:numPr>
          <w:ilvl w:val="0"/>
          <w:numId w:val="6"/>
        </w:num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52" w:name="_Toc19538"/>
      <w:bookmarkStart w:id="153" w:name="_Toc325726034"/>
      <w:bookmarkStart w:id="154" w:name="_Toc376936765"/>
      <w:bookmarkStart w:id="155" w:name="_Toc16406"/>
      <w:r>
        <w:rPr>
          <w:rFonts w:hint="eastAsia" w:ascii="仿宋_GB2312" w:hAnsi="宋体" w:eastAsia="仿宋_GB2312" w:cs="宋体"/>
          <w:b/>
          <w:bCs/>
          <w:color w:val="000000" w:themeColor="text1"/>
          <w:sz w:val="28"/>
          <w:szCs w:val="28"/>
          <w:highlight w:val="none"/>
          <w14:textFill>
            <w14:solidFill>
              <w14:schemeClr w14:val="tx1"/>
            </w14:solidFill>
          </w14:textFill>
        </w:rPr>
        <w:t>处罚</w:t>
      </w:r>
    </w:p>
    <w:p w14:paraId="180E7ADC">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56" w:name="_Toc376936764"/>
      <w:bookmarkStart w:id="157" w:name="_Toc325726033"/>
      <w:bookmarkStart w:id="158" w:name="_Toc6480"/>
      <w:r>
        <w:rPr>
          <w:rFonts w:hint="eastAsia" w:ascii="仿宋_GB2312" w:hAnsi="宋体" w:eastAsia="仿宋_GB2312" w:cs="宋体"/>
          <w:b/>
          <w:bCs/>
          <w:color w:val="000000" w:themeColor="text1"/>
          <w:sz w:val="28"/>
          <w:szCs w:val="28"/>
          <w:highlight w:val="none"/>
          <w14:textFill>
            <w14:solidFill>
              <w14:schemeClr w14:val="tx1"/>
            </w14:solidFill>
          </w14:textFill>
        </w:rPr>
        <w:t>25.处罚情形</w:t>
      </w:r>
      <w:bookmarkEnd w:id="156"/>
      <w:bookmarkEnd w:id="157"/>
      <w:bookmarkEnd w:id="158"/>
    </w:p>
    <w:p w14:paraId="7CE491C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有下列情形之一的，供应商的磋商保证金不予退还；成交供应商的成交结果无效，履约保证金不予退还。情节严重的，报省财政厅依法进行处理：</w:t>
      </w:r>
    </w:p>
    <w:p w14:paraId="6D861FA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25.1供应商在提交响应文件截止时间之后撤回响应文件的。</w:t>
      </w:r>
    </w:p>
    <w:p w14:paraId="1DAEF77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25.2供应商在响应文件中提供虚假材料的。</w:t>
      </w:r>
    </w:p>
    <w:p w14:paraId="24EECAC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25.3采取不正当手段诋毁、排挤其他供应商的。</w:t>
      </w:r>
    </w:p>
    <w:p w14:paraId="3D7A315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25.4有恶意串通等不正当竞争行为的。</w:t>
      </w:r>
    </w:p>
    <w:p w14:paraId="0BF9D2E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25.5成交后无正当理由拒不与采购人签订采购合同的。</w:t>
      </w:r>
    </w:p>
    <w:p w14:paraId="7C5FF63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25.6未按照磋商文件、响应文件确定的事项签订采购合同的。</w:t>
      </w:r>
    </w:p>
    <w:p w14:paraId="6A33378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25.7擅自变更、中止或者终止政府采购合同的。</w:t>
      </w:r>
    </w:p>
    <w:p w14:paraId="15EC2C51">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25.8成交供应商签订合同后，因种种原因不能履约或无故拖延履约期的。</w:t>
      </w:r>
    </w:p>
    <w:p w14:paraId="264101C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25.9法律、法规规定的其他情形的。</w:t>
      </w:r>
    </w:p>
    <w:p w14:paraId="02B39534">
      <w:pPr>
        <w:numPr>
          <w:ilvl w:val="0"/>
          <w:numId w:val="6"/>
        </w:num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其他</w:t>
      </w:r>
      <w:bookmarkEnd w:id="152"/>
      <w:bookmarkEnd w:id="153"/>
      <w:bookmarkEnd w:id="154"/>
      <w:bookmarkEnd w:id="155"/>
    </w:p>
    <w:p w14:paraId="509CC01C">
      <w:pPr>
        <w:spacing w:line="520" w:lineRule="exact"/>
        <w:ind w:firstLine="560"/>
        <w:rPr>
          <w:rFonts w:ascii="宋体" w:hAnsi="宋体" w:cs="宋体"/>
          <w:color w:val="000000" w:themeColor="text1"/>
          <w:sz w:val="24"/>
          <w:szCs w:val="24"/>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其他未尽事宜，按照《中华人民共和国政府采购法》《中华人民共和国民法典》、《中华人民共和国政府采购法实施条例》《政府采购竞争性磋商采购方式管理暂行办法》等法律法规的有关条款执行。</w:t>
      </w:r>
    </w:p>
    <w:p w14:paraId="5391AB1B">
      <w:pPr>
        <w:wordWrap w:val="0"/>
        <w:spacing w:line="360" w:lineRule="auto"/>
        <w:ind w:firstLine="480"/>
        <w:rPr>
          <w:rFonts w:ascii="宋体" w:hAnsi="宋体" w:cs="宋体"/>
          <w:color w:val="000000" w:themeColor="text1"/>
          <w:sz w:val="24"/>
          <w:szCs w:val="24"/>
          <w:highlight w:val="none"/>
          <w14:textFill>
            <w14:solidFill>
              <w14:schemeClr w14:val="tx1"/>
            </w14:solidFill>
          </w14:textFill>
        </w:rPr>
      </w:pPr>
      <w:r>
        <w:rPr>
          <w:rFonts w:ascii="宋体" w:hAnsi="宋体" w:cs="宋体"/>
          <w:color w:val="000000" w:themeColor="text1"/>
          <w:sz w:val="24"/>
          <w:szCs w:val="24"/>
          <w:highlight w:val="none"/>
          <w14:textFill>
            <w14:solidFill>
              <w14:schemeClr w14:val="tx1"/>
            </w14:solidFill>
          </w14:textFill>
        </w:rPr>
        <w:br w:type="page"/>
      </w:r>
    </w:p>
    <w:p w14:paraId="513FE2E7">
      <w:pPr>
        <w:keepNext/>
        <w:keepLines/>
        <w:widowControl/>
        <w:snapToGrid w:val="0"/>
        <w:spacing w:line="360" w:lineRule="auto"/>
        <w:ind w:firstLine="0" w:firstLineChars="0"/>
        <w:jc w:val="center"/>
        <w:outlineLvl w:val="0"/>
        <w:rPr>
          <w:rFonts w:ascii="宋体" w:hAnsi="宋体" w:cs="宋体"/>
          <w:b/>
          <w:color w:val="000000" w:themeColor="text1"/>
          <w:kern w:val="28"/>
          <w:sz w:val="44"/>
          <w:szCs w:val="44"/>
          <w:highlight w:val="none"/>
          <w14:textFill>
            <w14:solidFill>
              <w14:schemeClr w14:val="tx1"/>
            </w14:solidFill>
          </w14:textFill>
        </w:rPr>
      </w:pPr>
      <w:bookmarkStart w:id="159" w:name="_Toc101710029"/>
      <w:r>
        <w:rPr>
          <w:rFonts w:hint="eastAsia" w:ascii="宋体" w:hAnsi="宋体" w:cs="宋体"/>
          <w:b/>
          <w:color w:val="000000" w:themeColor="text1"/>
          <w:kern w:val="28"/>
          <w:sz w:val="44"/>
          <w:szCs w:val="44"/>
          <w:highlight w:val="none"/>
          <w14:textFill>
            <w14:solidFill>
              <w14:schemeClr w14:val="tx1"/>
            </w14:solidFill>
          </w14:textFill>
        </w:rPr>
        <w:t>第三部分采购项目合同书</w:t>
      </w:r>
      <w:bookmarkEnd w:id="159"/>
    </w:p>
    <w:p w14:paraId="06DB1175">
      <w:pPr>
        <w:ind w:firstLine="0" w:firstLineChars="0"/>
        <w:jc w:val="center"/>
        <w:rPr>
          <w:rFonts w:ascii="宋体" w:hAnsi="宋体" w:cs="宋体"/>
          <w:color w:val="000000" w:themeColor="text1"/>
          <w:sz w:val="24"/>
          <w:szCs w:val="24"/>
          <w:highlight w:val="none"/>
          <w14:textFill>
            <w14:solidFill>
              <w14:schemeClr w14:val="tx1"/>
            </w14:solidFill>
          </w14:textFill>
        </w:rPr>
      </w:pPr>
      <w:r>
        <w:rPr>
          <w:rFonts w:hint="eastAsia" w:ascii="宋体" w:hAnsi="宋体" w:cs="宋体"/>
          <w:b/>
          <w:color w:val="000000" w:themeColor="text1"/>
          <w:kern w:val="28"/>
          <w:sz w:val="36"/>
          <w:szCs w:val="20"/>
          <w:highlight w:val="none"/>
          <w14:textFill>
            <w14:solidFill>
              <w14:schemeClr w14:val="tx1"/>
            </w14:solidFill>
          </w14:textFill>
        </w:rPr>
        <w:t>（服务类）</w:t>
      </w:r>
    </w:p>
    <w:p w14:paraId="47B4D66F">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6D5A792F">
      <w:pPr>
        <w:spacing w:line="360" w:lineRule="auto"/>
        <w:ind w:firstLine="0" w:firstLineChars="0"/>
        <w:jc w:val="center"/>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参考使用</w:t>
      </w:r>
    </w:p>
    <w:p w14:paraId="5F12E081">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13015491">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517A06F5">
      <w:pPr>
        <w:autoSpaceDE w:val="0"/>
        <w:autoSpaceDN w:val="0"/>
        <w:spacing w:line="360" w:lineRule="auto"/>
        <w:ind w:firstLine="0" w:firstLineChars="0"/>
        <w:jc w:val="center"/>
        <w:rPr>
          <w:rFonts w:ascii="宋体" w:hAnsi="宋体" w:cs="宋体"/>
          <w:b/>
          <w:bCs/>
          <w:color w:val="000000" w:themeColor="text1"/>
          <w:sz w:val="48"/>
          <w:szCs w:val="48"/>
          <w:highlight w:val="none"/>
          <w14:textFill>
            <w14:solidFill>
              <w14:schemeClr w14:val="tx1"/>
            </w14:solidFill>
          </w14:textFill>
        </w:rPr>
      </w:pPr>
      <w:r>
        <w:rPr>
          <w:rFonts w:hint="eastAsia" w:ascii="宋体" w:hAnsi="宋体" w:cs="宋体"/>
          <w:b/>
          <w:bCs/>
          <w:color w:val="000000" w:themeColor="text1"/>
          <w:sz w:val="48"/>
          <w:szCs w:val="48"/>
          <w:highlight w:val="none"/>
          <w:lang w:val="zh-CN"/>
          <w14:textFill>
            <w14:solidFill>
              <w14:schemeClr w14:val="tx1"/>
            </w14:solidFill>
          </w14:textFill>
        </w:rPr>
        <w:t>青海省政府采购项目合同书</w:t>
      </w:r>
    </w:p>
    <w:p w14:paraId="2BB18DA2">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3A6CF07C">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6550D7DE">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18DD243B">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688DAF08">
      <w:pPr>
        <w:autoSpaceDE w:val="0"/>
        <w:autoSpaceDN w:val="0"/>
        <w:spacing w:line="600" w:lineRule="exact"/>
        <w:ind w:firstLine="0" w:firstLineChars="0"/>
        <w:rPr>
          <w:rFonts w:hint="default" w:ascii="宋体" w:hAnsi="宋体" w:eastAsia="宋体" w:cs="宋体"/>
          <w:b/>
          <w:bCs/>
          <w:color w:val="000000" w:themeColor="text1"/>
          <w:sz w:val="32"/>
          <w:szCs w:val="32"/>
          <w:highlight w:val="none"/>
          <w:u w:val="single"/>
          <w:lang w:val="en-US" w:eastAsia="zh-CN"/>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采购项目编号：</w:t>
      </w:r>
      <w:r>
        <w:rPr>
          <w:rFonts w:hint="eastAsia" w:ascii="宋体" w:hAnsi="宋体" w:cs="宋体"/>
          <w:b/>
          <w:bCs/>
          <w:color w:val="000000" w:themeColor="text1"/>
          <w:sz w:val="32"/>
          <w:szCs w:val="32"/>
          <w:highlight w:val="none"/>
          <w:lang w:eastAsia="zh-CN"/>
          <w14:textFill>
            <w14:solidFill>
              <w14:schemeClr w14:val="tx1"/>
            </w14:solidFill>
          </w14:textFill>
        </w:rPr>
        <w:t>青海省招竞磋（服务）2025-</w:t>
      </w:r>
      <w:r>
        <w:rPr>
          <w:rFonts w:hint="eastAsia" w:ascii="宋体" w:hAnsi="宋体" w:cs="宋体"/>
          <w:b/>
          <w:bCs/>
          <w:color w:val="000000" w:themeColor="text1"/>
          <w:sz w:val="32"/>
          <w:szCs w:val="32"/>
          <w:highlight w:val="none"/>
          <w:lang w:val="en-US" w:eastAsia="zh-CN"/>
          <w14:textFill>
            <w14:solidFill>
              <w14:schemeClr w14:val="tx1"/>
            </w14:solidFill>
          </w14:textFill>
        </w:rPr>
        <w:t>015</w:t>
      </w:r>
    </w:p>
    <w:p w14:paraId="56F5818E">
      <w:pPr>
        <w:autoSpaceDE w:val="0"/>
        <w:autoSpaceDN w:val="0"/>
        <w:spacing w:line="600" w:lineRule="exact"/>
        <w:ind w:left="2249" w:hanging="2249" w:hangingChars="700"/>
        <w:rPr>
          <w:rFonts w:hint="eastAsia" w:ascii="宋体" w:hAnsi="宋体" w:eastAsia="宋体" w:cs="宋体"/>
          <w:b/>
          <w:bCs/>
          <w:color w:val="000000" w:themeColor="text1"/>
          <w:sz w:val="32"/>
          <w:szCs w:val="32"/>
          <w:highlight w:val="none"/>
          <w:lang w:val="zh-CN" w:eastAsia="zh-CN"/>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采购项目名称：</w:t>
      </w:r>
      <w:r>
        <w:rPr>
          <w:rFonts w:hint="eastAsia" w:ascii="宋体" w:hAnsi="宋体" w:cs="宋体"/>
          <w:b/>
          <w:color w:val="000000" w:themeColor="text1"/>
          <w:sz w:val="32"/>
          <w:szCs w:val="32"/>
          <w:highlight w:val="none"/>
          <w:lang w:val="en-US" w:eastAsia="zh-CN"/>
          <w14:textFill>
            <w14:solidFill>
              <w14:schemeClr w14:val="tx1"/>
            </w14:solidFill>
          </w14:textFill>
        </w:rPr>
        <w:t>青海民族大学研究生招生教育培养</w:t>
      </w:r>
    </w:p>
    <w:p w14:paraId="66DFB10D">
      <w:pPr>
        <w:autoSpaceDE w:val="0"/>
        <w:autoSpaceDN w:val="0"/>
        <w:spacing w:line="600" w:lineRule="exact"/>
        <w:ind w:left="2249" w:hanging="2249" w:hangingChars="700"/>
        <w:rPr>
          <w:rFonts w:hint="default" w:ascii="宋体" w:hAnsi="宋体" w:eastAsia="宋体" w:cs="宋体"/>
          <w:b/>
          <w:bCs/>
          <w:color w:val="000000" w:themeColor="text1"/>
          <w:sz w:val="32"/>
          <w:szCs w:val="32"/>
          <w:highlight w:val="none"/>
          <w:lang w:val="en-US" w:eastAsia="zh-CN"/>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采购合同编号：Q</w:t>
      </w:r>
      <w:r>
        <w:rPr>
          <w:rFonts w:ascii="宋体" w:hAnsi="宋体" w:cs="宋体"/>
          <w:b/>
          <w:bCs/>
          <w:color w:val="000000" w:themeColor="text1"/>
          <w:sz w:val="32"/>
          <w:szCs w:val="32"/>
          <w:highlight w:val="none"/>
          <w:lang w:val="zh-CN"/>
          <w14:textFill>
            <w14:solidFill>
              <w14:schemeClr w14:val="tx1"/>
            </w14:solidFill>
          </w14:textFill>
        </w:rPr>
        <w:t>H</w:t>
      </w:r>
      <w:r>
        <w:rPr>
          <w:rFonts w:hint="eastAsia" w:ascii="宋体" w:hAnsi="宋体" w:cs="宋体"/>
          <w:b/>
          <w:bCs/>
          <w:color w:val="000000" w:themeColor="text1"/>
          <w:sz w:val="32"/>
          <w:szCs w:val="32"/>
          <w:highlight w:val="none"/>
          <w:lang w:val="en-US" w:eastAsia="zh-CN"/>
          <w14:textFill>
            <w14:solidFill>
              <w14:schemeClr w14:val="tx1"/>
            </w14:solidFill>
          </w14:textFill>
        </w:rPr>
        <w:t>SZ-</w:t>
      </w:r>
      <w:r>
        <w:rPr>
          <w:rFonts w:ascii="宋体" w:hAnsi="宋体" w:cs="宋体"/>
          <w:b/>
          <w:bCs/>
          <w:color w:val="000000" w:themeColor="text1"/>
          <w:sz w:val="32"/>
          <w:szCs w:val="32"/>
          <w:highlight w:val="none"/>
          <w:lang w:val="zh-CN"/>
          <w14:textFill>
            <w14:solidFill>
              <w14:schemeClr w14:val="tx1"/>
            </w14:solidFill>
          </w14:textFill>
        </w:rPr>
        <w:t>202</w:t>
      </w:r>
      <w:r>
        <w:rPr>
          <w:rFonts w:hint="eastAsia" w:ascii="宋体" w:hAnsi="宋体" w:cs="宋体"/>
          <w:b/>
          <w:bCs/>
          <w:color w:val="000000" w:themeColor="text1"/>
          <w:sz w:val="32"/>
          <w:szCs w:val="32"/>
          <w:highlight w:val="none"/>
          <w:lang w:val="en-US" w:eastAsia="zh-CN"/>
          <w14:textFill>
            <w14:solidFill>
              <w14:schemeClr w14:val="tx1"/>
            </w14:solidFill>
          </w14:textFill>
        </w:rPr>
        <w:t>5</w:t>
      </w:r>
      <w:r>
        <w:rPr>
          <w:rFonts w:ascii="宋体" w:hAnsi="宋体" w:cs="宋体"/>
          <w:b/>
          <w:bCs/>
          <w:color w:val="000000" w:themeColor="text1"/>
          <w:sz w:val="32"/>
          <w:szCs w:val="32"/>
          <w:highlight w:val="none"/>
          <w:lang w:val="zh-CN"/>
          <w14:textFill>
            <w14:solidFill>
              <w14:schemeClr w14:val="tx1"/>
            </w14:solidFill>
          </w14:textFill>
        </w:rPr>
        <w:t>-</w:t>
      </w:r>
      <w:r>
        <w:rPr>
          <w:rFonts w:hint="eastAsia" w:ascii="宋体" w:hAnsi="宋体" w:cs="宋体"/>
          <w:b/>
          <w:bCs/>
          <w:color w:val="000000" w:themeColor="text1"/>
          <w:sz w:val="32"/>
          <w:szCs w:val="32"/>
          <w:highlight w:val="none"/>
          <w:lang w:val="en-US" w:eastAsia="zh-CN"/>
          <w14:textFill>
            <w14:solidFill>
              <w14:schemeClr w14:val="tx1"/>
            </w14:solidFill>
          </w14:textFill>
        </w:rPr>
        <w:t>015</w:t>
      </w:r>
    </w:p>
    <w:p w14:paraId="007698D9">
      <w:pPr>
        <w:autoSpaceDE w:val="0"/>
        <w:autoSpaceDN w:val="0"/>
        <w:spacing w:line="600" w:lineRule="exact"/>
        <w:ind w:firstLine="0" w:firstLineChars="0"/>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合同金额（人民币）：</w:t>
      </w:r>
    </w:p>
    <w:p w14:paraId="6ABF70D3">
      <w:pPr>
        <w:autoSpaceDE w:val="0"/>
        <w:autoSpaceDN w:val="0"/>
        <w:spacing w:line="600" w:lineRule="exact"/>
        <w:ind w:firstLine="0" w:firstLineChars="0"/>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采购人（甲方）：</w:t>
      </w:r>
      <w:r>
        <w:rPr>
          <w:rFonts w:hint="eastAsia" w:ascii="宋体" w:hAnsi="宋体" w:cs="宋体"/>
          <w:b/>
          <w:bCs/>
          <w:color w:val="000000" w:themeColor="text1"/>
          <w:sz w:val="32"/>
          <w:szCs w:val="32"/>
          <w:highlight w:val="none"/>
          <w:u w:val="single"/>
          <w:lang w:val="zh-CN"/>
          <w14:textFill>
            <w14:solidFill>
              <w14:schemeClr w14:val="tx1"/>
            </w14:solidFill>
          </w14:textFill>
        </w:rPr>
        <w:t>（盖章）</w:t>
      </w:r>
    </w:p>
    <w:p w14:paraId="6EBF69C0">
      <w:pPr>
        <w:autoSpaceDE w:val="0"/>
        <w:autoSpaceDN w:val="0"/>
        <w:spacing w:line="600" w:lineRule="exact"/>
        <w:ind w:firstLine="0" w:firstLineChars="0"/>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供应商（乙方）：</w:t>
      </w:r>
      <w:r>
        <w:rPr>
          <w:rFonts w:hint="eastAsia" w:ascii="宋体" w:hAnsi="宋体" w:cs="宋体"/>
          <w:b/>
          <w:bCs/>
          <w:color w:val="000000" w:themeColor="text1"/>
          <w:sz w:val="32"/>
          <w:szCs w:val="32"/>
          <w:highlight w:val="none"/>
          <w:u w:val="single"/>
          <w:lang w:val="zh-CN"/>
          <w14:textFill>
            <w14:solidFill>
              <w14:schemeClr w14:val="tx1"/>
            </w14:solidFill>
          </w14:textFill>
        </w:rPr>
        <w:t>（盖章）</w:t>
      </w:r>
    </w:p>
    <w:p w14:paraId="1D0E291C">
      <w:pPr>
        <w:autoSpaceDE w:val="0"/>
        <w:autoSpaceDN w:val="0"/>
        <w:spacing w:line="600" w:lineRule="exact"/>
        <w:ind w:firstLine="0" w:firstLineChars="0"/>
        <w:rPr>
          <w:rFonts w:ascii="宋体" w:hAnsi="宋体" w:cs="宋体"/>
          <w:b/>
          <w:bCs/>
          <w:color w:val="000000" w:themeColor="text1"/>
          <w:sz w:val="30"/>
          <w:szCs w:val="30"/>
          <w:highlight w:val="none"/>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采购日期：</w:t>
      </w:r>
    </w:p>
    <w:p w14:paraId="612F515E">
      <w:pPr>
        <w:spacing w:line="360" w:lineRule="auto"/>
        <w:ind w:firstLine="480"/>
        <w:rPr>
          <w:rFonts w:ascii="宋体" w:hAnsi="宋体" w:cs="宋体"/>
          <w:color w:val="000000" w:themeColor="text1"/>
          <w:sz w:val="24"/>
          <w:szCs w:val="24"/>
          <w:highlight w:val="none"/>
          <w14:textFill>
            <w14:solidFill>
              <w14:schemeClr w14:val="tx1"/>
            </w14:solidFill>
          </w14:textFill>
        </w:rPr>
      </w:pPr>
    </w:p>
    <w:p w14:paraId="757CAE84">
      <w:pPr>
        <w:spacing w:line="360" w:lineRule="auto"/>
        <w:ind w:firstLine="480"/>
        <w:rPr>
          <w:rFonts w:ascii="宋体" w:hAnsi="宋体" w:cs="宋体"/>
          <w:color w:val="000000" w:themeColor="text1"/>
          <w:sz w:val="24"/>
          <w:szCs w:val="24"/>
          <w:highlight w:val="none"/>
          <w14:textFill>
            <w14:solidFill>
              <w14:schemeClr w14:val="tx1"/>
            </w14:solidFill>
          </w14:textFill>
        </w:rPr>
      </w:pPr>
    </w:p>
    <w:p w14:paraId="1D0DE966">
      <w:pPr>
        <w:spacing w:line="360" w:lineRule="auto"/>
        <w:ind w:firstLine="480"/>
        <w:rPr>
          <w:rFonts w:ascii="宋体" w:hAnsi="宋体" w:cs="宋体"/>
          <w:color w:val="000000" w:themeColor="text1"/>
          <w:sz w:val="24"/>
          <w:szCs w:val="24"/>
          <w:highlight w:val="none"/>
          <w14:textFill>
            <w14:solidFill>
              <w14:schemeClr w14:val="tx1"/>
            </w14:solidFill>
          </w14:textFill>
        </w:rPr>
      </w:pPr>
    </w:p>
    <w:p w14:paraId="624A2E09">
      <w:pPr>
        <w:spacing w:line="360" w:lineRule="auto"/>
        <w:ind w:firstLine="480"/>
        <w:rPr>
          <w:rFonts w:ascii="宋体" w:hAnsi="宋体" w:cs="宋体"/>
          <w:color w:val="000000" w:themeColor="text1"/>
          <w:sz w:val="24"/>
          <w:szCs w:val="24"/>
          <w:highlight w:val="none"/>
          <w14:textFill>
            <w14:solidFill>
              <w14:schemeClr w14:val="tx1"/>
            </w14:solidFill>
          </w14:textFill>
        </w:rPr>
      </w:pPr>
    </w:p>
    <w:p w14:paraId="2791749D">
      <w:pPr>
        <w:spacing w:line="360" w:lineRule="auto"/>
        <w:ind w:firstLine="480"/>
        <w:rPr>
          <w:rFonts w:ascii="宋体" w:hAnsi="宋体" w:cs="宋体"/>
          <w:color w:val="000000" w:themeColor="text1"/>
          <w:sz w:val="24"/>
          <w:szCs w:val="24"/>
          <w:highlight w:val="none"/>
          <w14:textFill>
            <w14:solidFill>
              <w14:schemeClr w14:val="tx1"/>
            </w14:solidFill>
          </w14:textFill>
        </w:rPr>
      </w:pPr>
      <w:r>
        <w:rPr>
          <w:rFonts w:ascii="宋体" w:hAnsi="宋体" w:cs="宋体"/>
          <w:color w:val="000000" w:themeColor="text1"/>
          <w:sz w:val="28"/>
          <w:szCs w:val="28"/>
          <w:highlight w:val="none"/>
          <w14:textFill>
            <w14:solidFill>
              <w14:schemeClr w14:val="tx1"/>
            </w14:solidFill>
          </w14:textFill>
        </w:rPr>
        <w:br w:type="page"/>
      </w:r>
    </w:p>
    <w:p w14:paraId="79084B7C">
      <w:pPr>
        <w:pageBreakBefore/>
        <w:autoSpaceDE w:val="0"/>
        <w:autoSpaceDN w:val="0"/>
        <w:adjustRightInd w:val="0"/>
        <w:spacing w:line="360" w:lineRule="auto"/>
        <w:rPr>
          <w:rFonts w:ascii="仿宋_GB2312" w:hAnsi="仿宋_GB2312" w:eastAsia="仿宋_GB2312" w:cs="仿宋_GB2312"/>
          <w:b/>
          <w:bCs/>
          <w:kern w:val="0"/>
          <w:sz w:val="28"/>
        </w:rPr>
      </w:pPr>
      <w:bookmarkStart w:id="160" w:name="_Toc437_WPSOffice_Level2"/>
      <w:bookmarkStart w:id="161" w:name="_Toc32561_WPSOffice_Level3"/>
      <w:bookmarkStart w:id="162" w:name="_Toc20044_WPSOffice_Level2"/>
      <w:bookmarkStart w:id="163" w:name="_Toc11599_WPSOffice_Level2"/>
      <w:r>
        <w:rPr>
          <w:rFonts w:hint="eastAsia" w:ascii="仿宋_GB2312" w:hAnsi="仿宋_GB2312" w:eastAsia="仿宋_GB2312" w:cs="仿宋_GB2312"/>
          <w:b/>
          <w:bCs/>
          <w:kern w:val="0"/>
          <w:sz w:val="28"/>
          <w:lang w:val="zh-CN"/>
        </w:rPr>
        <w:t>采购人（以下简称甲方）：</w:t>
      </w:r>
      <w:bookmarkEnd w:id="160"/>
      <w:bookmarkEnd w:id="161"/>
      <w:bookmarkEnd w:id="162"/>
      <w:bookmarkEnd w:id="163"/>
    </w:p>
    <w:p w14:paraId="4EF893A0">
      <w:pPr>
        <w:autoSpaceDE w:val="0"/>
        <w:autoSpaceDN w:val="0"/>
        <w:adjustRightInd w:val="0"/>
        <w:spacing w:line="360" w:lineRule="auto"/>
        <w:rPr>
          <w:rFonts w:ascii="仿宋_GB2312" w:hAnsi="仿宋_GB2312" w:eastAsia="仿宋_GB2312" w:cs="仿宋_GB2312"/>
          <w:kern w:val="0"/>
          <w:sz w:val="28"/>
        </w:rPr>
      </w:pPr>
      <w:bookmarkStart w:id="164" w:name="_Toc24806_WPSOffice_Level3"/>
      <w:bookmarkStart w:id="165" w:name="_Toc11188_WPSOffice_Level2"/>
      <w:bookmarkStart w:id="166" w:name="_Toc12347_WPSOffice_Level2"/>
      <w:bookmarkStart w:id="167" w:name="_Toc20183_WPSOffice_Level2"/>
      <w:r>
        <w:rPr>
          <w:rFonts w:hint="eastAsia" w:ascii="仿宋_GB2312" w:hAnsi="仿宋_GB2312" w:eastAsia="仿宋_GB2312" w:cs="仿宋_GB2312"/>
          <w:b/>
          <w:bCs/>
          <w:kern w:val="0"/>
          <w:sz w:val="28"/>
          <w:lang w:val="zh-CN"/>
        </w:rPr>
        <w:t>供应商（以下简称乙方）：</w:t>
      </w:r>
      <w:bookmarkEnd w:id="164"/>
      <w:bookmarkEnd w:id="165"/>
      <w:bookmarkEnd w:id="166"/>
      <w:bookmarkEnd w:id="167"/>
    </w:p>
    <w:p w14:paraId="3D7A81BE">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甲、乙双方根据</w:t>
      </w:r>
      <w:r>
        <w:rPr>
          <w:rFonts w:hint="eastAsia" w:ascii="仿宋_GB2312" w:hAnsi="仿宋_GB2312" w:eastAsia="仿宋_GB2312" w:cs="仿宋_GB2312"/>
          <w:kern w:val="0"/>
          <w:sz w:val="28"/>
          <w:szCs w:val="28"/>
        </w:rPr>
        <w:t xml:space="preserve">    </w:t>
      </w:r>
      <w:r>
        <w:rPr>
          <w:rFonts w:hint="eastAsia" w:ascii="仿宋_GB2312" w:hAnsi="仿宋_GB2312" w:eastAsia="仿宋_GB2312" w:cs="仿宋_GB2312"/>
          <w:kern w:val="0"/>
          <w:sz w:val="28"/>
          <w:szCs w:val="28"/>
          <w:lang w:val="zh-CN"/>
        </w:rPr>
        <w:t>年  月  日青海民族大学研究生招生教育培养（</w:t>
      </w:r>
      <w:r>
        <w:rPr>
          <w:rFonts w:hint="eastAsia" w:ascii="仿宋_GB2312" w:hAnsi="仿宋_GB2312" w:eastAsia="仿宋_GB2312" w:cs="仿宋_GB2312"/>
          <w:kern w:val="0"/>
          <w:sz w:val="28"/>
          <w:szCs w:val="28"/>
        </w:rPr>
        <w:t>项目编号：</w:t>
      </w:r>
      <w:r>
        <w:rPr>
          <w:rFonts w:hint="eastAsia" w:ascii="仿宋_GB2312" w:hAnsi="仿宋_GB2312" w:eastAsia="仿宋_GB2312" w:cs="仿宋_GB2312"/>
          <w:kern w:val="0"/>
          <w:sz w:val="28"/>
          <w:szCs w:val="28"/>
          <w:lang w:eastAsia="zh-CN"/>
        </w:rPr>
        <w:t>青海省招竞磋（服务）2025-</w:t>
      </w:r>
      <w:r>
        <w:rPr>
          <w:rFonts w:hint="eastAsia" w:ascii="仿宋_GB2312" w:hAnsi="仿宋_GB2312" w:eastAsia="仿宋_GB2312" w:cs="仿宋_GB2312"/>
          <w:kern w:val="0"/>
          <w:sz w:val="28"/>
          <w:szCs w:val="28"/>
          <w:lang w:val="en-US" w:eastAsia="zh-CN"/>
        </w:rPr>
        <w:t>015</w:t>
      </w:r>
      <w:r>
        <w:rPr>
          <w:rFonts w:hint="eastAsia" w:ascii="仿宋_GB2312" w:hAnsi="仿宋_GB2312" w:eastAsia="仿宋_GB2312" w:cs="仿宋_GB2312"/>
          <w:kern w:val="0"/>
          <w:sz w:val="28"/>
          <w:szCs w:val="28"/>
          <w:lang w:val="zh-CN"/>
        </w:rPr>
        <w:t>）的招标文件要求和《</w:t>
      </w:r>
      <w:r>
        <w:rPr>
          <w:rFonts w:hint="eastAsia" w:ascii="仿宋_GB2312" w:hAnsi="仿宋_GB2312" w:eastAsia="仿宋_GB2312" w:cs="仿宋_GB2312"/>
          <w:kern w:val="0"/>
          <w:sz w:val="28"/>
          <w:szCs w:val="28"/>
        </w:rPr>
        <w:t>中标</w:t>
      </w:r>
      <w:r>
        <w:rPr>
          <w:rFonts w:hint="eastAsia" w:ascii="仿宋_GB2312" w:hAnsi="仿宋_GB2312" w:eastAsia="仿宋_GB2312" w:cs="仿宋_GB2312"/>
          <w:kern w:val="0"/>
          <w:sz w:val="28"/>
          <w:szCs w:val="28"/>
          <w:lang w:val="zh-CN"/>
        </w:rPr>
        <w:t>通知书》，并经双方协商一致，签订本合同书。</w:t>
      </w:r>
    </w:p>
    <w:p w14:paraId="69715221">
      <w:pPr>
        <w:autoSpaceDE w:val="0"/>
        <w:autoSpaceDN w:val="0"/>
        <w:adjustRightInd w:val="0"/>
        <w:spacing w:line="360" w:lineRule="auto"/>
        <w:rPr>
          <w:rFonts w:hint="eastAsia" w:ascii="仿宋_GB2312" w:hAnsi="仿宋_GB2312" w:eastAsia="仿宋_GB2312" w:cs="仿宋_GB2312"/>
          <w:kern w:val="0"/>
          <w:sz w:val="28"/>
          <w:szCs w:val="28"/>
          <w:lang w:val="zh-CN"/>
        </w:rPr>
      </w:pPr>
      <w:bookmarkStart w:id="168" w:name="_Toc25232_WPSOffice_Level2"/>
      <w:bookmarkStart w:id="169" w:name="_Toc1379_WPSOffice_Level2"/>
      <w:bookmarkStart w:id="170" w:name="_Toc29927_WPSOffice_Level3"/>
      <w:bookmarkStart w:id="171" w:name="_Toc25499_WPSOffice_Level2"/>
      <w:r>
        <w:rPr>
          <w:rFonts w:hint="eastAsia" w:ascii="仿宋_GB2312" w:hAnsi="仿宋_GB2312" w:eastAsia="仿宋_GB2312" w:cs="仿宋_GB2312"/>
          <w:kern w:val="0"/>
          <w:sz w:val="28"/>
          <w:szCs w:val="28"/>
          <w:lang w:val="zh-CN"/>
        </w:rPr>
        <w:t>一、签订本政府采购合同的依据</w:t>
      </w:r>
      <w:bookmarkEnd w:id="168"/>
      <w:bookmarkEnd w:id="169"/>
      <w:bookmarkEnd w:id="170"/>
      <w:bookmarkEnd w:id="171"/>
    </w:p>
    <w:p w14:paraId="4A1E3204">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本政府采购合同所附下列文件是构成本政府采购合同不可分割的部分：</w:t>
      </w:r>
    </w:p>
    <w:p w14:paraId="50B6E52B">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bookmarkStart w:id="172" w:name="_Toc23684_WPSOffice_Level3"/>
      <w:r>
        <w:rPr>
          <w:rFonts w:hint="eastAsia" w:ascii="仿宋_GB2312" w:hAnsi="仿宋_GB2312" w:eastAsia="仿宋_GB2312" w:cs="仿宋_GB2312"/>
          <w:kern w:val="0"/>
          <w:sz w:val="28"/>
          <w:szCs w:val="28"/>
          <w:lang w:val="zh-CN"/>
        </w:rPr>
        <w:t>1.招标文件；</w:t>
      </w:r>
      <w:bookmarkEnd w:id="172"/>
    </w:p>
    <w:p w14:paraId="64467A6C">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bookmarkStart w:id="173" w:name="_Toc12225_WPSOffice_Level3"/>
      <w:r>
        <w:rPr>
          <w:rFonts w:hint="eastAsia" w:ascii="仿宋_GB2312" w:hAnsi="仿宋_GB2312" w:eastAsia="仿宋_GB2312" w:cs="仿宋_GB2312"/>
          <w:kern w:val="0"/>
          <w:sz w:val="28"/>
          <w:szCs w:val="28"/>
          <w:lang w:val="zh-CN"/>
        </w:rPr>
        <w:t>2.招标文件的更正、变更公告；</w:t>
      </w:r>
      <w:bookmarkEnd w:id="173"/>
    </w:p>
    <w:p w14:paraId="32C3B58D">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bookmarkStart w:id="174" w:name="_Toc4466_WPSOffice_Level3"/>
      <w:r>
        <w:rPr>
          <w:rFonts w:hint="eastAsia" w:ascii="仿宋_GB2312" w:hAnsi="仿宋_GB2312" w:eastAsia="仿宋_GB2312" w:cs="仿宋_GB2312"/>
          <w:kern w:val="0"/>
          <w:sz w:val="28"/>
          <w:szCs w:val="28"/>
          <w:lang w:val="zh-CN"/>
        </w:rPr>
        <w:t>3.</w:t>
      </w:r>
      <w:r>
        <w:rPr>
          <w:rFonts w:hint="eastAsia" w:ascii="仿宋_GB2312" w:hAnsi="仿宋_GB2312" w:eastAsia="仿宋_GB2312" w:cs="仿宋_GB2312"/>
          <w:kern w:val="0"/>
          <w:sz w:val="28"/>
          <w:szCs w:val="28"/>
        </w:rPr>
        <w:t>成交</w:t>
      </w:r>
      <w:r>
        <w:rPr>
          <w:rFonts w:hint="eastAsia" w:ascii="仿宋_GB2312" w:hAnsi="仿宋_GB2312" w:eastAsia="仿宋_GB2312" w:cs="仿宋_GB2312"/>
          <w:kern w:val="0"/>
          <w:sz w:val="28"/>
          <w:szCs w:val="28"/>
          <w:lang w:val="zh-CN"/>
        </w:rPr>
        <w:t>供应商提交的投标文件；</w:t>
      </w:r>
      <w:bookmarkEnd w:id="174"/>
    </w:p>
    <w:p w14:paraId="40158556">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bookmarkStart w:id="175" w:name="_Toc15893_WPSOffice_Level3"/>
      <w:r>
        <w:rPr>
          <w:rFonts w:hint="eastAsia" w:ascii="仿宋_GB2312" w:hAnsi="仿宋_GB2312" w:eastAsia="仿宋_GB2312" w:cs="仿宋_GB2312"/>
          <w:kern w:val="0"/>
          <w:sz w:val="28"/>
          <w:szCs w:val="28"/>
          <w:lang w:val="zh-CN"/>
        </w:rPr>
        <w:t>4.招标文件中规定的政府采购合同通用条款；</w:t>
      </w:r>
      <w:bookmarkEnd w:id="175"/>
    </w:p>
    <w:p w14:paraId="63B2061B">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bookmarkStart w:id="176" w:name="_Toc22327_WPSOffice_Level3"/>
      <w:r>
        <w:rPr>
          <w:rFonts w:hint="eastAsia" w:ascii="仿宋_GB2312" w:hAnsi="仿宋_GB2312" w:eastAsia="仿宋_GB2312" w:cs="仿宋_GB2312"/>
          <w:kern w:val="0"/>
          <w:sz w:val="28"/>
          <w:szCs w:val="28"/>
          <w:lang w:val="zh-CN"/>
        </w:rPr>
        <w:t>5.</w:t>
      </w:r>
      <w:r>
        <w:rPr>
          <w:rFonts w:hint="eastAsia" w:ascii="仿宋_GB2312" w:hAnsi="仿宋_GB2312" w:eastAsia="仿宋_GB2312" w:cs="仿宋_GB2312"/>
          <w:kern w:val="0"/>
          <w:sz w:val="28"/>
          <w:szCs w:val="28"/>
        </w:rPr>
        <w:t>成交</w:t>
      </w:r>
      <w:r>
        <w:rPr>
          <w:rFonts w:hint="eastAsia" w:ascii="仿宋_GB2312" w:hAnsi="仿宋_GB2312" w:eastAsia="仿宋_GB2312" w:cs="仿宋_GB2312"/>
          <w:kern w:val="0"/>
          <w:sz w:val="28"/>
          <w:szCs w:val="28"/>
          <w:lang w:val="zh-CN"/>
        </w:rPr>
        <w:t>通知书。</w:t>
      </w:r>
      <w:bookmarkEnd w:id="176"/>
    </w:p>
    <w:p w14:paraId="65D3690E">
      <w:pPr>
        <w:autoSpaceDE w:val="0"/>
        <w:autoSpaceDN w:val="0"/>
        <w:adjustRightInd w:val="0"/>
        <w:spacing w:line="360" w:lineRule="auto"/>
        <w:jc w:val="left"/>
        <w:rPr>
          <w:rFonts w:hint="eastAsia" w:ascii="仿宋_GB2312" w:hAnsi="仿宋_GB2312" w:eastAsia="仿宋_GB2312" w:cs="仿宋_GB2312"/>
          <w:kern w:val="0"/>
          <w:sz w:val="28"/>
          <w:szCs w:val="28"/>
          <w:lang w:val="zh-CN"/>
        </w:rPr>
      </w:pPr>
      <w:bookmarkStart w:id="177" w:name="_Toc2114_WPSOffice_Level2"/>
      <w:bookmarkStart w:id="178" w:name="_Toc11202_WPSOffice_Level2"/>
      <w:bookmarkStart w:id="179" w:name="_Toc10163_WPSOffice_Level3"/>
      <w:bookmarkStart w:id="180" w:name="_Toc12834_WPSOffice_Level2"/>
      <w:r>
        <w:rPr>
          <w:rFonts w:hint="eastAsia" w:ascii="仿宋_GB2312" w:hAnsi="仿宋_GB2312" w:eastAsia="仿宋_GB2312" w:cs="仿宋_GB2312"/>
          <w:kern w:val="0"/>
          <w:sz w:val="28"/>
          <w:szCs w:val="28"/>
          <w:lang w:val="zh-CN"/>
        </w:rPr>
        <w:t>二、合同标的及金额                                       单位：元</w:t>
      </w:r>
      <w:bookmarkEnd w:id="177"/>
      <w:bookmarkEnd w:id="178"/>
      <w:bookmarkEnd w:id="179"/>
      <w:bookmarkEnd w:id="180"/>
    </w:p>
    <w:tbl>
      <w:tblPr>
        <w:tblStyle w:val="34"/>
        <w:tblW w:w="0" w:type="auto"/>
        <w:jc w:val="center"/>
        <w:tblLayout w:type="fixed"/>
        <w:tblCellMar>
          <w:top w:w="0" w:type="dxa"/>
          <w:left w:w="56" w:type="dxa"/>
          <w:bottom w:w="0" w:type="dxa"/>
          <w:right w:w="56" w:type="dxa"/>
        </w:tblCellMar>
      </w:tblPr>
      <w:tblGrid>
        <w:gridCol w:w="1046"/>
        <w:gridCol w:w="3191"/>
        <w:gridCol w:w="1371"/>
        <w:gridCol w:w="1411"/>
        <w:gridCol w:w="1258"/>
      </w:tblGrid>
      <w:tr w14:paraId="117A4EBE">
        <w:tblPrEx>
          <w:tblCellMar>
            <w:top w:w="0" w:type="dxa"/>
            <w:left w:w="56" w:type="dxa"/>
            <w:bottom w:w="0" w:type="dxa"/>
            <w:right w:w="56" w:type="dxa"/>
          </w:tblCellMar>
        </w:tblPrEx>
        <w:trPr>
          <w:trHeight w:val="23" w:hRule="atLeast"/>
          <w:jc w:val="center"/>
        </w:trPr>
        <w:tc>
          <w:tcPr>
            <w:tcW w:w="1046" w:type="dxa"/>
            <w:tcBorders>
              <w:top w:val="single" w:color="000000" w:sz="2" w:space="0"/>
              <w:left w:val="single" w:color="000000" w:sz="2" w:space="0"/>
              <w:bottom w:val="single" w:color="000000" w:sz="2" w:space="0"/>
              <w:right w:val="single" w:color="000000" w:sz="2" w:space="0"/>
            </w:tcBorders>
            <w:noWrap w:val="0"/>
            <w:vAlign w:val="center"/>
          </w:tcPr>
          <w:p w14:paraId="25160A76">
            <w:pPr>
              <w:autoSpaceDE w:val="0"/>
              <w:autoSpaceDN w:val="0"/>
              <w:adjustRightInd w:val="0"/>
              <w:spacing w:line="360" w:lineRule="auto"/>
              <w:ind w:left="0" w:leftChars="0" w:firstLine="0" w:firstLineChars="0"/>
              <w:jc w:val="both"/>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序号</w:t>
            </w:r>
          </w:p>
        </w:tc>
        <w:tc>
          <w:tcPr>
            <w:tcW w:w="3191" w:type="dxa"/>
            <w:tcBorders>
              <w:top w:val="single" w:color="000000" w:sz="2" w:space="0"/>
              <w:left w:val="single" w:color="000000" w:sz="2" w:space="0"/>
              <w:bottom w:val="single" w:color="000000" w:sz="2" w:space="0"/>
              <w:right w:val="single" w:color="000000" w:sz="2" w:space="0"/>
            </w:tcBorders>
            <w:noWrap w:val="0"/>
            <w:vAlign w:val="center"/>
          </w:tcPr>
          <w:p w14:paraId="6DA95047">
            <w:pPr>
              <w:autoSpaceDE w:val="0"/>
              <w:autoSpaceDN w:val="0"/>
              <w:adjustRightInd w:val="0"/>
              <w:spacing w:line="360" w:lineRule="auto"/>
              <w:jc w:val="both"/>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服务内容</w:t>
            </w:r>
          </w:p>
        </w:tc>
        <w:tc>
          <w:tcPr>
            <w:tcW w:w="1371" w:type="dxa"/>
            <w:tcBorders>
              <w:top w:val="single" w:color="000000" w:sz="2" w:space="0"/>
              <w:left w:val="single" w:color="000000" w:sz="2" w:space="0"/>
              <w:bottom w:val="single" w:color="000000" w:sz="2" w:space="0"/>
              <w:right w:val="single" w:color="000000" w:sz="2" w:space="0"/>
            </w:tcBorders>
            <w:noWrap w:val="0"/>
            <w:vAlign w:val="center"/>
          </w:tcPr>
          <w:p w14:paraId="1E22EA92">
            <w:pPr>
              <w:autoSpaceDE w:val="0"/>
              <w:autoSpaceDN w:val="0"/>
              <w:adjustRightInd w:val="0"/>
              <w:spacing w:line="360" w:lineRule="auto"/>
              <w:jc w:val="both"/>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单价</w:t>
            </w:r>
          </w:p>
        </w:tc>
        <w:tc>
          <w:tcPr>
            <w:tcW w:w="1411" w:type="dxa"/>
            <w:tcBorders>
              <w:top w:val="single" w:color="000000" w:sz="2" w:space="0"/>
              <w:left w:val="single" w:color="000000" w:sz="2" w:space="0"/>
              <w:bottom w:val="single" w:color="000000" w:sz="2" w:space="0"/>
              <w:right w:val="single" w:color="000000" w:sz="2" w:space="0"/>
            </w:tcBorders>
            <w:noWrap w:val="0"/>
            <w:vAlign w:val="center"/>
          </w:tcPr>
          <w:p w14:paraId="308890B1">
            <w:pPr>
              <w:autoSpaceDE w:val="0"/>
              <w:autoSpaceDN w:val="0"/>
              <w:adjustRightInd w:val="0"/>
              <w:spacing w:line="360" w:lineRule="auto"/>
              <w:jc w:val="both"/>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总价</w:t>
            </w:r>
          </w:p>
        </w:tc>
        <w:tc>
          <w:tcPr>
            <w:tcW w:w="1258" w:type="dxa"/>
            <w:tcBorders>
              <w:top w:val="single" w:color="000000" w:sz="2" w:space="0"/>
              <w:left w:val="single" w:color="000000" w:sz="2" w:space="0"/>
              <w:bottom w:val="single" w:color="000000" w:sz="2" w:space="0"/>
              <w:right w:val="single" w:color="000000" w:sz="2" w:space="0"/>
            </w:tcBorders>
            <w:noWrap w:val="0"/>
            <w:vAlign w:val="center"/>
          </w:tcPr>
          <w:p w14:paraId="31CAC1A8">
            <w:pPr>
              <w:autoSpaceDE w:val="0"/>
              <w:autoSpaceDN w:val="0"/>
              <w:adjustRightInd w:val="0"/>
              <w:spacing w:line="360" w:lineRule="auto"/>
              <w:jc w:val="both"/>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备注</w:t>
            </w:r>
          </w:p>
        </w:tc>
      </w:tr>
      <w:tr w14:paraId="55828EC9">
        <w:tblPrEx>
          <w:tblCellMar>
            <w:top w:w="0" w:type="dxa"/>
            <w:left w:w="56" w:type="dxa"/>
            <w:bottom w:w="0" w:type="dxa"/>
            <w:right w:w="56" w:type="dxa"/>
          </w:tblCellMar>
        </w:tblPrEx>
        <w:trPr>
          <w:trHeight w:val="23" w:hRule="atLeast"/>
          <w:jc w:val="center"/>
        </w:trPr>
        <w:tc>
          <w:tcPr>
            <w:tcW w:w="1046" w:type="dxa"/>
            <w:tcBorders>
              <w:top w:val="single" w:color="000000" w:sz="2" w:space="0"/>
              <w:left w:val="single" w:color="000000" w:sz="2" w:space="0"/>
              <w:bottom w:val="single" w:color="000000" w:sz="2" w:space="0"/>
              <w:right w:val="single" w:color="000000" w:sz="2" w:space="0"/>
            </w:tcBorders>
            <w:noWrap w:val="0"/>
            <w:vAlign w:val="center"/>
          </w:tcPr>
          <w:p w14:paraId="17AB94AA">
            <w:pPr>
              <w:autoSpaceDE w:val="0"/>
              <w:autoSpaceDN w:val="0"/>
              <w:adjustRightInd w:val="0"/>
              <w:spacing w:line="360" w:lineRule="auto"/>
              <w:jc w:val="both"/>
              <w:rPr>
                <w:rFonts w:hint="eastAsia" w:ascii="仿宋_GB2312" w:hAnsi="仿宋_GB2312" w:eastAsia="仿宋_GB2312" w:cs="仿宋_GB2312"/>
                <w:kern w:val="0"/>
                <w:sz w:val="28"/>
                <w:szCs w:val="28"/>
                <w:lang w:val="zh-CN"/>
              </w:rPr>
            </w:pPr>
          </w:p>
        </w:tc>
        <w:tc>
          <w:tcPr>
            <w:tcW w:w="3191" w:type="dxa"/>
            <w:tcBorders>
              <w:top w:val="single" w:color="000000" w:sz="2" w:space="0"/>
              <w:left w:val="single" w:color="000000" w:sz="2" w:space="0"/>
              <w:bottom w:val="single" w:color="000000" w:sz="2" w:space="0"/>
              <w:right w:val="single" w:color="000000" w:sz="2" w:space="0"/>
            </w:tcBorders>
            <w:noWrap w:val="0"/>
            <w:vAlign w:val="center"/>
          </w:tcPr>
          <w:p w14:paraId="6EA71476">
            <w:pPr>
              <w:autoSpaceDE w:val="0"/>
              <w:autoSpaceDN w:val="0"/>
              <w:adjustRightInd w:val="0"/>
              <w:spacing w:line="360" w:lineRule="auto"/>
              <w:jc w:val="both"/>
              <w:rPr>
                <w:rFonts w:hint="eastAsia" w:ascii="仿宋_GB2312" w:hAnsi="仿宋_GB2312" w:eastAsia="仿宋_GB2312" w:cs="仿宋_GB2312"/>
                <w:kern w:val="0"/>
                <w:sz w:val="28"/>
                <w:szCs w:val="28"/>
                <w:lang w:val="zh-CN"/>
              </w:rPr>
            </w:pPr>
          </w:p>
        </w:tc>
        <w:tc>
          <w:tcPr>
            <w:tcW w:w="1371" w:type="dxa"/>
            <w:tcBorders>
              <w:top w:val="single" w:color="000000" w:sz="2" w:space="0"/>
              <w:left w:val="single" w:color="000000" w:sz="2" w:space="0"/>
              <w:bottom w:val="single" w:color="000000" w:sz="2" w:space="0"/>
              <w:right w:val="single" w:color="000000" w:sz="2" w:space="0"/>
            </w:tcBorders>
            <w:noWrap w:val="0"/>
            <w:vAlign w:val="center"/>
          </w:tcPr>
          <w:p w14:paraId="27B2E0C3">
            <w:pPr>
              <w:autoSpaceDE w:val="0"/>
              <w:autoSpaceDN w:val="0"/>
              <w:adjustRightInd w:val="0"/>
              <w:spacing w:line="360" w:lineRule="auto"/>
              <w:jc w:val="both"/>
              <w:rPr>
                <w:rFonts w:hint="eastAsia" w:ascii="仿宋_GB2312" w:hAnsi="仿宋_GB2312" w:eastAsia="仿宋_GB2312" w:cs="仿宋_GB2312"/>
                <w:kern w:val="0"/>
                <w:sz w:val="28"/>
                <w:szCs w:val="28"/>
                <w:lang w:val="zh-CN"/>
              </w:rPr>
            </w:pPr>
          </w:p>
        </w:tc>
        <w:tc>
          <w:tcPr>
            <w:tcW w:w="1411" w:type="dxa"/>
            <w:tcBorders>
              <w:top w:val="single" w:color="000000" w:sz="2" w:space="0"/>
              <w:left w:val="single" w:color="000000" w:sz="2" w:space="0"/>
              <w:bottom w:val="single" w:color="000000" w:sz="2" w:space="0"/>
              <w:right w:val="single" w:color="000000" w:sz="2" w:space="0"/>
            </w:tcBorders>
            <w:noWrap w:val="0"/>
            <w:vAlign w:val="center"/>
          </w:tcPr>
          <w:p w14:paraId="4A54EC95">
            <w:pPr>
              <w:autoSpaceDE w:val="0"/>
              <w:autoSpaceDN w:val="0"/>
              <w:adjustRightInd w:val="0"/>
              <w:spacing w:line="360" w:lineRule="auto"/>
              <w:jc w:val="both"/>
              <w:rPr>
                <w:rFonts w:hint="eastAsia" w:ascii="仿宋_GB2312" w:hAnsi="仿宋_GB2312" w:eastAsia="仿宋_GB2312" w:cs="仿宋_GB2312"/>
                <w:kern w:val="0"/>
                <w:sz w:val="28"/>
                <w:szCs w:val="28"/>
                <w:lang w:val="zh-CN"/>
              </w:rPr>
            </w:pPr>
          </w:p>
        </w:tc>
        <w:tc>
          <w:tcPr>
            <w:tcW w:w="1258" w:type="dxa"/>
            <w:tcBorders>
              <w:top w:val="single" w:color="000000" w:sz="2" w:space="0"/>
              <w:left w:val="single" w:color="000000" w:sz="2" w:space="0"/>
              <w:bottom w:val="single" w:color="000000" w:sz="2" w:space="0"/>
              <w:right w:val="single" w:color="000000" w:sz="2" w:space="0"/>
            </w:tcBorders>
            <w:noWrap w:val="0"/>
            <w:vAlign w:val="center"/>
          </w:tcPr>
          <w:p w14:paraId="56876084">
            <w:pPr>
              <w:autoSpaceDE w:val="0"/>
              <w:autoSpaceDN w:val="0"/>
              <w:adjustRightInd w:val="0"/>
              <w:spacing w:line="360" w:lineRule="auto"/>
              <w:jc w:val="both"/>
              <w:rPr>
                <w:rFonts w:hint="eastAsia" w:ascii="仿宋_GB2312" w:hAnsi="仿宋_GB2312" w:eastAsia="仿宋_GB2312" w:cs="仿宋_GB2312"/>
                <w:kern w:val="0"/>
                <w:sz w:val="28"/>
                <w:szCs w:val="28"/>
                <w:lang w:val="zh-CN"/>
              </w:rPr>
            </w:pPr>
          </w:p>
        </w:tc>
      </w:tr>
      <w:tr w14:paraId="7AD0AC1E">
        <w:tblPrEx>
          <w:tblCellMar>
            <w:top w:w="0" w:type="dxa"/>
            <w:left w:w="56" w:type="dxa"/>
            <w:bottom w:w="0" w:type="dxa"/>
            <w:right w:w="56" w:type="dxa"/>
          </w:tblCellMar>
        </w:tblPrEx>
        <w:trPr>
          <w:trHeight w:val="23" w:hRule="atLeast"/>
          <w:jc w:val="center"/>
        </w:trPr>
        <w:tc>
          <w:tcPr>
            <w:tcW w:w="1046" w:type="dxa"/>
            <w:tcBorders>
              <w:top w:val="single" w:color="000000" w:sz="2" w:space="0"/>
              <w:left w:val="single" w:color="000000" w:sz="2" w:space="0"/>
              <w:bottom w:val="single" w:color="000000" w:sz="2" w:space="0"/>
              <w:right w:val="single" w:color="000000" w:sz="2" w:space="0"/>
            </w:tcBorders>
            <w:noWrap w:val="0"/>
            <w:vAlign w:val="center"/>
          </w:tcPr>
          <w:p w14:paraId="78D6A05A">
            <w:pPr>
              <w:autoSpaceDE w:val="0"/>
              <w:autoSpaceDN w:val="0"/>
              <w:adjustRightInd w:val="0"/>
              <w:spacing w:line="360" w:lineRule="auto"/>
              <w:jc w:val="both"/>
              <w:rPr>
                <w:rFonts w:hint="eastAsia" w:ascii="仿宋_GB2312" w:hAnsi="仿宋_GB2312" w:eastAsia="仿宋_GB2312" w:cs="仿宋_GB2312"/>
                <w:kern w:val="0"/>
                <w:sz w:val="28"/>
                <w:szCs w:val="28"/>
                <w:lang w:val="zh-CN"/>
              </w:rPr>
            </w:pPr>
          </w:p>
        </w:tc>
        <w:tc>
          <w:tcPr>
            <w:tcW w:w="3191" w:type="dxa"/>
            <w:tcBorders>
              <w:top w:val="single" w:color="000000" w:sz="2" w:space="0"/>
              <w:left w:val="single" w:color="000000" w:sz="2" w:space="0"/>
              <w:bottom w:val="single" w:color="000000" w:sz="2" w:space="0"/>
              <w:right w:val="single" w:color="000000" w:sz="2" w:space="0"/>
            </w:tcBorders>
            <w:noWrap w:val="0"/>
            <w:vAlign w:val="center"/>
          </w:tcPr>
          <w:p w14:paraId="74089EB0">
            <w:pPr>
              <w:autoSpaceDE w:val="0"/>
              <w:autoSpaceDN w:val="0"/>
              <w:adjustRightInd w:val="0"/>
              <w:spacing w:line="360" w:lineRule="auto"/>
              <w:jc w:val="both"/>
              <w:rPr>
                <w:rFonts w:hint="eastAsia" w:ascii="仿宋_GB2312" w:hAnsi="仿宋_GB2312" w:eastAsia="仿宋_GB2312" w:cs="仿宋_GB2312"/>
                <w:kern w:val="0"/>
                <w:sz w:val="28"/>
                <w:szCs w:val="28"/>
                <w:lang w:val="zh-CN"/>
              </w:rPr>
            </w:pPr>
          </w:p>
        </w:tc>
        <w:tc>
          <w:tcPr>
            <w:tcW w:w="1371" w:type="dxa"/>
            <w:tcBorders>
              <w:top w:val="single" w:color="000000" w:sz="2" w:space="0"/>
              <w:left w:val="single" w:color="000000" w:sz="2" w:space="0"/>
              <w:bottom w:val="single" w:color="000000" w:sz="2" w:space="0"/>
              <w:right w:val="single" w:color="000000" w:sz="2" w:space="0"/>
            </w:tcBorders>
            <w:noWrap w:val="0"/>
            <w:vAlign w:val="center"/>
          </w:tcPr>
          <w:p w14:paraId="513769F9">
            <w:pPr>
              <w:autoSpaceDE w:val="0"/>
              <w:autoSpaceDN w:val="0"/>
              <w:adjustRightInd w:val="0"/>
              <w:spacing w:line="360" w:lineRule="auto"/>
              <w:jc w:val="both"/>
              <w:rPr>
                <w:rFonts w:hint="eastAsia" w:ascii="仿宋_GB2312" w:hAnsi="仿宋_GB2312" w:eastAsia="仿宋_GB2312" w:cs="仿宋_GB2312"/>
                <w:kern w:val="0"/>
                <w:sz w:val="28"/>
                <w:szCs w:val="28"/>
                <w:lang w:val="zh-CN"/>
              </w:rPr>
            </w:pPr>
          </w:p>
        </w:tc>
        <w:tc>
          <w:tcPr>
            <w:tcW w:w="1411" w:type="dxa"/>
            <w:tcBorders>
              <w:top w:val="single" w:color="000000" w:sz="2" w:space="0"/>
              <w:left w:val="single" w:color="000000" w:sz="2" w:space="0"/>
              <w:bottom w:val="single" w:color="000000" w:sz="2" w:space="0"/>
              <w:right w:val="single" w:color="000000" w:sz="2" w:space="0"/>
            </w:tcBorders>
            <w:noWrap w:val="0"/>
            <w:vAlign w:val="center"/>
          </w:tcPr>
          <w:p w14:paraId="52C40E9C">
            <w:pPr>
              <w:autoSpaceDE w:val="0"/>
              <w:autoSpaceDN w:val="0"/>
              <w:adjustRightInd w:val="0"/>
              <w:spacing w:line="360" w:lineRule="auto"/>
              <w:jc w:val="both"/>
              <w:rPr>
                <w:rFonts w:hint="eastAsia" w:ascii="仿宋_GB2312" w:hAnsi="仿宋_GB2312" w:eastAsia="仿宋_GB2312" w:cs="仿宋_GB2312"/>
                <w:kern w:val="0"/>
                <w:sz w:val="28"/>
                <w:szCs w:val="28"/>
                <w:lang w:val="zh-CN"/>
              </w:rPr>
            </w:pPr>
          </w:p>
        </w:tc>
        <w:tc>
          <w:tcPr>
            <w:tcW w:w="1258" w:type="dxa"/>
            <w:tcBorders>
              <w:top w:val="single" w:color="000000" w:sz="2" w:space="0"/>
              <w:left w:val="single" w:color="000000" w:sz="2" w:space="0"/>
              <w:bottom w:val="single" w:color="000000" w:sz="2" w:space="0"/>
              <w:right w:val="single" w:color="000000" w:sz="2" w:space="0"/>
            </w:tcBorders>
            <w:noWrap w:val="0"/>
            <w:vAlign w:val="center"/>
          </w:tcPr>
          <w:p w14:paraId="10A4E323">
            <w:pPr>
              <w:autoSpaceDE w:val="0"/>
              <w:autoSpaceDN w:val="0"/>
              <w:adjustRightInd w:val="0"/>
              <w:spacing w:line="360" w:lineRule="auto"/>
              <w:jc w:val="both"/>
              <w:rPr>
                <w:rFonts w:hint="eastAsia" w:ascii="仿宋_GB2312" w:hAnsi="仿宋_GB2312" w:eastAsia="仿宋_GB2312" w:cs="仿宋_GB2312"/>
                <w:kern w:val="0"/>
                <w:sz w:val="28"/>
                <w:szCs w:val="28"/>
                <w:lang w:val="zh-CN"/>
              </w:rPr>
            </w:pPr>
          </w:p>
        </w:tc>
      </w:tr>
    </w:tbl>
    <w:p w14:paraId="63A51639">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根据上述政府采购合同文件要求，本政府采购合同的总金额为人民币</w:t>
      </w:r>
      <w:r>
        <w:rPr>
          <w:rFonts w:hint="eastAsia" w:ascii="仿宋_GB2312" w:hAnsi="仿宋_GB2312" w:eastAsia="仿宋_GB2312" w:cs="仿宋_GB2312"/>
          <w:kern w:val="0"/>
          <w:sz w:val="28"/>
          <w:szCs w:val="28"/>
          <w:u w:val="single"/>
          <w:lang w:val="zh-CN"/>
        </w:rPr>
        <w:t xml:space="preserve">    （大写）    元</w:t>
      </w:r>
      <w:r>
        <w:rPr>
          <w:rFonts w:hint="eastAsia" w:ascii="仿宋_GB2312" w:hAnsi="仿宋_GB2312" w:eastAsia="仿宋_GB2312" w:cs="仿宋_GB2312"/>
          <w:kern w:val="0"/>
          <w:sz w:val="28"/>
          <w:szCs w:val="28"/>
          <w:lang w:val="zh-CN"/>
        </w:rPr>
        <w:t>。</w:t>
      </w:r>
    </w:p>
    <w:p w14:paraId="6801D364">
      <w:pPr>
        <w:autoSpaceDE w:val="0"/>
        <w:autoSpaceDN w:val="0"/>
        <w:adjustRightInd w:val="0"/>
        <w:spacing w:line="360" w:lineRule="auto"/>
        <w:ind w:firstLine="560" w:firstLineChars="20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本合同以人民币进行结算，合同总价包括：项目</w:t>
      </w:r>
      <w:r>
        <w:rPr>
          <w:rFonts w:hint="eastAsia" w:ascii="仿宋_GB2312" w:hAnsi="仿宋_GB2312" w:eastAsia="仿宋_GB2312" w:cs="仿宋_GB2312"/>
          <w:kern w:val="0"/>
          <w:sz w:val="28"/>
          <w:szCs w:val="28"/>
          <w:lang w:val="en-US" w:eastAsia="zh-CN"/>
        </w:rPr>
        <w:t>技术</w:t>
      </w:r>
      <w:r>
        <w:rPr>
          <w:rFonts w:hint="eastAsia" w:ascii="仿宋_GB2312" w:hAnsi="仿宋_GB2312" w:eastAsia="仿宋_GB2312" w:cs="仿宋_GB2312"/>
          <w:kern w:val="0"/>
          <w:sz w:val="28"/>
          <w:szCs w:val="28"/>
          <w:lang w:val="zh-CN"/>
        </w:rPr>
        <w:t>服务费、专家</w:t>
      </w:r>
      <w:r>
        <w:rPr>
          <w:rFonts w:hint="eastAsia" w:ascii="仿宋_GB2312" w:hAnsi="仿宋_GB2312" w:eastAsia="仿宋_GB2312" w:cs="仿宋_GB2312"/>
          <w:kern w:val="0"/>
          <w:sz w:val="28"/>
          <w:szCs w:val="28"/>
          <w:lang w:val="en-US" w:eastAsia="zh-CN"/>
        </w:rPr>
        <w:t>审核</w:t>
      </w:r>
      <w:r>
        <w:rPr>
          <w:rFonts w:hint="eastAsia" w:ascii="仿宋_GB2312" w:hAnsi="仿宋_GB2312" w:eastAsia="仿宋_GB2312" w:cs="仿宋_GB2312"/>
          <w:kern w:val="0"/>
          <w:sz w:val="28"/>
          <w:szCs w:val="28"/>
          <w:lang w:val="zh-CN"/>
        </w:rPr>
        <w:t>费、保险费、采购代理服务费、税金及不可预见费等全部费用。</w:t>
      </w:r>
    </w:p>
    <w:p w14:paraId="00AC6007">
      <w:pPr>
        <w:autoSpaceDE w:val="0"/>
        <w:autoSpaceDN w:val="0"/>
        <w:adjustRightInd w:val="0"/>
        <w:spacing w:line="360" w:lineRule="auto"/>
        <w:rPr>
          <w:rFonts w:hint="eastAsia" w:ascii="仿宋_GB2312" w:hAnsi="仿宋_GB2312" w:eastAsia="仿宋_GB2312" w:cs="仿宋_GB2312"/>
          <w:kern w:val="0"/>
          <w:sz w:val="28"/>
          <w:szCs w:val="28"/>
          <w:lang w:val="zh-CN"/>
        </w:rPr>
      </w:pPr>
      <w:bookmarkStart w:id="181" w:name="_Toc25628_WPSOffice_Level2"/>
      <w:bookmarkStart w:id="182" w:name="_Toc17512_WPSOffice_Level2"/>
      <w:bookmarkStart w:id="183" w:name="_Toc12048_WPSOffice_Level2"/>
      <w:bookmarkStart w:id="184" w:name="_Toc13400_WPSOffice_Level3"/>
      <w:r>
        <w:rPr>
          <w:rFonts w:hint="eastAsia" w:ascii="仿宋_GB2312" w:hAnsi="仿宋_GB2312" w:eastAsia="仿宋_GB2312" w:cs="仿宋_GB2312"/>
          <w:kern w:val="0"/>
          <w:sz w:val="28"/>
          <w:szCs w:val="28"/>
          <w:lang w:val="zh-CN"/>
        </w:rPr>
        <w:t>三、服务周期、地点和要求</w:t>
      </w:r>
      <w:bookmarkEnd w:id="181"/>
      <w:bookmarkEnd w:id="182"/>
      <w:bookmarkEnd w:id="183"/>
      <w:bookmarkEnd w:id="184"/>
    </w:p>
    <w:p w14:paraId="1ACF8DC2">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1.服务周期：</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u w:val="single"/>
          <w:lang w:val="en-US" w:eastAsia="zh-CN"/>
        </w:rPr>
        <w:t>三年</w:t>
      </w:r>
      <w:r>
        <w:rPr>
          <w:rFonts w:hint="eastAsia" w:ascii="仿宋_GB2312" w:hAnsi="仿宋_GB2312" w:eastAsia="仿宋_GB2312" w:cs="仿宋_GB2312"/>
          <w:kern w:val="0"/>
          <w:sz w:val="28"/>
          <w:szCs w:val="28"/>
          <w:lang w:val="zh-CN"/>
        </w:rPr>
        <w:t>；</w:t>
      </w:r>
    </w:p>
    <w:p w14:paraId="5F2ECA7D">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en-US" w:eastAsia="zh-CN"/>
        </w:rPr>
        <w:t>服务</w:t>
      </w:r>
      <w:r>
        <w:rPr>
          <w:rFonts w:hint="eastAsia" w:ascii="仿宋_GB2312" w:hAnsi="仿宋_GB2312" w:eastAsia="仿宋_GB2312" w:cs="仿宋_GB2312"/>
          <w:kern w:val="0"/>
          <w:sz w:val="28"/>
          <w:szCs w:val="28"/>
          <w:lang w:val="zh-CN"/>
        </w:rPr>
        <w:t>地点：</w:t>
      </w:r>
      <w:r>
        <w:rPr>
          <w:rFonts w:hint="eastAsia" w:ascii="仿宋_GB2312" w:hAnsi="仿宋_GB2312" w:eastAsia="仿宋_GB2312" w:cs="仿宋_GB2312"/>
          <w:kern w:val="0"/>
          <w:sz w:val="28"/>
          <w:szCs w:val="28"/>
          <w:u w:val="single"/>
          <w:lang w:val="en-US" w:eastAsia="zh-CN"/>
        </w:rPr>
        <w:t>青海民族大学或</w:t>
      </w:r>
      <w:r>
        <w:rPr>
          <w:rFonts w:hint="eastAsia" w:ascii="仿宋_GB2312" w:hAnsi="仿宋_GB2312" w:eastAsia="仿宋_GB2312" w:cs="仿宋_GB2312"/>
          <w:kern w:val="0"/>
          <w:sz w:val="28"/>
          <w:szCs w:val="28"/>
          <w:u w:val="single"/>
        </w:rPr>
        <w:t>指定地点</w:t>
      </w:r>
      <w:r>
        <w:rPr>
          <w:rFonts w:hint="eastAsia" w:ascii="仿宋_GB2312" w:hAnsi="仿宋_GB2312" w:eastAsia="仿宋_GB2312" w:cs="仿宋_GB2312"/>
          <w:kern w:val="0"/>
          <w:sz w:val="28"/>
          <w:szCs w:val="28"/>
          <w:lang w:val="zh-CN"/>
        </w:rPr>
        <w:t>。</w:t>
      </w:r>
    </w:p>
    <w:p w14:paraId="024FBBAC">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2.乙方提供不符合招标文件、投标文件和本合同规定的报告资料，甲方有权拒绝接受，并扣除相应费用。</w:t>
      </w:r>
    </w:p>
    <w:p w14:paraId="608F1239">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3.乙方应提供的报告资料、其他配套资料等交付给甲方，如有缺失应及时补齐，否则视为逾期交货。</w:t>
      </w:r>
    </w:p>
    <w:p w14:paraId="2400C990">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4.甲方应当在所有资料齐全后</w:t>
      </w:r>
      <w:r>
        <w:rPr>
          <w:rFonts w:hint="eastAsia" w:ascii="仿宋_GB2312" w:hAnsi="仿宋_GB2312" w:eastAsia="仿宋_GB2312" w:cs="仿宋_GB2312"/>
          <w:kern w:val="0"/>
          <w:sz w:val="28"/>
          <w:szCs w:val="28"/>
          <w:u w:val="single"/>
          <w:lang w:val="zh-CN"/>
        </w:rPr>
        <w:t>7</w:t>
      </w:r>
      <w:r>
        <w:rPr>
          <w:rFonts w:hint="eastAsia" w:ascii="仿宋_GB2312" w:hAnsi="仿宋_GB2312" w:eastAsia="仿宋_GB2312" w:cs="仿宋_GB2312"/>
          <w:kern w:val="0"/>
          <w:sz w:val="28"/>
          <w:szCs w:val="28"/>
          <w:lang w:val="zh-CN"/>
        </w:rPr>
        <w:t>个工作日内进行验收，逾期不验收的，乙方可视为验收合格。验收合格后，由甲乙双方签署项目验收单并加盖采购人公章，甲乙双方各执一份。</w:t>
      </w:r>
    </w:p>
    <w:p w14:paraId="14F21873">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5.甲方在验收过程中发现乙方有违约问题，可按招、投标文件的规定要求乙方及时予以解决。</w:t>
      </w:r>
    </w:p>
    <w:p w14:paraId="1AF21D74">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6.乙方向甲方提供相关完税发票。</w:t>
      </w:r>
    </w:p>
    <w:p w14:paraId="456B1DF2">
      <w:pPr>
        <w:autoSpaceDE w:val="0"/>
        <w:autoSpaceDN w:val="0"/>
        <w:adjustRightInd w:val="0"/>
        <w:spacing w:line="360" w:lineRule="auto"/>
        <w:rPr>
          <w:rFonts w:hint="eastAsia" w:ascii="仿宋_GB2312" w:hAnsi="仿宋_GB2312" w:eastAsia="仿宋_GB2312" w:cs="仿宋_GB2312"/>
          <w:kern w:val="0"/>
          <w:sz w:val="28"/>
          <w:szCs w:val="28"/>
          <w:lang w:val="zh-CN"/>
        </w:rPr>
      </w:pPr>
      <w:bookmarkStart w:id="185" w:name="_Toc9454_WPSOffice_Level2"/>
      <w:bookmarkStart w:id="186" w:name="_Toc7764_WPSOffice_Level2"/>
      <w:bookmarkStart w:id="187" w:name="_Toc2819_WPSOffice_Level3"/>
      <w:bookmarkStart w:id="188" w:name="_Toc20437_WPSOffice_Level2"/>
      <w:r>
        <w:rPr>
          <w:rFonts w:hint="eastAsia" w:ascii="仿宋_GB2312" w:hAnsi="仿宋_GB2312" w:eastAsia="仿宋_GB2312" w:cs="仿宋_GB2312"/>
          <w:kern w:val="0"/>
          <w:sz w:val="28"/>
          <w:szCs w:val="28"/>
          <w:lang w:val="zh-CN"/>
        </w:rPr>
        <w:t>四、付款方式</w:t>
      </w:r>
      <w:bookmarkEnd w:id="185"/>
      <w:bookmarkEnd w:id="186"/>
      <w:bookmarkEnd w:id="187"/>
      <w:bookmarkEnd w:id="188"/>
    </w:p>
    <w:p w14:paraId="5A470083">
      <w:pPr>
        <w:widowControl/>
        <w:shd w:val="clear" w:color="auto" w:fill="FFFFFF"/>
        <w:spacing w:line="500" w:lineRule="exact"/>
        <w:ind w:firstLine="560" w:firstLineChars="200"/>
        <w:rPr>
          <w:rFonts w:hint="eastAsia" w:ascii="仿宋_GB2312" w:hAnsi="仿宋_GB2312" w:eastAsia="仿宋_GB2312" w:cs="仿宋_GB2312"/>
          <w:kern w:val="0"/>
          <w:sz w:val="28"/>
          <w:szCs w:val="28"/>
          <w:lang w:val="zh-CN" w:eastAsia="zh-CN"/>
        </w:rPr>
      </w:pPr>
      <w:bookmarkStart w:id="189" w:name="_Toc32616_WPSOffice_Level2"/>
      <w:bookmarkStart w:id="190" w:name="_Toc3617_WPSOffice_Level3"/>
      <w:bookmarkStart w:id="191" w:name="_Toc936_WPSOffice_Level2"/>
      <w:bookmarkStart w:id="192" w:name="_Toc16747_WPSOffice_Level2"/>
      <w:r>
        <w:rPr>
          <w:rFonts w:hint="eastAsia" w:ascii="仿宋_GB2312" w:hAnsi="仿宋_GB2312" w:eastAsia="仿宋_GB2312" w:cs="仿宋_GB2312"/>
          <w:kern w:val="0"/>
          <w:sz w:val="28"/>
          <w:szCs w:val="28"/>
          <w:lang w:val="zh-CN" w:eastAsia="zh-CN"/>
        </w:rPr>
        <w:t>每年开展2个批次的论文送审服务，按批次支付；付款条件说明：乙方所交付的</w:t>
      </w:r>
      <w:r>
        <w:rPr>
          <w:rFonts w:hint="eastAsia" w:ascii="仿宋_GB2312" w:hAnsi="仿宋_GB2312" w:eastAsia="仿宋_GB2312" w:cs="仿宋_GB2312"/>
          <w:kern w:val="0"/>
          <w:sz w:val="28"/>
          <w:szCs w:val="28"/>
          <w:lang w:val="en-US" w:eastAsia="zh-CN"/>
        </w:rPr>
        <w:t>服务产品</w:t>
      </w:r>
      <w:r>
        <w:rPr>
          <w:rFonts w:hint="eastAsia" w:ascii="仿宋_GB2312" w:hAnsi="仿宋_GB2312" w:eastAsia="仿宋_GB2312" w:cs="仿宋_GB2312"/>
          <w:kern w:val="0"/>
          <w:sz w:val="28"/>
          <w:szCs w:val="28"/>
          <w:lang w:val="zh-CN" w:eastAsia="zh-CN"/>
        </w:rPr>
        <w:t>由甲方验收，验收合格并完成当年每批次论文送审工作后</w:t>
      </w:r>
      <w:r>
        <w:rPr>
          <w:rFonts w:hint="eastAsia" w:ascii="仿宋_GB2312" w:hAnsi="仿宋_GB2312" w:eastAsia="仿宋_GB2312" w:cs="仿宋_GB2312"/>
          <w:kern w:val="0"/>
          <w:sz w:val="28"/>
          <w:szCs w:val="28"/>
          <w:lang w:val="en-US" w:eastAsia="zh-CN"/>
        </w:rPr>
        <w:t>（根据我校研究生毕业工作，每年预计将于4月、10月分为2个批次开展上下半年毕业研究生学位论文送审工作）</w:t>
      </w:r>
      <w:r>
        <w:rPr>
          <w:rFonts w:hint="eastAsia" w:ascii="仿宋_GB2312" w:hAnsi="仿宋_GB2312" w:eastAsia="仿宋_GB2312" w:cs="仿宋_GB2312"/>
          <w:kern w:val="0"/>
          <w:sz w:val="28"/>
          <w:szCs w:val="28"/>
          <w:lang w:val="zh-CN" w:eastAsia="zh-CN"/>
        </w:rPr>
        <w:t>由甲方报同级财政监管部门，申请资金拨付，乙方依据每批次送审篇数开具经费发票，达到付款条件起20日，学校进行财务报账支付，由平台负责各项费用发放，确保发放及时准确。本年度论文送审工作全部完成后，</w:t>
      </w:r>
      <w:r>
        <w:rPr>
          <w:rFonts w:hint="eastAsia" w:ascii="仿宋_GB2312" w:hAnsi="仿宋_GB2312" w:eastAsia="仿宋_GB2312" w:cs="仿宋_GB2312"/>
          <w:kern w:val="0"/>
          <w:sz w:val="28"/>
          <w:szCs w:val="28"/>
          <w:lang w:val="en-US" w:eastAsia="zh-CN"/>
        </w:rPr>
        <w:t>支付剩余资金。</w:t>
      </w:r>
    </w:p>
    <w:p w14:paraId="370321B9">
      <w:pPr>
        <w:autoSpaceDE w:val="0"/>
        <w:autoSpaceDN w:val="0"/>
        <w:adjustRightInd w:val="0"/>
        <w:spacing w:line="360" w:lineRule="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五、合同的变更、终止与转让</w:t>
      </w:r>
      <w:bookmarkEnd w:id="189"/>
      <w:bookmarkEnd w:id="190"/>
      <w:bookmarkEnd w:id="191"/>
      <w:bookmarkEnd w:id="192"/>
    </w:p>
    <w:p w14:paraId="555AD02A">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1.除《中华人民共和国政府采购法》第50条规定的情形外，本合同一经签订，甲乙双方不得擅自变更、中止或终止。</w:t>
      </w:r>
    </w:p>
    <w:p w14:paraId="035EE2B7">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2.乙方不得擅自转让其应履行的合同义务。</w:t>
      </w:r>
    </w:p>
    <w:p w14:paraId="47A27C45">
      <w:pPr>
        <w:autoSpaceDE w:val="0"/>
        <w:autoSpaceDN w:val="0"/>
        <w:adjustRightInd w:val="0"/>
        <w:spacing w:line="360" w:lineRule="auto"/>
        <w:rPr>
          <w:rFonts w:hint="eastAsia" w:ascii="仿宋_GB2312" w:hAnsi="仿宋_GB2312" w:eastAsia="仿宋_GB2312" w:cs="仿宋_GB2312"/>
          <w:kern w:val="0"/>
          <w:sz w:val="28"/>
          <w:szCs w:val="28"/>
          <w:lang w:val="zh-CN"/>
        </w:rPr>
      </w:pPr>
      <w:bookmarkStart w:id="193" w:name="_Toc14484_WPSOffice_Level3"/>
      <w:bookmarkStart w:id="194" w:name="_Toc25996_WPSOffice_Level2"/>
      <w:bookmarkStart w:id="195" w:name="_Toc469_WPSOffice_Level2"/>
      <w:bookmarkStart w:id="196" w:name="_Toc9021_WPSOffice_Level2"/>
      <w:r>
        <w:rPr>
          <w:rFonts w:hint="eastAsia" w:ascii="仿宋_GB2312" w:hAnsi="仿宋_GB2312" w:eastAsia="仿宋_GB2312" w:cs="仿宋_GB2312"/>
          <w:kern w:val="0"/>
          <w:sz w:val="28"/>
          <w:szCs w:val="28"/>
          <w:lang w:val="zh-CN"/>
        </w:rPr>
        <w:t>六、违约责任</w:t>
      </w:r>
      <w:bookmarkEnd w:id="193"/>
      <w:bookmarkEnd w:id="194"/>
      <w:bookmarkEnd w:id="195"/>
      <w:bookmarkEnd w:id="196"/>
    </w:p>
    <w:p w14:paraId="57A06366">
      <w:pPr>
        <w:autoSpaceDE w:val="0"/>
        <w:autoSpaceDN w:val="0"/>
        <w:adjustRightInd w:val="0"/>
        <w:spacing w:line="360" w:lineRule="auto"/>
        <w:rPr>
          <w:rFonts w:hint="eastAsia" w:ascii="仿宋_GB2312" w:hAnsi="仿宋_GB2312" w:eastAsia="仿宋_GB2312" w:cs="仿宋_GB2312"/>
          <w:kern w:val="0"/>
          <w:sz w:val="28"/>
          <w:szCs w:val="28"/>
          <w:lang w:val="zh-CN"/>
        </w:rPr>
      </w:pPr>
      <w:bookmarkStart w:id="197" w:name="_Toc23300_WPSOffice_Level2"/>
      <w:bookmarkStart w:id="198" w:name="_Toc2322_WPSOffice_Level2"/>
      <w:bookmarkStart w:id="199" w:name="_Toc577_WPSOffice_Level3"/>
      <w:bookmarkStart w:id="200" w:name="_Toc29436_WPSOffice_Level2"/>
      <w:r>
        <w:rPr>
          <w:rFonts w:hint="eastAsia" w:ascii="仿宋_GB2312" w:hAnsi="仿宋_GB2312" w:eastAsia="仿宋_GB2312" w:cs="仿宋_GB2312"/>
          <w:kern w:val="0"/>
          <w:sz w:val="28"/>
          <w:szCs w:val="28"/>
          <w:lang w:val="zh-CN"/>
        </w:rPr>
        <w:t>1.乙方所提供的产品规格、技术标准、材料等质量不合格的，应及时更换；更换不及时的，按逾期交货处罚；因质量问题甲方不同意接收的，质保金全额扣除，并由乙方赔偿由此引起的甲方的一切经济损失。</w:t>
      </w:r>
    </w:p>
    <w:p w14:paraId="59569F69">
      <w:pPr>
        <w:autoSpaceDE w:val="0"/>
        <w:autoSpaceDN w:val="0"/>
        <w:adjustRightInd w:val="0"/>
        <w:spacing w:line="360" w:lineRule="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2.乙方提供的货物如侵犯了第三方权益而引发纠纷或诉讼的，均由乙方负责交涉并承担全部责任。</w:t>
      </w:r>
    </w:p>
    <w:p w14:paraId="335B0D0F">
      <w:pPr>
        <w:autoSpaceDE w:val="0"/>
        <w:autoSpaceDN w:val="0"/>
        <w:adjustRightInd w:val="0"/>
        <w:spacing w:line="360" w:lineRule="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3.因包装、运输引起的货物损坏，按质量不合格处罚。</w:t>
      </w:r>
    </w:p>
    <w:p w14:paraId="627E9673">
      <w:pPr>
        <w:autoSpaceDE w:val="0"/>
        <w:autoSpaceDN w:val="0"/>
        <w:adjustRightInd w:val="0"/>
        <w:spacing w:line="360" w:lineRule="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4.甲方无故延期接受货物和乙方逾期交货的，每天应向对方偿付未交货物的货款3‰的违约金，但违约金累计不得超过违约货款的5%，超过天对方有权解除合同，违约方承担因此给对方造成的经济损失。</w:t>
      </w:r>
    </w:p>
    <w:p w14:paraId="44753D2E">
      <w:pPr>
        <w:autoSpaceDE w:val="0"/>
        <w:autoSpaceDN w:val="0"/>
        <w:adjustRightInd w:val="0"/>
        <w:spacing w:line="360" w:lineRule="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5.乙方未按本合同和磋商响应文件中规定的服务承诺提供售后服务的，乙方应按本合同合计金额的5%向甲方支付违约金。</w:t>
      </w:r>
    </w:p>
    <w:p w14:paraId="1647AF74">
      <w:pPr>
        <w:autoSpaceDE w:val="0"/>
        <w:autoSpaceDN w:val="0"/>
        <w:adjustRightInd w:val="0"/>
        <w:spacing w:line="360" w:lineRule="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6.乙方提供的货物在质量保证期内，因设计、工艺或材料的缺陷和其它质量原因造成的问题，由乙方负责，费用从履约保证金中扣除，不足另补。</w:t>
      </w:r>
    </w:p>
    <w:p w14:paraId="2FE2EE9E">
      <w:pPr>
        <w:autoSpaceDE w:val="0"/>
        <w:autoSpaceDN w:val="0"/>
        <w:adjustRightInd w:val="0"/>
        <w:spacing w:line="360" w:lineRule="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7.其它违约行为按违约货款5%收取违约金并赔偿经济损失。</w:t>
      </w:r>
    </w:p>
    <w:p w14:paraId="7A743B3E">
      <w:pPr>
        <w:autoSpaceDE w:val="0"/>
        <w:autoSpaceDN w:val="0"/>
        <w:adjustRightInd w:val="0"/>
        <w:spacing w:line="360" w:lineRule="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七、不可抗力</w:t>
      </w:r>
      <w:bookmarkEnd w:id="197"/>
      <w:bookmarkEnd w:id="198"/>
      <w:bookmarkEnd w:id="199"/>
      <w:bookmarkEnd w:id="200"/>
    </w:p>
    <w:p w14:paraId="32AD47F5">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1.不可抗力使合同的某些内容有变更必要的，双方应通过协商在</w:t>
      </w:r>
      <w:r>
        <w:rPr>
          <w:rFonts w:hint="eastAsia" w:ascii="仿宋_GB2312" w:hAnsi="仿宋_GB2312" w:eastAsia="仿宋_GB2312" w:cs="仿宋_GB2312"/>
          <w:kern w:val="0"/>
          <w:sz w:val="28"/>
          <w:szCs w:val="28"/>
          <w:u w:val="single"/>
          <w:lang w:val="zh-CN"/>
        </w:rPr>
        <w:t>15</w:t>
      </w:r>
      <w:r>
        <w:rPr>
          <w:rFonts w:hint="eastAsia" w:ascii="仿宋_GB2312" w:hAnsi="仿宋_GB2312" w:eastAsia="仿宋_GB2312" w:cs="仿宋_GB2312"/>
          <w:kern w:val="0"/>
          <w:sz w:val="28"/>
          <w:szCs w:val="28"/>
          <w:lang w:val="zh-CN"/>
        </w:rPr>
        <w:t>天内达成进一步履行合同的协议，因不可抗力致使合同不能履行的，合同终止。</w:t>
      </w:r>
    </w:p>
    <w:p w14:paraId="2B6B85D3">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2.除法律、法规规定的不可抗力情形外，双方约定出现</w:t>
      </w:r>
      <w:r>
        <w:rPr>
          <w:rFonts w:hint="eastAsia" w:ascii="仿宋_GB2312" w:hAnsi="仿宋_GB2312" w:eastAsia="仿宋_GB2312" w:cs="仿宋_GB2312"/>
          <w:kern w:val="0"/>
          <w:sz w:val="28"/>
          <w:szCs w:val="28"/>
          <w:u w:val="single"/>
          <w:lang w:val="zh-CN"/>
        </w:rPr>
        <w:t>非人为</w:t>
      </w:r>
      <w:r>
        <w:rPr>
          <w:rFonts w:hint="eastAsia" w:ascii="仿宋_GB2312" w:hAnsi="仿宋_GB2312" w:eastAsia="仿宋_GB2312" w:cs="仿宋_GB2312"/>
          <w:kern w:val="0"/>
          <w:sz w:val="28"/>
          <w:szCs w:val="28"/>
          <w:lang w:val="zh-CN"/>
        </w:rPr>
        <w:t>情况亦视为不可抗力。</w:t>
      </w:r>
    </w:p>
    <w:p w14:paraId="096A7EA1">
      <w:pPr>
        <w:autoSpaceDE w:val="0"/>
        <w:autoSpaceDN w:val="0"/>
        <w:adjustRightInd w:val="0"/>
        <w:spacing w:line="360" w:lineRule="auto"/>
        <w:rPr>
          <w:rFonts w:hint="eastAsia" w:ascii="仿宋_GB2312" w:hAnsi="仿宋_GB2312" w:eastAsia="仿宋_GB2312" w:cs="仿宋_GB2312"/>
          <w:kern w:val="0"/>
          <w:sz w:val="28"/>
          <w:szCs w:val="28"/>
          <w:lang w:val="zh-CN"/>
        </w:rPr>
      </w:pPr>
      <w:bookmarkStart w:id="201" w:name="_Toc14834_WPSOffice_Level2"/>
      <w:bookmarkStart w:id="202" w:name="_Toc14514_WPSOffice_Level2"/>
      <w:bookmarkStart w:id="203" w:name="_Toc22796_WPSOffice_Level2"/>
      <w:bookmarkStart w:id="204" w:name="_Toc23772_WPSOffice_Level3"/>
      <w:r>
        <w:rPr>
          <w:rFonts w:hint="eastAsia" w:ascii="仿宋_GB2312" w:hAnsi="仿宋_GB2312" w:eastAsia="仿宋_GB2312" w:cs="仿宋_GB2312"/>
          <w:kern w:val="0"/>
          <w:sz w:val="28"/>
          <w:szCs w:val="28"/>
          <w:lang w:val="zh-CN"/>
        </w:rPr>
        <w:t>八、知识产权：</w:t>
      </w:r>
      <w:bookmarkEnd w:id="201"/>
      <w:bookmarkEnd w:id="202"/>
      <w:bookmarkEnd w:id="203"/>
      <w:bookmarkEnd w:id="204"/>
    </w:p>
    <w:p w14:paraId="732F2EE6">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8.1乙方应保证提交报告方案后不受第三方提出的侵犯专利权、著作权、商标权和设计权等的起诉。</w:t>
      </w:r>
    </w:p>
    <w:p w14:paraId="15069882">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8.2任何第三方提出侵权指控，乙方须与第三方交涉并承担由此产生的一切责任、费用和经济赔偿。</w:t>
      </w:r>
    </w:p>
    <w:p w14:paraId="63A1E2EC">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8.3双方应共同遵守国家有关版权、专利、商标等知识产权方面的法律规定，相互尊重对方的知识产权，对本合同内容、对方的技术秘密和商业秘密负有保密责任。如有违反，违约方负相关法律责任。</w:t>
      </w:r>
    </w:p>
    <w:p w14:paraId="416C4660">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8.4在本合同生效时已经存在并为各方合法拥有或使用的所有技术、资料和信息的知识产权，仍应属于其各自的原权利人所有或享有，另有约定的除外。</w:t>
      </w:r>
    </w:p>
    <w:p w14:paraId="40B2C670">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8.5乙方保证甲方拥有由其提供的所有报告方案的合法使用权。</w:t>
      </w:r>
    </w:p>
    <w:p w14:paraId="2B665B53">
      <w:pPr>
        <w:autoSpaceDE w:val="0"/>
        <w:autoSpaceDN w:val="0"/>
        <w:adjustRightInd w:val="0"/>
        <w:spacing w:line="360" w:lineRule="auto"/>
        <w:rPr>
          <w:rFonts w:hint="eastAsia" w:ascii="仿宋_GB2312" w:hAnsi="仿宋_GB2312" w:eastAsia="仿宋_GB2312" w:cs="仿宋_GB2312"/>
          <w:kern w:val="0"/>
          <w:sz w:val="28"/>
          <w:szCs w:val="28"/>
          <w:lang w:val="zh-CN"/>
        </w:rPr>
      </w:pPr>
      <w:bookmarkStart w:id="205" w:name="_Toc19142_WPSOffice_Level2"/>
      <w:bookmarkStart w:id="206" w:name="_Toc29702_WPSOffice_Level2"/>
      <w:bookmarkStart w:id="207" w:name="_Toc11798_WPSOffice_Level3"/>
      <w:bookmarkStart w:id="208" w:name="_Toc15723_WPSOffice_Level2"/>
      <w:r>
        <w:rPr>
          <w:rFonts w:hint="eastAsia" w:ascii="仿宋_GB2312" w:hAnsi="仿宋_GB2312" w:eastAsia="仿宋_GB2312" w:cs="仿宋_GB2312"/>
          <w:kern w:val="0"/>
          <w:sz w:val="28"/>
          <w:szCs w:val="28"/>
          <w:lang w:val="zh-CN"/>
        </w:rPr>
        <w:t>九、其他约定：无</w:t>
      </w:r>
      <w:bookmarkEnd w:id="205"/>
      <w:bookmarkEnd w:id="206"/>
      <w:bookmarkEnd w:id="207"/>
      <w:bookmarkEnd w:id="208"/>
    </w:p>
    <w:p w14:paraId="59AAA365">
      <w:pPr>
        <w:autoSpaceDE w:val="0"/>
        <w:autoSpaceDN w:val="0"/>
        <w:adjustRightInd w:val="0"/>
        <w:spacing w:line="360" w:lineRule="auto"/>
        <w:rPr>
          <w:rFonts w:hint="eastAsia" w:ascii="仿宋_GB2312" w:hAnsi="仿宋_GB2312" w:eastAsia="仿宋_GB2312" w:cs="仿宋_GB2312"/>
          <w:kern w:val="0"/>
          <w:sz w:val="28"/>
          <w:szCs w:val="28"/>
          <w:lang w:val="zh-CN"/>
        </w:rPr>
      </w:pPr>
      <w:bookmarkStart w:id="209" w:name="_Toc16243_WPSOffice_Level3"/>
      <w:bookmarkStart w:id="210" w:name="_Toc3560_WPSOffice_Level2"/>
      <w:bookmarkStart w:id="211" w:name="_Toc2133_WPSOffice_Level2"/>
      <w:bookmarkStart w:id="212" w:name="_Toc5205_WPSOffice_Level2"/>
      <w:r>
        <w:rPr>
          <w:rFonts w:hint="eastAsia" w:ascii="仿宋_GB2312" w:hAnsi="仿宋_GB2312" w:eastAsia="仿宋_GB2312" w:cs="仿宋_GB2312"/>
          <w:kern w:val="0"/>
          <w:sz w:val="28"/>
          <w:szCs w:val="28"/>
          <w:lang w:val="zh-CN"/>
        </w:rPr>
        <w:t>十、合同争议解决</w:t>
      </w:r>
      <w:bookmarkEnd w:id="209"/>
      <w:bookmarkEnd w:id="210"/>
      <w:bookmarkEnd w:id="211"/>
      <w:bookmarkEnd w:id="212"/>
    </w:p>
    <w:p w14:paraId="4C319E01">
      <w:pPr>
        <w:widowControl/>
        <w:shd w:val="clear" w:color="auto" w:fill="FFFFFF"/>
        <w:spacing w:line="500" w:lineRule="exact"/>
        <w:jc w:val="left"/>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1.因产品质量问题发生争议的，应邀请国家认可的质量检测机构进行鉴定。产品符合标准的，鉴定费由甲方承担；产品不符合标准的，鉴定费由乙方承担。</w:t>
      </w:r>
    </w:p>
    <w:p w14:paraId="445B82EB">
      <w:pPr>
        <w:widowControl/>
        <w:shd w:val="clear" w:color="auto" w:fill="FFFFFF"/>
        <w:spacing w:line="500" w:lineRule="exact"/>
        <w:jc w:val="left"/>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2.因履行本合同引起的或与本合同有关的争议，甲乙双方应首先通过友好协商解决，如果协商不能解决，可向甲方所在地人民法院提起诉讼。</w:t>
      </w:r>
    </w:p>
    <w:p w14:paraId="3FCA3C6E">
      <w:pPr>
        <w:autoSpaceDE w:val="0"/>
        <w:autoSpaceDN w:val="0"/>
        <w:adjustRightInd w:val="0"/>
        <w:spacing w:line="360" w:lineRule="auto"/>
        <w:rPr>
          <w:rFonts w:hint="eastAsia" w:ascii="仿宋_GB2312" w:hAnsi="仿宋_GB2312" w:eastAsia="仿宋_GB2312" w:cs="仿宋_GB2312"/>
          <w:kern w:val="0"/>
          <w:sz w:val="28"/>
          <w:szCs w:val="28"/>
          <w:lang w:val="zh-CN"/>
        </w:rPr>
      </w:pPr>
      <w:bookmarkStart w:id="213" w:name="_Toc29733_WPSOffice_Level2"/>
      <w:bookmarkStart w:id="214" w:name="_Toc3683_WPSOffice_Level2"/>
      <w:bookmarkStart w:id="215" w:name="_Toc23539_WPSOffice_Level2"/>
      <w:bookmarkStart w:id="216" w:name="_Toc17324_WPSOffice_Level3"/>
      <w:r>
        <w:rPr>
          <w:rFonts w:hint="eastAsia" w:ascii="仿宋_GB2312" w:hAnsi="仿宋_GB2312" w:eastAsia="仿宋_GB2312" w:cs="仿宋_GB2312"/>
          <w:kern w:val="0"/>
          <w:sz w:val="28"/>
          <w:szCs w:val="28"/>
          <w:lang w:val="zh-CN"/>
        </w:rPr>
        <w:t>十一、合同生效及其它：</w:t>
      </w:r>
      <w:bookmarkEnd w:id="213"/>
      <w:bookmarkEnd w:id="214"/>
      <w:bookmarkEnd w:id="215"/>
      <w:bookmarkEnd w:id="216"/>
    </w:p>
    <w:p w14:paraId="622C6C8E">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bookmarkStart w:id="217" w:name="_Toc8000_WPSOffice_Level3"/>
      <w:r>
        <w:rPr>
          <w:rFonts w:hint="eastAsia" w:ascii="仿宋_GB2312" w:hAnsi="仿宋_GB2312" w:eastAsia="仿宋_GB2312" w:cs="仿宋_GB2312"/>
          <w:kern w:val="0"/>
          <w:sz w:val="28"/>
          <w:szCs w:val="28"/>
          <w:lang w:val="zh-CN"/>
        </w:rPr>
        <w:t>1.本合同一式</w:t>
      </w:r>
      <w:r>
        <w:rPr>
          <w:rFonts w:hint="eastAsia" w:ascii="仿宋_GB2312" w:hAnsi="仿宋_GB2312" w:eastAsia="仿宋_GB2312" w:cs="仿宋_GB2312"/>
          <w:kern w:val="0"/>
          <w:sz w:val="28"/>
          <w:szCs w:val="28"/>
          <w:u w:val="single"/>
          <w:lang w:val="zh-CN"/>
        </w:rPr>
        <w:t>8</w:t>
      </w:r>
      <w:r>
        <w:rPr>
          <w:rFonts w:hint="eastAsia" w:ascii="仿宋_GB2312" w:hAnsi="仿宋_GB2312" w:eastAsia="仿宋_GB2312" w:cs="仿宋_GB2312"/>
          <w:kern w:val="0"/>
          <w:sz w:val="28"/>
          <w:szCs w:val="28"/>
          <w:lang w:val="zh-CN"/>
        </w:rPr>
        <w:t>份，经双方签字，并加盖公章即为生效。</w:t>
      </w:r>
      <w:bookmarkEnd w:id="217"/>
    </w:p>
    <w:p w14:paraId="24D0396D">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2.本合同未尽事宜，按经济合同法有关规定处理。</w:t>
      </w:r>
    </w:p>
    <w:p w14:paraId="550C2EF5">
      <w:pPr>
        <w:pStyle w:val="2"/>
        <w:numPr>
          <w:ilvl w:val="1"/>
          <w:numId w:val="0"/>
        </w:numPr>
        <w:tabs>
          <w:tab w:val="clear" w:pos="840"/>
        </w:tabs>
        <w:ind w:leftChars="650"/>
        <w:rPr>
          <w:rFonts w:hint="eastAsia"/>
          <w:lang w:val="zh-CN"/>
        </w:rPr>
      </w:pPr>
    </w:p>
    <w:p w14:paraId="054763E8">
      <w:pPr>
        <w:autoSpaceDE w:val="0"/>
        <w:autoSpaceDN w:val="0"/>
        <w:adjustRightInd w:val="0"/>
        <w:spacing w:line="360" w:lineRule="auto"/>
        <w:ind w:left="0" w:leftChars="0" w:firstLine="0" w:firstLineChars="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甲方（盖章）：                         乙方（盖章）：</w:t>
      </w:r>
    </w:p>
    <w:p w14:paraId="62FD1903">
      <w:pPr>
        <w:autoSpaceDE w:val="0"/>
        <w:autoSpaceDN w:val="0"/>
        <w:adjustRightInd w:val="0"/>
        <w:spacing w:line="360" w:lineRule="auto"/>
        <w:ind w:left="0" w:leftChars="0" w:firstLine="0" w:firstLineChars="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法定代表人或委托代理人：               法定代表人或委托代理人：</w:t>
      </w:r>
    </w:p>
    <w:p w14:paraId="3EA5FF25">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 xml:space="preserve">                                   开户银行：</w:t>
      </w:r>
    </w:p>
    <w:p w14:paraId="2AFBCAED">
      <w:pPr>
        <w:autoSpaceDE w:val="0"/>
        <w:autoSpaceDN w:val="0"/>
        <w:adjustRightInd w:val="0"/>
        <w:spacing w:line="360" w:lineRule="auto"/>
        <w:ind w:left="0" w:leftChars="0" w:firstLine="0" w:firstLineChars="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联系电话：                             账号：</w:t>
      </w:r>
    </w:p>
    <w:p w14:paraId="1902DCBB">
      <w:pPr>
        <w:autoSpaceDE w:val="0"/>
        <w:autoSpaceDN w:val="0"/>
        <w:adjustRightInd w:val="0"/>
        <w:spacing w:line="360" w:lineRule="auto"/>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 xml:space="preserve">                                   联系电话：</w:t>
      </w:r>
    </w:p>
    <w:p w14:paraId="5FC97E0C">
      <w:pPr>
        <w:autoSpaceDE w:val="0"/>
        <w:autoSpaceDN w:val="0"/>
        <w:adjustRightInd w:val="0"/>
        <w:spacing w:line="360" w:lineRule="auto"/>
        <w:ind w:firstLine="132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签约时间：        年    月    日</w:t>
      </w:r>
    </w:p>
    <w:p w14:paraId="05C17C1C">
      <w:pPr>
        <w:autoSpaceDE w:val="0"/>
        <w:autoSpaceDN w:val="0"/>
        <w:adjustRightInd w:val="0"/>
        <w:spacing w:line="360" w:lineRule="auto"/>
        <w:rPr>
          <w:rFonts w:hint="eastAsia" w:ascii="仿宋_GB2312" w:hAnsi="仿宋_GB2312" w:eastAsia="仿宋_GB2312" w:cs="仿宋_GB2312"/>
          <w:kern w:val="0"/>
          <w:sz w:val="28"/>
          <w:szCs w:val="28"/>
          <w:lang w:val="zh-CN"/>
        </w:rPr>
      </w:pPr>
    </w:p>
    <w:p w14:paraId="3544DB52">
      <w:pPr>
        <w:autoSpaceDE w:val="0"/>
        <w:autoSpaceDN w:val="0"/>
        <w:adjustRightInd w:val="0"/>
        <w:spacing w:line="360" w:lineRule="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采购代理机构：青海省招标有限责任公司</w:t>
      </w:r>
    </w:p>
    <w:p w14:paraId="469AE56C">
      <w:pPr>
        <w:autoSpaceDE w:val="0"/>
        <w:autoSpaceDN w:val="0"/>
        <w:adjustRightInd w:val="0"/>
        <w:spacing w:line="360" w:lineRule="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负责人或经办人：</w:t>
      </w:r>
    </w:p>
    <w:p w14:paraId="6CB851E3">
      <w:pPr>
        <w:autoSpaceDE w:val="0"/>
        <w:autoSpaceDN w:val="0"/>
        <w:adjustRightInd w:val="0"/>
        <w:spacing w:line="360" w:lineRule="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合同备案时间：        年    月    日</w:t>
      </w:r>
    </w:p>
    <w:p w14:paraId="4A5C1CF4">
      <w:pPr>
        <w:autoSpaceDE w:val="0"/>
        <w:autoSpaceDN w:val="0"/>
        <w:adjustRightInd w:val="0"/>
        <w:spacing w:line="360" w:lineRule="auto"/>
        <w:jc w:val="center"/>
        <w:rPr>
          <w:rFonts w:hint="eastAsia" w:ascii="仿宋_GB2312" w:hAnsi="仿宋_GB2312" w:eastAsia="仿宋_GB2312" w:cs="仿宋_GB2312"/>
          <w:b/>
          <w:bCs/>
          <w:kern w:val="0"/>
          <w:sz w:val="28"/>
          <w:szCs w:val="28"/>
        </w:rPr>
      </w:pPr>
      <w:bookmarkStart w:id="218" w:name="_Toc26344_WPSOffice_Level2"/>
      <w:bookmarkStart w:id="219" w:name="_Toc30661_WPSOffice_Level3"/>
      <w:bookmarkStart w:id="220" w:name="_Toc22453_WPSOffice_Level2"/>
      <w:bookmarkStart w:id="221" w:name="_Toc17207_WPSOffice_Level2"/>
      <w:r>
        <w:rPr>
          <w:rFonts w:hint="eastAsia" w:ascii="仿宋_GB2312" w:hAnsi="仿宋_GB2312" w:eastAsia="仿宋_GB2312" w:cs="仿宋_GB2312"/>
          <w:b/>
          <w:bCs/>
          <w:kern w:val="0"/>
          <w:sz w:val="28"/>
          <w:szCs w:val="28"/>
          <w:lang w:val="zh-CN"/>
        </w:rPr>
        <w:t>合同通用条款</w:t>
      </w:r>
      <w:bookmarkEnd w:id="218"/>
      <w:bookmarkEnd w:id="219"/>
      <w:bookmarkEnd w:id="220"/>
      <w:bookmarkEnd w:id="221"/>
    </w:p>
    <w:p w14:paraId="6DC73C60">
      <w:pPr>
        <w:autoSpaceDE w:val="0"/>
        <w:autoSpaceDN w:val="0"/>
        <w:adjustRightInd w:val="0"/>
        <w:spacing w:line="400" w:lineRule="exact"/>
        <w:rPr>
          <w:rFonts w:hint="eastAsia" w:ascii="仿宋_GB2312" w:hAnsi="仿宋_GB2312" w:eastAsia="仿宋_GB2312" w:cs="仿宋_GB2312"/>
          <w:kern w:val="0"/>
          <w:sz w:val="28"/>
          <w:szCs w:val="28"/>
        </w:rPr>
      </w:pPr>
    </w:p>
    <w:p w14:paraId="67BF8F93">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根据《中华人民共和国合同法》、《中华人民共和国政府采购法》的规定，合同双方经协商达成一致，自愿订立本合同，遵循公平原则明确双方的权利、义务，确保双方诚实守信地履行合同。</w:t>
      </w:r>
    </w:p>
    <w:p w14:paraId="787F166D">
      <w:pPr>
        <w:autoSpaceDE w:val="0"/>
        <w:autoSpaceDN w:val="0"/>
        <w:adjustRightInd w:val="0"/>
        <w:spacing w:line="400" w:lineRule="exact"/>
        <w:rPr>
          <w:rFonts w:hint="eastAsia" w:ascii="仿宋_GB2312" w:hAnsi="仿宋_GB2312" w:eastAsia="仿宋_GB2312" w:cs="仿宋_GB2312"/>
          <w:b/>
          <w:bCs/>
          <w:kern w:val="0"/>
          <w:sz w:val="28"/>
          <w:szCs w:val="28"/>
        </w:rPr>
      </w:pPr>
      <w:bookmarkStart w:id="222" w:name="_Toc24568_WPSOffice_Level2"/>
      <w:bookmarkStart w:id="223" w:name="_Toc7198_WPSOffice_Level3"/>
      <w:bookmarkStart w:id="224" w:name="_Toc15468_WPSOffice_Level2"/>
      <w:bookmarkStart w:id="225" w:name="_Toc29837_WPSOffice_Level2"/>
      <w:r>
        <w:rPr>
          <w:rFonts w:hint="eastAsia" w:ascii="仿宋_GB2312" w:hAnsi="仿宋_GB2312" w:eastAsia="仿宋_GB2312" w:cs="仿宋_GB2312"/>
          <w:b/>
          <w:bCs/>
          <w:kern w:val="0"/>
          <w:sz w:val="28"/>
          <w:szCs w:val="28"/>
        </w:rPr>
        <w:t>1.</w:t>
      </w:r>
      <w:r>
        <w:rPr>
          <w:rFonts w:hint="eastAsia" w:ascii="仿宋_GB2312" w:hAnsi="仿宋_GB2312" w:eastAsia="仿宋_GB2312" w:cs="仿宋_GB2312"/>
          <w:b/>
          <w:bCs/>
          <w:kern w:val="0"/>
          <w:sz w:val="28"/>
          <w:szCs w:val="28"/>
          <w:lang w:val="zh-CN"/>
        </w:rPr>
        <w:t>定义</w:t>
      </w:r>
      <w:bookmarkEnd w:id="222"/>
      <w:bookmarkEnd w:id="223"/>
      <w:bookmarkEnd w:id="224"/>
      <w:bookmarkEnd w:id="225"/>
    </w:p>
    <w:p w14:paraId="003B6E72">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本合同中的下列术语应解释为：</w:t>
      </w:r>
    </w:p>
    <w:p w14:paraId="499DED1D">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1.1 </w:t>
      </w:r>
      <w:r>
        <w:rPr>
          <w:rFonts w:hint="eastAsia" w:ascii="仿宋_GB2312" w:hAnsi="仿宋_GB2312" w:eastAsia="仿宋_GB2312" w:cs="仿宋_GB2312"/>
          <w:kern w:val="0"/>
          <w:sz w:val="28"/>
          <w:szCs w:val="28"/>
          <w:lang w:val="zh-CN"/>
        </w:rPr>
        <w:t>“合同”指甲乙双方签署的、载明的甲乙双方权利义务的协议，包括所有的附件、附录和上述文件所提到的构成合同的所有文件。</w:t>
      </w:r>
    </w:p>
    <w:p w14:paraId="25CA32FA">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1.2 </w:t>
      </w:r>
      <w:r>
        <w:rPr>
          <w:rFonts w:hint="eastAsia" w:ascii="仿宋_GB2312" w:hAnsi="仿宋_GB2312" w:eastAsia="仿宋_GB2312" w:cs="仿宋_GB2312"/>
          <w:kern w:val="0"/>
          <w:sz w:val="28"/>
          <w:szCs w:val="28"/>
          <w:lang w:val="zh-CN"/>
        </w:rPr>
        <w:t>“合同金额”指根据合同规定，乙方在正确地完全履行合同义务后甲方应付给乙方的价款。</w:t>
      </w:r>
    </w:p>
    <w:p w14:paraId="0B5646BA">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1.3 </w:t>
      </w:r>
      <w:r>
        <w:rPr>
          <w:rFonts w:hint="eastAsia" w:ascii="仿宋_GB2312" w:hAnsi="仿宋_GB2312" w:eastAsia="仿宋_GB2312" w:cs="仿宋_GB2312"/>
          <w:kern w:val="0"/>
          <w:sz w:val="28"/>
          <w:szCs w:val="28"/>
          <w:lang w:val="zh-CN"/>
        </w:rPr>
        <w:t>“合同条款”指本合同条款。</w:t>
      </w:r>
    </w:p>
    <w:p w14:paraId="0ADD1699">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1.4 </w:t>
      </w:r>
      <w:r>
        <w:rPr>
          <w:rFonts w:hint="eastAsia" w:ascii="仿宋_GB2312" w:hAnsi="仿宋_GB2312" w:eastAsia="仿宋_GB2312" w:cs="仿宋_GB2312"/>
          <w:kern w:val="0"/>
          <w:sz w:val="28"/>
          <w:szCs w:val="28"/>
          <w:lang w:val="zh-CN"/>
        </w:rPr>
        <w:t>“货物”指乙方根据合同约定须向甲方提供的一切产品、设备、机械、仪表、备件等，包括辅助工具、使用手册等相关资料。</w:t>
      </w:r>
    </w:p>
    <w:p w14:paraId="18D181E1">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1.5 </w:t>
      </w:r>
      <w:r>
        <w:rPr>
          <w:rFonts w:hint="eastAsia" w:ascii="仿宋_GB2312" w:hAnsi="仿宋_GB2312" w:eastAsia="仿宋_GB2312" w:cs="仿宋_GB2312"/>
          <w:kern w:val="0"/>
          <w:sz w:val="28"/>
          <w:szCs w:val="28"/>
          <w:lang w:val="zh-CN"/>
        </w:rPr>
        <w:t>“服务”指根据本合同规定乙方承担与供货有关的辅助服务，如运输、保险及安装、调试、提供技术援助、培训和合同中规定乙方应承担的其它义务。</w:t>
      </w:r>
    </w:p>
    <w:p w14:paraId="78722DC5">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1.6 </w:t>
      </w:r>
      <w:r>
        <w:rPr>
          <w:rFonts w:hint="eastAsia" w:ascii="仿宋_GB2312" w:hAnsi="仿宋_GB2312" w:eastAsia="仿宋_GB2312" w:cs="仿宋_GB2312"/>
          <w:kern w:val="0"/>
          <w:sz w:val="28"/>
          <w:szCs w:val="28"/>
          <w:lang w:val="zh-CN"/>
        </w:rPr>
        <w:t>“甲方”指购买货物和服务的单位。</w:t>
      </w:r>
    </w:p>
    <w:p w14:paraId="479A6128">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1.7 </w:t>
      </w:r>
      <w:r>
        <w:rPr>
          <w:rFonts w:hint="eastAsia" w:ascii="仿宋_GB2312" w:hAnsi="仿宋_GB2312" w:eastAsia="仿宋_GB2312" w:cs="仿宋_GB2312"/>
          <w:kern w:val="0"/>
          <w:sz w:val="28"/>
          <w:szCs w:val="28"/>
          <w:lang w:val="zh-CN"/>
        </w:rPr>
        <w:t>“乙方”指提供本合同条款下货物和服务的公司或其他实体。</w:t>
      </w:r>
    </w:p>
    <w:p w14:paraId="3AED0FCB">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1.8 </w:t>
      </w:r>
      <w:r>
        <w:rPr>
          <w:rFonts w:hint="eastAsia" w:ascii="仿宋_GB2312" w:hAnsi="仿宋_GB2312" w:eastAsia="仿宋_GB2312" w:cs="仿宋_GB2312"/>
          <w:kern w:val="0"/>
          <w:sz w:val="28"/>
          <w:szCs w:val="28"/>
          <w:lang w:val="zh-CN"/>
        </w:rPr>
        <w:t>“现场”指合同规定货物将要运至和安装的地点。</w:t>
      </w:r>
    </w:p>
    <w:p w14:paraId="79773416">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1.9 </w:t>
      </w:r>
      <w:r>
        <w:rPr>
          <w:rFonts w:hint="eastAsia" w:ascii="仿宋_GB2312" w:hAnsi="仿宋_GB2312" w:eastAsia="仿宋_GB2312" w:cs="仿宋_GB2312"/>
          <w:kern w:val="0"/>
          <w:sz w:val="28"/>
          <w:szCs w:val="28"/>
          <w:lang w:val="zh-CN"/>
        </w:rPr>
        <w:t>“验收”指合同双方依据强制性的国家技术质量规范和合同约定，确认合同条款下的货物符合合同规定的活动。</w:t>
      </w:r>
    </w:p>
    <w:p w14:paraId="6E498478">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1.10</w:t>
      </w:r>
      <w:r>
        <w:rPr>
          <w:rFonts w:hint="eastAsia" w:ascii="仿宋_GB2312" w:hAnsi="仿宋_GB2312" w:eastAsia="仿宋_GB2312" w:cs="仿宋_GB2312"/>
          <w:kern w:val="0"/>
          <w:sz w:val="28"/>
          <w:szCs w:val="28"/>
          <w:lang w:val="zh-CN"/>
        </w:rPr>
        <w:t>原厂商：产品制造商或其在中国境内设立的办事或技术服务机构。除另有说明外，本合同文件所述的制造商、产品制造商、制造厂家、产品制造厂家均为原厂商。</w:t>
      </w:r>
    </w:p>
    <w:p w14:paraId="4831D273">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1.11 </w:t>
      </w:r>
      <w:r>
        <w:rPr>
          <w:rFonts w:hint="eastAsia" w:ascii="仿宋_GB2312" w:hAnsi="仿宋_GB2312" w:eastAsia="仿宋_GB2312" w:cs="仿宋_GB2312"/>
          <w:kern w:val="0"/>
          <w:sz w:val="28"/>
          <w:szCs w:val="28"/>
          <w:lang w:val="zh-CN"/>
        </w:rPr>
        <w:t>原产地：指产品的生产地，或提供服务的来源地。</w:t>
      </w:r>
    </w:p>
    <w:p w14:paraId="6623ED62">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1.12 </w:t>
      </w:r>
      <w:r>
        <w:rPr>
          <w:rFonts w:hint="eastAsia" w:ascii="仿宋_GB2312" w:hAnsi="仿宋_GB2312" w:eastAsia="仿宋_GB2312" w:cs="仿宋_GB2312"/>
          <w:kern w:val="0"/>
          <w:sz w:val="28"/>
          <w:szCs w:val="28"/>
          <w:lang w:val="zh-CN"/>
        </w:rPr>
        <w:t>“工作日”指国家法定工作日，“天”指日历天数。</w:t>
      </w:r>
    </w:p>
    <w:p w14:paraId="146AB809">
      <w:pPr>
        <w:autoSpaceDE w:val="0"/>
        <w:autoSpaceDN w:val="0"/>
        <w:adjustRightInd w:val="0"/>
        <w:spacing w:line="400" w:lineRule="exact"/>
        <w:rPr>
          <w:rFonts w:hint="eastAsia" w:ascii="仿宋_GB2312" w:hAnsi="仿宋_GB2312" w:eastAsia="仿宋_GB2312" w:cs="仿宋_GB2312"/>
          <w:b/>
          <w:bCs/>
          <w:kern w:val="0"/>
          <w:sz w:val="28"/>
          <w:szCs w:val="28"/>
        </w:rPr>
      </w:pPr>
      <w:bookmarkStart w:id="226" w:name="_Toc11113_WPSOffice_Level2"/>
      <w:bookmarkStart w:id="227" w:name="_Toc16454_WPSOffice_Level2"/>
      <w:bookmarkStart w:id="228" w:name="_Toc32166_WPSOffice_Level2"/>
      <w:bookmarkStart w:id="229" w:name="_Toc9302_WPSOffice_Level3"/>
      <w:r>
        <w:rPr>
          <w:rFonts w:hint="eastAsia" w:ascii="仿宋_GB2312" w:hAnsi="仿宋_GB2312" w:eastAsia="仿宋_GB2312" w:cs="仿宋_GB2312"/>
          <w:b/>
          <w:bCs/>
          <w:kern w:val="0"/>
          <w:sz w:val="28"/>
          <w:szCs w:val="28"/>
        </w:rPr>
        <w:t>2.</w:t>
      </w:r>
      <w:r>
        <w:rPr>
          <w:rFonts w:hint="eastAsia" w:ascii="仿宋_GB2312" w:hAnsi="仿宋_GB2312" w:eastAsia="仿宋_GB2312" w:cs="仿宋_GB2312"/>
          <w:b/>
          <w:bCs/>
          <w:kern w:val="0"/>
          <w:sz w:val="28"/>
          <w:szCs w:val="28"/>
          <w:lang w:val="zh-CN"/>
        </w:rPr>
        <w:t>技术规格要求</w:t>
      </w:r>
      <w:bookmarkEnd w:id="226"/>
      <w:bookmarkEnd w:id="227"/>
      <w:bookmarkEnd w:id="228"/>
      <w:bookmarkEnd w:id="229"/>
    </w:p>
    <w:p w14:paraId="65B466BE">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2.1 </w:t>
      </w:r>
      <w:r>
        <w:rPr>
          <w:rFonts w:hint="eastAsia" w:ascii="仿宋_GB2312" w:hAnsi="仿宋_GB2312" w:eastAsia="仿宋_GB2312" w:cs="仿宋_GB2312"/>
          <w:kern w:val="0"/>
          <w:sz w:val="28"/>
          <w:szCs w:val="28"/>
          <w:lang w:val="zh-CN"/>
        </w:rPr>
        <w:t>本合同条款下提交货物的技术规格要求应等于或优于谈判标文件技术规格要求。若技术规格要求中无相应规定，则应符合相应的国家有关部门最新颁布的相应正式标准。</w:t>
      </w:r>
    </w:p>
    <w:p w14:paraId="5CEBE8BC">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2.2 </w:t>
      </w:r>
      <w:r>
        <w:rPr>
          <w:rFonts w:hint="eastAsia" w:ascii="仿宋_GB2312" w:hAnsi="仿宋_GB2312" w:eastAsia="仿宋_GB2312" w:cs="仿宋_GB2312"/>
          <w:kern w:val="0"/>
          <w:sz w:val="28"/>
          <w:szCs w:val="28"/>
          <w:lang w:val="zh-CN"/>
        </w:rPr>
        <w:t>乙方应向甲方提供货物及服务有关的标准的中文文本。</w:t>
      </w:r>
    </w:p>
    <w:p w14:paraId="36AABB7F">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2.3 </w:t>
      </w:r>
      <w:r>
        <w:rPr>
          <w:rFonts w:hint="eastAsia" w:ascii="仿宋_GB2312" w:hAnsi="仿宋_GB2312" w:eastAsia="仿宋_GB2312" w:cs="仿宋_GB2312"/>
          <w:kern w:val="0"/>
          <w:sz w:val="28"/>
          <w:szCs w:val="28"/>
          <w:lang w:val="zh-CN"/>
        </w:rPr>
        <w:t>除非技术规范中另有规定，计量单位均采用中华人民共和国法定计量单位。</w:t>
      </w:r>
    </w:p>
    <w:p w14:paraId="7A2C07D1">
      <w:pPr>
        <w:autoSpaceDE w:val="0"/>
        <w:autoSpaceDN w:val="0"/>
        <w:adjustRightInd w:val="0"/>
        <w:spacing w:line="400" w:lineRule="exact"/>
        <w:rPr>
          <w:rFonts w:hint="eastAsia" w:ascii="仿宋_GB2312" w:hAnsi="仿宋_GB2312" w:eastAsia="仿宋_GB2312" w:cs="仿宋_GB2312"/>
          <w:b/>
          <w:bCs/>
          <w:kern w:val="0"/>
          <w:sz w:val="28"/>
          <w:szCs w:val="28"/>
        </w:rPr>
      </w:pPr>
      <w:bookmarkStart w:id="230" w:name="_Toc10662_WPSOffice_Level2"/>
      <w:bookmarkStart w:id="231" w:name="_Toc16016_WPSOffice_Level2"/>
      <w:bookmarkStart w:id="232" w:name="_Toc23565_WPSOffice_Level2"/>
      <w:bookmarkStart w:id="233" w:name="_Toc18003_WPSOffice_Level3"/>
      <w:r>
        <w:rPr>
          <w:rFonts w:hint="eastAsia" w:ascii="仿宋_GB2312" w:hAnsi="仿宋_GB2312" w:eastAsia="仿宋_GB2312" w:cs="仿宋_GB2312"/>
          <w:b/>
          <w:bCs/>
          <w:kern w:val="0"/>
          <w:sz w:val="28"/>
          <w:szCs w:val="28"/>
        </w:rPr>
        <w:t>3.</w:t>
      </w:r>
      <w:r>
        <w:rPr>
          <w:rFonts w:hint="eastAsia" w:ascii="仿宋_GB2312" w:hAnsi="仿宋_GB2312" w:eastAsia="仿宋_GB2312" w:cs="仿宋_GB2312"/>
          <w:b/>
          <w:bCs/>
          <w:kern w:val="0"/>
          <w:sz w:val="28"/>
          <w:szCs w:val="28"/>
          <w:lang w:val="zh-CN"/>
        </w:rPr>
        <w:t>合同范围</w:t>
      </w:r>
      <w:bookmarkEnd w:id="230"/>
      <w:bookmarkEnd w:id="231"/>
      <w:bookmarkEnd w:id="232"/>
      <w:bookmarkEnd w:id="233"/>
    </w:p>
    <w:p w14:paraId="1298DE80">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3.1 </w:t>
      </w:r>
      <w:r>
        <w:rPr>
          <w:rFonts w:hint="eastAsia" w:ascii="仿宋_GB2312" w:hAnsi="仿宋_GB2312" w:eastAsia="仿宋_GB2312" w:cs="仿宋_GB2312"/>
          <w:kern w:val="0"/>
          <w:sz w:val="28"/>
          <w:szCs w:val="28"/>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52B247D0">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3.2 </w:t>
      </w:r>
      <w:r>
        <w:rPr>
          <w:rFonts w:hint="eastAsia" w:ascii="仿宋_GB2312" w:hAnsi="仿宋_GB2312" w:eastAsia="仿宋_GB2312" w:cs="仿宋_GB2312"/>
          <w:kern w:val="0"/>
          <w:sz w:val="28"/>
          <w:szCs w:val="28"/>
          <w:lang w:val="zh-CN"/>
        </w:rPr>
        <w:t>乙方应负责培训甲方的技术人员。</w:t>
      </w:r>
    </w:p>
    <w:p w14:paraId="2E6BF018">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3.3 </w:t>
      </w:r>
      <w:r>
        <w:rPr>
          <w:rFonts w:hint="eastAsia" w:ascii="仿宋_GB2312" w:hAnsi="仿宋_GB2312" w:eastAsia="仿宋_GB2312" w:cs="仿宋_GB2312"/>
          <w:kern w:val="0"/>
          <w:sz w:val="28"/>
          <w:szCs w:val="28"/>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2E0FAE18">
      <w:pPr>
        <w:autoSpaceDE w:val="0"/>
        <w:autoSpaceDN w:val="0"/>
        <w:adjustRightInd w:val="0"/>
        <w:spacing w:line="400" w:lineRule="exact"/>
        <w:rPr>
          <w:rFonts w:hint="eastAsia" w:ascii="仿宋_GB2312" w:hAnsi="仿宋_GB2312" w:eastAsia="仿宋_GB2312" w:cs="仿宋_GB2312"/>
          <w:b/>
          <w:bCs/>
          <w:kern w:val="0"/>
          <w:sz w:val="28"/>
          <w:szCs w:val="28"/>
        </w:rPr>
      </w:pPr>
      <w:bookmarkStart w:id="234" w:name="_Toc8450_WPSOffice_Level2"/>
      <w:bookmarkStart w:id="235" w:name="_Toc31793_WPSOffice_Level2"/>
      <w:bookmarkStart w:id="236" w:name="_Toc18952_WPSOffice_Level2"/>
      <w:bookmarkStart w:id="237" w:name="_Toc8478_WPSOffice_Level3"/>
      <w:r>
        <w:rPr>
          <w:rFonts w:hint="eastAsia" w:ascii="仿宋_GB2312" w:hAnsi="仿宋_GB2312" w:eastAsia="仿宋_GB2312" w:cs="仿宋_GB2312"/>
          <w:b/>
          <w:bCs/>
          <w:kern w:val="0"/>
          <w:sz w:val="28"/>
          <w:szCs w:val="28"/>
        </w:rPr>
        <w:t>4.</w:t>
      </w:r>
      <w:r>
        <w:rPr>
          <w:rFonts w:hint="eastAsia" w:ascii="仿宋_GB2312" w:hAnsi="仿宋_GB2312" w:eastAsia="仿宋_GB2312" w:cs="仿宋_GB2312"/>
          <w:b/>
          <w:bCs/>
          <w:kern w:val="0"/>
          <w:sz w:val="28"/>
          <w:szCs w:val="28"/>
          <w:lang w:val="zh-CN"/>
        </w:rPr>
        <w:t>合同文件和资料</w:t>
      </w:r>
      <w:bookmarkEnd w:id="234"/>
      <w:bookmarkEnd w:id="235"/>
      <w:bookmarkEnd w:id="236"/>
      <w:bookmarkEnd w:id="237"/>
    </w:p>
    <w:p w14:paraId="4191FE94">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4.1</w:t>
      </w:r>
      <w:r>
        <w:rPr>
          <w:rFonts w:hint="eastAsia" w:ascii="仿宋_GB2312" w:hAnsi="仿宋_GB2312" w:eastAsia="仿宋_GB2312" w:cs="仿宋_GB2312"/>
          <w:kern w:val="0"/>
          <w:sz w:val="28"/>
          <w:szCs w:val="28"/>
          <w:lang w:val="zh-CN"/>
        </w:rPr>
        <w:t>乙方在提供仪器设备时应同时提供中文版相关的技术资料，如目录索引、图纸、操作手册、使用指南、维修指南、服务手册等。</w:t>
      </w:r>
    </w:p>
    <w:p w14:paraId="31BC8E80">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4.2</w:t>
      </w:r>
      <w:r>
        <w:rPr>
          <w:rFonts w:hint="eastAsia" w:ascii="仿宋_GB2312" w:hAnsi="仿宋_GB2312" w:eastAsia="仿宋_GB2312" w:cs="仿宋_GB2312"/>
          <w:kern w:val="0"/>
          <w:sz w:val="28"/>
          <w:szCs w:val="28"/>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6BA1DA69">
      <w:pPr>
        <w:autoSpaceDE w:val="0"/>
        <w:autoSpaceDN w:val="0"/>
        <w:adjustRightInd w:val="0"/>
        <w:spacing w:line="400" w:lineRule="exact"/>
        <w:rPr>
          <w:rFonts w:hint="eastAsia" w:ascii="仿宋_GB2312" w:hAnsi="仿宋_GB2312" w:eastAsia="仿宋_GB2312" w:cs="仿宋_GB2312"/>
          <w:b/>
          <w:bCs/>
          <w:kern w:val="0"/>
          <w:sz w:val="28"/>
          <w:szCs w:val="28"/>
        </w:rPr>
      </w:pPr>
      <w:bookmarkStart w:id="238" w:name="_Toc22070_WPSOffice_Level2"/>
      <w:bookmarkStart w:id="239" w:name="_Toc15463_WPSOffice_Level3"/>
      <w:bookmarkStart w:id="240" w:name="_Toc7336_WPSOffice_Level2"/>
      <w:bookmarkStart w:id="241" w:name="_Toc4088_WPSOffice_Level2"/>
      <w:r>
        <w:rPr>
          <w:rFonts w:hint="eastAsia" w:ascii="仿宋_GB2312" w:hAnsi="仿宋_GB2312" w:eastAsia="仿宋_GB2312" w:cs="仿宋_GB2312"/>
          <w:b/>
          <w:bCs/>
          <w:kern w:val="0"/>
          <w:sz w:val="28"/>
          <w:szCs w:val="28"/>
        </w:rPr>
        <w:t>5.</w:t>
      </w:r>
      <w:r>
        <w:rPr>
          <w:rFonts w:hint="eastAsia" w:ascii="仿宋_GB2312" w:hAnsi="仿宋_GB2312" w:eastAsia="仿宋_GB2312" w:cs="仿宋_GB2312"/>
          <w:b/>
          <w:bCs/>
          <w:kern w:val="0"/>
          <w:sz w:val="28"/>
          <w:szCs w:val="28"/>
          <w:lang w:val="zh-CN"/>
        </w:rPr>
        <w:t>知识产权</w:t>
      </w:r>
      <w:bookmarkEnd w:id="238"/>
      <w:bookmarkEnd w:id="239"/>
      <w:bookmarkEnd w:id="240"/>
      <w:bookmarkEnd w:id="241"/>
    </w:p>
    <w:p w14:paraId="4108243C">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5.1</w:t>
      </w:r>
      <w:r>
        <w:rPr>
          <w:rFonts w:hint="eastAsia" w:ascii="仿宋_GB2312" w:hAnsi="仿宋_GB2312" w:eastAsia="仿宋_GB2312" w:cs="仿宋_GB2312"/>
          <w:kern w:val="0"/>
          <w:sz w:val="28"/>
          <w:szCs w:val="28"/>
          <w:lang w:val="zh-CN"/>
        </w:rPr>
        <w:t>乙方应保证甲方在使用该货物或其任何一部分时不受第三方提出的侵犯专利权、著作权、商标权和工业设计权等的起诉。</w:t>
      </w:r>
    </w:p>
    <w:p w14:paraId="594715C6">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5.2</w:t>
      </w:r>
      <w:r>
        <w:rPr>
          <w:rFonts w:hint="eastAsia" w:ascii="仿宋_GB2312" w:hAnsi="仿宋_GB2312" w:eastAsia="仿宋_GB2312" w:cs="仿宋_GB2312"/>
          <w:kern w:val="0"/>
          <w:sz w:val="28"/>
          <w:szCs w:val="28"/>
          <w:lang w:val="zh-CN"/>
        </w:rPr>
        <w:t>任何第三方提出侵权指控，乙方须与第三方交涉并承担由此产生的一切责任、费用和经济赔偿。</w:t>
      </w:r>
    </w:p>
    <w:p w14:paraId="764366D3">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5.3</w:t>
      </w:r>
      <w:r>
        <w:rPr>
          <w:rFonts w:hint="eastAsia" w:ascii="仿宋_GB2312" w:hAnsi="仿宋_GB2312" w:eastAsia="仿宋_GB2312" w:cs="仿宋_GB2312"/>
          <w:kern w:val="0"/>
          <w:sz w:val="28"/>
          <w:szCs w:val="28"/>
          <w:lang w:val="zh-CN"/>
        </w:rPr>
        <w:t>双方应共同遵守国家有关版权、专利、商标等知识产权方面的法律规定，相互尊重对方的知识产权，对本合同内容、对方的技术秘密和商业秘密负有保密责任。如有违反，违约方负相关法律责任。</w:t>
      </w:r>
    </w:p>
    <w:p w14:paraId="6C427786">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5.4</w:t>
      </w:r>
      <w:r>
        <w:rPr>
          <w:rFonts w:hint="eastAsia" w:ascii="仿宋_GB2312" w:hAnsi="仿宋_GB2312" w:eastAsia="仿宋_GB2312" w:cs="仿宋_GB2312"/>
          <w:kern w:val="0"/>
          <w:sz w:val="28"/>
          <w:szCs w:val="28"/>
          <w:lang w:val="zh-CN"/>
        </w:rPr>
        <w:t>在本合同生效时已经存在并为各方合法拥有或使用的所有技术、资料和信息的知识产权，仍应属于其各自的原权利人所有或享有，另有约定的除外。</w:t>
      </w:r>
    </w:p>
    <w:p w14:paraId="49B5B4D7">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5.5</w:t>
      </w:r>
      <w:r>
        <w:rPr>
          <w:rFonts w:hint="eastAsia" w:ascii="仿宋_GB2312" w:hAnsi="仿宋_GB2312" w:eastAsia="仿宋_GB2312" w:cs="仿宋_GB2312"/>
          <w:kern w:val="0"/>
          <w:sz w:val="28"/>
          <w:szCs w:val="28"/>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0E4319B3">
      <w:pPr>
        <w:autoSpaceDE w:val="0"/>
        <w:autoSpaceDN w:val="0"/>
        <w:adjustRightInd w:val="0"/>
        <w:spacing w:line="400" w:lineRule="exact"/>
        <w:rPr>
          <w:rFonts w:hint="eastAsia" w:ascii="仿宋_GB2312" w:hAnsi="仿宋_GB2312" w:eastAsia="仿宋_GB2312" w:cs="仿宋_GB2312"/>
          <w:b/>
          <w:bCs/>
          <w:kern w:val="0"/>
          <w:sz w:val="28"/>
          <w:szCs w:val="28"/>
        </w:rPr>
      </w:pPr>
      <w:bookmarkStart w:id="242" w:name="_Toc20473_WPSOffice_Level2"/>
      <w:bookmarkStart w:id="243" w:name="_Toc6366_WPSOffice_Level2"/>
      <w:bookmarkStart w:id="244" w:name="_Toc24005_WPSOffice_Level3"/>
      <w:bookmarkStart w:id="245" w:name="_Toc6721_WPSOffice_Level2"/>
      <w:r>
        <w:rPr>
          <w:rFonts w:hint="eastAsia" w:ascii="仿宋_GB2312" w:hAnsi="仿宋_GB2312" w:eastAsia="仿宋_GB2312" w:cs="仿宋_GB2312"/>
          <w:b/>
          <w:bCs/>
          <w:kern w:val="0"/>
          <w:sz w:val="28"/>
          <w:szCs w:val="28"/>
        </w:rPr>
        <w:t>6.</w:t>
      </w:r>
      <w:r>
        <w:rPr>
          <w:rFonts w:hint="eastAsia" w:ascii="仿宋_GB2312" w:hAnsi="仿宋_GB2312" w:eastAsia="仿宋_GB2312" w:cs="仿宋_GB2312"/>
          <w:b/>
          <w:bCs/>
          <w:kern w:val="0"/>
          <w:sz w:val="28"/>
          <w:szCs w:val="28"/>
          <w:lang w:val="zh-CN"/>
        </w:rPr>
        <w:t>保密</w:t>
      </w:r>
      <w:bookmarkEnd w:id="242"/>
      <w:bookmarkEnd w:id="243"/>
      <w:bookmarkEnd w:id="244"/>
      <w:bookmarkEnd w:id="245"/>
    </w:p>
    <w:p w14:paraId="6AFC8C26">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6.1</w:t>
      </w:r>
      <w:r>
        <w:rPr>
          <w:rFonts w:hint="eastAsia" w:ascii="仿宋_GB2312" w:hAnsi="仿宋_GB2312" w:eastAsia="仿宋_GB2312" w:cs="仿宋_GB2312"/>
          <w:kern w:val="0"/>
          <w:sz w:val="28"/>
          <w:szCs w:val="28"/>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6CB04D23">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6.2</w:t>
      </w:r>
      <w:r>
        <w:rPr>
          <w:rFonts w:hint="eastAsia" w:ascii="仿宋_GB2312" w:hAnsi="仿宋_GB2312" w:eastAsia="仿宋_GB2312" w:cs="仿宋_GB2312"/>
          <w:kern w:val="0"/>
          <w:sz w:val="28"/>
          <w:szCs w:val="28"/>
          <w:lang w:val="zh-CN"/>
        </w:rPr>
        <w:t>保密信息指任何一方因履行本合同所知悉的任何以口头、书面、图表或电子形式存在的对方信息，具体包括：</w:t>
      </w:r>
    </w:p>
    <w:p w14:paraId="6AFA39BC">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6.2.1</w:t>
      </w:r>
      <w:r>
        <w:rPr>
          <w:rFonts w:hint="eastAsia" w:ascii="仿宋_GB2312" w:hAnsi="仿宋_GB2312" w:eastAsia="仿宋_GB2312" w:cs="仿宋_GB2312"/>
          <w:kern w:val="0"/>
          <w:sz w:val="28"/>
          <w:szCs w:val="28"/>
          <w:lang w:val="zh-CN"/>
        </w:rPr>
        <w:t>任何涉及对方过去、现在或将来的商业计划、规章制度、操作规程、处理手段、财务信息；</w:t>
      </w:r>
    </w:p>
    <w:p w14:paraId="7107A32D">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6.2.2</w:t>
      </w:r>
      <w:r>
        <w:rPr>
          <w:rFonts w:hint="eastAsia" w:ascii="仿宋_GB2312" w:hAnsi="仿宋_GB2312" w:eastAsia="仿宋_GB2312" w:cs="仿宋_GB2312"/>
          <w:kern w:val="0"/>
          <w:sz w:val="28"/>
          <w:szCs w:val="28"/>
          <w:lang w:val="zh-CN"/>
        </w:rPr>
        <w:t>任何对方的技术措施、技术方案、软件应用及开发，硬件设备的品种、质量、数量、品牌等；</w:t>
      </w:r>
    </w:p>
    <w:p w14:paraId="1ECB83A1">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6.2.3</w:t>
      </w:r>
      <w:r>
        <w:rPr>
          <w:rFonts w:hint="eastAsia" w:ascii="仿宋_GB2312" w:hAnsi="仿宋_GB2312" w:eastAsia="仿宋_GB2312" w:cs="仿宋_GB2312"/>
          <w:kern w:val="0"/>
          <w:sz w:val="28"/>
          <w:szCs w:val="28"/>
          <w:lang w:val="zh-CN"/>
        </w:rPr>
        <w:t>任何对方的技术秘密或专有知识、文件、报告、数据、客户软件、流程图、数据库、发明、知识、贸易秘密。</w:t>
      </w:r>
    </w:p>
    <w:p w14:paraId="6B460AE8">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6.3</w:t>
      </w:r>
      <w:r>
        <w:rPr>
          <w:rFonts w:hint="eastAsia" w:ascii="仿宋_GB2312" w:hAnsi="仿宋_GB2312" w:eastAsia="仿宋_GB2312" w:cs="仿宋_GB2312"/>
          <w:kern w:val="0"/>
          <w:sz w:val="28"/>
          <w:szCs w:val="28"/>
          <w:lang w:val="zh-CN"/>
        </w:rPr>
        <w:t>乙方应根据甲方的要求签署相应的保密协议，保密协议与本条款存在不一致的，以保密协议为准。</w:t>
      </w:r>
    </w:p>
    <w:p w14:paraId="4759C9E9">
      <w:pPr>
        <w:autoSpaceDE w:val="0"/>
        <w:autoSpaceDN w:val="0"/>
        <w:adjustRightInd w:val="0"/>
        <w:spacing w:line="400" w:lineRule="exact"/>
        <w:rPr>
          <w:rFonts w:hint="eastAsia" w:ascii="仿宋_GB2312" w:hAnsi="仿宋_GB2312" w:eastAsia="仿宋_GB2312" w:cs="仿宋_GB2312"/>
          <w:b/>
          <w:bCs/>
          <w:kern w:val="0"/>
          <w:sz w:val="28"/>
          <w:szCs w:val="28"/>
        </w:rPr>
      </w:pPr>
      <w:bookmarkStart w:id="246" w:name="_Toc21936_WPSOffice_Level2"/>
      <w:bookmarkStart w:id="247" w:name="_Toc5005_WPSOffice_Level2"/>
      <w:bookmarkStart w:id="248" w:name="_Toc15914_WPSOffice_Level2"/>
      <w:bookmarkStart w:id="249" w:name="_Toc32113_WPSOffice_Level3"/>
      <w:r>
        <w:rPr>
          <w:rFonts w:hint="eastAsia" w:ascii="仿宋_GB2312" w:hAnsi="仿宋_GB2312" w:eastAsia="仿宋_GB2312" w:cs="仿宋_GB2312"/>
          <w:b/>
          <w:bCs/>
          <w:kern w:val="0"/>
          <w:sz w:val="28"/>
          <w:szCs w:val="28"/>
        </w:rPr>
        <w:t xml:space="preserve">7. </w:t>
      </w:r>
      <w:r>
        <w:rPr>
          <w:rFonts w:hint="eastAsia" w:ascii="仿宋_GB2312" w:hAnsi="仿宋_GB2312" w:eastAsia="仿宋_GB2312" w:cs="仿宋_GB2312"/>
          <w:b/>
          <w:bCs/>
          <w:kern w:val="0"/>
          <w:sz w:val="28"/>
          <w:szCs w:val="28"/>
          <w:lang w:val="zh-CN"/>
        </w:rPr>
        <w:t>质量保证</w:t>
      </w:r>
      <w:bookmarkEnd w:id="246"/>
      <w:bookmarkEnd w:id="247"/>
      <w:bookmarkEnd w:id="248"/>
      <w:bookmarkEnd w:id="249"/>
    </w:p>
    <w:p w14:paraId="79BFC6BA">
      <w:pPr>
        <w:autoSpaceDE w:val="0"/>
        <w:autoSpaceDN w:val="0"/>
        <w:adjustRightInd w:val="0"/>
        <w:spacing w:line="400" w:lineRule="exact"/>
        <w:ind w:firstLine="480"/>
        <w:rPr>
          <w:rFonts w:hint="eastAsia" w:ascii="仿宋_GB2312" w:hAnsi="仿宋_GB2312" w:eastAsia="仿宋_GB2312" w:cs="仿宋_GB2312"/>
          <w:kern w:val="0"/>
          <w:sz w:val="28"/>
          <w:szCs w:val="28"/>
        </w:rPr>
      </w:pPr>
      <w:bookmarkStart w:id="250" w:name="_Toc6608_WPSOffice_Level3"/>
      <w:r>
        <w:rPr>
          <w:rFonts w:hint="eastAsia" w:ascii="仿宋_GB2312" w:hAnsi="仿宋_GB2312" w:eastAsia="仿宋_GB2312" w:cs="仿宋_GB2312"/>
          <w:kern w:val="0"/>
          <w:sz w:val="28"/>
          <w:szCs w:val="28"/>
        </w:rPr>
        <w:t>7.1</w:t>
      </w:r>
      <w:r>
        <w:rPr>
          <w:rFonts w:hint="eastAsia" w:ascii="仿宋_GB2312" w:hAnsi="仿宋_GB2312" w:eastAsia="仿宋_GB2312" w:cs="仿宋_GB2312"/>
          <w:kern w:val="0"/>
          <w:sz w:val="28"/>
          <w:szCs w:val="28"/>
          <w:lang w:val="zh-CN"/>
        </w:rPr>
        <w:t>货物质量保证</w:t>
      </w:r>
      <w:bookmarkEnd w:id="250"/>
    </w:p>
    <w:p w14:paraId="0D50C5E0">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7.1.1</w:t>
      </w:r>
      <w:r>
        <w:rPr>
          <w:rFonts w:hint="eastAsia" w:ascii="仿宋_GB2312" w:hAnsi="仿宋_GB2312" w:eastAsia="仿宋_GB2312" w:cs="仿宋_GB2312"/>
          <w:kern w:val="0"/>
          <w:sz w:val="28"/>
          <w:szCs w:val="28"/>
          <w:lang w:val="zh-CN"/>
        </w:rPr>
        <w:t>乙方必须保证货物是全新、未使用过的，并完全符合强制性的国家技术质量规范和合同规定的质量、规格、性能和技术规范等的要求。</w:t>
      </w:r>
    </w:p>
    <w:p w14:paraId="2BEECB68">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7.1.2</w:t>
      </w:r>
      <w:r>
        <w:rPr>
          <w:rFonts w:hint="eastAsia" w:ascii="仿宋_GB2312" w:hAnsi="仿宋_GB2312" w:eastAsia="仿宋_GB2312" w:cs="仿宋_GB2312"/>
          <w:kern w:val="0"/>
          <w:sz w:val="28"/>
          <w:szCs w:val="28"/>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5691217A">
      <w:pPr>
        <w:autoSpaceDE w:val="0"/>
        <w:autoSpaceDN w:val="0"/>
        <w:adjustRightInd w:val="0"/>
        <w:spacing w:line="400" w:lineRule="exact"/>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7.1.3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0122BC9E">
      <w:pPr>
        <w:autoSpaceDE w:val="0"/>
        <w:autoSpaceDN w:val="0"/>
        <w:adjustRightInd w:val="0"/>
        <w:spacing w:line="400" w:lineRule="exact"/>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7.1.4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302779CB">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7.1.5 </w:t>
      </w:r>
      <w:r>
        <w:rPr>
          <w:rFonts w:hint="eastAsia" w:ascii="仿宋_GB2312" w:hAnsi="仿宋_GB2312" w:eastAsia="仿宋_GB2312" w:cs="仿宋_GB2312"/>
          <w:kern w:val="0"/>
          <w:sz w:val="28"/>
          <w:szCs w:val="28"/>
          <w:lang w:val="zh-CN"/>
        </w:rPr>
        <w:t>合同条款下货物的质量保证期自货物通过最终验收起算，合同另行规定除外。</w:t>
      </w:r>
    </w:p>
    <w:p w14:paraId="25BCB5CA">
      <w:pPr>
        <w:autoSpaceDE w:val="0"/>
        <w:autoSpaceDN w:val="0"/>
        <w:adjustRightInd w:val="0"/>
        <w:spacing w:line="400" w:lineRule="exact"/>
        <w:ind w:firstLine="480"/>
        <w:rPr>
          <w:rFonts w:hint="eastAsia" w:ascii="仿宋_GB2312" w:hAnsi="仿宋_GB2312" w:eastAsia="仿宋_GB2312" w:cs="仿宋_GB2312"/>
          <w:kern w:val="0"/>
          <w:sz w:val="28"/>
          <w:szCs w:val="28"/>
        </w:rPr>
      </w:pPr>
      <w:bookmarkStart w:id="251" w:name="_Toc10562_WPSOffice_Level3"/>
      <w:r>
        <w:rPr>
          <w:rFonts w:hint="eastAsia" w:ascii="仿宋_GB2312" w:hAnsi="仿宋_GB2312" w:eastAsia="仿宋_GB2312" w:cs="仿宋_GB2312"/>
          <w:kern w:val="0"/>
          <w:sz w:val="28"/>
          <w:szCs w:val="28"/>
        </w:rPr>
        <w:t>7.2</w:t>
      </w:r>
      <w:r>
        <w:rPr>
          <w:rFonts w:hint="eastAsia" w:ascii="仿宋_GB2312" w:hAnsi="仿宋_GB2312" w:eastAsia="仿宋_GB2312" w:cs="仿宋_GB2312"/>
          <w:kern w:val="0"/>
          <w:sz w:val="28"/>
          <w:szCs w:val="28"/>
          <w:lang w:val="zh-CN"/>
        </w:rPr>
        <w:t>辅助服务质量保证</w:t>
      </w:r>
      <w:bookmarkEnd w:id="251"/>
    </w:p>
    <w:p w14:paraId="54DD5126">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7.2.1</w:t>
      </w:r>
      <w:r>
        <w:rPr>
          <w:rFonts w:hint="eastAsia" w:ascii="仿宋_GB2312" w:hAnsi="仿宋_GB2312" w:eastAsia="仿宋_GB2312" w:cs="仿宋_GB2312"/>
          <w:kern w:val="0"/>
          <w:sz w:val="28"/>
          <w:szCs w:val="28"/>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428C34E2">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7.2.2</w:t>
      </w:r>
      <w:r>
        <w:rPr>
          <w:rFonts w:hint="eastAsia" w:ascii="仿宋_GB2312" w:hAnsi="仿宋_GB2312" w:eastAsia="仿宋_GB2312" w:cs="仿宋_GB2312"/>
          <w:kern w:val="0"/>
          <w:sz w:val="28"/>
          <w:szCs w:val="28"/>
          <w:lang w:val="zh-CN"/>
        </w:rPr>
        <w:t>乙方应保证合同条款下所提供的服务包括培训、安装指导、单机调试、系统联调和试验等，按合同规定方式进行，并保证不存在因乙方工作人员的过失、错误或疏忽而产生的缺陷。</w:t>
      </w:r>
    </w:p>
    <w:p w14:paraId="34235216">
      <w:pPr>
        <w:autoSpaceDE w:val="0"/>
        <w:autoSpaceDN w:val="0"/>
        <w:adjustRightInd w:val="0"/>
        <w:spacing w:line="400" w:lineRule="exact"/>
        <w:rPr>
          <w:rFonts w:hint="eastAsia" w:ascii="仿宋_GB2312" w:hAnsi="仿宋_GB2312" w:eastAsia="仿宋_GB2312" w:cs="仿宋_GB2312"/>
          <w:b/>
          <w:bCs/>
          <w:kern w:val="0"/>
          <w:sz w:val="28"/>
          <w:szCs w:val="28"/>
        </w:rPr>
      </w:pPr>
      <w:bookmarkStart w:id="252" w:name="_Toc10302_WPSOffice_Level2"/>
      <w:bookmarkStart w:id="253" w:name="_Toc28220_WPSOffice_Level2"/>
      <w:bookmarkStart w:id="254" w:name="_Toc15050_WPSOffice_Level3"/>
      <w:bookmarkStart w:id="255" w:name="_Toc27174_WPSOffice_Level2"/>
      <w:r>
        <w:rPr>
          <w:rFonts w:hint="eastAsia" w:ascii="仿宋_GB2312" w:hAnsi="仿宋_GB2312" w:eastAsia="仿宋_GB2312" w:cs="仿宋_GB2312"/>
          <w:b/>
          <w:bCs/>
          <w:kern w:val="0"/>
          <w:sz w:val="28"/>
          <w:szCs w:val="28"/>
        </w:rPr>
        <w:t>8.</w:t>
      </w:r>
      <w:r>
        <w:rPr>
          <w:rFonts w:hint="eastAsia" w:ascii="仿宋_GB2312" w:hAnsi="仿宋_GB2312" w:eastAsia="仿宋_GB2312" w:cs="仿宋_GB2312"/>
          <w:b/>
          <w:bCs/>
          <w:kern w:val="0"/>
          <w:sz w:val="28"/>
          <w:szCs w:val="28"/>
          <w:lang w:val="zh-CN"/>
        </w:rPr>
        <w:t>包装要求</w:t>
      </w:r>
      <w:bookmarkEnd w:id="252"/>
      <w:bookmarkEnd w:id="253"/>
      <w:bookmarkEnd w:id="254"/>
      <w:bookmarkEnd w:id="255"/>
    </w:p>
    <w:p w14:paraId="17F8BB15">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8.1 </w:t>
      </w:r>
      <w:r>
        <w:rPr>
          <w:rFonts w:hint="eastAsia" w:ascii="仿宋_GB2312" w:hAnsi="仿宋_GB2312" w:eastAsia="仿宋_GB2312" w:cs="仿宋_GB2312"/>
          <w:kern w:val="0"/>
          <w:sz w:val="28"/>
          <w:szCs w:val="28"/>
          <w:lang w:val="zh-CN"/>
        </w:rPr>
        <w:t>除合同另有约定外</w:t>
      </w:r>
      <w:r>
        <w:rPr>
          <w:rFonts w:hint="eastAsia" w:ascii="仿宋_GB2312" w:hAnsi="仿宋_GB2312" w:eastAsia="仿宋_GB2312" w:cs="仿宋_GB2312"/>
          <w:kern w:val="0"/>
          <w:sz w:val="28"/>
          <w:szCs w:val="28"/>
        </w:rPr>
        <w:t>,</w:t>
      </w:r>
      <w:r>
        <w:rPr>
          <w:rFonts w:hint="eastAsia" w:ascii="仿宋_GB2312" w:hAnsi="仿宋_GB2312" w:eastAsia="仿宋_GB2312" w:cs="仿宋_GB2312"/>
          <w:kern w:val="0"/>
          <w:sz w:val="28"/>
          <w:szCs w:val="28"/>
          <w:lang w:val="zh-CN"/>
        </w:rPr>
        <w:t>乙方提供的全部货物</w:t>
      </w:r>
      <w:r>
        <w:rPr>
          <w:rFonts w:hint="eastAsia" w:ascii="仿宋_GB2312" w:hAnsi="仿宋_GB2312" w:eastAsia="仿宋_GB2312" w:cs="仿宋_GB2312"/>
          <w:kern w:val="0"/>
          <w:sz w:val="28"/>
          <w:szCs w:val="28"/>
        </w:rPr>
        <w:t>,</w:t>
      </w:r>
      <w:r>
        <w:rPr>
          <w:rFonts w:hint="eastAsia" w:ascii="仿宋_GB2312" w:hAnsi="仿宋_GB2312" w:eastAsia="仿宋_GB2312" w:cs="仿宋_GB2312"/>
          <w:kern w:val="0"/>
          <w:sz w:val="28"/>
          <w:szCs w:val="28"/>
          <w:lang w:val="zh-CN"/>
        </w:rPr>
        <w:t>均应采用本行业通用的方式进行包装，且该包装应符合国家有关包装的法律、法规的规定。</w:t>
      </w:r>
    </w:p>
    <w:p w14:paraId="0E618C29">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8.2 </w:t>
      </w:r>
      <w:r>
        <w:rPr>
          <w:rFonts w:hint="eastAsia" w:ascii="仿宋_GB2312" w:hAnsi="仿宋_GB2312" w:eastAsia="仿宋_GB2312" w:cs="仿宋_GB2312"/>
          <w:kern w:val="0"/>
          <w:sz w:val="28"/>
          <w:szCs w:val="28"/>
          <w:lang w:val="zh-CN"/>
        </w:rPr>
        <w:t>包装应适应于远距离运输，并有良好的防潮、防震、防锈和防粗暴装卸等保护措施，以确保货物安全运抵现场。由于包装不善所引起的货物锈蚀、损坏和损失均由乙方承担。</w:t>
      </w:r>
    </w:p>
    <w:p w14:paraId="6B353DC6">
      <w:pPr>
        <w:autoSpaceDE w:val="0"/>
        <w:autoSpaceDN w:val="0"/>
        <w:adjustRightInd w:val="0"/>
        <w:spacing w:line="400" w:lineRule="exact"/>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乙方应提供货物运至合同规定的最终目的地所需要的包装，以防止货物在转运中损坏或变质。</w:t>
      </w:r>
    </w:p>
    <w:p w14:paraId="6112A0FE">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8.3 </w:t>
      </w:r>
      <w:r>
        <w:rPr>
          <w:rFonts w:hint="eastAsia" w:ascii="仿宋_GB2312" w:hAnsi="仿宋_GB2312" w:eastAsia="仿宋_GB2312" w:cs="仿宋_GB2312"/>
          <w:kern w:val="0"/>
          <w:sz w:val="28"/>
          <w:szCs w:val="28"/>
          <w:lang w:val="zh-CN"/>
        </w:rPr>
        <w:t>乙方所提供的货物包装均为出厂时原包装。</w:t>
      </w:r>
    </w:p>
    <w:p w14:paraId="77119851">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8.4 </w:t>
      </w:r>
      <w:r>
        <w:rPr>
          <w:rFonts w:hint="eastAsia" w:ascii="仿宋_GB2312" w:hAnsi="仿宋_GB2312" w:eastAsia="仿宋_GB2312" w:cs="仿宋_GB2312"/>
          <w:kern w:val="0"/>
          <w:sz w:val="28"/>
          <w:szCs w:val="28"/>
          <w:lang w:val="zh-CN"/>
        </w:rPr>
        <w:t>乙方所提供货物必须附有质量合格证，装箱清单，主机、附件、各种零部件和消耗品，有清楚的与装箱单相对应的名称和编号。</w:t>
      </w:r>
    </w:p>
    <w:p w14:paraId="2C260F7C">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8.5 </w:t>
      </w:r>
      <w:r>
        <w:rPr>
          <w:rFonts w:hint="eastAsia" w:ascii="仿宋_GB2312" w:hAnsi="仿宋_GB2312" w:eastAsia="仿宋_GB2312" w:cs="仿宋_GB2312"/>
          <w:kern w:val="0"/>
          <w:sz w:val="28"/>
          <w:szCs w:val="28"/>
          <w:lang w:val="zh-CN"/>
        </w:rPr>
        <w:t>货物运输中的运输费用和保险费用均由乙方承担。运输过程中的一切损失、损坏均由乙方负责。</w:t>
      </w:r>
    </w:p>
    <w:p w14:paraId="6EA47C95">
      <w:pPr>
        <w:autoSpaceDE w:val="0"/>
        <w:autoSpaceDN w:val="0"/>
        <w:adjustRightInd w:val="0"/>
        <w:spacing w:line="400" w:lineRule="exact"/>
        <w:rPr>
          <w:rFonts w:hint="eastAsia" w:ascii="仿宋_GB2312" w:hAnsi="仿宋_GB2312" w:eastAsia="仿宋_GB2312" w:cs="仿宋_GB2312"/>
          <w:b/>
          <w:bCs/>
          <w:kern w:val="0"/>
          <w:sz w:val="28"/>
          <w:szCs w:val="28"/>
        </w:rPr>
      </w:pPr>
      <w:bookmarkStart w:id="256" w:name="_Toc20045_WPSOffice_Level2"/>
      <w:bookmarkStart w:id="257" w:name="_Toc19829_WPSOffice_Level2"/>
      <w:bookmarkStart w:id="258" w:name="_Toc6142_WPSOffice_Level2"/>
      <w:bookmarkStart w:id="259" w:name="_Toc30358_WPSOffice_Level3"/>
      <w:r>
        <w:rPr>
          <w:rFonts w:hint="eastAsia" w:ascii="仿宋_GB2312" w:hAnsi="仿宋_GB2312" w:eastAsia="仿宋_GB2312" w:cs="仿宋_GB2312"/>
          <w:b/>
          <w:bCs/>
          <w:kern w:val="0"/>
          <w:sz w:val="28"/>
          <w:szCs w:val="28"/>
        </w:rPr>
        <w:t xml:space="preserve">9. </w:t>
      </w:r>
      <w:r>
        <w:rPr>
          <w:rFonts w:hint="eastAsia" w:ascii="仿宋_GB2312" w:hAnsi="仿宋_GB2312" w:eastAsia="仿宋_GB2312" w:cs="仿宋_GB2312"/>
          <w:b/>
          <w:bCs/>
          <w:kern w:val="0"/>
          <w:sz w:val="28"/>
          <w:szCs w:val="28"/>
          <w:lang w:val="zh-CN"/>
        </w:rPr>
        <w:t>价格</w:t>
      </w:r>
      <w:bookmarkEnd w:id="256"/>
      <w:bookmarkEnd w:id="257"/>
      <w:bookmarkEnd w:id="258"/>
      <w:bookmarkEnd w:id="259"/>
    </w:p>
    <w:p w14:paraId="59E46673">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9.1</w:t>
      </w:r>
      <w:r>
        <w:rPr>
          <w:rFonts w:hint="eastAsia" w:ascii="仿宋_GB2312" w:hAnsi="仿宋_GB2312" w:eastAsia="仿宋_GB2312" w:cs="仿宋_GB2312"/>
          <w:kern w:val="0"/>
          <w:sz w:val="28"/>
          <w:szCs w:val="28"/>
          <w:lang w:val="zh-CN"/>
        </w:rPr>
        <w:t>本合同价格为固定价格，包括了乙方履行合同全过程产生的所有成本和费用以及乙方应承担的一切税费。</w:t>
      </w:r>
    </w:p>
    <w:p w14:paraId="412052DC">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9.2</w:t>
      </w:r>
      <w:r>
        <w:rPr>
          <w:rFonts w:hint="eastAsia" w:ascii="仿宋_GB2312" w:hAnsi="仿宋_GB2312" w:eastAsia="仿宋_GB2312" w:cs="仿宋_GB2312"/>
          <w:kern w:val="0"/>
          <w:sz w:val="28"/>
          <w:szCs w:val="28"/>
          <w:lang w:val="zh-CN"/>
        </w:rPr>
        <w:t>检验费用</w:t>
      </w:r>
    </w:p>
    <w:p w14:paraId="739636C1">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9.3.1 </w:t>
      </w:r>
      <w:r>
        <w:rPr>
          <w:rFonts w:hint="eastAsia" w:ascii="仿宋_GB2312" w:hAnsi="仿宋_GB2312" w:eastAsia="仿宋_GB2312" w:cs="仿宋_GB2312"/>
          <w:kern w:val="0"/>
          <w:sz w:val="28"/>
          <w:szCs w:val="28"/>
          <w:lang w:val="zh-CN"/>
        </w:rPr>
        <w:t>乙方必须负担本条款下属于乙方负责的检验、测试、调试、试运行和验收的所有费用，并负责乙方派往买方组织的检验、测试和验收人员的所有费用。</w:t>
      </w:r>
    </w:p>
    <w:p w14:paraId="41229270">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9.3.2 </w:t>
      </w:r>
      <w:r>
        <w:rPr>
          <w:rFonts w:hint="eastAsia" w:ascii="仿宋_GB2312" w:hAnsi="仿宋_GB2312" w:eastAsia="仿宋_GB2312" w:cs="仿宋_GB2312"/>
          <w:kern w:val="0"/>
          <w:sz w:val="28"/>
          <w:szCs w:val="28"/>
          <w:lang w:val="zh-CN"/>
        </w:rPr>
        <w:t>甲方按合同计划参加在乙方工厂所在地检验、测试和验收的费用全部由乙方负责并已包含在合同总价中。</w:t>
      </w:r>
    </w:p>
    <w:p w14:paraId="03609E56">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9.3.3</w:t>
      </w:r>
      <w:r>
        <w:rPr>
          <w:rFonts w:hint="eastAsia" w:ascii="仿宋_GB2312" w:hAnsi="仿宋_GB2312" w:eastAsia="仿宋_GB2312" w:cs="仿宋_GB2312"/>
          <w:kern w:val="0"/>
          <w:sz w:val="28"/>
          <w:szCs w:val="28"/>
          <w:lang w:val="zh-CN"/>
        </w:rPr>
        <w:t>甲方检验人员已到卖方所在地，测试无法依照合同进行，而引起甲方人员延长逗留时间，所有由此产生的包括甲方人员在内的直接费用及成本由乙方承担。</w:t>
      </w:r>
    </w:p>
    <w:p w14:paraId="33730372">
      <w:pPr>
        <w:autoSpaceDE w:val="0"/>
        <w:autoSpaceDN w:val="0"/>
        <w:adjustRightInd w:val="0"/>
        <w:spacing w:line="400" w:lineRule="exact"/>
        <w:rPr>
          <w:rFonts w:hint="eastAsia" w:ascii="仿宋_GB2312" w:hAnsi="仿宋_GB2312" w:eastAsia="仿宋_GB2312" w:cs="仿宋_GB2312"/>
          <w:b/>
          <w:bCs/>
          <w:kern w:val="0"/>
          <w:sz w:val="28"/>
          <w:szCs w:val="28"/>
        </w:rPr>
      </w:pPr>
      <w:bookmarkStart w:id="260" w:name="_Toc16991_WPSOffice_Level2"/>
      <w:bookmarkStart w:id="261" w:name="_Toc6316_WPSOffice_Level2"/>
      <w:bookmarkStart w:id="262" w:name="_Toc864_WPSOffice_Level2"/>
      <w:bookmarkStart w:id="263" w:name="_Toc19675_WPSOffice_Level3"/>
      <w:r>
        <w:rPr>
          <w:rFonts w:hint="eastAsia" w:ascii="仿宋_GB2312" w:hAnsi="仿宋_GB2312" w:eastAsia="仿宋_GB2312" w:cs="仿宋_GB2312"/>
          <w:b/>
          <w:bCs/>
          <w:kern w:val="0"/>
          <w:sz w:val="28"/>
          <w:szCs w:val="28"/>
        </w:rPr>
        <w:t>10.</w:t>
      </w:r>
      <w:r>
        <w:rPr>
          <w:rFonts w:hint="eastAsia" w:ascii="仿宋_GB2312" w:hAnsi="仿宋_GB2312" w:eastAsia="仿宋_GB2312" w:cs="仿宋_GB2312"/>
          <w:b/>
          <w:bCs/>
          <w:kern w:val="0"/>
          <w:sz w:val="28"/>
          <w:szCs w:val="28"/>
          <w:lang w:val="zh-CN"/>
        </w:rPr>
        <w:t>交货方式及交货日期</w:t>
      </w:r>
      <w:bookmarkEnd w:id="260"/>
      <w:bookmarkEnd w:id="261"/>
      <w:bookmarkEnd w:id="262"/>
      <w:bookmarkEnd w:id="263"/>
    </w:p>
    <w:p w14:paraId="6DE2B98F">
      <w:pPr>
        <w:autoSpaceDE w:val="0"/>
        <w:autoSpaceDN w:val="0"/>
        <w:adjustRightInd w:val="0"/>
        <w:spacing w:line="400" w:lineRule="exact"/>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交货方式：现场交货，乙方负责办理运输和保险，将货物运抵现场。</w:t>
      </w:r>
    </w:p>
    <w:p w14:paraId="38A28DDA">
      <w:pPr>
        <w:autoSpaceDE w:val="0"/>
        <w:autoSpaceDN w:val="0"/>
        <w:adjustRightInd w:val="0"/>
        <w:spacing w:line="400" w:lineRule="exact"/>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交货期应根据产品的特点实事求是填写，进口产品90个工作日内，国产产品60个工作日内。特殊产品交货期需说明。</w:t>
      </w:r>
    </w:p>
    <w:p w14:paraId="6346AF81">
      <w:pPr>
        <w:autoSpaceDE w:val="0"/>
        <w:autoSpaceDN w:val="0"/>
        <w:adjustRightInd w:val="0"/>
        <w:spacing w:line="400" w:lineRule="exact"/>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交货日期：所有货物运抵现场并经双方开箱验收合格之日。</w:t>
      </w:r>
    </w:p>
    <w:p w14:paraId="00973DBB">
      <w:pPr>
        <w:autoSpaceDE w:val="0"/>
        <w:autoSpaceDN w:val="0"/>
        <w:adjustRightInd w:val="0"/>
        <w:spacing w:line="400" w:lineRule="exact"/>
        <w:ind w:firstLine="480"/>
        <w:rPr>
          <w:rFonts w:hint="eastAsia" w:ascii="仿宋_GB2312" w:hAnsi="仿宋_GB2312" w:eastAsia="仿宋_GB2312" w:cs="仿宋_GB2312"/>
          <w:kern w:val="0"/>
          <w:sz w:val="28"/>
          <w:szCs w:val="28"/>
          <w:lang w:val="zh-CN"/>
        </w:rPr>
      </w:pPr>
      <w:bookmarkStart w:id="264" w:name="_Toc22323_WPSOffice_Level2"/>
      <w:bookmarkStart w:id="265" w:name="_Toc15436_WPSOffice_Level2"/>
      <w:bookmarkStart w:id="266" w:name="_Toc15745_WPSOffice_Level3"/>
      <w:bookmarkStart w:id="267" w:name="_Toc1945_WPSOffice_Level2"/>
      <w:r>
        <w:rPr>
          <w:rFonts w:hint="eastAsia" w:ascii="仿宋_GB2312" w:hAnsi="仿宋_GB2312" w:eastAsia="仿宋_GB2312" w:cs="仿宋_GB2312"/>
          <w:kern w:val="0"/>
          <w:sz w:val="28"/>
          <w:szCs w:val="28"/>
          <w:lang w:val="zh-CN"/>
        </w:rPr>
        <w:t>11.检验和验收</w:t>
      </w:r>
      <w:bookmarkEnd w:id="264"/>
      <w:bookmarkEnd w:id="265"/>
      <w:bookmarkEnd w:id="266"/>
      <w:bookmarkEnd w:id="267"/>
    </w:p>
    <w:p w14:paraId="2407AA17">
      <w:pPr>
        <w:autoSpaceDE w:val="0"/>
        <w:autoSpaceDN w:val="0"/>
        <w:adjustRightInd w:val="0"/>
        <w:spacing w:line="400" w:lineRule="exact"/>
        <w:ind w:firstLine="480"/>
        <w:rPr>
          <w:rFonts w:hint="eastAsia" w:ascii="仿宋_GB2312" w:hAnsi="仿宋_GB2312" w:eastAsia="仿宋_GB2312" w:cs="仿宋_GB2312"/>
          <w:kern w:val="0"/>
          <w:sz w:val="28"/>
          <w:szCs w:val="28"/>
        </w:rPr>
      </w:pPr>
      <w:bookmarkStart w:id="268" w:name="_Toc3521_WPSOffice_Level3"/>
      <w:r>
        <w:rPr>
          <w:rFonts w:hint="eastAsia" w:ascii="仿宋_GB2312" w:hAnsi="仿宋_GB2312" w:eastAsia="仿宋_GB2312" w:cs="仿宋_GB2312"/>
          <w:kern w:val="0"/>
          <w:sz w:val="28"/>
          <w:szCs w:val="28"/>
        </w:rPr>
        <w:t>11.1</w:t>
      </w:r>
      <w:r>
        <w:rPr>
          <w:rFonts w:hint="eastAsia" w:ascii="仿宋_GB2312" w:hAnsi="仿宋_GB2312" w:eastAsia="仿宋_GB2312" w:cs="仿宋_GB2312"/>
          <w:kern w:val="0"/>
          <w:sz w:val="28"/>
          <w:szCs w:val="28"/>
          <w:lang w:val="zh-CN"/>
        </w:rPr>
        <w:t>开箱验收</w:t>
      </w:r>
      <w:bookmarkEnd w:id="268"/>
    </w:p>
    <w:p w14:paraId="4F7E3AA7">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11.1.1</w:t>
      </w:r>
      <w:r>
        <w:rPr>
          <w:rFonts w:hint="eastAsia" w:ascii="仿宋_GB2312" w:hAnsi="仿宋_GB2312" w:eastAsia="仿宋_GB2312" w:cs="仿宋_GB2312"/>
          <w:kern w:val="0"/>
          <w:sz w:val="28"/>
          <w:szCs w:val="28"/>
          <w:lang w:val="zh-CN"/>
        </w:rPr>
        <w:t>货物运抵现场后，双方应及时开箱验收，并制作验收记录，以确认与本合同约定的数量、型号等是否一致。</w:t>
      </w:r>
    </w:p>
    <w:p w14:paraId="292E67F0">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11.1.2 </w:t>
      </w:r>
      <w:r>
        <w:rPr>
          <w:rFonts w:hint="eastAsia" w:ascii="仿宋_GB2312" w:hAnsi="仿宋_GB2312" w:eastAsia="仿宋_GB2312" w:cs="仿宋_GB2312"/>
          <w:kern w:val="0"/>
          <w:sz w:val="28"/>
          <w:szCs w:val="28"/>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397D3CBF">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11.1.3 </w:t>
      </w:r>
      <w:r>
        <w:rPr>
          <w:rFonts w:hint="eastAsia" w:ascii="仿宋_GB2312" w:hAnsi="仿宋_GB2312" w:eastAsia="仿宋_GB2312" w:cs="仿宋_GB2312"/>
          <w:kern w:val="0"/>
          <w:sz w:val="28"/>
          <w:szCs w:val="28"/>
          <w:lang w:val="zh-CN"/>
        </w:rPr>
        <w:t>开箱验收中如发现货物的数量、规格与合同约定不符，甲方有权拒收货物，乙方应及时按甲方要求免费对拒收货物采取更换或其他必要的补救措施，直至开箱验收合格，方视为乙方完成交货。</w:t>
      </w:r>
    </w:p>
    <w:p w14:paraId="201BABBF">
      <w:pPr>
        <w:autoSpaceDE w:val="0"/>
        <w:autoSpaceDN w:val="0"/>
        <w:adjustRightInd w:val="0"/>
        <w:spacing w:line="400" w:lineRule="exact"/>
        <w:ind w:firstLine="480"/>
        <w:rPr>
          <w:rFonts w:hint="eastAsia" w:ascii="仿宋_GB2312" w:hAnsi="仿宋_GB2312" w:eastAsia="仿宋_GB2312" w:cs="仿宋_GB2312"/>
          <w:kern w:val="0"/>
          <w:sz w:val="28"/>
          <w:szCs w:val="28"/>
        </w:rPr>
      </w:pPr>
      <w:bookmarkStart w:id="269" w:name="_Toc14377_WPSOffice_Level3"/>
      <w:r>
        <w:rPr>
          <w:rFonts w:hint="eastAsia" w:ascii="仿宋_GB2312" w:hAnsi="仿宋_GB2312" w:eastAsia="仿宋_GB2312" w:cs="仿宋_GB2312"/>
          <w:kern w:val="0"/>
          <w:sz w:val="28"/>
          <w:szCs w:val="28"/>
        </w:rPr>
        <w:t xml:space="preserve">11.2  </w:t>
      </w:r>
      <w:r>
        <w:rPr>
          <w:rFonts w:hint="eastAsia" w:ascii="仿宋_GB2312" w:hAnsi="仿宋_GB2312" w:eastAsia="仿宋_GB2312" w:cs="仿宋_GB2312"/>
          <w:kern w:val="0"/>
          <w:sz w:val="28"/>
          <w:szCs w:val="28"/>
          <w:lang w:val="zh-CN"/>
        </w:rPr>
        <w:t>检验验收</w:t>
      </w:r>
      <w:bookmarkEnd w:id="269"/>
    </w:p>
    <w:p w14:paraId="780BE8F9">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11.2.1 </w:t>
      </w:r>
      <w:r>
        <w:rPr>
          <w:rFonts w:hint="eastAsia" w:ascii="仿宋_GB2312" w:hAnsi="仿宋_GB2312" w:eastAsia="仿宋_GB2312" w:cs="仿宋_GB2312"/>
          <w:kern w:val="0"/>
          <w:sz w:val="28"/>
          <w:szCs w:val="28"/>
          <w:lang w:val="zh-CN"/>
        </w:rPr>
        <w:t>交货完成后，乙方应及时组装、调试、试运行，按照合同专用条款规定的试运行完成后，双方及时组织对货物检验验收。合同双方均须派人参加合同要求双方参加的试验、检验。</w:t>
      </w:r>
    </w:p>
    <w:p w14:paraId="6C807472">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11.2.2 </w:t>
      </w:r>
      <w:r>
        <w:rPr>
          <w:rFonts w:hint="eastAsia" w:ascii="仿宋_GB2312" w:hAnsi="仿宋_GB2312" w:eastAsia="仿宋_GB2312" w:cs="仿宋_GB2312"/>
          <w:kern w:val="0"/>
          <w:sz w:val="28"/>
          <w:szCs w:val="28"/>
          <w:lang w:val="zh-CN"/>
        </w:rPr>
        <w:t>在具体实施合同规定的检验验收之前，乙方需提前提交相应的测试计划（包括测试程序、测试内容和检验标准、试验时间安排等）供甲方确认。</w:t>
      </w:r>
    </w:p>
    <w:p w14:paraId="01143AFA">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11.2.3  </w:t>
      </w:r>
      <w:r>
        <w:rPr>
          <w:rFonts w:hint="eastAsia" w:ascii="仿宋_GB2312" w:hAnsi="仿宋_GB2312" w:eastAsia="仿宋_GB2312" w:cs="仿宋_GB2312"/>
          <w:kern w:val="0"/>
          <w:sz w:val="28"/>
          <w:szCs w:val="28"/>
          <w:lang w:val="zh-CN"/>
        </w:rPr>
        <w:t>除需甲方确认的试验验收外，乙方还应对所有检验验收测试的结果、步骤、原始数据等作妥善记录。如甲方要求，乙方应提供这些记录给买方。</w:t>
      </w:r>
    </w:p>
    <w:p w14:paraId="01F51D5F">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11.2.4  </w:t>
      </w:r>
      <w:r>
        <w:rPr>
          <w:rFonts w:hint="eastAsia" w:ascii="仿宋_GB2312" w:hAnsi="仿宋_GB2312" w:eastAsia="仿宋_GB2312" w:cs="仿宋_GB2312"/>
          <w:kern w:val="0"/>
          <w:sz w:val="28"/>
          <w:szCs w:val="28"/>
          <w:lang w:val="zh-CN"/>
        </w:rPr>
        <w:t>检验测试出现全部或部分未达到本合同所约定的技术指标，甲方有权选择下列任一处理方式：</w:t>
      </w:r>
    </w:p>
    <w:p w14:paraId="1D5FB169">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a.</w:t>
      </w:r>
      <w:r>
        <w:rPr>
          <w:rFonts w:hint="eastAsia" w:ascii="仿宋_GB2312" w:hAnsi="仿宋_GB2312" w:eastAsia="仿宋_GB2312" w:cs="仿宋_GB2312"/>
          <w:kern w:val="0"/>
          <w:sz w:val="28"/>
          <w:szCs w:val="28"/>
          <w:lang w:val="zh-CN"/>
        </w:rPr>
        <w:t>重新测试直至合格为止；</w:t>
      </w:r>
    </w:p>
    <w:p w14:paraId="5D4F76A8">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b.</w:t>
      </w:r>
      <w:r>
        <w:rPr>
          <w:rFonts w:hint="eastAsia" w:ascii="仿宋_GB2312" w:hAnsi="仿宋_GB2312" w:eastAsia="仿宋_GB2312" w:cs="仿宋_GB2312"/>
          <w:kern w:val="0"/>
          <w:sz w:val="28"/>
          <w:szCs w:val="28"/>
          <w:lang w:val="zh-CN"/>
        </w:rPr>
        <w:t>要求乙方对货物进行免费更换，然后重新测试直至合格为止；</w:t>
      </w:r>
    </w:p>
    <w:p w14:paraId="4B68795A">
      <w:pPr>
        <w:autoSpaceDE w:val="0"/>
        <w:autoSpaceDN w:val="0"/>
        <w:adjustRightInd w:val="0"/>
        <w:spacing w:line="400" w:lineRule="exact"/>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无论选择何种方式，甲方因此而发生的因卖方原因引起的所有费用均由乙方负担。</w:t>
      </w:r>
    </w:p>
    <w:p w14:paraId="4E730862">
      <w:pPr>
        <w:autoSpaceDE w:val="0"/>
        <w:autoSpaceDN w:val="0"/>
        <w:adjustRightInd w:val="0"/>
        <w:spacing w:line="400" w:lineRule="exact"/>
        <w:ind w:firstLine="480"/>
        <w:rPr>
          <w:rFonts w:hint="eastAsia" w:ascii="仿宋_GB2312" w:hAnsi="仿宋_GB2312" w:eastAsia="仿宋_GB2312" w:cs="仿宋_GB2312"/>
          <w:kern w:val="0"/>
          <w:sz w:val="28"/>
          <w:szCs w:val="28"/>
        </w:rPr>
      </w:pPr>
      <w:bookmarkStart w:id="270" w:name="_Toc1830_WPSOffice_Level3"/>
      <w:r>
        <w:rPr>
          <w:rFonts w:hint="eastAsia" w:ascii="仿宋_GB2312" w:hAnsi="仿宋_GB2312" w:eastAsia="仿宋_GB2312" w:cs="仿宋_GB2312"/>
          <w:kern w:val="0"/>
          <w:sz w:val="28"/>
          <w:szCs w:val="28"/>
        </w:rPr>
        <w:t xml:space="preserve">11.3  </w:t>
      </w:r>
      <w:r>
        <w:rPr>
          <w:rFonts w:hint="eastAsia" w:ascii="仿宋_GB2312" w:hAnsi="仿宋_GB2312" w:eastAsia="仿宋_GB2312" w:cs="仿宋_GB2312"/>
          <w:kern w:val="0"/>
          <w:sz w:val="28"/>
          <w:szCs w:val="28"/>
          <w:lang w:val="zh-CN"/>
        </w:rPr>
        <w:t>使用过程检验</w:t>
      </w:r>
      <w:bookmarkEnd w:id="270"/>
    </w:p>
    <w:p w14:paraId="722A5B46">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11.3.1</w:t>
      </w:r>
      <w:r>
        <w:rPr>
          <w:rFonts w:hint="eastAsia" w:ascii="仿宋_GB2312" w:hAnsi="仿宋_GB2312" w:eastAsia="仿宋_GB2312" w:cs="仿宋_GB2312"/>
          <w:kern w:val="0"/>
          <w:sz w:val="28"/>
          <w:szCs w:val="28"/>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3E929901">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11.3.2</w:t>
      </w:r>
      <w:r>
        <w:rPr>
          <w:rFonts w:hint="eastAsia" w:ascii="仿宋_GB2312" w:hAnsi="仿宋_GB2312" w:eastAsia="仿宋_GB2312" w:cs="仿宋_GB2312"/>
          <w:kern w:val="0"/>
          <w:sz w:val="28"/>
          <w:szCs w:val="28"/>
          <w:lang w:val="zh-CN"/>
        </w:rPr>
        <w:t>如果合同双方对乙方提供的上述试验结果报告的解释有分歧，双方须于出现分歧后</w:t>
      </w:r>
      <w:r>
        <w:rPr>
          <w:rFonts w:hint="eastAsia" w:ascii="仿宋_GB2312" w:hAnsi="仿宋_GB2312" w:eastAsia="仿宋_GB2312" w:cs="仿宋_GB2312"/>
          <w:kern w:val="0"/>
          <w:sz w:val="28"/>
          <w:szCs w:val="28"/>
        </w:rPr>
        <w:t>10</w:t>
      </w:r>
      <w:r>
        <w:rPr>
          <w:rFonts w:hint="eastAsia" w:ascii="仿宋_GB2312" w:hAnsi="仿宋_GB2312" w:eastAsia="仿宋_GB2312" w:cs="仿宋_GB2312"/>
          <w:kern w:val="0"/>
          <w:sz w:val="28"/>
          <w:szCs w:val="28"/>
          <w:lang w:val="zh-CN"/>
        </w:rPr>
        <w:t>天内给对方声明，以陈述己方的观点。声明须附有关证据。分歧应通过协商解决。</w:t>
      </w:r>
    </w:p>
    <w:p w14:paraId="79E8633E">
      <w:pPr>
        <w:autoSpaceDE w:val="0"/>
        <w:autoSpaceDN w:val="0"/>
        <w:adjustRightInd w:val="0"/>
        <w:spacing w:line="400" w:lineRule="exact"/>
        <w:rPr>
          <w:rFonts w:hint="eastAsia" w:ascii="仿宋_GB2312" w:hAnsi="仿宋_GB2312" w:eastAsia="仿宋_GB2312" w:cs="仿宋_GB2312"/>
          <w:b/>
          <w:bCs/>
          <w:kern w:val="0"/>
          <w:sz w:val="28"/>
          <w:szCs w:val="28"/>
        </w:rPr>
      </w:pPr>
      <w:bookmarkStart w:id="271" w:name="_Toc16690_WPSOffice_Level2"/>
      <w:bookmarkStart w:id="272" w:name="_Toc1449_WPSOffice_Level2"/>
      <w:bookmarkStart w:id="273" w:name="_Toc8163_WPSOffice_Level3"/>
      <w:bookmarkStart w:id="274" w:name="_Toc17982_WPSOffice_Level2"/>
      <w:r>
        <w:rPr>
          <w:rFonts w:hint="eastAsia" w:ascii="仿宋_GB2312" w:hAnsi="仿宋_GB2312" w:eastAsia="仿宋_GB2312" w:cs="仿宋_GB2312"/>
          <w:b/>
          <w:bCs/>
          <w:kern w:val="0"/>
          <w:sz w:val="28"/>
          <w:szCs w:val="28"/>
        </w:rPr>
        <w:t>12.</w:t>
      </w:r>
      <w:r>
        <w:rPr>
          <w:rFonts w:hint="eastAsia" w:ascii="仿宋_GB2312" w:hAnsi="仿宋_GB2312" w:eastAsia="仿宋_GB2312" w:cs="仿宋_GB2312"/>
          <w:b/>
          <w:bCs/>
          <w:kern w:val="0"/>
          <w:sz w:val="28"/>
          <w:szCs w:val="28"/>
          <w:lang w:val="zh-CN"/>
        </w:rPr>
        <w:t>付款条件</w:t>
      </w:r>
      <w:bookmarkEnd w:id="271"/>
      <w:bookmarkEnd w:id="272"/>
      <w:bookmarkEnd w:id="273"/>
      <w:bookmarkEnd w:id="274"/>
    </w:p>
    <w:p w14:paraId="4540AAA1">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本合同条款下的付款方法和条件在“青海省政府采购合同书”中具体规定。</w:t>
      </w:r>
    </w:p>
    <w:p w14:paraId="7E62B522">
      <w:pPr>
        <w:autoSpaceDE w:val="0"/>
        <w:autoSpaceDN w:val="0"/>
        <w:adjustRightInd w:val="0"/>
        <w:spacing w:line="400" w:lineRule="exact"/>
        <w:rPr>
          <w:rFonts w:hint="eastAsia" w:ascii="仿宋_GB2312" w:hAnsi="仿宋_GB2312" w:eastAsia="仿宋_GB2312" w:cs="仿宋_GB2312"/>
          <w:b/>
          <w:bCs/>
          <w:kern w:val="0"/>
          <w:sz w:val="28"/>
          <w:szCs w:val="28"/>
        </w:rPr>
      </w:pPr>
      <w:bookmarkStart w:id="275" w:name="_Toc28593_WPSOffice_Level3"/>
      <w:bookmarkStart w:id="276" w:name="_Toc188_WPSOffice_Level2"/>
      <w:bookmarkStart w:id="277" w:name="_Toc9326_WPSOffice_Level2"/>
      <w:bookmarkStart w:id="278" w:name="_Toc19493_WPSOffice_Level2"/>
      <w:r>
        <w:rPr>
          <w:rFonts w:hint="eastAsia" w:ascii="仿宋_GB2312" w:hAnsi="仿宋_GB2312" w:eastAsia="仿宋_GB2312" w:cs="仿宋_GB2312"/>
          <w:b/>
          <w:bCs/>
          <w:kern w:val="0"/>
          <w:sz w:val="28"/>
          <w:szCs w:val="28"/>
        </w:rPr>
        <w:t>13.</w:t>
      </w:r>
      <w:r>
        <w:rPr>
          <w:rFonts w:hint="eastAsia" w:ascii="仿宋_GB2312" w:hAnsi="仿宋_GB2312" w:eastAsia="仿宋_GB2312" w:cs="仿宋_GB2312"/>
          <w:b/>
          <w:bCs/>
          <w:kern w:val="0"/>
          <w:sz w:val="28"/>
          <w:szCs w:val="28"/>
          <w:lang w:val="zh-CN"/>
        </w:rPr>
        <w:t>履约保证金</w:t>
      </w:r>
      <w:bookmarkEnd w:id="275"/>
      <w:bookmarkEnd w:id="276"/>
      <w:bookmarkEnd w:id="277"/>
      <w:bookmarkEnd w:id="278"/>
    </w:p>
    <w:p w14:paraId="696A7299">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13.1</w:t>
      </w:r>
      <w:r>
        <w:rPr>
          <w:rFonts w:hint="eastAsia" w:ascii="仿宋_GB2312" w:hAnsi="仿宋_GB2312" w:eastAsia="仿宋_GB2312" w:cs="仿宋_GB2312"/>
          <w:kern w:val="0"/>
          <w:sz w:val="28"/>
          <w:szCs w:val="28"/>
          <w:lang w:val="zh-CN"/>
        </w:rPr>
        <w:t>乙方应在合同签订前，按谈判文件第三部分“八 授予合同”中第22.2项的约定提交履约保证金。</w:t>
      </w:r>
    </w:p>
    <w:p w14:paraId="201F6D7D">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13.2</w:t>
      </w:r>
      <w:r>
        <w:rPr>
          <w:rFonts w:hint="eastAsia" w:ascii="仿宋_GB2312" w:hAnsi="仿宋_GB2312" w:eastAsia="仿宋_GB2312" w:cs="仿宋_GB2312"/>
          <w:kern w:val="0"/>
          <w:sz w:val="28"/>
          <w:szCs w:val="28"/>
          <w:lang w:val="zh-CN"/>
        </w:rPr>
        <w:t>履约保证金用于补偿甲方因乙方不能履行其合同义务而蒙受的损失。</w:t>
      </w:r>
    </w:p>
    <w:p w14:paraId="319A1B86">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13.3</w:t>
      </w:r>
      <w:r>
        <w:rPr>
          <w:rFonts w:hint="eastAsia" w:ascii="仿宋_GB2312" w:hAnsi="仿宋_GB2312" w:eastAsia="仿宋_GB2312" w:cs="仿宋_GB2312"/>
          <w:kern w:val="0"/>
          <w:sz w:val="28"/>
          <w:szCs w:val="28"/>
          <w:lang w:val="zh-CN"/>
        </w:rPr>
        <w:t>履约保证金应使用本合同货币，按下述方式之一提交（谈判文件中另有约定的除外）：</w:t>
      </w:r>
    </w:p>
    <w:p w14:paraId="5A1CBBAC">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13.3.1</w:t>
      </w:r>
      <w:r>
        <w:rPr>
          <w:rFonts w:hint="eastAsia" w:ascii="仿宋_GB2312" w:hAnsi="仿宋_GB2312" w:eastAsia="仿宋_GB2312" w:cs="仿宋_GB2312"/>
          <w:kern w:val="0"/>
          <w:sz w:val="28"/>
          <w:szCs w:val="28"/>
          <w:lang w:val="zh-CN"/>
        </w:rPr>
        <w:t>甲方可接受的在中华人民共和国注册和营业的银行出具的履约保函；</w:t>
      </w:r>
    </w:p>
    <w:p w14:paraId="4D17DA82">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13.3.2 </w:t>
      </w:r>
      <w:r>
        <w:rPr>
          <w:rFonts w:hint="eastAsia" w:ascii="仿宋_GB2312" w:hAnsi="仿宋_GB2312" w:eastAsia="仿宋_GB2312" w:cs="仿宋_GB2312"/>
          <w:kern w:val="0"/>
          <w:sz w:val="28"/>
          <w:szCs w:val="28"/>
          <w:lang w:val="zh-CN"/>
        </w:rPr>
        <w:t>支票或汇票。</w:t>
      </w:r>
    </w:p>
    <w:p w14:paraId="5288B1BB">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13.4</w:t>
      </w:r>
      <w:r>
        <w:rPr>
          <w:rFonts w:hint="eastAsia" w:ascii="仿宋_GB2312" w:hAnsi="仿宋_GB2312" w:eastAsia="仿宋_GB2312" w:cs="仿宋_GB2312"/>
          <w:kern w:val="0"/>
          <w:sz w:val="28"/>
          <w:szCs w:val="28"/>
          <w:lang w:val="zh-CN"/>
        </w:rPr>
        <w:t>乙方未能按合同规定履行其义务，甲方有权从履约保证金中取得补偿。货物验收合格后，甲方将履约保证金退还乙方或转为质量保证金。</w:t>
      </w:r>
    </w:p>
    <w:p w14:paraId="67DB814B">
      <w:pPr>
        <w:autoSpaceDE w:val="0"/>
        <w:autoSpaceDN w:val="0"/>
        <w:adjustRightInd w:val="0"/>
        <w:spacing w:line="400" w:lineRule="exact"/>
        <w:rPr>
          <w:rFonts w:hint="eastAsia" w:ascii="仿宋_GB2312" w:hAnsi="仿宋_GB2312" w:eastAsia="仿宋_GB2312" w:cs="仿宋_GB2312"/>
          <w:b/>
          <w:bCs/>
          <w:kern w:val="0"/>
          <w:sz w:val="28"/>
          <w:szCs w:val="28"/>
        </w:rPr>
      </w:pPr>
      <w:bookmarkStart w:id="279" w:name="_Toc4892_WPSOffice_Level2"/>
      <w:bookmarkStart w:id="280" w:name="_Toc25120_WPSOffice_Level2"/>
      <w:bookmarkStart w:id="281" w:name="_Toc8092_WPSOffice_Level3"/>
      <w:bookmarkStart w:id="282" w:name="_Toc13858_WPSOffice_Level2"/>
      <w:r>
        <w:rPr>
          <w:rFonts w:hint="eastAsia" w:ascii="仿宋_GB2312" w:hAnsi="仿宋_GB2312" w:eastAsia="仿宋_GB2312" w:cs="仿宋_GB2312"/>
          <w:b/>
          <w:bCs/>
          <w:kern w:val="0"/>
          <w:sz w:val="28"/>
          <w:szCs w:val="28"/>
        </w:rPr>
        <w:t>14.</w:t>
      </w:r>
      <w:r>
        <w:rPr>
          <w:rFonts w:hint="eastAsia" w:ascii="仿宋_GB2312" w:hAnsi="仿宋_GB2312" w:eastAsia="仿宋_GB2312" w:cs="仿宋_GB2312"/>
          <w:b/>
          <w:bCs/>
          <w:kern w:val="0"/>
          <w:sz w:val="28"/>
          <w:szCs w:val="28"/>
          <w:lang w:val="zh-CN"/>
        </w:rPr>
        <w:t>索赔</w:t>
      </w:r>
      <w:bookmarkEnd w:id="279"/>
      <w:bookmarkEnd w:id="280"/>
      <w:bookmarkEnd w:id="281"/>
      <w:bookmarkEnd w:id="282"/>
    </w:p>
    <w:p w14:paraId="11FE57B6">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14.1</w:t>
      </w:r>
      <w:r>
        <w:rPr>
          <w:rFonts w:hint="eastAsia" w:ascii="仿宋_GB2312" w:hAnsi="仿宋_GB2312" w:eastAsia="仿宋_GB2312" w:cs="仿宋_GB2312"/>
          <w:kern w:val="0"/>
          <w:sz w:val="28"/>
          <w:szCs w:val="28"/>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7146544D">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14.2</w:t>
      </w:r>
      <w:r>
        <w:rPr>
          <w:rFonts w:hint="eastAsia" w:ascii="仿宋_GB2312" w:hAnsi="仿宋_GB2312" w:eastAsia="仿宋_GB2312" w:cs="仿宋_GB2312"/>
          <w:kern w:val="0"/>
          <w:sz w:val="28"/>
          <w:szCs w:val="28"/>
          <w:lang w:val="zh-CN"/>
        </w:rPr>
        <w:t>在履约保证期和检验期内，乙方对甲方提出的索赔负有责任，乙方应按照甲方同意的下列一种或多种方式解决索赔事宜：</w:t>
      </w:r>
    </w:p>
    <w:p w14:paraId="52E0454E">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14.2.1</w:t>
      </w:r>
      <w:r>
        <w:rPr>
          <w:rFonts w:hint="eastAsia" w:ascii="仿宋_GB2312" w:hAnsi="仿宋_GB2312" w:eastAsia="仿宋_GB2312" w:cs="仿宋_GB2312"/>
          <w:kern w:val="0"/>
          <w:sz w:val="28"/>
          <w:szCs w:val="28"/>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31E3B568">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14.2.2</w:t>
      </w:r>
      <w:r>
        <w:rPr>
          <w:rFonts w:hint="eastAsia" w:ascii="仿宋_GB2312" w:hAnsi="仿宋_GB2312" w:eastAsia="仿宋_GB2312" w:cs="仿宋_GB2312"/>
          <w:kern w:val="0"/>
          <w:sz w:val="28"/>
          <w:szCs w:val="28"/>
          <w:lang w:val="zh-CN"/>
        </w:rPr>
        <w:t>根据货物低劣程度、损坏程度以及甲方所遭受损失的数额，经甲乙双方商定降低货物的价格，或由有资质的中介机构评估，以降低后的价格或评估价格为准。</w:t>
      </w:r>
    </w:p>
    <w:p w14:paraId="018700B3">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14.2.3</w:t>
      </w:r>
      <w:r>
        <w:rPr>
          <w:rFonts w:hint="eastAsia" w:ascii="仿宋_GB2312" w:hAnsi="仿宋_GB2312" w:eastAsia="仿宋_GB2312" w:cs="仿宋_GB2312"/>
          <w:kern w:val="0"/>
          <w:sz w:val="28"/>
          <w:szCs w:val="28"/>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634D82A0">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14.3</w:t>
      </w:r>
      <w:r>
        <w:rPr>
          <w:rFonts w:hint="eastAsia" w:ascii="仿宋_GB2312" w:hAnsi="仿宋_GB2312" w:eastAsia="仿宋_GB2312" w:cs="仿宋_GB2312"/>
          <w:kern w:val="0"/>
          <w:sz w:val="28"/>
          <w:szCs w:val="28"/>
          <w:lang w:val="zh-CN"/>
        </w:rPr>
        <w:t>乙方收到甲方发出的索赔通知之日起</w:t>
      </w:r>
      <w:r>
        <w:rPr>
          <w:rFonts w:hint="eastAsia" w:ascii="仿宋_GB2312" w:hAnsi="仿宋_GB2312" w:eastAsia="仿宋_GB2312" w:cs="仿宋_GB2312"/>
          <w:kern w:val="0"/>
          <w:sz w:val="28"/>
          <w:szCs w:val="28"/>
        </w:rPr>
        <w:t>5</w:t>
      </w:r>
      <w:r>
        <w:rPr>
          <w:rFonts w:hint="eastAsia" w:ascii="仿宋_GB2312" w:hAnsi="仿宋_GB2312" w:eastAsia="仿宋_GB2312" w:cs="仿宋_GB2312"/>
          <w:kern w:val="0"/>
          <w:sz w:val="28"/>
          <w:szCs w:val="28"/>
          <w:lang w:val="zh-CN"/>
        </w:rPr>
        <w:t>个工作日内未作答复的，甲方可从合同款或履约保证金中扣回索赔金额，如金额不足以补偿索赔金额，乙方应补足差额部分。</w:t>
      </w:r>
    </w:p>
    <w:p w14:paraId="31E8E889">
      <w:pPr>
        <w:autoSpaceDE w:val="0"/>
        <w:autoSpaceDN w:val="0"/>
        <w:adjustRightInd w:val="0"/>
        <w:spacing w:line="400" w:lineRule="exact"/>
        <w:rPr>
          <w:rFonts w:hint="eastAsia" w:ascii="仿宋_GB2312" w:hAnsi="仿宋_GB2312" w:eastAsia="仿宋_GB2312" w:cs="仿宋_GB2312"/>
          <w:b/>
          <w:bCs/>
          <w:kern w:val="0"/>
          <w:sz w:val="28"/>
          <w:szCs w:val="28"/>
        </w:rPr>
      </w:pPr>
      <w:bookmarkStart w:id="283" w:name="_Toc25928_WPSOffice_Level3"/>
      <w:bookmarkStart w:id="284" w:name="_Toc17088_WPSOffice_Level2"/>
      <w:bookmarkStart w:id="285" w:name="_Toc6565_WPSOffice_Level2"/>
      <w:bookmarkStart w:id="286" w:name="_Toc31557_WPSOffice_Level2"/>
      <w:r>
        <w:rPr>
          <w:rFonts w:hint="eastAsia" w:ascii="仿宋_GB2312" w:hAnsi="仿宋_GB2312" w:eastAsia="仿宋_GB2312" w:cs="仿宋_GB2312"/>
          <w:b/>
          <w:bCs/>
          <w:kern w:val="0"/>
          <w:sz w:val="28"/>
          <w:szCs w:val="28"/>
        </w:rPr>
        <w:t>15.</w:t>
      </w:r>
      <w:r>
        <w:rPr>
          <w:rFonts w:hint="eastAsia" w:ascii="仿宋_GB2312" w:hAnsi="仿宋_GB2312" w:eastAsia="仿宋_GB2312" w:cs="仿宋_GB2312"/>
          <w:b/>
          <w:bCs/>
          <w:kern w:val="0"/>
          <w:sz w:val="28"/>
          <w:szCs w:val="28"/>
          <w:lang w:val="zh-CN"/>
        </w:rPr>
        <w:t>迟延交货</w:t>
      </w:r>
      <w:bookmarkEnd w:id="283"/>
      <w:bookmarkEnd w:id="284"/>
      <w:bookmarkEnd w:id="285"/>
      <w:bookmarkEnd w:id="286"/>
    </w:p>
    <w:p w14:paraId="31A82F8C">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15.1 </w:t>
      </w:r>
      <w:r>
        <w:rPr>
          <w:rFonts w:hint="eastAsia" w:ascii="仿宋_GB2312" w:hAnsi="仿宋_GB2312" w:eastAsia="仿宋_GB2312" w:cs="仿宋_GB2312"/>
          <w:kern w:val="0"/>
          <w:sz w:val="28"/>
          <w:szCs w:val="28"/>
          <w:lang w:val="zh-CN"/>
        </w:rPr>
        <w:t>乙方应按照合同约定的时间交货和提供服务。</w:t>
      </w:r>
    </w:p>
    <w:p w14:paraId="5E9B5627">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15.2 </w:t>
      </w:r>
      <w:r>
        <w:rPr>
          <w:rFonts w:hint="eastAsia" w:ascii="仿宋_GB2312" w:hAnsi="仿宋_GB2312" w:eastAsia="仿宋_GB2312" w:cs="仿宋_GB2312"/>
          <w:kern w:val="0"/>
          <w:sz w:val="28"/>
          <w:szCs w:val="28"/>
          <w:lang w:val="zh-CN"/>
        </w:rPr>
        <w:t>除不可抗力因素外，乙方迟延交货，甲方有权提出违约损失赔偿或解除合同。</w:t>
      </w:r>
    </w:p>
    <w:p w14:paraId="69DF2471">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15.3</w:t>
      </w:r>
      <w:r>
        <w:rPr>
          <w:rFonts w:hint="eastAsia" w:ascii="仿宋_GB2312" w:hAnsi="仿宋_GB2312" w:eastAsia="仿宋_GB2312" w:cs="仿宋_GB2312"/>
          <w:kern w:val="0"/>
          <w:sz w:val="28"/>
          <w:szCs w:val="28"/>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340400D2">
      <w:pPr>
        <w:autoSpaceDE w:val="0"/>
        <w:autoSpaceDN w:val="0"/>
        <w:adjustRightInd w:val="0"/>
        <w:spacing w:line="400" w:lineRule="exact"/>
        <w:rPr>
          <w:rFonts w:hint="eastAsia" w:ascii="仿宋_GB2312" w:hAnsi="仿宋_GB2312" w:eastAsia="仿宋_GB2312" w:cs="仿宋_GB2312"/>
          <w:b/>
          <w:bCs/>
          <w:kern w:val="0"/>
          <w:sz w:val="28"/>
          <w:szCs w:val="28"/>
        </w:rPr>
      </w:pPr>
      <w:bookmarkStart w:id="287" w:name="_Toc14763_WPSOffice_Level3"/>
      <w:bookmarkStart w:id="288" w:name="_Toc13227_WPSOffice_Level2"/>
      <w:bookmarkStart w:id="289" w:name="_Toc24536_WPSOffice_Level2"/>
      <w:bookmarkStart w:id="290" w:name="_Toc17446_WPSOffice_Level2"/>
      <w:r>
        <w:rPr>
          <w:rFonts w:hint="eastAsia" w:ascii="仿宋_GB2312" w:hAnsi="仿宋_GB2312" w:eastAsia="仿宋_GB2312" w:cs="仿宋_GB2312"/>
          <w:b/>
          <w:bCs/>
          <w:kern w:val="0"/>
          <w:sz w:val="28"/>
          <w:szCs w:val="28"/>
        </w:rPr>
        <w:t>16.</w:t>
      </w:r>
      <w:r>
        <w:rPr>
          <w:rFonts w:hint="eastAsia" w:ascii="仿宋_GB2312" w:hAnsi="仿宋_GB2312" w:eastAsia="仿宋_GB2312" w:cs="仿宋_GB2312"/>
          <w:b/>
          <w:bCs/>
          <w:kern w:val="0"/>
          <w:sz w:val="28"/>
          <w:szCs w:val="28"/>
          <w:lang w:val="zh-CN"/>
        </w:rPr>
        <w:t>违约赔偿</w:t>
      </w:r>
      <w:bookmarkEnd w:id="287"/>
      <w:bookmarkEnd w:id="288"/>
      <w:bookmarkEnd w:id="289"/>
      <w:bookmarkEnd w:id="290"/>
    </w:p>
    <w:p w14:paraId="4A9A41E5">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除不可抗力因素外，乙方没有按照合同规定的时间交货和提供服务，甲方可要求乙方支付违约金。违约金每日按合同总价款的千分之五计收。</w:t>
      </w:r>
    </w:p>
    <w:p w14:paraId="1434E4B3">
      <w:pPr>
        <w:autoSpaceDE w:val="0"/>
        <w:autoSpaceDN w:val="0"/>
        <w:adjustRightInd w:val="0"/>
        <w:spacing w:line="400" w:lineRule="exact"/>
        <w:rPr>
          <w:rFonts w:hint="eastAsia" w:ascii="仿宋_GB2312" w:hAnsi="仿宋_GB2312" w:eastAsia="仿宋_GB2312" w:cs="仿宋_GB2312"/>
          <w:b/>
          <w:bCs/>
          <w:kern w:val="0"/>
          <w:sz w:val="28"/>
          <w:szCs w:val="28"/>
        </w:rPr>
      </w:pPr>
      <w:bookmarkStart w:id="291" w:name="_Toc290_WPSOffice_Level2"/>
      <w:bookmarkStart w:id="292" w:name="_Toc23779_WPSOffice_Level2"/>
      <w:bookmarkStart w:id="293" w:name="_Toc28170_WPSOffice_Level2"/>
      <w:bookmarkStart w:id="294" w:name="_Toc6972_WPSOffice_Level3"/>
      <w:r>
        <w:rPr>
          <w:rFonts w:hint="eastAsia" w:ascii="仿宋_GB2312" w:hAnsi="仿宋_GB2312" w:eastAsia="仿宋_GB2312" w:cs="仿宋_GB2312"/>
          <w:b/>
          <w:bCs/>
          <w:kern w:val="0"/>
          <w:sz w:val="28"/>
          <w:szCs w:val="28"/>
        </w:rPr>
        <w:t>17.</w:t>
      </w:r>
      <w:r>
        <w:rPr>
          <w:rFonts w:hint="eastAsia" w:ascii="仿宋_GB2312" w:hAnsi="仿宋_GB2312" w:eastAsia="仿宋_GB2312" w:cs="仿宋_GB2312"/>
          <w:b/>
          <w:bCs/>
          <w:kern w:val="0"/>
          <w:sz w:val="28"/>
          <w:szCs w:val="28"/>
          <w:lang w:val="zh-CN"/>
        </w:rPr>
        <w:t>不可抗力</w:t>
      </w:r>
      <w:bookmarkEnd w:id="291"/>
      <w:bookmarkEnd w:id="292"/>
      <w:bookmarkEnd w:id="293"/>
      <w:bookmarkEnd w:id="294"/>
    </w:p>
    <w:p w14:paraId="37EE68A6">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17.1.</w:t>
      </w:r>
      <w:r>
        <w:rPr>
          <w:rFonts w:hint="eastAsia" w:ascii="仿宋_GB2312" w:hAnsi="仿宋_GB2312" w:eastAsia="仿宋_GB2312" w:cs="仿宋_GB2312"/>
          <w:kern w:val="0"/>
          <w:sz w:val="28"/>
          <w:szCs w:val="28"/>
          <w:lang w:val="zh-CN"/>
        </w:rPr>
        <w:t>双方中任何一方遭遇法律规定的不可抗力，致使合同履行受阻时，履行合同的期限应予延长，延长的期限应相当于不可抗力所影响的时间。</w:t>
      </w:r>
    </w:p>
    <w:p w14:paraId="1076CB6B">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17.2</w:t>
      </w:r>
      <w:r>
        <w:rPr>
          <w:rFonts w:hint="eastAsia" w:ascii="仿宋_GB2312" w:hAnsi="仿宋_GB2312" w:eastAsia="仿宋_GB2312" w:cs="仿宋_GB2312"/>
          <w:kern w:val="0"/>
          <w:sz w:val="28"/>
          <w:szCs w:val="28"/>
          <w:lang w:val="zh-CN"/>
        </w:rPr>
        <w:t>受事故影响的一方应在不可抗力的事故发生后以书面形式通知另一方。</w:t>
      </w:r>
    </w:p>
    <w:p w14:paraId="28AA9F4A">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17.3</w:t>
      </w:r>
      <w:r>
        <w:rPr>
          <w:rFonts w:hint="eastAsia" w:ascii="仿宋_GB2312" w:hAnsi="仿宋_GB2312" w:eastAsia="仿宋_GB2312" w:cs="仿宋_GB2312"/>
          <w:kern w:val="0"/>
          <w:sz w:val="28"/>
          <w:szCs w:val="28"/>
          <w:lang w:val="zh-CN"/>
        </w:rPr>
        <w:t>不可抗力使合同的某些内容有变更必要的，双方应通过协商达成进一步履行合同的协议，因不可抗力致使合同不能履行的，合同终止。</w:t>
      </w:r>
    </w:p>
    <w:p w14:paraId="47340AF6">
      <w:pPr>
        <w:autoSpaceDE w:val="0"/>
        <w:autoSpaceDN w:val="0"/>
        <w:adjustRightInd w:val="0"/>
        <w:spacing w:line="400" w:lineRule="exact"/>
        <w:rPr>
          <w:rFonts w:hint="eastAsia" w:ascii="仿宋_GB2312" w:hAnsi="仿宋_GB2312" w:eastAsia="仿宋_GB2312" w:cs="仿宋_GB2312"/>
          <w:b/>
          <w:bCs/>
          <w:kern w:val="0"/>
          <w:sz w:val="28"/>
          <w:szCs w:val="28"/>
        </w:rPr>
      </w:pPr>
      <w:bookmarkStart w:id="295" w:name="_Toc27624_WPSOffice_Level2"/>
      <w:bookmarkStart w:id="296" w:name="_Toc11657_WPSOffice_Level3"/>
      <w:bookmarkStart w:id="297" w:name="_Toc15056_WPSOffice_Level2"/>
      <w:bookmarkStart w:id="298" w:name="_Toc8661_WPSOffice_Level2"/>
      <w:r>
        <w:rPr>
          <w:rFonts w:hint="eastAsia" w:ascii="仿宋_GB2312" w:hAnsi="仿宋_GB2312" w:eastAsia="仿宋_GB2312" w:cs="仿宋_GB2312"/>
          <w:b/>
          <w:bCs/>
          <w:kern w:val="0"/>
          <w:sz w:val="28"/>
          <w:szCs w:val="28"/>
        </w:rPr>
        <w:t>18.</w:t>
      </w:r>
      <w:r>
        <w:rPr>
          <w:rFonts w:hint="eastAsia" w:ascii="仿宋_GB2312" w:hAnsi="仿宋_GB2312" w:eastAsia="仿宋_GB2312" w:cs="仿宋_GB2312"/>
          <w:b/>
          <w:bCs/>
          <w:kern w:val="0"/>
          <w:sz w:val="28"/>
          <w:szCs w:val="28"/>
          <w:lang w:val="zh-CN"/>
        </w:rPr>
        <w:t>税费</w:t>
      </w:r>
      <w:bookmarkEnd w:id="295"/>
      <w:bookmarkEnd w:id="296"/>
      <w:bookmarkEnd w:id="297"/>
      <w:bookmarkEnd w:id="298"/>
    </w:p>
    <w:p w14:paraId="2BD26152">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与本合同有关的一切税费均由乙方承担。</w:t>
      </w:r>
    </w:p>
    <w:p w14:paraId="5F4B3FCB">
      <w:pPr>
        <w:autoSpaceDE w:val="0"/>
        <w:autoSpaceDN w:val="0"/>
        <w:adjustRightInd w:val="0"/>
        <w:spacing w:line="400" w:lineRule="exact"/>
        <w:rPr>
          <w:rFonts w:hint="eastAsia" w:ascii="仿宋_GB2312" w:hAnsi="仿宋_GB2312" w:eastAsia="仿宋_GB2312" w:cs="仿宋_GB2312"/>
          <w:b/>
          <w:bCs/>
          <w:kern w:val="0"/>
          <w:sz w:val="28"/>
          <w:szCs w:val="28"/>
        </w:rPr>
      </w:pPr>
      <w:bookmarkStart w:id="299" w:name="_Toc5629_WPSOffice_Level2"/>
      <w:bookmarkStart w:id="300" w:name="_Toc6165_WPSOffice_Level3"/>
      <w:bookmarkStart w:id="301" w:name="_Toc9313_WPSOffice_Level2"/>
      <w:bookmarkStart w:id="302" w:name="_Toc10035_WPSOffice_Level2"/>
      <w:r>
        <w:rPr>
          <w:rFonts w:hint="eastAsia" w:ascii="仿宋_GB2312" w:hAnsi="仿宋_GB2312" w:eastAsia="仿宋_GB2312" w:cs="仿宋_GB2312"/>
          <w:b/>
          <w:bCs/>
          <w:kern w:val="0"/>
          <w:sz w:val="28"/>
          <w:szCs w:val="28"/>
        </w:rPr>
        <w:t>19.</w:t>
      </w:r>
      <w:r>
        <w:rPr>
          <w:rFonts w:hint="eastAsia" w:ascii="仿宋_GB2312" w:hAnsi="仿宋_GB2312" w:eastAsia="仿宋_GB2312" w:cs="仿宋_GB2312"/>
          <w:b/>
          <w:bCs/>
          <w:kern w:val="0"/>
          <w:sz w:val="28"/>
          <w:szCs w:val="28"/>
          <w:lang w:val="zh-CN"/>
        </w:rPr>
        <w:t>合同争议的解决</w:t>
      </w:r>
      <w:bookmarkEnd w:id="299"/>
      <w:bookmarkEnd w:id="300"/>
      <w:bookmarkEnd w:id="301"/>
      <w:bookmarkEnd w:id="302"/>
    </w:p>
    <w:p w14:paraId="2956A98A">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19.1</w:t>
      </w:r>
      <w:r>
        <w:rPr>
          <w:rFonts w:hint="eastAsia" w:ascii="仿宋_GB2312" w:hAnsi="仿宋_GB2312" w:eastAsia="仿宋_GB2312" w:cs="仿宋_GB2312"/>
          <w:kern w:val="0"/>
          <w:sz w:val="28"/>
          <w:szCs w:val="28"/>
          <w:lang w:val="zh-CN"/>
        </w:rPr>
        <w:t>甲方和乙方由于本合同的履行而发生任何争议时，双方可先通过协商解决。</w:t>
      </w:r>
    </w:p>
    <w:p w14:paraId="295B8AA0">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19.2</w:t>
      </w:r>
      <w:r>
        <w:rPr>
          <w:rFonts w:hint="eastAsia" w:ascii="仿宋_GB2312" w:hAnsi="仿宋_GB2312" w:eastAsia="仿宋_GB2312" w:cs="仿宋_GB2312"/>
          <w:kern w:val="0"/>
          <w:sz w:val="28"/>
          <w:szCs w:val="28"/>
          <w:lang w:val="zh-CN"/>
        </w:rPr>
        <w:t>任何一方不愿通过协商或通过协商仍不能解决争议，则双方中任何一方均应向甲方所在地人民法院起诉。</w:t>
      </w:r>
    </w:p>
    <w:p w14:paraId="43DF1FCA">
      <w:pPr>
        <w:autoSpaceDE w:val="0"/>
        <w:autoSpaceDN w:val="0"/>
        <w:adjustRightInd w:val="0"/>
        <w:spacing w:line="400" w:lineRule="exact"/>
        <w:rPr>
          <w:rFonts w:hint="eastAsia" w:ascii="仿宋_GB2312" w:hAnsi="仿宋_GB2312" w:eastAsia="仿宋_GB2312" w:cs="仿宋_GB2312"/>
          <w:b/>
          <w:bCs/>
          <w:kern w:val="0"/>
          <w:sz w:val="28"/>
          <w:szCs w:val="28"/>
        </w:rPr>
      </w:pPr>
      <w:bookmarkStart w:id="303" w:name="_Toc24774_WPSOffice_Level3"/>
      <w:bookmarkStart w:id="304" w:name="_Toc21866_WPSOffice_Level2"/>
      <w:bookmarkStart w:id="305" w:name="_Toc24719_WPSOffice_Level2"/>
      <w:bookmarkStart w:id="306" w:name="_Toc8811_WPSOffice_Level2"/>
      <w:r>
        <w:rPr>
          <w:rFonts w:hint="eastAsia" w:ascii="仿宋_GB2312" w:hAnsi="仿宋_GB2312" w:eastAsia="仿宋_GB2312" w:cs="仿宋_GB2312"/>
          <w:b/>
          <w:bCs/>
          <w:kern w:val="0"/>
          <w:sz w:val="28"/>
          <w:szCs w:val="28"/>
        </w:rPr>
        <w:t>20.</w:t>
      </w:r>
      <w:r>
        <w:rPr>
          <w:rFonts w:hint="eastAsia" w:ascii="仿宋_GB2312" w:hAnsi="仿宋_GB2312" w:eastAsia="仿宋_GB2312" w:cs="仿宋_GB2312"/>
          <w:b/>
          <w:bCs/>
          <w:kern w:val="0"/>
          <w:sz w:val="28"/>
          <w:szCs w:val="28"/>
          <w:lang w:val="zh-CN"/>
        </w:rPr>
        <w:t>违约解除合同</w:t>
      </w:r>
      <w:bookmarkEnd w:id="303"/>
      <w:bookmarkEnd w:id="304"/>
      <w:bookmarkEnd w:id="305"/>
      <w:bookmarkEnd w:id="306"/>
    </w:p>
    <w:p w14:paraId="31543A98">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20.1</w:t>
      </w:r>
      <w:r>
        <w:rPr>
          <w:rFonts w:hint="eastAsia" w:ascii="仿宋_GB2312" w:hAnsi="仿宋_GB2312" w:eastAsia="仿宋_GB2312" w:cs="仿宋_GB2312"/>
          <w:kern w:val="0"/>
          <w:sz w:val="28"/>
          <w:szCs w:val="28"/>
          <w:lang w:val="zh-CN"/>
        </w:rPr>
        <w:t>出现下列情形之一的，视为乙方违约。甲方可向乙方发出书面通知，部分或全部终止合同，同时保留向乙方索赔的权利。</w:t>
      </w:r>
    </w:p>
    <w:p w14:paraId="5728420F">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20.1.1</w:t>
      </w:r>
      <w:r>
        <w:rPr>
          <w:rFonts w:hint="eastAsia" w:ascii="仿宋_GB2312" w:hAnsi="仿宋_GB2312" w:eastAsia="仿宋_GB2312" w:cs="仿宋_GB2312"/>
          <w:kern w:val="0"/>
          <w:sz w:val="28"/>
          <w:szCs w:val="28"/>
          <w:lang w:val="zh-CN"/>
        </w:rPr>
        <w:t>乙方未能在合同规定的限期或甲方同意延长的限期内，提供全部或部分货物的；</w:t>
      </w:r>
    </w:p>
    <w:p w14:paraId="2A941D93">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20.1.2</w:t>
      </w:r>
      <w:r>
        <w:rPr>
          <w:rFonts w:hint="eastAsia" w:ascii="仿宋_GB2312" w:hAnsi="仿宋_GB2312" w:eastAsia="仿宋_GB2312" w:cs="仿宋_GB2312"/>
          <w:kern w:val="0"/>
          <w:sz w:val="28"/>
          <w:szCs w:val="28"/>
          <w:lang w:val="zh-CN"/>
        </w:rPr>
        <w:t>乙方未能履行合同规定的其它主要义务的；</w:t>
      </w:r>
    </w:p>
    <w:p w14:paraId="149B7E23">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20.1.3</w:t>
      </w:r>
      <w:r>
        <w:rPr>
          <w:rFonts w:hint="eastAsia" w:ascii="仿宋_GB2312" w:hAnsi="仿宋_GB2312" w:eastAsia="仿宋_GB2312" w:cs="仿宋_GB2312"/>
          <w:kern w:val="0"/>
          <w:sz w:val="28"/>
          <w:szCs w:val="28"/>
          <w:lang w:val="zh-CN"/>
        </w:rPr>
        <w:t>乙方在本合同履行过程中有欺诈行为的。</w:t>
      </w:r>
    </w:p>
    <w:p w14:paraId="7AB095A4">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20.2</w:t>
      </w:r>
      <w:r>
        <w:rPr>
          <w:rFonts w:hint="eastAsia" w:ascii="仿宋_GB2312" w:hAnsi="仿宋_GB2312" w:eastAsia="仿宋_GB2312" w:cs="仿宋_GB2312"/>
          <w:kern w:val="0"/>
          <w:sz w:val="28"/>
          <w:szCs w:val="28"/>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5DB4D6BB">
      <w:pPr>
        <w:autoSpaceDE w:val="0"/>
        <w:autoSpaceDN w:val="0"/>
        <w:adjustRightInd w:val="0"/>
        <w:spacing w:line="400" w:lineRule="exact"/>
        <w:rPr>
          <w:rFonts w:hint="eastAsia" w:ascii="仿宋_GB2312" w:hAnsi="仿宋_GB2312" w:eastAsia="仿宋_GB2312" w:cs="仿宋_GB2312"/>
          <w:b/>
          <w:bCs/>
          <w:kern w:val="0"/>
          <w:sz w:val="28"/>
          <w:szCs w:val="28"/>
        </w:rPr>
      </w:pPr>
      <w:bookmarkStart w:id="307" w:name="_Toc14558_WPSOffice_Level2"/>
      <w:bookmarkStart w:id="308" w:name="_Toc31674_WPSOffice_Level2"/>
      <w:bookmarkStart w:id="309" w:name="_Toc26530_WPSOffice_Level3"/>
      <w:bookmarkStart w:id="310" w:name="_Toc29125_WPSOffice_Level2"/>
      <w:r>
        <w:rPr>
          <w:rFonts w:hint="eastAsia" w:ascii="仿宋_GB2312" w:hAnsi="仿宋_GB2312" w:eastAsia="仿宋_GB2312" w:cs="仿宋_GB2312"/>
          <w:b/>
          <w:bCs/>
          <w:kern w:val="0"/>
          <w:sz w:val="28"/>
          <w:szCs w:val="28"/>
        </w:rPr>
        <w:t>21.</w:t>
      </w:r>
      <w:r>
        <w:rPr>
          <w:rFonts w:hint="eastAsia" w:ascii="仿宋_GB2312" w:hAnsi="仿宋_GB2312" w:eastAsia="仿宋_GB2312" w:cs="仿宋_GB2312"/>
          <w:b/>
          <w:bCs/>
          <w:kern w:val="0"/>
          <w:sz w:val="28"/>
          <w:szCs w:val="28"/>
          <w:lang w:val="zh-CN"/>
        </w:rPr>
        <w:t>破产终止合同</w:t>
      </w:r>
      <w:bookmarkEnd w:id="307"/>
      <w:bookmarkEnd w:id="308"/>
      <w:bookmarkEnd w:id="309"/>
      <w:bookmarkEnd w:id="310"/>
    </w:p>
    <w:p w14:paraId="3EE3E577">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乙方破产而无法完全履行本合同义务时，甲方可以书面方式通知乙方终止合同而不给予乙方补偿。该合同的终止将不损害或不影响甲方已经采取或将要采取任何行动或补救措施的权利。</w:t>
      </w:r>
    </w:p>
    <w:p w14:paraId="68CE5176">
      <w:pPr>
        <w:autoSpaceDE w:val="0"/>
        <w:autoSpaceDN w:val="0"/>
        <w:adjustRightInd w:val="0"/>
        <w:spacing w:line="400" w:lineRule="exact"/>
        <w:rPr>
          <w:rFonts w:hint="eastAsia" w:ascii="仿宋_GB2312" w:hAnsi="仿宋_GB2312" w:eastAsia="仿宋_GB2312" w:cs="仿宋_GB2312"/>
          <w:b/>
          <w:bCs/>
          <w:kern w:val="0"/>
          <w:sz w:val="28"/>
          <w:szCs w:val="28"/>
        </w:rPr>
      </w:pPr>
      <w:bookmarkStart w:id="311" w:name="_Toc19459_WPSOffice_Level2"/>
      <w:bookmarkStart w:id="312" w:name="_Toc28417_WPSOffice_Level2"/>
      <w:bookmarkStart w:id="313" w:name="_Toc16866_WPSOffice_Level2"/>
      <w:bookmarkStart w:id="314" w:name="_Toc626_WPSOffice_Level3"/>
      <w:r>
        <w:rPr>
          <w:rFonts w:hint="eastAsia" w:ascii="仿宋_GB2312" w:hAnsi="仿宋_GB2312" w:eastAsia="仿宋_GB2312" w:cs="仿宋_GB2312"/>
          <w:b/>
          <w:bCs/>
          <w:kern w:val="0"/>
          <w:sz w:val="28"/>
          <w:szCs w:val="28"/>
        </w:rPr>
        <w:t>22.</w:t>
      </w:r>
      <w:r>
        <w:rPr>
          <w:rFonts w:hint="eastAsia" w:ascii="仿宋_GB2312" w:hAnsi="仿宋_GB2312" w:eastAsia="仿宋_GB2312" w:cs="仿宋_GB2312"/>
          <w:b/>
          <w:bCs/>
          <w:kern w:val="0"/>
          <w:sz w:val="28"/>
          <w:szCs w:val="28"/>
          <w:lang w:val="zh-CN"/>
        </w:rPr>
        <w:t>转让和分包</w:t>
      </w:r>
      <w:bookmarkEnd w:id="311"/>
      <w:bookmarkEnd w:id="312"/>
      <w:bookmarkEnd w:id="313"/>
      <w:bookmarkEnd w:id="314"/>
    </w:p>
    <w:p w14:paraId="413292D8">
      <w:pPr>
        <w:autoSpaceDE w:val="0"/>
        <w:autoSpaceDN w:val="0"/>
        <w:adjustRightInd w:val="0"/>
        <w:spacing w:line="400" w:lineRule="exact"/>
        <w:ind w:firstLine="36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22.1</w:t>
      </w:r>
      <w:r>
        <w:rPr>
          <w:rFonts w:hint="eastAsia" w:ascii="仿宋_GB2312" w:hAnsi="仿宋_GB2312" w:eastAsia="仿宋_GB2312" w:cs="仿宋_GB2312"/>
          <w:kern w:val="0"/>
          <w:sz w:val="28"/>
          <w:szCs w:val="28"/>
          <w:lang w:val="zh-CN"/>
        </w:rPr>
        <w:t>政府采购合同不能转让。</w:t>
      </w:r>
    </w:p>
    <w:p w14:paraId="4260B931">
      <w:pPr>
        <w:autoSpaceDE w:val="0"/>
        <w:autoSpaceDN w:val="0"/>
        <w:adjustRightInd w:val="0"/>
        <w:spacing w:line="400" w:lineRule="exact"/>
        <w:ind w:firstLine="36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22.2</w:t>
      </w:r>
      <w:r>
        <w:rPr>
          <w:rFonts w:hint="eastAsia" w:ascii="仿宋_GB2312" w:hAnsi="仿宋_GB2312" w:eastAsia="仿宋_GB2312" w:cs="仿宋_GB2312"/>
          <w:kern w:val="0"/>
          <w:sz w:val="28"/>
          <w:szCs w:val="28"/>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785FA89A">
      <w:pPr>
        <w:autoSpaceDE w:val="0"/>
        <w:autoSpaceDN w:val="0"/>
        <w:adjustRightInd w:val="0"/>
        <w:spacing w:line="400" w:lineRule="exact"/>
        <w:rPr>
          <w:rFonts w:hint="eastAsia" w:ascii="仿宋_GB2312" w:hAnsi="仿宋_GB2312" w:eastAsia="仿宋_GB2312" w:cs="仿宋_GB2312"/>
          <w:b/>
          <w:bCs/>
          <w:kern w:val="0"/>
          <w:sz w:val="28"/>
          <w:szCs w:val="28"/>
        </w:rPr>
      </w:pPr>
      <w:bookmarkStart w:id="315" w:name="_Toc7824_WPSOffice_Level2"/>
      <w:bookmarkStart w:id="316" w:name="_Toc21362_WPSOffice_Level2"/>
      <w:bookmarkStart w:id="317" w:name="_Toc32377_WPSOffice_Level2"/>
      <w:bookmarkStart w:id="318" w:name="_Toc27976_WPSOffice_Level3"/>
      <w:r>
        <w:rPr>
          <w:rFonts w:hint="eastAsia" w:ascii="仿宋_GB2312" w:hAnsi="仿宋_GB2312" w:eastAsia="仿宋_GB2312" w:cs="仿宋_GB2312"/>
          <w:b/>
          <w:bCs/>
          <w:kern w:val="0"/>
          <w:sz w:val="28"/>
          <w:szCs w:val="28"/>
        </w:rPr>
        <w:t>23.</w:t>
      </w:r>
      <w:r>
        <w:rPr>
          <w:rFonts w:hint="eastAsia" w:ascii="仿宋_GB2312" w:hAnsi="仿宋_GB2312" w:eastAsia="仿宋_GB2312" w:cs="仿宋_GB2312"/>
          <w:b/>
          <w:bCs/>
          <w:kern w:val="0"/>
          <w:sz w:val="28"/>
          <w:szCs w:val="28"/>
          <w:lang w:val="zh-CN"/>
        </w:rPr>
        <w:t>合同修改</w:t>
      </w:r>
      <w:bookmarkEnd w:id="315"/>
      <w:bookmarkEnd w:id="316"/>
      <w:bookmarkEnd w:id="317"/>
      <w:bookmarkEnd w:id="318"/>
    </w:p>
    <w:p w14:paraId="1097B0CA">
      <w:pPr>
        <w:autoSpaceDE w:val="0"/>
        <w:autoSpaceDN w:val="0"/>
        <w:adjustRightInd w:val="0"/>
        <w:spacing w:line="400" w:lineRule="exact"/>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甲方和乙方都不得擅自变更本合同，但合同继续履行将损害国家和社会公共利益的除外。如必须对合同条款进行改动时，当事人双方须共同签署书面文件，做为合同的补充。</w:t>
      </w:r>
    </w:p>
    <w:p w14:paraId="5C3133F1">
      <w:pPr>
        <w:autoSpaceDE w:val="0"/>
        <w:autoSpaceDN w:val="0"/>
        <w:adjustRightInd w:val="0"/>
        <w:spacing w:line="400" w:lineRule="exact"/>
        <w:rPr>
          <w:rFonts w:hint="eastAsia" w:ascii="仿宋_GB2312" w:hAnsi="仿宋_GB2312" w:eastAsia="仿宋_GB2312" w:cs="仿宋_GB2312"/>
          <w:b/>
          <w:bCs/>
          <w:kern w:val="0"/>
          <w:sz w:val="28"/>
          <w:szCs w:val="28"/>
        </w:rPr>
      </w:pPr>
      <w:bookmarkStart w:id="319" w:name="_Toc24231_WPSOffice_Level3"/>
      <w:bookmarkStart w:id="320" w:name="_Toc1213_WPSOffice_Level2"/>
      <w:bookmarkStart w:id="321" w:name="_Toc8980_WPSOffice_Level2"/>
      <w:bookmarkStart w:id="322" w:name="_Toc7847_WPSOffice_Level2"/>
      <w:r>
        <w:rPr>
          <w:rFonts w:hint="eastAsia" w:ascii="仿宋_GB2312" w:hAnsi="仿宋_GB2312" w:eastAsia="仿宋_GB2312" w:cs="仿宋_GB2312"/>
          <w:b/>
          <w:bCs/>
          <w:kern w:val="0"/>
          <w:sz w:val="28"/>
          <w:szCs w:val="28"/>
        </w:rPr>
        <w:t>24.</w:t>
      </w:r>
      <w:r>
        <w:rPr>
          <w:rFonts w:hint="eastAsia" w:ascii="仿宋_GB2312" w:hAnsi="仿宋_GB2312" w:eastAsia="仿宋_GB2312" w:cs="仿宋_GB2312"/>
          <w:b/>
          <w:bCs/>
          <w:kern w:val="0"/>
          <w:sz w:val="28"/>
          <w:szCs w:val="28"/>
          <w:lang w:val="zh-CN"/>
        </w:rPr>
        <w:t>通知</w:t>
      </w:r>
      <w:bookmarkEnd w:id="319"/>
      <w:bookmarkEnd w:id="320"/>
      <w:bookmarkEnd w:id="321"/>
      <w:bookmarkEnd w:id="322"/>
    </w:p>
    <w:p w14:paraId="49F53F08">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本合同任何一方给另一方的通知，都应以书面形式发送，而另一方也应以书面形式确认并发送到对方明确的地址。</w:t>
      </w:r>
    </w:p>
    <w:p w14:paraId="7EEAD40F">
      <w:pPr>
        <w:autoSpaceDE w:val="0"/>
        <w:autoSpaceDN w:val="0"/>
        <w:adjustRightInd w:val="0"/>
        <w:spacing w:line="400" w:lineRule="exact"/>
        <w:rPr>
          <w:rFonts w:hint="eastAsia" w:ascii="仿宋_GB2312" w:hAnsi="仿宋_GB2312" w:eastAsia="仿宋_GB2312" w:cs="仿宋_GB2312"/>
          <w:b/>
          <w:bCs/>
          <w:kern w:val="0"/>
          <w:sz w:val="28"/>
          <w:szCs w:val="28"/>
        </w:rPr>
      </w:pPr>
      <w:bookmarkStart w:id="323" w:name="_Toc20347_WPSOffice_Level2"/>
      <w:bookmarkStart w:id="324" w:name="_Toc2519_WPSOffice_Level3"/>
      <w:bookmarkStart w:id="325" w:name="_Toc9224_WPSOffice_Level2"/>
      <w:bookmarkStart w:id="326" w:name="_Toc15325_WPSOffice_Level2"/>
      <w:r>
        <w:rPr>
          <w:rFonts w:hint="eastAsia" w:ascii="仿宋_GB2312" w:hAnsi="仿宋_GB2312" w:eastAsia="仿宋_GB2312" w:cs="仿宋_GB2312"/>
          <w:b/>
          <w:bCs/>
          <w:kern w:val="0"/>
          <w:sz w:val="28"/>
          <w:szCs w:val="28"/>
        </w:rPr>
        <w:t>25.</w:t>
      </w:r>
      <w:r>
        <w:rPr>
          <w:rFonts w:hint="eastAsia" w:ascii="仿宋_GB2312" w:hAnsi="仿宋_GB2312" w:eastAsia="仿宋_GB2312" w:cs="仿宋_GB2312"/>
          <w:b/>
          <w:bCs/>
          <w:kern w:val="0"/>
          <w:sz w:val="28"/>
          <w:szCs w:val="28"/>
          <w:lang w:val="zh-CN"/>
        </w:rPr>
        <w:t>计量单位</w:t>
      </w:r>
      <w:bookmarkEnd w:id="323"/>
      <w:bookmarkEnd w:id="324"/>
      <w:bookmarkEnd w:id="325"/>
      <w:bookmarkEnd w:id="326"/>
    </w:p>
    <w:p w14:paraId="4991E4FF">
      <w:pPr>
        <w:autoSpaceDE w:val="0"/>
        <w:autoSpaceDN w:val="0"/>
        <w:adjustRightInd w:val="0"/>
        <w:spacing w:line="40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除技术规范中另有规定外</w:t>
      </w:r>
      <w:r>
        <w:rPr>
          <w:rFonts w:hint="eastAsia" w:ascii="仿宋_GB2312" w:hAnsi="仿宋_GB2312" w:eastAsia="仿宋_GB2312" w:cs="仿宋_GB2312"/>
          <w:kern w:val="0"/>
          <w:sz w:val="28"/>
          <w:szCs w:val="28"/>
        </w:rPr>
        <w:t>,</w:t>
      </w:r>
      <w:r>
        <w:rPr>
          <w:rFonts w:hint="eastAsia" w:ascii="仿宋_GB2312" w:hAnsi="仿宋_GB2312" w:eastAsia="仿宋_GB2312" w:cs="仿宋_GB2312"/>
          <w:kern w:val="0"/>
          <w:sz w:val="28"/>
          <w:szCs w:val="28"/>
          <w:lang w:val="zh-CN"/>
        </w:rPr>
        <w:t>计量单位均使用国家法定计量单位。</w:t>
      </w:r>
    </w:p>
    <w:p w14:paraId="3EDFB520">
      <w:pPr>
        <w:autoSpaceDE w:val="0"/>
        <w:autoSpaceDN w:val="0"/>
        <w:adjustRightInd w:val="0"/>
        <w:spacing w:line="400" w:lineRule="exact"/>
        <w:rPr>
          <w:rFonts w:hint="eastAsia" w:ascii="仿宋_GB2312" w:hAnsi="仿宋_GB2312" w:eastAsia="仿宋_GB2312" w:cs="仿宋_GB2312"/>
          <w:b/>
          <w:bCs/>
          <w:kern w:val="0"/>
          <w:sz w:val="28"/>
          <w:szCs w:val="28"/>
        </w:rPr>
      </w:pPr>
      <w:bookmarkStart w:id="327" w:name="_Toc20754_WPSOffice_Level2"/>
      <w:bookmarkStart w:id="328" w:name="_Toc32427_WPSOffice_Level2"/>
      <w:bookmarkStart w:id="329" w:name="_Toc11559_WPSOffice_Level2"/>
      <w:bookmarkStart w:id="330" w:name="_Toc2956_WPSOffice_Level3"/>
      <w:r>
        <w:rPr>
          <w:rFonts w:hint="eastAsia" w:ascii="仿宋_GB2312" w:hAnsi="仿宋_GB2312" w:eastAsia="仿宋_GB2312" w:cs="仿宋_GB2312"/>
          <w:b/>
          <w:bCs/>
          <w:kern w:val="0"/>
          <w:sz w:val="28"/>
          <w:szCs w:val="28"/>
        </w:rPr>
        <w:t>26.</w:t>
      </w:r>
      <w:r>
        <w:rPr>
          <w:rFonts w:hint="eastAsia" w:ascii="仿宋_GB2312" w:hAnsi="仿宋_GB2312" w:eastAsia="仿宋_GB2312" w:cs="仿宋_GB2312"/>
          <w:b/>
          <w:bCs/>
          <w:kern w:val="0"/>
          <w:sz w:val="28"/>
          <w:szCs w:val="28"/>
          <w:lang w:val="zh-CN"/>
        </w:rPr>
        <w:t>适用法律</w:t>
      </w:r>
      <w:bookmarkEnd w:id="327"/>
      <w:bookmarkEnd w:id="328"/>
      <w:bookmarkEnd w:id="329"/>
      <w:bookmarkEnd w:id="330"/>
    </w:p>
    <w:p w14:paraId="73FE8CC0">
      <w:pPr>
        <w:autoSpaceDE w:val="0"/>
        <w:autoSpaceDN w:val="0"/>
        <w:adjustRightInd w:val="0"/>
        <w:spacing w:line="400" w:lineRule="exact"/>
        <w:ind w:firstLine="480"/>
        <w:rPr>
          <w:rFonts w:hint="eastAsia" w:ascii="仿宋_GB2312" w:hAnsi="仿宋_GB2312" w:eastAsia="仿宋_GB2312" w:cs="仿宋_GB2312"/>
          <w:sz w:val="28"/>
          <w:szCs w:val="28"/>
          <w:lang w:val="zh-CN"/>
        </w:rPr>
        <w:sectPr>
          <w:footnotePr>
            <w:numFmt w:val="decimal"/>
          </w:footnotePr>
          <w:pgSz w:w="11900" w:h="16840"/>
          <w:pgMar w:top="1284" w:right="1722" w:bottom="1243" w:left="1646" w:header="856" w:footer="3" w:gutter="0"/>
          <w:cols w:space="720" w:num="1"/>
          <w:rtlGutter w:val="0"/>
          <w:docGrid w:linePitch="360" w:charSpace="0"/>
        </w:sectPr>
      </w:pPr>
      <w:r>
        <w:rPr>
          <w:rFonts w:hint="eastAsia" w:ascii="仿宋_GB2312" w:hAnsi="仿宋_GB2312" w:eastAsia="仿宋_GB2312" w:cs="仿宋_GB2312"/>
          <w:kern w:val="0"/>
          <w:sz w:val="28"/>
          <w:szCs w:val="28"/>
          <w:lang w:val="zh-CN"/>
        </w:rPr>
        <w:t>本合同按照中华人民共和国的相关法律进行解释。</w:t>
      </w:r>
    </w:p>
    <w:p w14:paraId="3A6EF023">
      <w:pPr>
        <w:widowControl/>
        <w:spacing w:line="240" w:lineRule="auto"/>
        <w:ind w:firstLine="0" w:firstLineChars="0"/>
        <w:jc w:val="left"/>
        <w:rPr>
          <w:rFonts w:ascii="宋体" w:hAnsi="宋体" w:cs="宋体"/>
          <w:b/>
          <w:bCs/>
          <w:color w:val="000000" w:themeColor="text1"/>
          <w:sz w:val="24"/>
          <w:szCs w:val="24"/>
          <w:highlight w:val="none"/>
          <w:lang w:val="zh-CN"/>
          <w14:textFill>
            <w14:solidFill>
              <w14:schemeClr w14:val="tx1"/>
            </w14:solidFill>
          </w14:textFill>
        </w:rPr>
      </w:pPr>
    </w:p>
    <w:p w14:paraId="0CFFC684">
      <w:pPr>
        <w:keepNext/>
        <w:keepLines/>
        <w:widowControl/>
        <w:snapToGrid w:val="0"/>
        <w:spacing w:line="360" w:lineRule="auto"/>
        <w:ind w:firstLine="0" w:firstLineChars="0"/>
        <w:jc w:val="center"/>
        <w:outlineLvl w:val="0"/>
        <w:rPr>
          <w:rFonts w:ascii="宋体" w:hAnsi="宋体" w:cs="宋体"/>
          <w:b/>
          <w:color w:val="000000" w:themeColor="text1"/>
          <w:kern w:val="28"/>
          <w:sz w:val="44"/>
          <w:szCs w:val="44"/>
          <w:highlight w:val="none"/>
          <w14:textFill>
            <w14:solidFill>
              <w14:schemeClr w14:val="tx1"/>
            </w14:solidFill>
          </w14:textFill>
        </w:rPr>
      </w:pPr>
      <w:bookmarkStart w:id="331" w:name="_Toc101710030"/>
      <w:r>
        <w:rPr>
          <w:rFonts w:hint="eastAsia" w:ascii="宋体" w:hAnsi="宋体" w:cs="宋体"/>
          <w:b/>
          <w:color w:val="000000" w:themeColor="text1"/>
          <w:kern w:val="28"/>
          <w:sz w:val="44"/>
          <w:szCs w:val="44"/>
          <w:highlight w:val="none"/>
          <w14:textFill>
            <w14:solidFill>
              <w14:schemeClr w14:val="tx1"/>
            </w14:solidFill>
          </w14:textFill>
        </w:rPr>
        <w:t>第四部分响应文件格式</w:t>
      </w:r>
      <w:bookmarkEnd w:id="331"/>
    </w:p>
    <w:p w14:paraId="78EC618F">
      <w:pPr>
        <w:keepNext/>
        <w:keepLines/>
        <w:widowControl/>
        <w:snapToGrid w:val="0"/>
        <w:spacing w:line="360" w:lineRule="auto"/>
        <w:ind w:firstLine="0" w:firstLineChars="0"/>
        <w:jc w:val="center"/>
        <w:outlineLvl w:val="0"/>
        <w:rPr>
          <w:rFonts w:ascii="宋体" w:hAnsi="宋体" w:cs="宋体"/>
          <w:b/>
          <w:color w:val="000000" w:themeColor="text1"/>
          <w:kern w:val="28"/>
          <w:sz w:val="36"/>
          <w:szCs w:val="20"/>
          <w:highlight w:val="none"/>
          <w14:textFill>
            <w14:solidFill>
              <w14:schemeClr w14:val="tx1"/>
            </w14:solidFill>
          </w14:textFill>
        </w:rPr>
      </w:pPr>
    </w:p>
    <w:p w14:paraId="43AC4627">
      <w:pPr>
        <w:ind w:firstLine="562"/>
        <w:rPr>
          <w:rFonts w:cs="宋体" w:asciiTheme="minorEastAsia" w:hAnsiTheme="minorEastAsia" w:eastAsiaTheme="minorEastAsia"/>
          <w:b/>
          <w:color w:val="000000" w:themeColor="text1"/>
          <w:sz w:val="28"/>
          <w:szCs w:val="28"/>
          <w:highlight w:val="none"/>
          <w14:textFill>
            <w14:solidFill>
              <w14:schemeClr w14:val="tx1"/>
            </w14:solidFill>
          </w14:textFill>
        </w:rPr>
      </w:pPr>
      <w:bookmarkStart w:id="332" w:name="_Toc16431"/>
      <w:bookmarkStart w:id="333" w:name="_Toc9848"/>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r>
        <w:rPr>
          <w:rFonts w:cs="宋体" w:asciiTheme="minorEastAsia" w:hAnsiTheme="minorEastAsia" w:eastAsiaTheme="minorEastAsia"/>
          <w:b/>
          <w:color w:val="000000" w:themeColor="text1"/>
          <w:sz w:val="28"/>
          <w:szCs w:val="28"/>
          <w:highlight w:val="none"/>
          <w14:textFill>
            <w14:solidFill>
              <w14:schemeClr w14:val="tx1"/>
            </w14:solidFill>
          </w14:textFill>
        </w:rPr>
        <w:t>1</w:t>
      </w: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：响应文件封面</w:t>
      </w:r>
      <w:bookmarkEnd w:id="332"/>
      <w:bookmarkEnd w:id="333"/>
    </w:p>
    <w:p w14:paraId="17B3D0A7">
      <w:pPr>
        <w:spacing w:line="360" w:lineRule="auto"/>
        <w:ind w:firstLine="0" w:firstLineChars="0"/>
        <w:rPr>
          <w:rFonts w:ascii="宋体" w:hAnsi="宋体" w:cs="宋体"/>
          <w:b/>
          <w:color w:val="000000" w:themeColor="text1"/>
          <w:sz w:val="36"/>
          <w:szCs w:val="36"/>
          <w:highlight w:val="none"/>
          <w14:textFill>
            <w14:solidFill>
              <w14:schemeClr w14:val="tx1"/>
            </w14:solidFill>
          </w14:textFill>
        </w:rPr>
      </w:pPr>
    </w:p>
    <w:p w14:paraId="0F6E67B4">
      <w:pPr>
        <w:spacing w:line="360" w:lineRule="auto"/>
        <w:ind w:firstLine="0" w:firstLineChars="0"/>
        <w:rPr>
          <w:rFonts w:ascii="宋体" w:hAnsi="宋体" w:cs="宋体"/>
          <w:b/>
          <w:color w:val="000000" w:themeColor="text1"/>
          <w:sz w:val="36"/>
          <w:szCs w:val="36"/>
          <w:highlight w:val="none"/>
          <w14:textFill>
            <w14:solidFill>
              <w14:schemeClr w14:val="tx1"/>
            </w14:solidFill>
          </w14:textFill>
        </w:rPr>
      </w:pPr>
    </w:p>
    <w:p w14:paraId="1FC1F4E9">
      <w:pPr>
        <w:spacing w:line="360" w:lineRule="auto"/>
        <w:ind w:firstLine="0" w:firstLineChars="0"/>
        <w:rPr>
          <w:rFonts w:ascii="宋体" w:hAnsi="宋体" w:cs="宋体"/>
          <w:b/>
          <w:color w:val="000000" w:themeColor="text1"/>
          <w:sz w:val="36"/>
          <w:szCs w:val="36"/>
          <w:highlight w:val="none"/>
          <w14:textFill>
            <w14:solidFill>
              <w14:schemeClr w14:val="tx1"/>
            </w14:solidFill>
          </w14:textFill>
        </w:rPr>
      </w:pPr>
    </w:p>
    <w:p w14:paraId="176C95D8">
      <w:pPr>
        <w:spacing w:line="360" w:lineRule="auto"/>
        <w:ind w:firstLine="2364" w:firstLineChars="327"/>
        <w:rPr>
          <w:rFonts w:ascii="宋体" w:hAnsi="宋体" w:cs="宋体"/>
          <w:b/>
          <w:color w:val="000000" w:themeColor="text1"/>
          <w:sz w:val="72"/>
          <w:szCs w:val="72"/>
          <w:highlight w:val="none"/>
          <w14:textFill>
            <w14:solidFill>
              <w14:schemeClr w14:val="tx1"/>
            </w14:solidFill>
          </w14:textFill>
        </w:rPr>
      </w:pPr>
      <w:r>
        <w:rPr>
          <w:rFonts w:hint="eastAsia" w:ascii="宋体" w:hAnsi="宋体" w:cs="宋体"/>
          <w:b/>
          <w:color w:val="000000" w:themeColor="text1"/>
          <w:sz w:val="72"/>
          <w:szCs w:val="72"/>
          <w:highlight w:val="none"/>
          <w14:textFill>
            <w14:solidFill>
              <w14:schemeClr w14:val="tx1"/>
            </w14:solidFill>
          </w14:textFill>
        </w:rPr>
        <w:t>响应文件</w:t>
      </w:r>
    </w:p>
    <w:p w14:paraId="78936FA0">
      <w:pPr>
        <w:adjustRightInd w:val="0"/>
        <w:spacing w:line="360" w:lineRule="auto"/>
        <w:ind w:firstLine="0" w:firstLineChars="0"/>
        <w:textAlignment w:val="baseline"/>
        <w:rPr>
          <w:rFonts w:ascii="宋体" w:hAnsi="宋体" w:cs="宋体"/>
          <w:b/>
          <w:bCs/>
          <w:color w:val="000000" w:themeColor="text1"/>
          <w:sz w:val="36"/>
          <w:szCs w:val="36"/>
          <w:highlight w:val="none"/>
          <w14:textFill>
            <w14:solidFill>
              <w14:schemeClr w14:val="tx1"/>
            </w14:solidFill>
          </w14:textFill>
        </w:rPr>
      </w:pPr>
    </w:p>
    <w:p w14:paraId="6A727533">
      <w:pPr>
        <w:pStyle w:val="16"/>
        <w:spacing w:line="600" w:lineRule="exact"/>
        <w:rPr>
          <w:rFonts w:hint="default" w:ascii="宋体" w:hAnsi="宋体" w:eastAsia="宋体" w:cs="宋体"/>
          <w:b/>
          <w:color w:val="000000" w:themeColor="text1"/>
          <w:sz w:val="36"/>
          <w:szCs w:val="36"/>
          <w:highlight w:val="none"/>
          <w:lang w:val="en-US" w:eastAsia="zh-CN"/>
          <w14:textFill>
            <w14:solidFill>
              <w14:schemeClr w14:val="tx1"/>
            </w14:solidFill>
          </w14:textFill>
        </w:rPr>
      </w:pPr>
      <w:r>
        <w:rPr>
          <w:rFonts w:hint="eastAsia" w:ascii="宋体" w:hAnsi="宋体" w:cs="宋体"/>
          <w:b/>
          <w:bCs/>
          <w:color w:val="000000" w:themeColor="text1"/>
          <w:sz w:val="36"/>
          <w:szCs w:val="36"/>
          <w:highlight w:val="none"/>
          <w14:textFill>
            <w14:solidFill>
              <w14:schemeClr w14:val="tx1"/>
            </w14:solidFill>
          </w14:textFill>
        </w:rPr>
        <w:t>采购项目编号</w:t>
      </w:r>
      <w:r>
        <w:rPr>
          <w:rFonts w:hint="eastAsia" w:ascii="宋体" w:hAnsi="宋体" w:cs="宋体"/>
          <w:b/>
          <w:color w:val="000000" w:themeColor="text1"/>
          <w:sz w:val="36"/>
          <w:szCs w:val="36"/>
          <w:highlight w:val="none"/>
          <w14:textFill>
            <w14:solidFill>
              <w14:schemeClr w14:val="tx1"/>
            </w14:solidFill>
          </w14:textFill>
        </w:rPr>
        <w:t>：</w:t>
      </w:r>
    </w:p>
    <w:p w14:paraId="35BAE636">
      <w:pPr>
        <w:adjustRightInd w:val="0"/>
        <w:spacing w:line="600" w:lineRule="exact"/>
        <w:ind w:firstLine="0" w:firstLineChars="0"/>
        <w:textAlignment w:val="baseline"/>
        <w:rPr>
          <w:rFonts w:ascii="宋体" w:hAnsi="宋体" w:cs="宋体"/>
          <w:b/>
          <w:bCs/>
          <w:color w:val="000000" w:themeColor="text1"/>
          <w:sz w:val="36"/>
          <w:szCs w:val="36"/>
          <w:highlight w:val="none"/>
          <w14:textFill>
            <w14:solidFill>
              <w14:schemeClr w14:val="tx1"/>
            </w14:solidFill>
          </w14:textFill>
        </w:rPr>
      </w:pPr>
    </w:p>
    <w:p w14:paraId="59228A94">
      <w:pPr>
        <w:adjustRightInd w:val="0"/>
        <w:spacing w:line="600" w:lineRule="exact"/>
        <w:ind w:left="2530" w:hanging="2530" w:hangingChars="700"/>
        <w:textAlignment w:val="baseline"/>
        <w:rPr>
          <w:rFonts w:hint="eastAsia" w:ascii="宋体" w:hAnsi="宋体" w:eastAsia="宋体" w:cs="宋体"/>
          <w:b/>
          <w:bCs/>
          <w:color w:val="000000" w:themeColor="text1"/>
          <w:sz w:val="36"/>
          <w:szCs w:val="36"/>
          <w:highlight w:val="none"/>
          <w:lang w:eastAsia="zh-CN"/>
          <w14:textFill>
            <w14:solidFill>
              <w14:schemeClr w14:val="tx1"/>
            </w14:solidFill>
          </w14:textFill>
        </w:rPr>
      </w:pPr>
      <w:r>
        <w:rPr>
          <w:rFonts w:hint="eastAsia" w:ascii="宋体" w:hAnsi="宋体" w:cs="宋体"/>
          <w:b/>
          <w:bCs/>
          <w:color w:val="000000" w:themeColor="text1"/>
          <w:sz w:val="36"/>
          <w:szCs w:val="36"/>
          <w:highlight w:val="none"/>
          <w14:textFill>
            <w14:solidFill>
              <w14:schemeClr w14:val="tx1"/>
            </w14:solidFill>
          </w14:textFill>
        </w:rPr>
        <w:t>采购项目名称：</w:t>
      </w:r>
    </w:p>
    <w:p w14:paraId="35BB562A">
      <w:pPr>
        <w:adjustRightInd w:val="0"/>
        <w:spacing w:line="600" w:lineRule="exact"/>
        <w:ind w:firstLine="0" w:firstLineChars="0"/>
        <w:textAlignment w:val="baseline"/>
        <w:rPr>
          <w:rFonts w:hint="eastAsia" w:ascii="宋体" w:hAnsi="宋体" w:cs="宋体"/>
          <w:b/>
          <w:bCs/>
          <w:color w:val="000000" w:themeColor="text1"/>
          <w:sz w:val="36"/>
          <w:szCs w:val="36"/>
          <w:highlight w:val="none"/>
          <w14:textFill>
            <w14:solidFill>
              <w14:schemeClr w14:val="tx1"/>
            </w14:solidFill>
          </w14:textFill>
        </w:rPr>
      </w:pPr>
    </w:p>
    <w:p w14:paraId="24F071BC">
      <w:pPr>
        <w:adjustRightInd w:val="0"/>
        <w:spacing w:line="600" w:lineRule="exact"/>
        <w:ind w:firstLine="0" w:firstLineChars="0"/>
        <w:textAlignment w:val="baseline"/>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bCs/>
          <w:color w:val="000000" w:themeColor="text1"/>
          <w:sz w:val="36"/>
          <w:szCs w:val="36"/>
          <w:highlight w:val="none"/>
          <w14:textFill>
            <w14:solidFill>
              <w14:schemeClr w14:val="tx1"/>
            </w14:solidFill>
          </w14:textFill>
        </w:rPr>
        <w:t>供应商名称</w:t>
      </w:r>
      <w:r>
        <w:rPr>
          <w:rFonts w:hint="eastAsia" w:ascii="宋体" w:hAnsi="宋体" w:cs="宋体"/>
          <w:b/>
          <w:color w:val="000000" w:themeColor="text1"/>
          <w:sz w:val="36"/>
          <w:szCs w:val="36"/>
          <w:highlight w:val="none"/>
          <w14:textFill>
            <w14:solidFill>
              <w14:schemeClr w14:val="tx1"/>
            </w14:solidFill>
          </w14:textFill>
        </w:rPr>
        <w:t>：</w:t>
      </w:r>
    </w:p>
    <w:p w14:paraId="50DD4A82">
      <w:pPr>
        <w:adjustRightInd w:val="0"/>
        <w:spacing w:line="600" w:lineRule="exact"/>
        <w:ind w:firstLine="0" w:firstLineChars="0"/>
        <w:textAlignment w:val="baseline"/>
        <w:rPr>
          <w:rFonts w:ascii="宋体" w:hAnsi="宋体" w:cs="宋体"/>
          <w:b/>
          <w:color w:val="000000" w:themeColor="text1"/>
          <w:sz w:val="36"/>
          <w:szCs w:val="36"/>
          <w:highlight w:val="none"/>
          <w14:textFill>
            <w14:solidFill>
              <w14:schemeClr w14:val="tx1"/>
            </w14:solidFill>
          </w14:textFill>
        </w:rPr>
      </w:pPr>
    </w:p>
    <w:p w14:paraId="46EF6C88">
      <w:pPr>
        <w:spacing w:line="600" w:lineRule="exact"/>
        <w:ind w:left="0" w:leftChars="0" w:firstLine="0" w:firstLineChars="0"/>
        <w:jc w:val="both"/>
        <w:rPr>
          <w:rFonts w:hint="eastAsia"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供应商：（公章）</w:t>
      </w:r>
    </w:p>
    <w:p w14:paraId="4B79042A">
      <w:pPr>
        <w:spacing w:line="600" w:lineRule="exact"/>
        <w:ind w:left="0" w:leftChars="0" w:firstLine="0" w:firstLineChars="0"/>
        <w:jc w:val="both"/>
        <w:rPr>
          <w:rFonts w:hint="eastAsia" w:ascii="宋体" w:hAnsi="宋体" w:cs="宋体"/>
          <w:b/>
          <w:color w:val="000000" w:themeColor="text1"/>
          <w:sz w:val="36"/>
          <w:szCs w:val="36"/>
          <w:highlight w:val="none"/>
          <w14:textFill>
            <w14:solidFill>
              <w14:schemeClr w14:val="tx1"/>
            </w14:solidFill>
          </w14:textFill>
        </w:rPr>
      </w:pPr>
    </w:p>
    <w:p w14:paraId="364F6513">
      <w:pPr>
        <w:spacing w:line="600" w:lineRule="exact"/>
        <w:ind w:left="0" w:leftChars="0" w:firstLine="0" w:firstLineChars="0"/>
        <w:jc w:val="both"/>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法定代表人或委托代理人：（签字或盖章）</w:t>
      </w:r>
    </w:p>
    <w:p w14:paraId="30E4B289">
      <w:pPr>
        <w:spacing w:line="600" w:lineRule="exact"/>
        <w:ind w:firstLine="0" w:firstLineChars="0"/>
        <w:jc w:val="center"/>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年  月  日</w:t>
      </w:r>
    </w:p>
    <w:p w14:paraId="17CC894B">
      <w:pPr>
        <w:rPr>
          <w:rFonts w:hint="eastAsia" w:ascii="宋体" w:hAnsi="宋体" w:cs="宋体"/>
          <w:b/>
          <w:color w:val="000000" w:themeColor="text1"/>
          <w:sz w:val="28"/>
          <w:szCs w:val="28"/>
          <w:highlight w:val="none"/>
          <w14:textFill>
            <w14:solidFill>
              <w14:schemeClr w14:val="tx1"/>
            </w14:solidFill>
          </w14:textFill>
        </w:rPr>
      </w:pPr>
      <w:bookmarkStart w:id="334" w:name="_Toc17238"/>
      <w:bookmarkStart w:id="335" w:name="_Toc30269"/>
      <w:r>
        <w:rPr>
          <w:rFonts w:hint="eastAsia" w:ascii="宋体" w:hAnsi="宋体" w:cs="宋体"/>
          <w:b/>
          <w:color w:val="000000" w:themeColor="text1"/>
          <w:sz w:val="28"/>
          <w:szCs w:val="28"/>
          <w:highlight w:val="none"/>
          <w14:textFill>
            <w14:solidFill>
              <w14:schemeClr w14:val="tx1"/>
            </w14:solidFill>
          </w14:textFill>
        </w:rPr>
        <w:br w:type="page"/>
      </w:r>
    </w:p>
    <w:p w14:paraId="54C9015C">
      <w:pPr>
        <w:spacing w:line="600" w:lineRule="exact"/>
        <w:ind w:firstLine="0" w:firstLineChars="0"/>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附件</w:t>
      </w:r>
      <w:r>
        <w:rPr>
          <w:rFonts w:ascii="宋体" w:hAnsi="宋体" w:cs="宋体"/>
          <w:b/>
          <w:color w:val="000000" w:themeColor="text1"/>
          <w:sz w:val="28"/>
          <w:szCs w:val="28"/>
          <w:highlight w:val="none"/>
          <w14:textFill>
            <w14:solidFill>
              <w14:schemeClr w14:val="tx1"/>
            </w14:solidFill>
          </w14:textFill>
        </w:rPr>
        <w:t>2</w:t>
      </w:r>
      <w:r>
        <w:rPr>
          <w:rFonts w:hint="eastAsia" w:ascii="宋体" w:hAnsi="宋体" w:cs="宋体"/>
          <w:b/>
          <w:color w:val="000000" w:themeColor="text1"/>
          <w:sz w:val="28"/>
          <w:szCs w:val="28"/>
          <w:highlight w:val="none"/>
          <w14:textFill>
            <w14:solidFill>
              <w14:schemeClr w14:val="tx1"/>
            </w14:solidFill>
          </w14:textFill>
        </w:rPr>
        <w:t>：目录</w:t>
      </w:r>
    </w:p>
    <w:p w14:paraId="3D33F48F">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w:t>
      </w:r>
      <w:r>
        <w:rPr>
          <w:rFonts w:ascii="宋体" w:hAnsi="宋体" w:cs="宋体"/>
          <w:color w:val="000000" w:themeColor="text1"/>
          <w:sz w:val="28"/>
          <w:szCs w:val="28"/>
          <w:highlight w:val="none"/>
          <w14:textFill>
            <w14:solidFill>
              <w14:schemeClr w14:val="tx1"/>
            </w14:solidFill>
          </w14:textFill>
        </w:rPr>
        <w:t>1</w:t>
      </w:r>
      <w:r>
        <w:rPr>
          <w:rFonts w:hint="eastAsia" w:ascii="宋体" w:hAnsi="宋体" w:cs="宋体"/>
          <w:color w:val="000000" w:themeColor="text1"/>
          <w:sz w:val="28"/>
          <w:szCs w:val="28"/>
          <w:highlight w:val="none"/>
          <w14:textFill>
            <w14:solidFill>
              <w14:schemeClr w14:val="tx1"/>
            </w14:solidFill>
          </w14:textFill>
        </w:rPr>
        <w:t>）响应文件封面........................................所在页码</w:t>
      </w:r>
    </w:p>
    <w:p w14:paraId="3D510FFD">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w:t>
      </w:r>
      <w:r>
        <w:rPr>
          <w:rFonts w:ascii="宋体" w:hAnsi="宋体" w:cs="宋体"/>
          <w:color w:val="000000" w:themeColor="text1"/>
          <w:sz w:val="28"/>
          <w:szCs w:val="28"/>
          <w:highlight w:val="none"/>
          <w14:textFill>
            <w14:solidFill>
              <w14:schemeClr w14:val="tx1"/>
            </w14:solidFill>
          </w14:textFill>
        </w:rPr>
        <w:t>2</w:t>
      </w:r>
      <w:r>
        <w:rPr>
          <w:rFonts w:hint="eastAsia" w:ascii="宋体" w:hAnsi="宋体" w:cs="宋体"/>
          <w:color w:val="000000" w:themeColor="text1"/>
          <w:sz w:val="28"/>
          <w:szCs w:val="28"/>
          <w:highlight w:val="none"/>
          <w14:textFill>
            <w14:solidFill>
              <w14:schemeClr w14:val="tx1"/>
            </w14:solidFill>
          </w14:textFill>
        </w:rPr>
        <w:t>）目录................................................所在页码</w:t>
      </w:r>
    </w:p>
    <w:p w14:paraId="3BEBA6A1">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（3）磋商函........................................ ... .所在页码</w:t>
      </w:r>
    </w:p>
    <w:p w14:paraId="5B942E3E">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（4）首次报价</w:t>
      </w:r>
      <w:r>
        <w:rPr>
          <w:rFonts w:hint="eastAsia" w:ascii="宋体" w:hAnsi="宋体" w:cs="宋体"/>
          <w:color w:val="000000" w:themeColor="text1"/>
          <w:sz w:val="28"/>
          <w:szCs w:val="28"/>
          <w:highlight w:val="none"/>
          <w:lang w:val="zh-CN"/>
          <w14:textFill>
            <w14:solidFill>
              <w14:schemeClr w14:val="tx1"/>
            </w14:solidFill>
          </w14:textFill>
        </w:rPr>
        <w:t>一览表</w:t>
      </w:r>
      <w:r>
        <w:rPr>
          <w:rFonts w:hint="eastAsia" w:ascii="宋体" w:hAnsi="宋体" w:cs="宋体"/>
          <w:color w:val="000000" w:themeColor="text1"/>
          <w:sz w:val="28"/>
          <w:szCs w:val="28"/>
          <w:highlight w:val="none"/>
          <w14:textFill>
            <w14:solidFill>
              <w14:schemeClr w14:val="tx1"/>
            </w14:solidFill>
          </w14:textFill>
        </w:rPr>
        <w:t>.................................. ...所在页码</w:t>
      </w:r>
    </w:p>
    <w:p w14:paraId="534F8B23">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（5）分项报价表.................................. ...    所在页码</w:t>
      </w:r>
    </w:p>
    <w:p w14:paraId="56AC0585">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（6）法定代表人（非法人组织负责人）证明书............. ..所在页码</w:t>
      </w:r>
    </w:p>
    <w:p w14:paraId="75963BB5">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（7）法定代表人（非法人组织负责人）授权书............. ..所在页码</w:t>
      </w:r>
    </w:p>
    <w:p w14:paraId="3FF4F53C">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（8）供应商承诺函.................................. .....所在页码</w:t>
      </w:r>
    </w:p>
    <w:p w14:paraId="1B258B90">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（9）供应商诚信承诺书......................... ..... ....所在页码</w:t>
      </w:r>
    </w:p>
    <w:p w14:paraId="0FA2BCA4">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（10）资格证明材料.................................. ....所在页码</w:t>
      </w:r>
    </w:p>
    <w:p w14:paraId="47EAB5A7">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（11）财务状况证明.......................................所在页码</w:t>
      </w:r>
    </w:p>
    <w:p w14:paraId="52DB2F08">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（12）具备履行合同所必须的设备和专业技术能力证明...... ..所在页码</w:t>
      </w:r>
    </w:p>
    <w:p w14:paraId="48F05FCE">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（13）无重大违法记录声明.............................. ..所在页码</w:t>
      </w:r>
    </w:p>
    <w:p w14:paraId="472A427D">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（14）磋商保证金...................................... ..所在页码</w:t>
      </w:r>
    </w:p>
    <w:p w14:paraId="208D5A74">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（15）供应商最后报价表..................... ........ ....所在页码</w:t>
      </w:r>
    </w:p>
    <w:p w14:paraId="5C74306D">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 xml:space="preserve">（16）供应商的类似业绩证明材料.................... ... ..所在页码 </w:t>
      </w:r>
    </w:p>
    <w:p w14:paraId="6870FB69">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ascii="宋体" w:hAnsi="宋体" w:cs="宋体"/>
          <w:color w:val="000000" w:themeColor="text1"/>
          <w:sz w:val="28"/>
          <w:szCs w:val="28"/>
          <w:highlight w:val="none"/>
          <w14:textFill>
            <w14:solidFill>
              <w14:schemeClr w14:val="tx1"/>
            </w14:solidFill>
          </w14:textFill>
        </w:rPr>
        <w:t>（</w:t>
      </w:r>
      <w:r>
        <w:rPr>
          <w:rFonts w:hint="eastAsia" w:ascii="宋体" w:hAnsi="宋体" w:cs="宋体"/>
          <w:color w:val="000000" w:themeColor="text1"/>
          <w:sz w:val="28"/>
          <w:szCs w:val="28"/>
          <w:highlight w:val="none"/>
          <w14:textFill>
            <w14:solidFill>
              <w14:schemeClr w14:val="tx1"/>
            </w14:solidFill>
          </w14:textFill>
        </w:rPr>
        <w:t>17</w:t>
      </w:r>
      <w:r>
        <w:rPr>
          <w:rFonts w:ascii="宋体" w:hAnsi="宋体" w:cs="宋体"/>
          <w:color w:val="000000" w:themeColor="text1"/>
          <w:sz w:val="28"/>
          <w:szCs w:val="28"/>
          <w:highlight w:val="none"/>
          <w14:textFill>
            <w14:solidFill>
              <w14:schemeClr w14:val="tx1"/>
            </w14:solidFill>
          </w14:textFill>
        </w:rPr>
        <w:t>）服务方案</w:t>
      </w:r>
      <w:r>
        <w:rPr>
          <w:rFonts w:hint="eastAsia" w:ascii="宋体" w:hAnsi="宋体" w:cs="宋体"/>
          <w:color w:val="000000" w:themeColor="text1"/>
          <w:sz w:val="28"/>
          <w:szCs w:val="28"/>
          <w:highlight w:val="none"/>
          <w14:textFill>
            <w14:solidFill>
              <w14:schemeClr w14:val="tx1"/>
            </w14:solidFill>
          </w14:textFill>
        </w:rPr>
        <w:t>........................................ ..所在页码</w:t>
      </w:r>
    </w:p>
    <w:p w14:paraId="04FCA03A">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（18）享受政府采购政策优惠的证明材料.................. ..所在页码</w:t>
      </w:r>
    </w:p>
    <w:p w14:paraId="0BAE3F6A">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（19）供应商认为在其他方面有必要说明的事项............. .所在页码</w:t>
      </w:r>
    </w:p>
    <w:p w14:paraId="5B00854F">
      <w:pPr>
        <w:spacing w:line="60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p>
    <w:p w14:paraId="72FFFD02">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bookmarkStart w:id="336" w:name="_Toc376936768"/>
      <w:bookmarkStart w:id="337" w:name="_Toc325726037"/>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3：磋商函</w:t>
      </w:r>
      <w:bookmarkEnd w:id="334"/>
      <w:bookmarkEnd w:id="335"/>
      <w:bookmarkEnd w:id="336"/>
      <w:bookmarkEnd w:id="337"/>
    </w:p>
    <w:p w14:paraId="74FC087B">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03C95DD">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磋商函</w:t>
      </w:r>
    </w:p>
    <w:p w14:paraId="0AB31653">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7F583440">
      <w:pPr>
        <w:spacing w:line="520" w:lineRule="exact"/>
        <w:ind w:firstLine="0" w:firstLineChars="0"/>
        <w:textAlignment w:val="baseline"/>
        <w:rPr>
          <w:rFonts w:hint="eastAsia" w:cs="宋体" w:asciiTheme="minorEastAsia" w:hAnsiTheme="minorEastAsia" w:eastAsiaTheme="minorEastAsia"/>
          <w:b/>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致：</w:t>
      </w:r>
      <w:r>
        <w:rPr>
          <w:rFonts w:hint="eastAsia" w:cs="宋体" w:asciiTheme="minorEastAsia" w:hAnsiTheme="minorEastAsia" w:eastAsiaTheme="minorEastAsia"/>
          <w:b/>
          <w:color w:val="000000" w:themeColor="text1"/>
          <w:sz w:val="28"/>
          <w:szCs w:val="28"/>
          <w:highlight w:val="none"/>
          <w:lang w:eastAsia="zh-CN"/>
          <w14:textFill>
            <w14:solidFill>
              <w14:schemeClr w14:val="tx1"/>
            </w14:solidFill>
          </w14:textFill>
        </w:rPr>
        <w:t>青海省招标有限责任公司</w:t>
      </w:r>
    </w:p>
    <w:p w14:paraId="24F3FEAD">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p>
    <w:p w14:paraId="1DE5F44E">
      <w:pPr>
        <w:spacing w:line="520" w:lineRule="exact"/>
        <w:ind w:firstLine="56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我们收到</w:t>
      </w:r>
      <w:r>
        <w:rPr>
          <w:rFonts w:hint="eastAsia" w:cs="宋体" w:asciiTheme="minorEastAsia" w:hAnsiTheme="minorEastAsia" w:eastAsiaTheme="minorEastAsia"/>
          <w:color w:val="000000" w:themeColor="text1"/>
          <w:sz w:val="28"/>
          <w:szCs w:val="28"/>
          <w:highlight w:val="none"/>
          <w:u w:val="single"/>
          <w14:textFill>
            <w14:solidFill>
              <w14:schemeClr w14:val="tx1"/>
            </w14:solidFill>
          </w14:textFill>
        </w:rPr>
        <w:t>（项目名称）（</w:t>
      </w:r>
      <w:r>
        <w:rPr>
          <w:rFonts w:hint="eastAsia" w:cs="Arial" w:asciiTheme="minorEastAsia" w:hAnsiTheme="minorEastAsia" w:eastAsiaTheme="minorEastAsia"/>
          <w:color w:val="000000" w:themeColor="text1"/>
          <w:sz w:val="28"/>
          <w:szCs w:val="28"/>
          <w:highlight w:val="none"/>
          <w:u w:val="single"/>
          <w14:textFill>
            <w14:solidFill>
              <w14:schemeClr w14:val="tx1"/>
            </w14:solidFill>
          </w14:textFill>
        </w:rPr>
        <w:t>项目编号）</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文件，经研究，法定代表人（姓名、职务）正式授权（委托代理人姓名、职务）代表供应商（供应商名称、地址）提交响应文件。</w:t>
      </w:r>
    </w:p>
    <w:p w14:paraId="0EF744CD">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据此函，签字代表宣布同意如下：</w:t>
      </w:r>
    </w:p>
    <w:p w14:paraId="6E16F488">
      <w:pPr>
        <w:spacing w:line="520" w:lineRule="exact"/>
        <w:ind w:firstLine="56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14:textFill>
            <w14:solidFill>
              <w14:schemeClr w14:val="tx1"/>
            </w14:solidFill>
          </w14:textFill>
        </w:rPr>
        <w:t>1</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、我方已详阅磋商文件的全部内容，包括澄清、修改条款等有关附件，承诺对其完全理解并接受。</w:t>
      </w:r>
    </w:p>
    <w:p w14:paraId="5DAC5996">
      <w:pPr>
        <w:spacing w:line="520" w:lineRule="exact"/>
        <w:ind w:firstLine="56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14:textFill>
            <w14:solidFill>
              <w14:schemeClr w14:val="tx1"/>
            </w14:solidFill>
          </w14:textFill>
        </w:rPr>
        <w:t>2</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、响应有效期自提交响应文件截止之日起</w:t>
      </w:r>
      <w:r>
        <w:rPr>
          <w:rFonts w:hint="eastAsia" w:cs="宋体" w:asciiTheme="minorEastAsia" w:hAnsiTheme="minorEastAsia" w:eastAsiaTheme="minorEastAsia"/>
          <w:color w:val="000000" w:themeColor="text1"/>
          <w:sz w:val="28"/>
          <w:szCs w:val="28"/>
          <w:highlight w:val="none"/>
          <w:u w:val="single"/>
          <w:lang w:val="en-US" w:eastAsia="zh-CN"/>
          <w14:textFill>
            <w14:solidFill>
              <w14:schemeClr w14:val="tx1"/>
            </w14:solidFill>
          </w14:textFill>
        </w:rPr>
        <w:t>60</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个日历日。如果在规定的磋商时间后，我方在响应有效期内撤回磋商响应文件或成交后不签约的，磋商保证金将不予退还。</w:t>
      </w:r>
    </w:p>
    <w:p w14:paraId="7C0A9B69">
      <w:pPr>
        <w:spacing w:line="520" w:lineRule="exact"/>
        <w:ind w:firstLine="56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14:textFill>
            <w14:solidFill>
              <w14:schemeClr w14:val="tx1"/>
            </w14:solidFill>
          </w14:textFill>
        </w:rPr>
        <w:t>3</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、我方同意按照贵方要求提供与磋商有关的一切数据或资料，理解并接受贵方制定的评标办法。</w:t>
      </w:r>
    </w:p>
    <w:p w14:paraId="462F2893">
      <w:pPr>
        <w:spacing w:line="520" w:lineRule="exact"/>
        <w:ind w:firstLine="56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14:textFill>
            <w14:solidFill>
              <w14:schemeClr w14:val="tx1"/>
            </w14:solidFill>
          </w14:textFill>
        </w:rPr>
        <w:t>4</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、与本磋商有关的一切正式往来通讯请寄：</w:t>
      </w:r>
    </w:p>
    <w:p w14:paraId="24F3EE54">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地址：</w:t>
      </w:r>
      <w:r>
        <w:rPr>
          <w:rFonts w:cs="宋体" w:asciiTheme="minorEastAsia" w:hAnsiTheme="minorEastAsia" w:eastAsiaTheme="minorEastAsia"/>
          <w:color w:val="000000" w:themeColor="text1"/>
          <w:sz w:val="28"/>
          <w:szCs w:val="28"/>
          <w:highlight w:val="none"/>
          <w14:textFill>
            <w14:solidFill>
              <w14:schemeClr w14:val="tx1"/>
            </w14:solidFill>
          </w14:textFill>
        </w:rPr>
        <w:t xml:space="preserve">_______________        </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邮编：</w:t>
      </w:r>
      <w:r>
        <w:rPr>
          <w:rFonts w:cs="宋体" w:asciiTheme="minorEastAsia" w:hAnsiTheme="minorEastAsia" w:eastAsiaTheme="minorEastAsia"/>
          <w:color w:val="000000" w:themeColor="text1"/>
          <w:sz w:val="28"/>
          <w:szCs w:val="28"/>
          <w:highlight w:val="none"/>
          <w14:textFill>
            <w14:solidFill>
              <w14:schemeClr w14:val="tx1"/>
            </w14:solidFill>
          </w14:textFill>
        </w:rPr>
        <w:t>____________</w:t>
      </w:r>
    </w:p>
    <w:p w14:paraId="5DF9BCFA">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电话：</w:t>
      </w:r>
      <w:r>
        <w:rPr>
          <w:rFonts w:cs="宋体" w:asciiTheme="minorEastAsia" w:hAnsiTheme="minorEastAsia" w:eastAsiaTheme="minorEastAsia"/>
          <w:color w:val="000000" w:themeColor="text1"/>
          <w:sz w:val="28"/>
          <w:szCs w:val="28"/>
          <w:highlight w:val="none"/>
          <w14:textFill>
            <w14:solidFill>
              <w14:schemeClr w14:val="tx1"/>
            </w14:solidFill>
          </w14:textFill>
        </w:rPr>
        <w:t xml:space="preserve">_______________        </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传真：</w:t>
      </w:r>
      <w:r>
        <w:rPr>
          <w:rFonts w:cs="宋体" w:asciiTheme="minorEastAsia" w:hAnsiTheme="minorEastAsia" w:eastAsiaTheme="minorEastAsia"/>
          <w:color w:val="000000" w:themeColor="text1"/>
          <w:sz w:val="28"/>
          <w:szCs w:val="28"/>
          <w:highlight w:val="none"/>
          <w14:textFill>
            <w14:solidFill>
              <w14:schemeClr w14:val="tx1"/>
            </w14:solidFill>
          </w14:textFill>
        </w:rPr>
        <w:t>____________</w:t>
      </w:r>
    </w:p>
    <w:p w14:paraId="215358E2">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法定代表人姓名：</w:t>
      </w:r>
      <w:r>
        <w:rPr>
          <w:rFonts w:cs="宋体" w:asciiTheme="minorEastAsia" w:hAnsiTheme="minorEastAsia" w:eastAsiaTheme="minorEastAsia"/>
          <w:color w:val="000000" w:themeColor="text1"/>
          <w:sz w:val="28"/>
          <w:szCs w:val="28"/>
          <w:highlight w:val="none"/>
          <w14:textFill>
            <w14:solidFill>
              <w14:schemeClr w14:val="tx1"/>
            </w14:solidFill>
          </w14:textFill>
        </w:rPr>
        <w:t xml:space="preserve"> ___________ </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职务：</w:t>
      </w:r>
      <w:r>
        <w:rPr>
          <w:rFonts w:cs="宋体" w:asciiTheme="minorEastAsia" w:hAnsiTheme="minorEastAsia" w:eastAsiaTheme="minorEastAsia"/>
          <w:color w:val="000000" w:themeColor="text1"/>
          <w:sz w:val="28"/>
          <w:szCs w:val="28"/>
          <w:highlight w:val="none"/>
          <w14:textFill>
            <w14:solidFill>
              <w14:schemeClr w14:val="tx1"/>
            </w14:solidFill>
          </w14:textFill>
        </w:rPr>
        <w:t>____________</w:t>
      </w:r>
    </w:p>
    <w:p w14:paraId="292016F2">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p>
    <w:p w14:paraId="524A126F">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29DD093F">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7C0DE0E8">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年  月  日</w:t>
      </w:r>
    </w:p>
    <w:p w14:paraId="609E73E9">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bookmarkStart w:id="338" w:name="_Toc26950"/>
      <w:bookmarkStart w:id="339" w:name="_Toc31069"/>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附件4：首次报价一览表</w:t>
      </w:r>
      <w:bookmarkEnd w:id="338"/>
      <w:bookmarkEnd w:id="339"/>
    </w:p>
    <w:p w14:paraId="06626469">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p>
    <w:p w14:paraId="7F7BEA65">
      <w:pPr>
        <w:autoSpaceDE w:val="0"/>
        <w:autoSpaceDN w:val="0"/>
        <w:spacing w:line="520" w:lineRule="exact"/>
        <w:ind w:firstLine="0" w:firstLineChars="0"/>
        <w:jc w:val="center"/>
        <w:rPr>
          <w:rFonts w:cs="宋体" w:asciiTheme="minorEastAsia" w:hAnsiTheme="minorEastAsia" w:eastAsiaTheme="minorEastAsia"/>
          <w:b/>
          <w:bCs/>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首次报价</w:t>
      </w:r>
      <w:r>
        <w:rPr>
          <w:rFonts w:hint="eastAsia" w:cs="宋体" w:asciiTheme="minorEastAsia" w:hAnsiTheme="minorEastAsia" w:eastAsiaTheme="minorEastAsia"/>
          <w:b/>
          <w:bCs/>
          <w:color w:val="000000" w:themeColor="text1"/>
          <w:sz w:val="28"/>
          <w:szCs w:val="28"/>
          <w:highlight w:val="none"/>
          <w:lang w:val="zh-CN"/>
          <w14:textFill>
            <w14:solidFill>
              <w14:schemeClr w14:val="tx1"/>
            </w14:solidFill>
          </w14:textFill>
        </w:rPr>
        <w:t>一览表</w:t>
      </w:r>
    </w:p>
    <w:p w14:paraId="073AA2D7">
      <w:pPr>
        <w:autoSpaceDE w:val="0"/>
        <w:autoSpaceDN w:val="0"/>
        <w:spacing w:line="520" w:lineRule="exact"/>
        <w:ind w:firstLine="413" w:firstLineChars="147"/>
        <w:rPr>
          <w:rFonts w:hint="eastAsia" w:cs="宋体" w:asciiTheme="minorEastAsia" w:hAnsiTheme="minorEastAsia" w:eastAsiaTheme="minorEastAsia"/>
          <w:b/>
          <w:bCs/>
          <w:color w:val="000000" w:themeColor="text1"/>
          <w:sz w:val="28"/>
          <w:szCs w:val="28"/>
          <w:highlight w:val="none"/>
          <w:lang w:val="en-US" w:eastAsia="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lang w:val="zh-CN"/>
          <w14:textFill>
            <w14:solidFill>
              <w14:schemeClr w14:val="tx1"/>
            </w14:solidFill>
          </w14:textFill>
        </w:rPr>
        <w:t>供应商名称：                                       单位：</w:t>
      </w:r>
      <w:r>
        <w:rPr>
          <w:rFonts w:hint="eastAsia" w:cs="宋体" w:asciiTheme="minorEastAsia" w:hAnsiTheme="minorEastAsia" w:eastAsiaTheme="minorEastAsia"/>
          <w:b/>
          <w:bCs/>
          <w:color w:val="000000" w:themeColor="text1"/>
          <w:sz w:val="28"/>
          <w:szCs w:val="28"/>
          <w:highlight w:val="none"/>
          <w:lang w:val="en-US" w:eastAsia="zh-CN"/>
          <w14:textFill>
            <w14:solidFill>
              <w14:schemeClr w14:val="tx1"/>
            </w14:solidFill>
          </w14:textFill>
        </w:rPr>
        <w:t>元</w:t>
      </w:r>
    </w:p>
    <w:tbl>
      <w:tblPr>
        <w:tblStyle w:val="34"/>
        <w:tblW w:w="85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783"/>
        <w:gridCol w:w="5749"/>
      </w:tblGrid>
      <w:tr w14:paraId="77F65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783" w:type="dxa"/>
            <w:tcBorders>
              <w:top w:val="single" w:color="auto" w:sz="4" w:space="0"/>
              <w:left w:val="single" w:color="auto" w:sz="4" w:space="0"/>
              <w:bottom w:val="single" w:color="auto" w:sz="4" w:space="0"/>
              <w:right w:val="single" w:color="auto" w:sz="4" w:space="0"/>
            </w:tcBorders>
            <w:vAlign w:val="center"/>
          </w:tcPr>
          <w:p w14:paraId="44C8665D">
            <w:pPr>
              <w:pStyle w:val="14"/>
              <w:spacing w:line="520" w:lineRule="exact"/>
              <w:ind w:firstLine="0" w:firstLineChars="0"/>
              <w:jc w:val="center"/>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项目编号</w:t>
            </w:r>
          </w:p>
        </w:tc>
        <w:tc>
          <w:tcPr>
            <w:tcW w:w="5749" w:type="dxa"/>
            <w:tcBorders>
              <w:top w:val="single" w:color="auto" w:sz="4" w:space="0"/>
              <w:left w:val="single" w:color="auto" w:sz="4" w:space="0"/>
              <w:bottom w:val="single" w:color="auto" w:sz="4" w:space="0"/>
              <w:right w:val="single" w:color="auto" w:sz="4" w:space="0"/>
            </w:tcBorders>
            <w:vAlign w:val="center"/>
          </w:tcPr>
          <w:p w14:paraId="11054F00">
            <w:pPr>
              <w:pStyle w:val="14"/>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tc>
      </w:tr>
      <w:tr w14:paraId="12150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783" w:type="dxa"/>
            <w:tcBorders>
              <w:top w:val="single" w:color="auto" w:sz="4" w:space="0"/>
              <w:left w:val="single" w:color="auto" w:sz="4" w:space="0"/>
              <w:bottom w:val="single" w:color="auto" w:sz="4" w:space="0"/>
              <w:right w:val="single" w:color="auto" w:sz="4" w:space="0"/>
            </w:tcBorders>
            <w:vAlign w:val="center"/>
          </w:tcPr>
          <w:p w14:paraId="33F6ED05">
            <w:pPr>
              <w:pStyle w:val="14"/>
              <w:spacing w:line="520" w:lineRule="exact"/>
              <w:ind w:firstLine="0" w:firstLineChars="0"/>
              <w:jc w:val="center"/>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项目名称</w:t>
            </w:r>
          </w:p>
        </w:tc>
        <w:tc>
          <w:tcPr>
            <w:tcW w:w="5749" w:type="dxa"/>
            <w:tcBorders>
              <w:top w:val="single" w:color="auto" w:sz="4" w:space="0"/>
              <w:left w:val="single" w:color="auto" w:sz="4" w:space="0"/>
              <w:bottom w:val="single" w:color="auto" w:sz="4" w:space="0"/>
              <w:right w:val="single" w:color="auto" w:sz="4" w:space="0"/>
            </w:tcBorders>
            <w:vAlign w:val="center"/>
          </w:tcPr>
          <w:p w14:paraId="41B19A81">
            <w:pPr>
              <w:pStyle w:val="14"/>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tc>
      </w:tr>
      <w:tr w14:paraId="1D69C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783" w:type="dxa"/>
            <w:tcBorders>
              <w:top w:val="single" w:color="auto" w:sz="4" w:space="0"/>
              <w:left w:val="single" w:color="auto" w:sz="4" w:space="0"/>
              <w:bottom w:val="single" w:color="auto" w:sz="4" w:space="0"/>
              <w:right w:val="single" w:color="auto" w:sz="4" w:space="0"/>
            </w:tcBorders>
            <w:vAlign w:val="center"/>
          </w:tcPr>
          <w:p w14:paraId="6F02A5DF">
            <w:pPr>
              <w:pStyle w:val="14"/>
              <w:spacing w:line="520" w:lineRule="exact"/>
              <w:ind w:firstLine="0" w:firstLineChars="0"/>
              <w:jc w:val="center"/>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磋商报价</w:t>
            </w:r>
          </w:p>
        </w:tc>
        <w:tc>
          <w:tcPr>
            <w:tcW w:w="5749" w:type="dxa"/>
            <w:tcBorders>
              <w:top w:val="single" w:color="auto" w:sz="4" w:space="0"/>
              <w:left w:val="single" w:color="auto" w:sz="4" w:space="0"/>
              <w:bottom w:val="single" w:color="auto" w:sz="4" w:space="0"/>
              <w:right w:val="single" w:color="auto" w:sz="4" w:space="0"/>
            </w:tcBorders>
            <w:vAlign w:val="center"/>
          </w:tcPr>
          <w:p w14:paraId="61660F0F">
            <w:pPr>
              <w:pStyle w:val="14"/>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tc>
      </w:tr>
      <w:tr w14:paraId="7F3D6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783" w:type="dxa"/>
            <w:tcBorders>
              <w:top w:val="single" w:color="auto" w:sz="4" w:space="0"/>
              <w:left w:val="single" w:color="auto" w:sz="4" w:space="0"/>
              <w:bottom w:val="single" w:color="auto" w:sz="4" w:space="0"/>
              <w:right w:val="single" w:color="auto" w:sz="4" w:space="0"/>
            </w:tcBorders>
            <w:vAlign w:val="center"/>
          </w:tcPr>
          <w:p w14:paraId="21FFA824">
            <w:pPr>
              <w:pStyle w:val="14"/>
              <w:spacing w:line="520" w:lineRule="exact"/>
              <w:ind w:firstLine="0" w:firstLineChars="0"/>
              <w:jc w:val="center"/>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服务期</w:t>
            </w:r>
          </w:p>
        </w:tc>
        <w:tc>
          <w:tcPr>
            <w:tcW w:w="5749" w:type="dxa"/>
            <w:tcBorders>
              <w:top w:val="single" w:color="auto" w:sz="4" w:space="0"/>
              <w:left w:val="single" w:color="auto" w:sz="4" w:space="0"/>
              <w:bottom w:val="single" w:color="auto" w:sz="4" w:space="0"/>
              <w:right w:val="single" w:color="auto" w:sz="4" w:space="0"/>
            </w:tcBorders>
            <w:vAlign w:val="center"/>
          </w:tcPr>
          <w:p w14:paraId="01ACEAFA">
            <w:pPr>
              <w:pStyle w:val="14"/>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tc>
      </w:tr>
      <w:tr w14:paraId="09E5C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8532" w:type="dxa"/>
            <w:gridSpan w:val="2"/>
            <w:tcBorders>
              <w:top w:val="single" w:color="auto" w:sz="4" w:space="0"/>
              <w:left w:val="single" w:color="auto" w:sz="4" w:space="0"/>
              <w:bottom w:val="single" w:color="auto" w:sz="4" w:space="0"/>
              <w:right w:val="single" w:color="auto" w:sz="4" w:space="0"/>
            </w:tcBorders>
            <w:vAlign w:val="center"/>
          </w:tcPr>
          <w:p w14:paraId="5BA7A87A">
            <w:pPr>
              <w:pStyle w:val="14"/>
              <w:spacing w:line="520" w:lineRule="exact"/>
              <w:ind w:firstLine="0" w:firstLineChars="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服务承诺及其他：</w:t>
            </w:r>
          </w:p>
          <w:p w14:paraId="5836CCEA">
            <w:pPr>
              <w:pStyle w:val="14"/>
              <w:spacing w:line="520" w:lineRule="exact"/>
              <w:ind w:firstLine="0" w:firstLineChars="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3E23D9B2">
            <w:pPr>
              <w:pStyle w:val="14"/>
              <w:spacing w:line="520" w:lineRule="exact"/>
              <w:ind w:firstLine="0" w:firstLineChars="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r>
    </w:tbl>
    <w:p w14:paraId="2F9EEF15">
      <w:pPr>
        <w:pStyle w:val="70"/>
        <w:spacing w:line="520" w:lineRule="exact"/>
        <w:ind w:firstLine="562" w:firstLineChars="200"/>
        <w:rPr>
          <w:rFonts w:hint="default"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8"/>
          <w:szCs w:val="28"/>
          <w:highlight w:val="none"/>
          <w:lang w:val="en-US" w:eastAsia="zh-CN"/>
          <w14:textFill>
            <w14:solidFill>
              <w14:schemeClr w14:val="tx1"/>
            </w14:solidFill>
          </w14:textFill>
        </w:rPr>
        <w:t>注：本项目磋商报价按总价报价，不得超过项目最高限价</w:t>
      </w:r>
    </w:p>
    <w:p w14:paraId="269AFF60">
      <w:pPr>
        <w:pStyle w:val="70"/>
        <w:spacing w:line="520" w:lineRule="exact"/>
        <w:ind w:firstLine="560" w:firstLineChars="200"/>
        <w:rPr>
          <w:rFonts w:asciiTheme="minorEastAsia" w:hAnsiTheme="minorEastAsia" w:eastAsiaTheme="minorEastAsia" w:cstheme="minorEastAsia"/>
          <w:color w:val="000000" w:themeColor="text1"/>
          <w:sz w:val="28"/>
          <w:szCs w:val="28"/>
          <w:highlight w:val="none"/>
          <w14:textFill>
            <w14:solidFill>
              <w14:schemeClr w14:val="tx1"/>
            </w14:solidFill>
          </w14:textFill>
        </w:rPr>
      </w:pPr>
    </w:p>
    <w:p w14:paraId="3FB5CA3A">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p>
    <w:p w14:paraId="5BB2BF20">
      <w:pPr>
        <w:spacing w:line="520" w:lineRule="exact"/>
        <w:ind w:firstLine="0" w:firstLineChars="0"/>
        <w:jc w:val="both"/>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w:t>
      </w:r>
    </w:p>
    <w:p w14:paraId="2EDC7472">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4827B747">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68671187">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1A6F48B4">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年  月  日</w:t>
      </w:r>
    </w:p>
    <w:p w14:paraId="5D741B0E">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bookmarkStart w:id="340" w:name="_Toc13693"/>
      <w:bookmarkStart w:id="341" w:name="_Toc14675"/>
    </w:p>
    <w:p w14:paraId="455BB44C">
      <w:pPr>
        <w:spacing w:line="520" w:lineRule="exact"/>
        <w:ind w:firstLine="0" w:firstLineChars="0"/>
        <w:rPr>
          <w:rFonts w:hint="eastAsia" w:cs="宋体" w:asciiTheme="minorEastAsia" w:hAnsiTheme="minorEastAsia" w:eastAsiaTheme="minorEastAsia"/>
          <w:b/>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附件5：分项报价表</w:t>
      </w:r>
    </w:p>
    <w:p w14:paraId="732A1B49">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237D5E2F">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分项报价表</w:t>
      </w:r>
    </w:p>
    <w:p w14:paraId="2F010672">
      <w:pPr>
        <w:autoSpaceDE w:val="0"/>
        <w:autoSpaceDN w:val="0"/>
        <w:spacing w:line="520" w:lineRule="exact"/>
        <w:ind w:firstLine="0" w:firstLineChars="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lang w:val="zh-CN"/>
          <w14:textFill>
            <w14:solidFill>
              <w14:schemeClr w14:val="tx1"/>
            </w14:solidFill>
          </w14:textFill>
        </w:rPr>
        <w:t xml:space="preserve">供应商名称：                                      </w:t>
      </w:r>
    </w:p>
    <w:tbl>
      <w:tblPr>
        <w:tblStyle w:val="34"/>
        <w:tblW w:w="8971" w:type="dxa"/>
        <w:jc w:val="center"/>
        <w:tblLayout w:type="fixed"/>
        <w:tblCellMar>
          <w:top w:w="0" w:type="dxa"/>
          <w:left w:w="28" w:type="dxa"/>
          <w:bottom w:w="0" w:type="dxa"/>
          <w:right w:w="28" w:type="dxa"/>
        </w:tblCellMar>
      </w:tblPr>
      <w:tblGrid>
        <w:gridCol w:w="818"/>
        <w:gridCol w:w="1360"/>
        <w:gridCol w:w="3948"/>
        <w:gridCol w:w="1497"/>
        <w:gridCol w:w="1348"/>
      </w:tblGrid>
      <w:tr w14:paraId="011CE35F">
        <w:tblPrEx>
          <w:tblCellMar>
            <w:top w:w="0" w:type="dxa"/>
            <w:left w:w="28" w:type="dxa"/>
            <w:bottom w:w="0" w:type="dxa"/>
            <w:right w:w="28" w:type="dxa"/>
          </w:tblCellMar>
        </w:tblPrEx>
        <w:trPr>
          <w:trHeight w:val="643" w:hRule="atLeast"/>
          <w:jc w:val="center"/>
        </w:trPr>
        <w:tc>
          <w:tcPr>
            <w:tcW w:w="818" w:type="dxa"/>
            <w:tcBorders>
              <w:top w:val="single" w:color="000000" w:sz="8" w:space="0"/>
              <w:left w:val="single" w:color="000000" w:sz="8" w:space="0"/>
              <w:bottom w:val="single" w:color="000000" w:sz="6" w:space="0"/>
              <w:right w:val="single" w:color="000000" w:sz="6" w:space="0"/>
            </w:tcBorders>
            <w:vAlign w:val="center"/>
          </w:tcPr>
          <w:p w14:paraId="427B6BFE">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序号</w:t>
            </w:r>
          </w:p>
        </w:tc>
        <w:tc>
          <w:tcPr>
            <w:tcW w:w="5308" w:type="dxa"/>
            <w:gridSpan w:val="2"/>
            <w:tcBorders>
              <w:top w:val="single" w:color="000000" w:sz="8" w:space="0"/>
              <w:left w:val="single" w:color="000000" w:sz="6" w:space="0"/>
              <w:bottom w:val="single" w:color="000000" w:sz="6" w:space="0"/>
              <w:right w:val="single" w:color="000000" w:sz="6" w:space="0"/>
            </w:tcBorders>
            <w:vAlign w:val="center"/>
          </w:tcPr>
          <w:p w14:paraId="2734CA2F">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服务内容</w:t>
            </w:r>
          </w:p>
        </w:tc>
        <w:tc>
          <w:tcPr>
            <w:tcW w:w="1497" w:type="dxa"/>
            <w:tcBorders>
              <w:top w:val="single" w:color="000000" w:sz="8" w:space="0"/>
              <w:left w:val="single" w:color="000000" w:sz="6" w:space="0"/>
              <w:bottom w:val="single" w:color="000000" w:sz="6" w:space="0"/>
              <w:right w:val="single" w:color="000000" w:sz="6" w:space="0"/>
            </w:tcBorders>
            <w:vAlign w:val="center"/>
          </w:tcPr>
          <w:p w14:paraId="27A81049">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单项金额</w:t>
            </w:r>
          </w:p>
        </w:tc>
        <w:tc>
          <w:tcPr>
            <w:tcW w:w="1348" w:type="dxa"/>
            <w:tcBorders>
              <w:top w:val="single" w:color="000000" w:sz="8" w:space="0"/>
              <w:left w:val="single" w:color="000000" w:sz="6" w:space="0"/>
              <w:bottom w:val="single" w:color="000000" w:sz="6" w:space="0"/>
              <w:right w:val="single" w:color="000000" w:sz="8" w:space="0"/>
            </w:tcBorders>
            <w:vAlign w:val="center"/>
          </w:tcPr>
          <w:p w14:paraId="2BE94F1C">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备注</w:t>
            </w:r>
          </w:p>
        </w:tc>
      </w:tr>
      <w:tr w14:paraId="1698E478">
        <w:tblPrEx>
          <w:tblCellMar>
            <w:top w:w="0" w:type="dxa"/>
            <w:left w:w="28" w:type="dxa"/>
            <w:bottom w:w="0" w:type="dxa"/>
            <w:right w:w="28" w:type="dxa"/>
          </w:tblCellMar>
        </w:tblPrEx>
        <w:trPr>
          <w:trHeight w:val="643" w:hRule="atLeast"/>
          <w:jc w:val="center"/>
        </w:trPr>
        <w:tc>
          <w:tcPr>
            <w:tcW w:w="818" w:type="dxa"/>
            <w:tcBorders>
              <w:top w:val="single" w:color="000000" w:sz="6" w:space="0"/>
              <w:left w:val="single" w:color="000000" w:sz="8" w:space="0"/>
              <w:bottom w:val="single" w:color="000000" w:sz="6" w:space="0"/>
              <w:right w:val="single" w:color="000000" w:sz="6" w:space="0"/>
            </w:tcBorders>
            <w:vAlign w:val="center"/>
          </w:tcPr>
          <w:p w14:paraId="544D46B5">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5308" w:type="dxa"/>
            <w:gridSpan w:val="2"/>
            <w:tcBorders>
              <w:top w:val="single" w:color="000000" w:sz="6" w:space="0"/>
              <w:left w:val="single" w:color="000000" w:sz="6" w:space="0"/>
              <w:bottom w:val="single" w:color="000000" w:sz="6" w:space="0"/>
              <w:right w:val="single" w:color="000000" w:sz="6" w:space="0"/>
            </w:tcBorders>
            <w:vAlign w:val="center"/>
          </w:tcPr>
          <w:p w14:paraId="72B95A00">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497" w:type="dxa"/>
            <w:tcBorders>
              <w:top w:val="single" w:color="000000" w:sz="6" w:space="0"/>
              <w:left w:val="single" w:color="000000" w:sz="6" w:space="0"/>
              <w:bottom w:val="single" w:color="000000" w:sz="6" w:space="0"/>
              <w:right w:val="single" w:color="000000" w:sz="6" w:space="0"/>
            </w:tcBorders>
            <w:vAlign w:val="center"/>
          </w:tcPr>
          <w:p w14:paraId="5388BD17">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348" w:type="dxa"/>
            <w:tcBorders>
              <w:top w:val="single" w:color="000000" w:sz="6" w:space="0"/>
              <w:left w:val="single" w:color="000000" w:sz="6" w:space="0"/>
              <w:bottom w:val="single" w:color="000000" w:sz="6" w:space="0"/>
              <w:right w:val="single" w:color="000000" w:sz="8" w:space="0"/>
            </w:tcBorders>
            <w:vAlign w:val="center"/>
          </w:tcPr>
          <w:p w14:paraId="5F30B015">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r>
      <w:tr w14:paraId="22D9FADB">
        <w:tblPrEx>
          <w:tblCellMar>
            <w:top w:w="0" w:type="dxa"/>
            <w:left w:w="28" w:type="dxa"/>
            <w:bottom w:w="0" w:type="dxa"/>
            <w:right w:w="28" w:type="dxa"/>
          </w:tblCellMar>
        </w:tblPrEx>
        <w:trPr>
          <w:trHeight w:val="643" w:hRule="atLeast"/>
          <w:jc w:val="center"/>
        </w:trPr>
        <w:tc>
          <w:tcPr>
            <w:tcW w:w="818" w:type="dxa"/>
            <w:tcBorders>
              <w:top w:val="single" w:color="000000" w:sz="6" w:space="0"/>
              <w:left w:val="single" w:color="000000" w:sz="8" w:space="0"/>
              <w:bottom w:val="single" w:color="000000" w:sz="6" w:space="0"/>
              <w:right w:val="single" w:color="000000" w:sz="6" w:space="0"/>
            </w:tcBorders>
            <w:vAlign w:val="center"/>
          </w:tcPr>
          <w:p w14:paraId="3F4E5D44">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5308" w:type="dxa"/>
            <w:gridSpan w:val="2"/>
            <w:tcBorders>
              <w:top w:val="single" w:color="000000" w:sz="6" w:space="0"/>
              <w:left w:val="single" w:color="000000" w:sz="6" w:space="0"/>
              <w:bottom w:val="single" w:color="000000" w:sz="6" w:space="0"/>
              <w:right w:val="single" w:color="000000" w:sz="6" w:space="0"/>
            </w:tcBorders>
            <w:vAlign w:val="center"/>
          </w:tcPr>
          <w:p w14:paraId="17DE7BCC">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497" w:type="dxa"/>
            <w:tcBorders>
              <w:top w:val="single" w:color="000000" w:sz="6" w:space="0"/>
              <w:left w:val="single" w:color="000000" w:sz="6" w:space="0"/>
              <w:bottom w:val="single" w:color="000000" w:sz="6" w:space="0"/>
              <w:right w:val="single" w:color="000000" w:sz="6" w:space="0"/>
            </w:tcBorders>
            <w:vAlign w:val="center"/>
          </w:tcPr>
          <w:p w14:paraId="04D27705">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348" w:type="dxa"/>
            <w:tcBorders>
              <w:top w:val="single" w:color="000000" w:sz="6" w:space="0"/>
              <w:left w:val="single" w:color="000000" w:sz="6" w:space="0"/>
              <w:bottom w:val="single" w:color="000000" w:sz="6" w:space="0"/>
              <w:right w:val="single" w:color="000000" w:sz="8" w:space="0"/>
            </w:tcBorders>
            <w:vAlign w:val="center"/>
          </w:tcPr>
          <w:p w14:paraId="1A08D472">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r>
      <w:tr w14:paraId="7A57240E">
        <w:tblPrEx>
          <w:tblCellMar>
            <w:top w:w="0" w:type="dxa"/>
            <w:left w:w="28" w:type="dxa"/>
            <w:bottom w:w="0" w:type="dxa"/>
            <w:right w:w="28" w:type="dxa"/>
          </w:tblCellMar>
        </w:tblPrEx>
        <w:trPr>
          <w:trHeight w:val="643" w:hRule="atLeast"/>
          <w:jc w:val="center"/>
        </w:trPr>
        <w:tc>
          <w:tcPr>
            <w:tcW w:w="818" w:type="dxa"/>
            <w:tcBorders>
              <w:top w:val="single" w:color="000000" w:sz="6" w:space="0"/>
              <w:left w:val="single" w:color="000000" w:sz="8" w:space="0"/>
              <w:bottom w:val="single" w:color="000000" w:sz="6" w:space="0"/>
              <w:right w:val="single" w:color="000000" w:sz="6" w:space="0"/>
            </w:tcBorders>
            <w:vAlign w:val="center"/>
          </w:tcPr>
          <w:p w14:paraId="7B45CF7A">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5308" w:type="dxa"/>
            <w:gridSpan w:val="2"/>
            <w:tcBorders>
              <w:top w:val="single" w:color="000000" w:sz="6" w:space="0"/>
              <w:left w:val="single" w:color="000000" w:sz="6" w:space="0"/>
              <w:bottom w:val="single" w:color="000000" w:sz="6" w:space="0"/>
              <w:right w:val="single" w:color="000000" w:sz="6" w:space="0"/>
            </w:tcBorders>
            <w:vAlign w:val="center"/>
          </w:tcPr>
          <w:p w14:paraId="5846DED9">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497" w:type="dxa"/>
            <w:tcBorders>
              <w:top w:val="single" w:color="000000" w:sz="6" w:space="0"/>
              <w:left w:val="single" w:color="000000" w:sz="6" w:space="0"/>
              <w:bottom w:val="single" w:color="000000" w:sz="6" w:space="0"/>
              <w:right w:val="single" w:color="000000" w:sz="6" w:space="0"/>
            </w:tcBorders>
            <w:vAlign w:val="center"/>
          </w:tcPr>
          <w:p w14:paraId="0430AEBA">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348" w:type="dxa"/>
            <w:tcBorders>
              <w:top w:val="single" w:color="000000" w:sz="6" w:space="0"/>
              <w:left w:val="single" w:color="000000" w:sz="6" w:space="0"/>
              <w:bottom w:val="single" w:color="000000" w:sz="6" w:space="0"/>
              <w:right w:val="single" w:color="000000" w:sz="8" w:space="0"/>
            </w:tcBorders>
            <w:vAlign w:val="center"/>
          </w:tcPr>
          <w:p w14:paraId="547BD662">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r>
      <w:tr w14:paraId="1F09E1C1">
        <w:tblPrEx>
          <w:tblCellMar>
            <w:top w:w="0" w:type="dxa"/>
            <w:left w:w="28" w:type="dxa"/>
            <w:bottom w:w="0" w:type="dxa"/>
            <w:right w:w="28" w:type="dxa"/>
          </w:tblCellMar>
        </w:tblPrEx>
        <w:trPr>
          <w:trHeight w:val="643" w:hRule="atLeast"/>
          <w:jc w:val="center"/>
        </w:trPr>
        <w:tc>
          <w:tcPr>
            <w:tcW w:w="818" w:type="dxa"/>
            <w:tcBorders>
              <w:top w:val="single" w:color="000000" w:sz="6" w:space="0"/>
              <w:left w:val="single" w:color="000000" w:sz="8" w:space="0"/>
              <w:bottom w:val="single" w:color="000000" w:sz="6" w:space="0"/>
              <w:right w:val="single" w:color="000000" w:sz="6" w:space="0"/>
            </w:tcBorders>
            <w:vAlign w:val="center"/>
          </w:tcPr>
          <w:p w14:paraId="49F50F32">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5308" w:type="dxa"/>
            <w:gridSpan w:val="2"/>
            <w:tcBorders>
              <w:top w:val="single" w:color="000000" w:sz="6" w:space="0"/>
              <w:left w:val="single" w:color="000000" w:sz="6" w:space="0"/>
              <w:bottom w:val="single" w:color="000000" w:sz="6" w:space="0"/>
              <w:right w:val="single" w:color="000000" w:sz="6" w:space="0"/>
            </w:tcBorders>
            <w:vAlign w:val="center"/>
          </w:tcPr>
          <w:p w14:paraId="0C7E1CB7">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497" w:type="dxa"/>
            <w:tcBorders>
              <w:top w:val="single" w:color="000000" w:sz="6" w:space="0"/>
              <w:left w:val="single" w:color="000000" w:sz="6" w:space="0"/>
              <w:bottom w:val="single" w:color="000000" w:sz="6" w:space="0"/>
              <w:right w:val="single" w:color="000000" w:sz="6" w:space="0"/>
            </w:tcBorders>
            <w:vAlign w:val="center"/>
          </w:tcPr>
          <w:p w14:paraId="1B6EF8D9">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348" w:type="dxa"/>
            <w:tcBorders>
              <w:top w:val="single" w:color="000000" w:sz="6" w:space="0"/>
              <w:left w:val="single" w:color="000000" w:sz="6" w:space="0"/>
              <w:bottom w:val="single" w:color="000000" w:sz="6" w:space="0"/>
              <w:right w:val="single" w:color="000000" w:sz="8" w:space="0"/>
            </w:tcBorders>
            <w:vAlign w:val="center"/>
          </w:tcPr>
          <w:p w14:paraId="2A7A5584">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r>
      <w:tr w14:paraId="643C48E0">
        <w:tblPrEx>
          <w:tblCellMar>
            <w:top w:w="0" w:type="dxa"/>
            <w:left w:w="28" w:type="dxa"/>
            <w:bottom w:w="0" w:type="dxa"/>
            <w:right w:w="28" w:type="dxa"/>
          </w:tblCellMar>
        </w:tblPrEx>
        <w:trPr>
          <w:trHeight w:val="1117" w:hRule="atLeast"/>
          <w:jc w:val="center"/>
        </w:trPr>
        <w:tc>
          <w:tcPr>
            <w:tcW w:w="2178" w:type="dxa"/>
            <w:gridSpan w:val="2"/>
            <w:tcBorders>
              <w:top w:val="single" w:color="000000" w:sz="6" w:space="0"/>
              <w:left w:val="single" w:color="000000" w:sz="8" w:space="0"/>
              <w:bottom w:val="single" w:color="000000" w:sz="8" w:space="0"/>
              <w:right w:val="single" w:color="000000" w:sz="6" w:space="0"/>
            </w:tcBorders>
            <w:vAlign w:val="center"/>
          </w:tcPr>
          <w:p w14:paraId="59CAC8BA">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磋商总价</w:t>
            </w:r>
          </w:p>
        </w:tc>
        <w:tc>
          <w:tcPr>
            <w:tcW w:w="6793" w:type="dxa"/>
            <w:gridSpan w:val="3"/>
            <w:tcBorders>
              <w:top w:val="single" w:color="000000" w:sz="6" w:space="0"/>
              <w:left w:val="single" w:color="000000" w:sz="6" w:space="0"/>
              <w:bottom w:val="single" w:color="000000" w:sz="8" w:space="0"/>
              <w:right w:val="single" w:color="000000" w:sz="8" w:space="0"/>
            </w:tcBorders>
            <w:vAlign w:val="center"/>
          </w:tcPr>
          <w:p w14:paraId="08882677">
            <w:pPr>
              <w:autoSpaceDE w:val="0"/>
              <w:autoSpaceDN w:val="0"/>
              <w:spacing w:line="520" w:lineRule="exact"/>
              <w:ind w:firstLine="0" w:firstLineChars="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r>
    </w:tbl>
    <w:p w14:paraId="242E7467">
      <w:pPr>
        <w:pStyle w:val="70"/>
        <w:spacing w:line="520" w:lineRule="exact"/>
        <w:rPr>
          <w:rFonts w:asciiTheme="minorEastAsia" w:hAnsiTheme="minorEastAsia" w:eastAsiaTheme="minorEastAsia" w:cstheme="minorEastAsia"/>
          <w:color w:val="000000" w:themeColor="text1"/>
          <w:sz w:val="28"/>
          <w:szCs w:val="28"/>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highlight w:val="none"/>
          <w14:textFill>
            <w14:solidFill>
              <w14:schemeClr w14:val="tx1"/>
            </w14:solidFill>
          </w14:textFill>
        </w:rPr>
        <w:t>注：若分项费用的计算依据、过程和公式不便在表中表述，可单独另附表格或描述进行说明。</w:t>
      </w:r>
    </w:p>
    <w:p w14:paraId="25D52BC3">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C1D6B0F">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7C4F34BC">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8E2D964">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2E44E2F0">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4A4F775D">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4C631627">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622F36F0">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45AA59A9">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年  月  日</w:t>
      </w:r>
    </w:p>
    <w:p w14:paraId="18A1DC27">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76873644">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6878150">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bookmarkStart w:id="342" w:name="_Toc325726043"/>
      <w:bookmarkStart w:id="343" w:name="_Toc376936774"/>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6：法定代表人（非法人组织负责人）证明书</w:t>
      </w:r>
      <w:bookmarkEnd w:id="340"/>
      <w:bookmarkEnd w:id="341"/>
      <w:bookmarkEnd w:id="342"/>
      <w:bookmarkEnd w:id="343"/>
    </w:p>
    <w:p w14:paraId="3D69047F">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p>
    <w:p w14:paraId="02F396B8">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法定代表人（非法人组织负责人）证明书</w:t>
      </w:r>
    </w:p>
    <w:p w14:paraId="42E08AA4">
      <w:pPr>
        <w:spacing w:line="520" w:lineRule="exact"/>
        <w:ind w:firstLine="0" w:firstLineChars="0"/>
        <w:rPr>
          <w:rFonts w:cs="宋体" w:asciiTheme="minorEastAsia" w:hAnsiTheme="minorEastAsia" w:eastAsiaTheme="minorEastAsia"/>
          <w:b/>
          <w:bCs/>
          <w:color w:val="000000" w:themeColor="text1"/>
          <w:sz w:val="28"/>
          <w:szCs w:val="28"/>
          <w:highlight w:val="none"/>
          <w14:textFill>
            <w14:solidFill>
              <w14:schemeClr w14:val="tx1"/>
            </w14:solidFill>
          </w14:textFill>
        </w:rPr>
      </w:pPr>
    </w:p>
    <w:p w14:paraId="0F2E54EF">
      <w:pPr>
        <w:autoSpaceDE w:val="0"/>
        <w:autoSpaceDN w:val="0"/>
        <w:spacing w:line="520" w:lineRule="exact"/>
        <w:ind w:firstLine="562"/>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lang w:val="zh-CN"/>
          <w14:textFill>
            <w14:solidFill>
              <w14:schemeClr w14:val="tx1"/>
            </w14:solidFill>
          </w14:textFill>
        </w:rPr>
        <w:t>致：</w:t>
      </w:r>
      <w:r>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t>青海省招标有限责任公司</w:t>
      </w:r>
    </w:p>
    <w:p w14:paraId="0E7C5015">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310F5616">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u w:val="single"/>
          <w:lang w:val="zh-CN"/>
          <w14:textFill>
            <w14:solidFill>
              <w14:schemeClr w14:val="tx1"/>
            </w14:solidFill>
          </w14:textFill>
        </w:rPr>
        <w:t xml:space="preserve">   法定代表人（非法人组织负责人）姓名</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现任我单位职务，为法定代表人（非法人组织的负责人），特此证明。</w:t>
      </w:r>
    </w:p>
    <w:p w14:paraId="265455ED">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7B04E13F">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法定代表人（非法人组织的负责人）基本情况：</w:t>
      </w:r>
    </w:p>
    <w:p w14:paraId="2B264A9B">
      <w:pPr>
        <w:autoSpaceDE w:val="0"/>
        <w:autoSpaceDN w:val="0"/>
        <w:spacing w:line="520" w:lineRule="exact"/>
        <w:ind w:firstLine="560"/>
        <w:rPr>
          <w:rFonts w:cs="宋体" w:asciiTheme="minorEastAsia" w:hAnsiTheme="minorEastAsia" w:eastAsiaTheme="minorEastAsia"/>
          <w:color w:val="000000" w:themeColor="text1"/>
          <w:sz w:val="28"/>
          <w:szCs w:val="28"/>
          <w:highlight w:val="none"/>
          <w:u w:val="singl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性别：年龄： 民族：</w:t>
      </w:r>
    </w:p>
    <w:p w14:paraId="6F26782C">
      <w:pPr>
        <w:autoSpaceDE w:val="0"/>
        <w:autoSpaceDN w:val="0"/>
        <w:spacing w:line="520" w:lineRule="exact"/>
        <w:ind w:firstLine="560"/>
        <w:rPr>
          <w:rFonts w:cs="宋体" w:asciiTheme="minorEastAsia" w:hAnsiTheme="minorEastAsia" w:eastAsiaTheme="minorEastAsia"/>
          <w:color w:val="000000" w:themeColor="text1"/>
          <w:sz w:val="28"/>
          <w:szCs w:val="28"/>
          <w:highlight w:val="none"/>
          <w:u w:val="singl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地址：</w:t>
      </w:r>
    </w:p>
    <w:p w14:paraId="172B14DC">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身份证号码：</w:t>
      </w:r>
    </w:p>
    <w:p w14:paraId="59CB0385">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597794F6">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附法定代表人第二代身份证双面扫描（或复印）件</w:t>
      </w:r>
    </w:p>
    <w:p w14:paraId="54DA2F68">
      <w:pPr>
        <w:autoSpaceDE w:val="0"/>
        <w:autoSpaceDN w:val="0"/>
        <w:spacing w:line="520" w:lineRule="exact"/>
        <w:ind w:firstLine="0" w:firstLineChars="0"/>
        <w:jc w:val="left"/>
        <w:rPr>
          <w:rFonts w:cs="宋体" w:asciiTheme="minorEastAsia" w:hAnsiTheme="minorEastAsia" w:eastAsiaTheme="minorEastAsia"/>
          <w:color w:val="000000" w:themeColor="text1"/>
          <w:sz w:val="28"/>
          <w:szCs w:val="28"/>
          <w:highlight w:val="none"/>
          <w14:textFill>
            <w14:solidFill>
              <w14:schemeClr w14:val="tx1"/>
            </w14:solidFill>
          </w14:textFill>
        </w:rPr>
      </w:pPr>
    </w:p>
    <w:p w14:paraId="528EAF48">
      <w:pPr>
        <w:autoSpaceDE w:val="0"/>
        <w:autoSpaceDN w:val="0"/>
        <w:spacing w:line="520" w:lineRule="exact"/>
        <w:ind w:firstLine="0" w:firstLineChars="0"/>
        <w:jc w:val="left"/>
        <w:rPr>
          <w:rFonts w:cs="宋体" w:asciiTheme="minorEastAsia" w:hAnsiTheme="minorEastAsia" w:eastAsiaTheme="minorEastAsia"/>
          <w:color w:val="000000" w:themeColor="text1"/>
          <w:sz w:val="28"/>
          <w:szCs w:val="28"/>
          <w:highlight w:val="none"/>
          <w14:textFill>
            <w14:solidFill>
              <w14:schemeClr w14:val="tx1"/>
            </w14:solidFill>
          </w14:textFill>
        </w:rPr>
      </w:pPr>
    </w:p>
    <w:p w14:paraId="53DE42A7">
      <w:pPr>
        <w:autoSpaceDE w:val="0"/>
        <w:autoSpaceDN w:val="0"/>
        <w:spacing w:line="520" w:lineRule="exact"/>
        <w:ind w:firstLine="0" w:firstLineChars="0"/>
        <w:jc w:val="left"/>
        <w:rPr>
          <w:rFonts w:cs="宋体" w:asciiTheme="minorEastAsia" w:hAnsiTheme="minorEastAsia" w:eastAsiaTheme="minorEastAsia"/>
          <w:color w:val="000000" w:themeColor="text1"/>
          <w:sz w:val="28"/>
          <w:szCs w:val="28"/>
          <w:highlight w:val="none"/>
          <w14:textFill>
            <w14:solidFill>
              <w14:schemeClr w14:val="tx1"/>
            </w14:solidFill>
          </w14:textFill>
        </w:rPr>
      </w:pPr>
    </w:p>
    <w:p w14:paraId="119D9CA0">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68126B9F">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法定代表人</w:t>
      </w: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（非法人组织的负责人）</w:t>
      </w:r>
    </w:p>
    <w:p w14:paraId="5225A452">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或委托代理人：（签字或盖章）</w:t>
      </w:r>
    </w:p>
    <w:p w14:paraId="62368449">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年 月 日</w:t>
      </w:r>
    </w:p>
    <w:p w14:paraId="12FE22F8">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bookmarkStart w:id="344" w:name="_Toc201287639"/>
      <w:bookmarkStart w:id="345" w:name="_Toc324756736"/>
      <w:bookmarkStart w:id="346" w:name="_Toc29201"/>
      <w:bookmarkStart w:id="347" w:name="_Toc31614"/>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bookmarkEnd w:id="344"/>
      <w:bookmarkEnd w:id="345"/>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7：法定代表人（非法人组织负责人）授权书</w:t>
      </w:r>
      <w:bookmarkEnd w:id="346"/>
      <w:bookmarkEnd w:id="347"/>
    </w:p>
    <w:p w14:paraId="0F16ADDE">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E29D409">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法定代表人（非法人组织负责人）授权书</w:t>
      </w:r>
    </w:p>
    <w:p w14:paraId="57980D17">
      <w:pPr>
        <w:spacing w:line="520" w:lineRule="exact"/>
        <w:ind w:firstLine="0" w:firstLineChars="0"/>
        <w:rPr>
          <w:rFonts w:cs="宋体" w:asciiTheme="minorEastAsia" w:hAnsiTheme="minorEastAsia" w:eastAsiaTheme="minorEastAsia"/>
          <w:b/>
          <w:bCs/>
          <w:color w:val="000000" w:themeColor="text1"/>
          <w:sz w:val="28"/>
          <w:szCs w:val="28"/>
          <w:highlight w:val="none"/>
          <w14:textFill>
            <w14:solidFill>
              <w14:schemeClr w14:val="tx1"/>
            </w14:solidFill>
          </w14:textFill>
        </w:rPr>
      </w:pPr>
    </w:p>
    <w:p w14:paraId="08E09AEC">
      <w:pPr>
        <w:spacing w:line="520" w:lineRule="exact"/>
        <w:ind w:firstLine="0" w:firstLineChars="0"/>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致：</w:t>
      </w:r>
      <w:r>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t>青海省招标有限责任公司</w:t>
      </w:r>
    </w:p>
    <w:p w14:paraId="51327460">
      <w:pPr>
        <w:spacing w:line="520" w:lineRule="exact"/>
        <w:ind w:firstLine="0" w:firstLineChars="0"/>
        <w:rPr>
          <w:rFonts w:cs="宋体" w:asciiTheme="minorEastAsia" w:hAnsiTheme="minorEastAsia" w:eastAsiaTheme="minorEastAsia"/>
          <w:color w:val="000000" w:themeColor="text1"/>
          <w:sz w:val="28"/>
          <w:szCs w:val="28"/>
          <w:highlight w:val="none"/>
          <w:u w:val="single"/>
          <w14:textFill>
            <w14:solidFill>
              <w14:schemeClr w14:val="tx1"/>
            </w14:solidFill>
          </w14:textFill>
        </w:rPr>
      </w:pPr>
    </w:p>
    <w:p w14:paraId="6035006C">
      <w:pPr>
        <w:autoSpaceDE w:val="0"/>
        <w:autoSpaceDN w:val="0"/>
        <w:spacing w:line="520" w:lineRule="exact"/>
        <w:ind w:firstLine="700" w:firstLineChars="25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u w:val="single"/>
          <w:lang w:val="zh-CN"/>
          <w14:textFill>
            <w14:solidFill>
              <w14:schemeClr w14:val="tx1"/>
            </w14:solidFill>
          </w14:textFill>
        </w:rPr>
        <w:t>（供应商名称）</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系中华人民共和国合法企业，法定地址。</w:t>
      </w:r>
    </w:p>
    <w:p w14:paraId="1261942A">
      <w:pPr>
        <w:autoSpaceDE w:val="0"/>
        <w:autoSpaceDN w:val="0"/>
        <w:spacing w:line="520" w:lineRule="exact"/>
        <w:ind w:firstLine="700" w:firstLineChars="25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u w:val="single"/>
          <w:lang w:val="zh-CN"/>
          <w14:textFill>
            <w14:solidFill>
              <w14:schemeClr w14:val="tx1"/>
            </w14:solidFill>
          </w14:textFill>
        </w:rPr>
        <w:t>法定代表人</w:t>
      </w:r>
      <w:r>
        <w:rPr>
          <w:rFonts w:hint="eastAsia" w:cs="宋体" w:asciiTheme="minorEastAsia" w:hAnsiTheme="minorEastAsia" w:eastAsiaTheme="minorEastAsia"/>
          <w:bCs/>
          <w:color w:val="000000" w:themeColor="text1"/>
          <w:sz w:val="28"/>
          <w:szCs w:val="28"/>
          <w:highlight w:val="none"/>
          <w:u w:val="single"/>
          <w14:textFill>
            <w14:solidFill>
              <w14:schemeClr w14:val="tx1"/>
            </w14:solidFill>
          </w14:textFill>
        </w:rPr>
        <w:t>（非法人组织负责人）</w:t>
      </w:r>
      <w:r>
        <w:rPr>
          <w:rFonts w:hint="eastAsia" w:cs="宋体" w:asciiTheme="minorEastAsia" w:hAnsiTheme="minorEastAsia" w:eastAsiaTheme="minorEastAsia"/>
          <w:color w:val="000000" w:themeColor="text1"/>
          <w:sz w:val="28"/>
          <w:szCs w:val="28"/>
          <w:highlight w:val="none"/>
          <w:u w:val="single"/>
          <w:lang w:val="zh-CN"/>
          <w14:textFill>
            <w14:solidFill>
              <w14:schemeClr w14:val="tx1"/>
            </w14:solidFill>
          </w14:textFill>
        </w:rPr>
        <w:t xml:space="preserve">姓名   </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特授权</w:t>
      </w:r>
      <w:r>
        <w:rPr>
          <w:rFonts w:hint="eastAsia" w:cs="宋体" w:asciiTheme="minorEastAsia" w:hAnsiTheme="minorEastAsia" w:eastAsiaTheme="minorEastAsia"/>
          <w:color w:val="000000" w:themeColor="text1"/>
          <w:sz w:val="28"/>
          <w:szCs w:val="28"/>
          <w:highlight w:val="none"/>
          <w:u w:val="single"/>
          <w:lang w:val="zh-CN"/>
          <w14:textFill>
            <w14:solidFill>
              <w14:schemeClr w14:val="tx1"/>
            </w14:solidFill>
          </w14:textFill>
        </w:rPr>
        <w:t>（委托代理人姓名）</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代表我单位全权办理项目的磋商、答疑等具体工作，并签署全部有关的文件、资料。</w:t>
      </w:r>
    </w:p>
    <w:p w14:paraId="06E5C440">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我单位对被授权人的签名负全部责任。</w:t>
      </w:r>
    </w:p>
    <w:p w14:paraId="436C31AD">
      <w:pPr>
        <w:autoSpaceDE w:val="0"/>
        <w:autoSpaceDN w:val="0"/>
        <w:spacing w:line="520" w:lineRule="exact"/>
        <w:ind w:firstLine="560"/>
        <w:rPr>
          <w:rFonts w:cs="宋体" w:asciiTheme="minorEastAsia" w:hAnsiTheme="minorEastAsia" w:eastAsiaTheme="minorEastAsia"/>
          <w:color w:val="000000" w:themeColor="text1"/>
          <w:sz w:val="28"/>
          <w:szCs w:val="28"/>
          <w:highlight w:val="none"/>
          <w:u w:val="singl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 xml:space="preserve">被授权人联系电话： </w:t>
      </w:r>
    </w:p>
    <w:p w14:paraId="6DAD5264">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被授权人（委托代理人）签字：</w:t>
      </w:r>
    </w:p>
    <w:p w14:paraId="18E3B87E">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职务：</w:t>
      </w:r>
    </w:p>
    <w:p w14:paraId="380250C6">
      <w:pPr>
        <w:autoSpaceDE w:val="0"/>
        <w:autoSpaceDN w:val="0"/>
        <w:spacing w:line="520" w:lineRule="exact"/>
        <w:ind w:firstLine="560"/>
        <w:rPr>
          <w:rFonts w:cs="宋体" w:asciiTheme="minorEastAsia" w:hAnsiTheme="minorEastAsia" w:eastAsiaTheme="minorEastAsia"/>
          <w:color w:val="000000" w:themeColor="text1"/>
          <w:sz w:val="28"/>
          <w:szCs w:val="28"/>
          <w:highlight w:val="none"/>
          <w:u w:val="singl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授权人（法定代表人或非法人组织的负责人）签字：</w:t>
      </w:r>
    </w:p>
    <w:p w14:paraId="166DAFBC">
      <w:pPr>
        <w:autoSpaceDE w:val="0"/>
        <w:autoSpaceDN w:val="0"/>
        <w:spacing w:line="520" w:lineRule="exact"/>
        <w:ind w:firstLine="560"/>
        <w:rPr>
          <w:rFonts w:cs="宋体" w:asciiTheme="minorEastAsia" w:hAnsiTheme="minorEastAsia" w:eastAsiaTheme="minorEastAsia"/>
          <w:color w:val="000000" w:themeColor="text1"/>
          <w:sz w:val="28"/>
          <w:szCs w:val="28"/>
          <w:highlight w:val="none"/>
          <w:u w:val="singl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职务：</w:t>
      </w:r>
    </w:p>
    <w:p w14:paraId="63E0E656">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74995D8D">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附被授权人第二代身份证双面扫描（或复印）件</w:t>
      </w:r>
    </w:p>
    <w:p w14:paraId="3C26915E">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4AB4400F">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7BCC5460">
      <w:pPr>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3DE38AA4">
      <w:pPr>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3ED98E30">
      <w:pPr>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632335DD">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7421CB33">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年  月 日</w:t>
      </w:r>
    </w:p>
    <w:p w14:paraId="310F4557">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bookmarkStart w:id="348" w:name="_Toc30284"/>
      <w:bookmarkStart w:id="349" w:name="_Toc25884"/>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附件8：供应商承诺函</w:t>
      </w:r>
      <w:bookmarkEnd w:id="348"/>
      <w:bookmarkEnd w:id="349"/>
    </w:p>
    <w:p w14:paraId="24CC6F65">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p>
    <w:p w14:paraId="44704D7F">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供应商承诺函</w:t>
      </w:r>
    </w:p>
    <w:p w14:paraId="50998C3B">
      <w:pPr>
        <w:spacing w:line="520" w:lineRule="exact"/>
        <w:ind w:firstLine="0" w:firstLineChars="0"/>
        <w:rPr>
          <w:rFonts w:cs="宋体" w:asciiTheme="minorEastAsia" w:hAnsiTheme="minorEastAsia" w:eastAsiaTheme="minorEastAsia"/>
          <w:b/>
          <w:bCs/>
          <w:color w:val="000000" w:themeColor="text1"/>
          <w:sz w:val="28"/>
          <w:szCs w:val="28"/>
          <w:highlight w:val="none"/>
          <w14:textFill>
            <w14:solidFill>
              <w14:schemeClr w14:val="tx1"/>
            </w14:solidFill>
          </w14:textFill>
        </w:rPr>
      </w:pPr>
    </w:p>
    <w:p w14:paraId="160D7B37">
      <w:pPr>
        <w:spacing w:line="520" w:lineRule="exact"/>
        <w:ind w:firstLine="0" w:firstLineChars="0"/>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致：</w:t>
      </w:r>
      <w:r>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t>青海省招标有限责任公司</w:t>
      </w:r>
    </w:p>
    <w:p w14:paraId="10B3E13F">
      <w:pPr>
        <w:autoSpaceDE w:val="0"/>
        <w:autoSpaceDN w:val="0"/>
        <w:spacing w:line="520" w:lineRule="exact"/>
        <w:ind w:firstLine="523" w:firstLineChars="187"/>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关于贵方  年  月  日</w:t>
      </w:r>
      <w:r>
        <w:rPr>
          <w:rFonts w:hint="eastAsia" w:cs="宋体" w:asciiTheme="minorEastAsia" w:hAnsiTheme="minorEastAsia" w:eastAsiaTheme="minorEastAsia"/>
          <w:color w:val="000000" w:themeColor="text1"/>
          <w:sz w:val="28"/>
          <w:szCs w:val="28"/>
          <w:highlight w:val="none"/>
          <w:u w:val="single"/>
          <w:lang w:val="zh-CN"/>
          <w14:textFill>
            <w14:solidFill>
              <w14:schemeClr w14:val="tx1"/>
            </w14:solidFill>
          </w14:textFill>
        </w:rPr>
        <w:t xml:space="preserve">     (项目名称)   </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采购项目，本签字人愿意参加磋商活动，提供采购一览表中要求的所有服务内容，并证实提交的所有资料是准确的和真实的。同时，我代表（供应商名称），在此作如下承诺：</w:t>
      </w:r>
    </w:p>
    <w:p w14:paraId="1FB74496">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1.完全理解和接受磋商文件的一切规定和要求；</w:t>
      </w:r>
    </w:p>
    <w:p w14:paraId="4DE71134">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2.若成交，我方将按照磋商文件的具体规定与采购人签订采购合同，并且严格履行合同义务，按时提供优质的服务；</w:t>
      </w:r>
    </w:p>
    <w:p w14:paraId="267A68B2">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3.在整个磋商过程中我方若有违规行为，贵方可按磋商文件之规定给予处罚，我方完全接受；</w:t>
      </w:r>
    </w:p>
    <w:p w14:paraId="276A20A5">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4.若成交，本承诺将成为合同不可分割的一部分，与合同具有同等的法律效力。</w:t>
      </w:r>
    </w:p>
    <w:p w14:paraId="7784FDF1">
      <w:pPr>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1A4E857A">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p>
    <w:p w14:paraId="7FC573B5">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2F860C30">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1D216D12">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年 月 日</w:t>
      </w:r>
    </w:p>
    <w:p w14:paraId="216D9336">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bookmarkStart w:id="350" w:name="_Toc11173"/>
      <w:bookmarkStart w:id="351" w:name="_Toc11349"/>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bookmarkStart w:id="352" w:name="_Toc351475542"/>
      <w:bookmarkStart w:id="353" w:name="_Toc365019584"/>
      <w:bookmarkStart w:id="354" w:name="_Toc376936779"/>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9：供应商诚信承诺书</w:t>
      </w:r>
      <w:bookmarkEnd w:id="350"/>
      <w:bookmarkEnd w:id="351"/>
      <w:bookmarkEnd w:id="352"/>
      <w:bookmarkEnd w:id="353"/>
      <w:bookmarkEnd w:id="354"/>
    </w:p>
    <w:p w14:paraId="18481F35">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供应商诚信承诺书</w:t>
      </w:r>
    </w:p>
    <w:p w14:paraId="7724AE31">
      <w:pPr>
        <w:spacing w:line="520" w:lineRule="exact"/>
        <w:ind w:firstLine="0" w:firstLineChars="0"/>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致：</w:t>
      </w:r>
      <w:r>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t>青海省招标有限责任公司</w:t>
      </w:r>
    </w:p>
    <w:p w14:paraId="23638BEA">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为了诚实、客观、有序地参与青海省政府采购活动，愿就以下内容作出承诺：</w:t>
      </w:r>
    </w:p>
    <w:p w14:paraId="0F6C4AB5">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一、自觉遵守各项法律、法规、规章、制度以及社会公德，维护廉洁环境，与同场竞争的供应商平等参加政府采购活动。</w:t>
      </w:r>
    </w:p>
    <w:p w14:paraId="0F48F54A">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二、参加</w:t>
      </w:r>
      <w:r>
        <w:rPr>
          <w:rFonts w:hint="eastAsia" w:cs="宋体" w:asciiTheme="minorEastAsia" w:hAnsiTheme="minorEastAsia" w:eastAsiaTheme="minorEastAsia"/>
          <w:color w:val="000000" w:themeColor="text1"/>
          <w:sz w:val="28"/>
          <w:szCs w:val="28"/>
          <w:highlight w:val="none"/>
          <w:lang w:eastAsia="zh-CN"/>
          <w14:textFill>
            <w14:solidFill>
              <w14:schemeClr w14:val="tx1"/>
            </w14:solidFill>
          </w14:textFill>
        </w:rPr>
        <w:t>青海省招标有限责任公司</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组织的政府采购活动时，严格按照磋商文件的规定和要求提供所需的相关材料，并对所提供的各类资料的真实性负责，不虚假应标，不虚列业绩。</w:t>
      </w:r>
    </w:p>
    <w:p w14:paraId="5DE5BA48">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三、尊重参与政府采购活动各相关方的合法行为，接受政府采购活动依法形成的意见、结果。</w:t>
      </w:r>
    </w:p>
    <w:p w14:paraId="091295EF">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四、依法参加政府采购活动，不</w:t>
      </w:r>
      <w:r>
        <w:rPr>
          <w:rFonts w:cs="宋体" w:asciiTheme="minorEastAsia" w:hAnsiTheme="minorEastAsia" w:eastAsiaTheme="minorEastAsia"/>
          <w:color w:val="000000" w:themeColor="text1"/>
          <w:sz w:val="28"/>
          <w:szCs w:val="28"/>
          <w:highlight w:val="none"/>
          <w14:textFill>
            <w14:solidFill>
              <w14:schemeClr w14:val="tx1"/>
            </w14:solidFill>
          </w14:textFill>
        </w:rPr>
        <w:t>与</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其他供应商</w:t>
      </w:r>
      <w:r>
        <w:rPr>
          <w:rFonts w:cs="宋体" w:asciiTheme="minorEastAsia" w:hAnsiTheme="minorEastAsia" w:eastAsiaTheme="minorEastAsia"/>
          <w:color w:val="000000" w:themeColor="text1"/>
          <w:sz w:val="28"/>
          <w:szCs w:val="28"/>
          <w:highlight w:val="none"/>
          <w14:textFill>
            <w14:solidFill>
              <w14:schemeClr w14:val="tx1"/>
            </w14:solidFill>
          </w14:textFill>
        </w:rPr>
        <w:t>、采购人</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w:t>
      </w:r>
      <w:r>
        <w:rPr>
          <w:rFonts w:cs="宋体" w:asciiTheme="minorEastAsia" w:hAnsiTheme="minorEastAsia" w:eastAsiaTheme="minorEastAsia"/>
          <w:color w:val="000000" w:themeColor="text1"/>
          <w:sz w:val="28"/>
          <w:szCs w:val="28"/>
          <w:highlight w:val="none"/>
          <w14:textFill>
            <w14:solidFill>
              <w14:schemeClr w14:val="tx1"/>
            </w14:solidFill>
          </w14:textFill>
        </w:rPr>
        <w:t>采购代理机构串通</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，维护市场秩序。</w:t>
      </w:r>
    </w:p>
    <w:p w14:paraId="4C6BDE06">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五、积极推动政府采购活动健康开展，对采购活动有疑问、异议时，按法律规定的程序实名（加盖单位章和法定代表人签名）反映情况，不恶意中伤、无事生非，以和谐、平等的心态参加政府采购活动。</w:t>
      </w:r>
    </w:p>
    <w:p w14:paraId="3A05CC24">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六、认真履行成交供应商应承担的责任和义务，全面执行采购合同规定的各项内容，保质保量地提供服务。</w:t>
      </w:r>
    </w:p>
    <w:p w14:paraId="2B065DCC">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若本企业（单位）发生有悖于上述承诺的行为，愿意接受《中华人民共和国政府采购法》和《政府采购法实施条例》中对供应商的相关处理。</w:t>
      </w:r>
    </w:p>
    <w:p w14:paraId="52CB284F">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本承诺是采购项目响应文件的组成部分。</w:t>
      </w:r>
    </w:p>
    <w:p w14:paraId="7C5BF145">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368C727F">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0EE3202B">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年  月  日</w:t>
      </w:r>
    </w:p>
    <w:p w14:paraId="5C946AC2">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bookmarkStart w:id="355" w:name="_Toc7486"/>
      <w:bookmarkStart w:id="356" w:name="_Toc25993"/>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附件10：资格证明材料</w:t>
      </w:r>
      <w:bookmarkEnd w:id="355"/>
      <w:bookmarkEnd w:id="356"/>
    </w:p>
    <w:p w14:paraId="4EEBD09C">
      <w:pPr>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0CD3B0EE">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资格证明材料</w:t>
      </w:r>
    </w:p>
    <w:p w14:paraId="257DBF5B">
      <w:pPr>
        <w:autoSpaceDE w:val="0"/>
        <w:autoSpaceDN w:val="0"/>
        <w:spacing w:line="520" w:lineRule="exact"/>
        <w:ind w:firstLine="0" w:firstLineChars="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72C1E231">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资格证明材料包括：</w:t>
      </w:r>
    </w:p>
    <w:p w14:paraId="799DB4B1">
      <w:pPr>
        <w:numPr>
          <w:ilvl w:val="0"/>
          <w:numId w:val="7"/>
        </w:numPr>
        <w:spacing w:line="520" w:lineRule="exact"/>
        <w:ind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提供有效的营业执照、税务登记证、机构代码证或三证（五证）合一统一社会代码证及其他资格证明文件（扫描或复印件）；</w:t>
      </w:r>
    </w:p>
    <w:p w14:paraId="24C9433D">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0FD2C8F4">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（2）磋商文件规定的有关资格证书、许可证书、认证等；</w:t>
      </w:r>
    </w:p>
    <w:p w14:paraId="71FDD1D6">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（3）供应商认为有必要提供的其他资格证明文件。</w:t>
      </w:r>
    </w:p>
    <w:p w14:paraId="6CC27D6D">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21AF6DC6">
      <w:pPr>
        <w:spacing w:line="520" w:lineRule="exact"/>
        <w:ind w:firstLine="232" w:firstLineChars="83"/>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14:textFill>
            <w14:solidFill>
              <w14:schemeClr w14:val="tx1"/>
            </w14:solidFill>
          </w14:textFill>
        </w:rPr>
        <w:br w:type="page"/>
      </w:r>
      <w:bookmarkStart w:id="357" w:name="_Toc19128"/>
      <w:bookmarkStart w:id="358" w:name="_Toc32130"/>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附件11：财务状况证明</w:t>
      </w:r>
      <w:bookmarkEnd w:id="357"/>
      <w:bookmarkEnd w:id="358"/>
    </w:p>
    <w:p w14:paraId="5D374041">
      <w:pPr>
        <w:autoSpaceDE w:val="0"/>
        <w:autoSpaceDN w:val="0"/>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7188932">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财务状况证明</w:t>
      </w:r>
    </w:p>
    <w:p w14:paraId="5DB846BE">
      <w:pPr>
        <w:autoSpaceDE w:val="0"/>
        <w:autoSpaceDN w:val="0"/>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68D32E5">
      <w:pPr>
        <w:autoSpaceDE w:val="0"/>
        <w:autoSpaceDN w:val="0"/>
        <w:spacing w:line="520" w:lineRule="exact"/>
        <w:ind w:firstLine="560"/>
        <w:jc w:val="left"/>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按照磋商文件第</w:t>
      </w:r>
      <w:r>
        <w:rPr>
          <w:rFonts w:cs="宋体" w:asciiTheme="minorEastAsia" w:hAnsiTheme="minorEastAsia" w:eastAsiaTheme="minorEastAsia"/>
          <w:color w:val="000000" w:themeColor="text1"/>
          <w:sz w:val="28"/>
          <w:szCs w:val="28"/>
          <w:highlight w:val="none"/>
          <w14:textFill>
            <w14:solidFill>
              <w14:schemeClr w14:val="tx1"/>
            </w14:solidFill>
          </w14:textFill>
        </w:rPr>
        <w:t>2.2</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款规定提供以下相关材料。</w:t>
      </w:r>
    </w:p>
    <w:p w14:paraId="7B3FF0E4">
      <w:pPr>
        <w:autoSpaceDE w:val="0"/>
        <w:autoSpaceDN w:val="0"/>
        <w:spacing w:line="520" w:lineRule="exact"/>
        <w:ind w:firstLine="560"/>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1、投标人是法人的，提供基本开户银行近三个月内出具的资信证明（同时提供基本存款账户开户许可证）或20</w:t>
      </w:r>
      <w:r>
        <w:rPr>
          <w:rFonts w:hint="eastAsia" w:cs="宋体" w:asciiTheme="minorEastAsia" w:hAnsiTheme="minorEastAsia" w:eastAsiaTheme="minorEastAsia"/>
          <w:color w:val="000000" w:themeColor="text1"/>
          <w:sz w:val="28"/>
          <w:szCs w:val="28"/>
          <w:highlight w:val="none"/>
          <w:lang w:val="en-US" w:eastAsia="zh-CN"/>
          <w14:textFill>
            <w14:solidFill>
              <w14:schemeClr w14:val="tx1"/>
            </w14:solidFill>
          </w14:textFill>
        </w:rPr>
        <w:t>23</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年度经第三方审计的财务状况报告（扫描或复印件应全面、完整、清晰），包括资产负债表、现金流量表、利润表和财务（会计）报表附注，并提供第三方机构的营业执照、执业证书。</w:t>
      </w:r>
    </w:p>
    <w:p w14:paraId="65414549">
      <w:pPr>
        <w:autoSpaceDE w:val="0"/>
        <w:autoSpaceDN w:val="0"/>
        <w:spacing w:line="520" w:lineRule="exact"/>
        <w:ind w:firstLine="560"/>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投标人是其他组织和自然人或者新成立的投标人，没有经审计的财务报告， 可以提供基本开户银行出具的资信证明（同时提供基本存款账户开户许可证）。</w:t>
      </w:r>
    </w:p>
    <w:p w14:paraId="64227764">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2、</w:t>
      </w:r>
      <w:r>
        <w:rPr>
          <w:rFonts w:hint="eastAsia" w:cs="宋体" w:asciiTheme="minorEastAsia" w:hAnsiTheme="minorEastAsia" w:eastAsiaTheme="minorEastAsia"/>
          <w:b/>
          <w:bCs/>
          <w:color w:val="000000" w:themeColor="text1"/>
          <w:sz w:val="28"/>
          <w:szCs w:val="28"/>
          <w:highlight w:val="none"/>
          <w:lang w:val="zh-CN"/>
          <w14:textFill>
            <w14:solidFill>
              <w14:schemeClr w14:val="tx1"/>
            </w14:solidFill>
          </w14:textFill>
        </w:rPr>
        <w:t>近半年内任意</w:t>
      </w:r>
      <w:r>
        <w:rPr>
          <w:rFonts w:hint="eastAsia" w:cs="宋体" w:asciiTheme="minorEastAsia" w:hAnsiTheme="minorEastAsia" w:eastAsiaTheme="minorEastAsia"/>
          <w:b/>
          <w:bCs/>
          <w:color w:val="000000" w:themeColor="text1"/>
          <w:sz w:val="28"/>
          <w:szCs w:val="28"/>
          <w:highlight w:val="none"/>
          <w:u w:val="single"/>
          <w:lang w:val="zh-CN"/>
          <w14:textFill>
            <w14:solidFill>
              <w14:schemeClr w14:val="tx1"/>
            </w14:solidFill>
          </w14:textFill>
        </w:rPr>
        <w:t xml:space="preserve"> </w:t>
      </w:r>
      <w:r>
        <w:rPr>
          <w:rFonts w:hint="eastAsia" w:cs="宋体" w:asciiTheme="minorEastAsia" w:hAnsiTheme="minorEastAsia" w:eastAsiaTheme="minorEastAsia"/>
          <w:b/>
          <w:bCs/>
          <w:color w:val="000000" w:themeColor="text1"/>
          <w:sz w:val="28"/>
          <w:szCs w:val="28"/>
          <w:highlight w:val="none"/>
          <w:u w:val="single"/>
          <w:lang w:val="en-US" w:eastAsia="zh-CN"/>
          <w14:textFill>
            <w14:solidFill>
              <w14:schemeClr w14:val="tx1"/>
            </w14:solidFill>
          </w14:textFill>
        </w:rPr>
        <w:t>1</w:t>
      </w:r>
      <w:r>
        <w:rPr>
          <w:rFonts w:hint="eastAsia" w:cs="宋体" w:asciiTheme="minorEastAsia" w:hAnsiTheme="minorEastAsia" w:eastAsiaTheme="minorEastAsia"/>
          <w:b/>
          <w:bCs/>
          <w:color w:val="000000" w:themeColor="text1"/>
          <w:sz w:val="28"/>
          <w:szCs w:val="28"/>
          <w:highlight w:val="none"/>
          <w:u w:val="single"/>
          <w:lang w:val="zh-CN"/>
          <w14:textFill>
            <w14:solidFill>
              <w14:schemeClr w14:val="tx1"/>
            </w14:solidFill>
          </w14:textFill>
        </w:rPr>
        <w:t xml:space="preserve"> </w:t>
      </w:r>
      <w:r>
        <w:rPr>
          <w:rFonts w:hint="eastAsia" w:cs="宋体" w:asciiTheme="minorEastAsia" w:hAnsiTheme="minorEastAsia" w:eastAsiaTheme="minorEastAsia"/>
          <w:b/>
          <w:bCs/>
          <w:color w:val="000000" w:themeColor="text1"/>
          <w:sz w:val="28"/>
          <w:szCs w:val="28"/>
          <w:highlight w:val="none"/>
          <w:lang w:val="zh-CN"/>
          <w14:textFill>
            <w14:solidFill>
              <w14:schemeClr w14:val="tx1"/>
            </w14:solidFill>
          </w14:textFill>
        </w:rPr>
        <w:t>个月</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的依法缴纳税收和社会保障资金记录的证明材料；依法免税或不需要缴纳社会保障资金的供应商须提供相应文件证明其依法免税或不需要缴纳社会保障资金。</w:t>
      </w:r>
    </w:p>
    <w:p w14:paraId="58070E5E">
      <w:pPr>
        <w:spacing w:line="520" w:lineRule="exact"/>
        <w:ind w:firstLine="232" w:firstLineChars="83"/>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lang w:val="zh-CN"/>
          <w14:textFill>
            <w14:solidFill>
              <w14:schemeClr w14:val="tx1"/>
            </w14:solidFill>
          </w14:textFill>
        </w:rPr>
        <w:br w:type="page"/>
      </w:r>
      <w:bookmarkStart w:id="359" w:name="_Toc23114"/>
      <w:bookmarkStart w:id="360" w:name="_Toc27149"/>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附件12：具备履行合同所必须的设备和专业技术能力证明</w:t>
      </w:r>
    </w:p>
    <w:p w14:paraId="050CC298">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3C61C6BD">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具备履行合同所必须的设备和专业技术能力证明</w:t>
      </w:r>
    </w:p>
    <w:p w14:paraId="6844DB0B">
      <w:pPr>
        <w:autoSpaceDE w:val="0"/>
        <w:autoSpaceDN w:val="0"/>
        <w:spacing w:line="520" w:lineRule="exact"/>
        <w:ind w:firstLine="562"/>
        <w:rPr>
          <w:rFonts w:cs="宋体" w:asciiTheme="minorEastAsia" w:hAnsiTheme="minorEastAsia" w:eastAsiaTheme="minorEastAsia"/>
          <w:b/>
          <w:color w:val="000000" w:themeColor="text1"/>
          <w:sz w:val="28"/>
          <w:szCs w:val="28"/>
          <w:highlight w:val="none"/>
          <w:lang w:val="zh-CN"/>
          <w14:textFill>
            <w14:solidFill>
              <w14:schemeClr w14:val="tx1"/>
            </w14:solidFill>
          </w14:textFill>
        </w:rPr>
      </w:pPr>
    </w:p>
    <w:p w14:paraId="6AF96413">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为保证本项目合同的顺利履行，供应商必须具备履行合同的</w:t>
      </w:r>
      <w:r>
        <w:rPr>
          <w:rFonts w:hint="eastAsia" w:cs="宋体" w:asciiTheme="minorEastAsia" w:hAnsiTheme="minorEastAsia" w:eastAsiaTheme="minorEastAsia"/>
          <w:color w:val="000000" w:themeColor="text1"/>
          <w:sz w:val="28"/>
          <w:szCs w:val="28"/>
          <w:highlight w:val="none"/>
          <w:lang w:val="en-US" w:eastAsia="zh-CN"/>
          <w14:textFill>
            <w14:solidFill>
              <w14:schemeClr w14:val="tx1"/>
            </w14:solidFill>
          </w14:textFill>
        </w:rPr>
        <w:t>服务</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技术能力，</w:t>
      </w: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并提供承诺函（格式自拟）</w:t>
      </w: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w:t>
      </w:r>
    </w:p>
    <w:p w14:paraId="08914F9A">
      <w:pPr>
        <w:autoSpaceDE w:val="0"/>
        <w:autoSpaceDN w:val="0"/>
        <w:spacing w:line="520" w:lineRule="exact"/>
        <w:ind w:firstLine="562"/>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99610F8">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F6B330B">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47B7E0B0">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F477F2C">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8ED8671">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CAC58F0">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DBBC83F">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6A84F03">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9B4C1FD">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7BB9CEE0">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E3064AD">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0E624FD">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BB109A0">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C9A4027">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9CA5D8A">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C39B0F5">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CC8BC84">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736F812E">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6AC3DDE">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bookmarkStart w:id="361" w:name="_Toc376936781"/>
      <w:bookmarkStart w:id="362" w:name="_Toc325726049"/>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13：</w:t>
      </w:r>
      <w:bookmarkEnd w:id="361"/>
      <w:bookmarkEnd w:id="362"/>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无重大违法记录声明</w:t>
      </w:r>
      <w:bookmarkEnd w:id="359"/>
      <w:bookmarkEnd w:id="360"/>
    </w:p>
    <w:p w14:paraId="6418CCD8">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8B48A3F">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无重大违法记录声明</w:t>
      </w:r>
    </w:p>
    <w:p w14:paraId="392728B2">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C23687B">
      <w:pPr>
        <w:spacing w:line="520" w:lineRule="exact"/>
        <w:ind w:firstLine="562"/>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致：</w:t>
      </w:r>
      <w:r>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t>青海省招标有限责任公司</w:t>
      </w:r>
    </w:p>
    <w:p w14:paraId="0A57BE10">
      <w:pPr>
        <w:spacing w:line="520" w:lineRule="exact"/>
        <w:ind w:firstLine="562"/>
        <w:rPr>
          <w:rFonts w:cs="宋体" w:asciiTheme="minorEastAsia" w:hAnsiTheme="minorEastAsia" w:eastAsiaTheme="minorEastAsia"/>
          <w:b/>
          <w:bCs/>
          <w:color w:val="000000" w:themeColor="text1"/>
          <w:sz w:val="28"/>
          <w:szCs w:val="28"/>
          <w:highlight w:val="none"/>
          <w14:textFill>
            <w14:solidFill>
              <w14:schemeClr w14:val="tx1"/>
            </w14:solidFill>
          </w14:textFill>
        </w:rPr>
      </w:pPr>
    </w:p>
    <w:p w14:paraId="78EBF615">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我单位近三年内在经营活动中没有重大违法记，特此声明。</w:t>
      </w:r>
    </w:p>
    <w:p w14:paraId="530B9983">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若采购单位在本项目采购过程中发现我单位近三年内在经营活动中有重大违法记录，我单位将无条件地退出本项目的磋商活动，并承担因此引起的一切后果。</w:t>
      </w:r>
    </w:p>
    <w:p w14:paraId="784399DD">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5734DD75">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3062502D">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2143B096">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0C2B5CB2">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21A7F7DA">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年  月  日</w:t>
      </w:r>
    </w:p>
    <w:p w14:paraId="541DA33B">
      <w:pPr>
        <w:spacing w:line="520" w:lineRule="exact"/>
        <w:ind w:firstLine="0" w:firstLineChars="0"/>
        <w:rPr>
          <w:rFonts w:hint="eastAsia" w:cs="宋体" w:asciiTheme="minorEastAsia" w:hAnsiTheme="minorEastAsia" w:eastAsiaTheme="minorEastAsia"/>
          <w:b/>
          <w:color w:val="000000" w:themeColor="text1"/>
          <w:sz w:val="28"/>
          <w:szCs w:val="28"/>
          <w:highlight w:val="none"/>
          <w:lang w:eastAsia="zh-CN"/>
          <w14:textFill>
            <w14:solidFill>
              <w14:schemeClr w14:val="tx1"/>
            </w14:solidFill>
          </w14:textFill>
        </w:rPr>
      </w:pPr>
      <w:r>
        <w:rPr>
          <w:rFonts w:cs="宋体" w:asciiTheme="minorEastAsia" w:hAnsiTheme="minorEastAsia" w:eastAsiaTheme="minorEastAsia"/>
          <w:bCs/>
          <w:color w:val="000000" w:themeColor="text1"/>
          <w:sz w:val="28"/>
          <w:szCs w:val="28"/>
          <w:highlight w:val="none"/>
          <w14:textFill>
            <w14:solidFill>
              <w14:schemeClr w14:val="tx1"/>
            </w14:solidFill>
          </w14:textFill>
        </w:rPr>
        <w:br w:type="page"/>
      </w:r>
      <w:bookmarkStart w:id="363" w:name="_Toc22957"/>
      <w:bookmarkStart w:id="364" w:name="_Toc24531"/>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附件14：磋商保证金</w:t>
      </w:r>
      <w:bookmarkEnd w:id="363"/>
      <w:bookmarkEnd w:id="364"/>
    </w:p>
    <w:p w14:paraId="404D86EA">
      <w:pPr>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417B4D5C">
      <w:pPr>
        <w:spacing w:line="520" w:lineRule="exact"/>
        <w:ind w:firstLine="0" w:firstLineChars="0"/>
        <w:jc w:val="center"/>
        <w:rPr>
          <w:rFonts w:hint="eastAsia" w:cs="宋体" w:asciiTheme="minorEastAsia" w:hAnsiTheme="minorEastAsia" w:eastAsiaTheme="minorEastAsia"/>
          <w:b/>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磋商保证金</w:t>
      </w:r>
      <w:r>
        <w:rPr>
          <w:rFonts w:hint="eastAsia" w:cs="宋体" w:asciiTheme="minorEastAsia" w:hAnsiTheme="minorEastAsia" w:eastAsiaTheme="minorEastAsia"/>
          <w:b/>
          <w:color w:val="000000" w:themeColor="text1"/>
          <w:sz w:val="28"/>
          <w:szCs w:val="28"/>
          <w:highlight w:val="none"/>
          <w:lang w:eastAsia="zh-CN"/>
          <w14:textFill>
            <w14:solidFill>
              <w14:schemeClr w14:val="tx1"/>
            </w14:solidFill>
          </w14:textFill>
        </w:rPr>
        <w:t>（</w:t>
      </w:r>
      <w:r>
        <w:rPr>
          <w:rFonts w:hint="eastAsia" w:cs="宋体" w:asciiTheme="minorEastAsia" w:hAnsiTheme="minorEastAsia" w:eastAsiaTheme="minorEastAsia"/>
          <w:b/>
          <w:color w:val="000000" w:themeColor="text1"/>
          <w:sz w:val="28"/>
          <w:szCs w:val="28"/>
          <w:highlight w:val="none"/>
          <w:lang w:val="en-US" w:eastAsia="zh-CN"/>
          <w14:textFill>
            <w14:solidFill>
              <w14:schemeClr w14:val="tx1"/>
            </w14:solidFill>
          </w14:textFill>
        </w:rPr>
        <w:t>本项目不适用，无须提交投标保证金</w:t>
      </w:r>
      <w:r>
        <w:rPr>
          <w:rFonts w:hint="eastAsia" w:cs="宋体" w:asciiTheme="minorEastAsia" w:hAnsiTheme="minorEastAsia" w:eastAsiaTheme="minorEastAsia"/>
          <w:b/>
          <w:color w:val="000000" w:themeColor="text1"/>
          <w:sz w:val="28"/>
          <w:szCs w:val="28"/>
          <w:highlight w:val="none"/>
          <w:lang w:eastAsia="zh-CN"/>
          <w14:textFill>
            <w14:solidFill>
              <w14:schemeClr w14:val="tx1"/>
            </w14:solidFill>
          </w14:textFill>
        </w:rPr>
        <w:t>）</w:t>
      </w:r>
    </w:p>
    <w:p w14:paraId="35A52BCB">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43E7B8DB">
      <w:pPr>
        <w:spacing w:line="520" w:lineRule="exact"/>
        <w:ind w:firstLine="560"/>
        <w:rPr>
          <w:rFonts w:cs="宋体" w:asciiTheme="minorEastAsia" w:hAnsiTheme="minorEastAsia" w:eastAsiaTheme="minorEastAsia"/>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1、将银行开具的针对本项目提交的磋商保证金交款证明彩色扫描（或复印）件粘贴后加盖公章。</w:t>
      </w:r>
    </w:p>
    <w:p w14:paraId="372FB0F0">
      <w:pPr>
        <w:spacing w:line="520" w:lineRule="exact"/>
        <w:ind w:left="480" w:firstLine="0" w:firstLineChars="0"/>
        <w:rPr>
          <w:rFonts w:cs="宋体" w:asciiTheme="minorEastAsia" w:hAnsiTheme="minorEastAsia" w:eastAsiaTheme="minorEastAsia"/>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2、</w:t>
      </w:r>
      <w:r>
        <w:rPr>
          <w:rFonts w:cs="宋体" w:asciiTheme="minorEastAsia" w:hAnsiTheme="minorEastAsia" w:eastAsiaTheme="minorEastAsia"/>
          <w:bCs/>
          <w:color w:val="000000" w:themeColor="text1"/>
          <w:sz w:val="28"/>
          <w:szCs w:val="28"/>
          <w:highlight w:val="none"/>
          <w14:textFill>
            <w14:solidFill>
              <w14:schemeClr w14:val="tx1"/>
            </w14:solidFill>
          </w14:textFill>
        </w:rPr>
        <w:t>如供应商采用银行保函的，以金融机构或</w:t>
      </w: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担保</w:t>
      </w:r>
      <w:r>
        <w:rPr>
          <w:rFonts w:cs="宋体" w:asciiTheme="minorEastAsia" w:hAnsiTheme="minorEastAsia" w:eastAsiaTheme="minorEastAsia"/>
          <w:bCs/>
          <w:color w:val="000000" w:themeColor="text1"/>
          <w:sz w:val="28"/>
          <w:szCs w:val="28"/>
          <w:highlight w:val="none"/>
          <w14:textFill>
            <w14:solidFill>
              <w14:schemeClr w14:val="tx1"/>
            </w14:solidFill>
          </w14:textFill>
        </w:rPr>
        <w:t>机构提供的格式为准</w:t>
      </w: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w:t>
      </w:r>
    </w:p>
    <w:p w14:paraId="7A6A83A0">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Cs/>
          <w:color w:val="000000" w:themeColor="text1"/>
          <w:sz w:val="28"/>
          <w:szCs w:val="28"/>
          <w:highlight w:val="none"/>
          <w14:textFill>
            <w14:solidFill>
              <w14:schemeClr w14:val="tx1"/>
            </w14:solidFill>
          </w14:textFill>
        </w:rPr>
        <w:br w:type="page"/>
      </w:r>
      <w:bookmarkStart w:id="365" w:name="_Toc1224"/>
    </w:p>
    <w:p w14:paraId="488E3F56">
      <w:pPr>
        <w:spacing w:line="520" w:lineRule="exact"/>
        <w:ind w:firstLine="0" w:firstLineChars="0"/>
        <w:rPr>
          <w:rFonts w:cs="宋体" w:asciiTheme="minorEastAsia" w:hAnsiTheme="minorEastAsia" w:eastAsiaTheme="minorEastAsia"/>
          <w:b/>
          <w:color w:val="000000"/>
          <w:sz w:val="28"/>
          <w:szCs w:val="28"/>
        </w:rPr>
      </w:pPr>
      <w:r>
        <w:rPr>
          <w:rFonts w:hint="eastAsia" w:cs="宋体" w:asciiTheme="minorEastAsia" w:hAnsiTheme="minorEastAsia" w:eastAsiaTheme="minorEastAsia"/>
          <w:b/>
          <w:color w:val="000000"/>
          <w:sz w:val="28"/>
          <w:szCs w:val="28"/>
        </w:rPr>
        <w:t>附件</w:t>
      </w:r>
      <w:r>
        <w:rPr>
          <w:rFonts w:cs="宋体" w:asciiTheme="minorEastAsia" w:hAnsiTheme="minorEastAsia" w:eastAsiaTheme="minorEastAsia"/>
          <w:b/>
          <w:color w:val="000000"/>
          <w:sz w:val="28"/>
          <w:szCs w:val="28"/>
        </w:rPr>
        <w:t>1</w:t>
      </w:r>
      <w:r>
        <w:rPr>
          <w:rFonts w:hint="eastAsia" w:cs="宋体" w:asciiTheme="minorEastAsia" w:hAnsiTheme="minorEastAsia" w:eastAsiaTheme="minorEastAsia"/>
          <w:b/>
          <w:color w:val="000000"/>
          <w:sz w:val="28"/>
          <w:szCs w:val="28"/>
        </w:rPr>
        <w:t>5：供应商最后报价表</w:t>
      </w:r>
    </w:p>
    <w:p w14:paraId="0BABF672">
      <w:pPr>
        <w:spacing w:line="520" w:lineRule="exact"/>
        <w:ind w:firstLine="0" w:firstLineChars="0"/>
        <w:rPr>
          <w:rFonts w:cs="宋体" w:asciiTheme="minorEastAsia" w:hAnsiTheme="minorEastAsia" w:eastAsiaTheme="minorEastAsia"/>
          <w:b/>
          <w:color w:val="000000"/>
          <w:sz w:val="28"/>
          <w:szCs w:val="28"/>
        </w:rPr>
      </w:pPr>
    </w:p>
    <w:p w14:paraId="3E51969D">
      <w:pPr>
        <w:spacing w:line="520" w:lineRule="exact"/>
        <w:ind w:firstLine="0" w:firstLineChars="0"/>
        <w:jc w:val="center"/>
        <w:rPr>
          <w:rFonts w:cs="宋体" w:asciiTheme="minorEastAsia" w:hAnsiTheme="minorEastAsia" w:eastAsiaTheme="minorEastAsia"/>
          <w:b/>
          <w:color w:val="000000"/>
          <w:sz w:val="28"/>
          <w:szCs w:val="28"/>
        </w:rPr>
      </w:pPr>
      <w:r>
        <w:rPr>
          <w:rFonts w:hint="eastAsia" w:cs="宋体" w:asciiTheme="minorEastAsia" w:hAnsiTheme="minorEastAsia" w:eastAsiaTheme="minorEastAsia"/>
          <w:b/>
          <w:color w:val="000000"/>
          <w:sz w:val="28"/>
          <w:szCs w:val="28"/>
        </w:rPr>
        <w:t>供应商最后报价表</w:t>
      </w:r>
    </w:p>
    <w:p w14:paraId="3E2D64CB">
      <w:pPr>
        <w:spacing w:line="520" w:lineRule="exact"/>
        <w:ind w:firstLine="0" w:firstLineChars="0"/>
        <w:rPr>
          <w:rFonts w:cs="宋体" w:asciiTheme="minorEastAsia" w:hAnsiTheme="minorEastAsia" w:eastAsiaTheme="minorEastAsia"/>
          <w:b/>
          <w:color w:val="000000"/>
          <w:sz w:val="28"/>
          <w:szCs w:val="28"/>
        </w:rPr>
      </w:pPr>
    </w:p>
    <w:p w14:paraId="29026F84">
      <w:pPr>
        <w:spacing w:line="520" w:lineRule="exact"/>
        <w:ind w:firstLine="0" w:firstLineChars="0"/>
        <w:rPr>
          <w:rFonts w:cs="宋体" w:asciiTheme="minorEastAsia" w:hAnsiTheme="minorEastAsia" w:eastAsiaTheme="minorEastAsia"/>
          <w:color w:val="000000"/>
          <w:sz w:val="28"/>
          <w:szCs w:val="28"/>
        </w:rPr>
      </w:pPr>
      <w:r>
        <w:rPr>
          <w:rFonts w:hint="eastAsia" w:cs="宋体" w:asciiTheme="minorEastAsia" w:hAnsiTheme="minorEastAsia" w:eastAsiaTheme="minorEastAsia"/>
          <w:b/>
          <w:color w:val="000000"/>
          <w:sz w:val="28"/>
          <w:szCs w:val="28"/>
        </w:rPr>
        <w:t xml:space="preserve">项目名称：                                            </w:t>
      </w:r>
    </w:p>
    <w:tbl>
      <w:tblPr>
        <w:tblStyle w:val="34"/>
        <w:tblW w:w="93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6"/>
        <w:gridCol w:w="2233"/>
        <w:gridCol w:w="2420"/>
        <w:gridCol w:w="2581"/>
      </w:tblGrid>
      <w:tr w14:paraId="554F9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2" w:hRule="atLeast"/>
          <w:jc w:val="center"/>
        </w:trPr>
        <w:tc>
          <w:tcPr>
            <w:tcW w:w="2126" w:type="dxa"/>
            <w:tcBorders>
              <w:top w:val="single" w:color="auto" w:sz="4" w:space="0"/>
              <w:left w:val="single" w:color="auto" w:sz="4" w:space="0"/>
              <w:bottom w:val="single" w:color="auto" w:sz="4" w:space="0"/>
              <w:right w:val="single" w:color="auto" w:sz="4" w:space="0"/>
            </w:tcBorders>
            <w:vAlign w:val="center"/>
          </w:tcPr>
          <w:p w14:paraId="2E83740D">
            <w:pPr>
              <w:spacing w:line="520" w:lineRule="exact"/>
              <w:ind w:firstLine="0" w:firstLineChars="0"/>
              <w:jc w:val="center"/>
              <w:rPr>
                <w:rFonts w:cs="宋体" w:asciiTheme="minorEastAsia" w:hAnsiTheme="minorEastAsia" w:eastAsiaTheme="minorEastAsia"/>
                <w:bCs/>
                <w:color w:val="000000"/>
                <w:sz w:val="28"/>
                <w:szCs w:val="28"/>
              </w:rPr>
            </w:pPr>
            <w:r>
              <w:rPr>
                <w:rFonts w:hint="eastAsia" w:cs="宋体" w:asciiTheme="minorEastAsia" w:hAnsiTheme="minorEastAsia" w:eastAsiaTheme="minorEastAsia"/>
                <w:bCs/>
                <w:color w:val="000000"/>
                <w:sz w:val="28"/>
                <w:szCs w:val="28"/>
              </w:rPr>
              <w:t>首次报价（</w:t>
            </w:r>
            <w:r>
              <w:rPr>
                <w:rFonts w:hint="eastAsia" w:cs="宋体" w:asciiTheme="minorEastAsia" w:hAnsiTheme="minorEastAsia" w:eastAsiaTheme="minorEastAsia"/>
                <w:bCs/>
                <w:color w:val="000000"/>
                <w:sz w:val="28"/>
                <w:szCs w:val="28"/>
                <w:lang w:val="en-US" w:eastAsia="zh-CN"/>
              </w:rPr>
              <w:t>元</w:t>
            </w:r>
            <w:r>
              <w:rPr>
                <w:rFonts w:hint="eastAsia" w:cs="宋体" w:asciiTheme="minorEastAsia" w:hAnsiTheme="minorEastAsia" w:eastAsiaTheme="minorEastAsia"/>
                <w:bCs/>
                <w:color w:val="000000"/>
                <w:sz w:val="28"/>
                <w:szCs w:val="28"/>
              </w:rPr>
              <w:t>）</w:t>
            </w:r>
          </w:p>
        </w:tc>
        <w:tc>
          <w:tcPr>
            <w:tcW w:w="2233" w:type="dxa"/>
            <w:tcBorders>
              <w:top w:val="single" w:color="auto" w:sz="4" w:space="0"/>
              <w:left w:val="single" w:color="auto" w:sz="4" w:space="0"/>
              <w:bottom w:val="single" w:color="auto" w:sz="4" w:space="0"/>
              <w:right w:val="single" w:color="auto" w:sz="4" w:space="0"/>
            </w:tcBorders>
            <w:vAlign w:val="center"/>
          </w:tcPr>
          <w:p w14:paraId="524DDC59">
            <w:pPr>
              <w:spacing w:line="520" w:lineRule="exact"/>
              <w:ind w:firstLine="0" w:firstLineChars="0"/>
              <w:jc w:val="center"/>
              <w:rPr>
                <w:rFonts w:cs="宋体" w:asciiTheme="minorEastAsia" w:hAnsiTheme="minorEastAsia" w:eastAsiaTheme="minorEastAsia"/>
                <w:bCs/>
                <w:color w:val="000000"/>
                <w:sz w:val="28"/>
                <w:szCs w:val="28"/>
              </w:rPr>
            </w:pPr>
            <w:r>
              <w:rPr>
                <w:rFonts w:hint="eastAsia" w:cs="宋体" w:asciiTheme="minorEastAsia" w:hAnsiTheme="minorEastAsia" w:eastAsiaTheme="minorEastAsia"/>
                <w:bCs/>
                <w:color w:val="000000"/>
                <w:sz w:val="28"/>
                <w:szCs w:val="28"/>
              </w:rPr>
              <w:t>调整因素</w:t>
            </w:r>
          </w:p>
        </w:tc>
        <w:tc>
          <w:tcPr>
            <w:tcW w:w="2420" w:type="dxa"/>
            <w:tcBorders>
              <w:top w:val="single" w:color="auto" w:sz="4" w:space="0"/>
              <w:left w:val="single" w:color="auto" w:sz="4" w:space="0"/>
              <w:bottom w:val="single" w:color="auto" w:sz="4" w:space="0"/>
              <w:right w:val="single" w:color="auto" w:sz="4" w:space="0"/>
            </w:tcBorders>
            <w:vAlign w:val="center"/>
          </w:tcPr>
          <w:p w14:paraId="2697C2B9">
            <w:pPr>
              <w:spacing w:line="520" w:lineRule="exact"/>
              <w:ind w:firstLine="0" w:firstLineChars="0"/>
              <w:jc w:val="center"/>
              <w:rPr>
                <w:rFonts w:cs="宋体" w:asciiTheme="minorEastAsia" w:hAnsiTheme="minorEastAsia" w:eastAsiaTheme="minorEastAsia"/>
                <w:b/>
                <w:bCs/>
                <w:color w:val="000000"/>
                <w:sz w:val="28"/>
                <w:szCs w:val="28"/>
              </w:rPr>
            </w:pPr>
            <w:r>
              <w:rPr>
                <w:rFonts w:hint="eastAsia" w:cs="宋体" w:asciiTheme="minorEastAsia" w:hAnsiTheme="minorEastAsia" w:eastAsiaTheme="minorEastAsia"/>
                <w:bCs/>
                <w:color w:val="000000"/>
                <w:sz w:val="28"/>
                <w:szCs w:val="28"/>
              </w:rPr>
              <w:t>最后报价（</w:t>
            </w:r>
            <w:r>
              <w:rPr>
                <w:rFonts w:hint="eastAsia" w:cs="宋体" w:asciiTheme="minorEastAsia" w:hAnsiTheme="minorEastAsia" w:eastAsiaTheme="minorEastAsia"/>
                <w:bCs/>
                <w:color w:val="000000"/>
                <w:sz w:val="28"/>
                <w:szCs w:val="28"/>
                <w:lang w:val="en-US" w:eastAsia="zh-CN"/>
              </w:rPr>
              <w:t>元</w:t>
            </w:r>
            <w:r>
              <w:rPr>
                <w:rFonts w:hint="eastAsia" w:cs="宋体" w:asciiTheme="minorEastAsia" w:hAnsiTheme="minorEastAsia" w:eastAsiaTheme="minorEastAsia"/>
                <w:bCs/>
                <w:color w:val="000000"/>
                <w:sz w:val="28"/>
                <w:szCs w:val="28"/>
              </w:rPr>
              <w:t>）</w:t>
            </w:r>
          </w:p>
        </w:tc>
        <w:tc>
          <w:tcPr>
            <w:tcW w:w="2581" w:type="dxa"/>
            <w:tcBorders>
              <w:top w:val="single" w:color="auto" w:sz="4" w:space="0"/>
              <w:left w:val="single" w:color="auto" w:sz="4" w:space="0"/>
              <w:bottom w:val="single" w:color="auto" w:sz="4" w:space="0"/>
              <w:right w:val="single" w:color="auto" w:sz="4" w:space="0"/>
            </w:tcBorders>
            <w:vAlign w:val="center"/>
          </w:tcPr>
          <w:p w14:paraId="5573BAE7">
            <w:pPr>
              <w:spacing w:line="520" w:lineRule="exact"/>
              <w:ind w:firstLine="0" w:firstLineChars="0"/>
              <w:jc w:val="center"/>
              <w:rPr>
                <w:rFonts w:cs="宋体" w:asciiTheme="minorEastAsia" w:hAnsiTheme="minorEastAsia" w:eastAsiaTheme="minorEastAsia"/>
                <w:bCs/>
                <w:color w:val="000000"/>
                <w:sz w:val="28"/>
                <w:szCs w:val="28"/>
              </w:rPr>
            </w:pPr>
            <w:r>
              <w:rPr>
                <w:rFonts w:hint="eastAsia" w:cs="宋体" w:asciiTheme="minorEastAsia" w:hAnsiTheme="minorEastAsia" w:eastAsiaTheme="minorEastAsia"/>
                <w:bCs/>
                <w:color w:val="000000"/>
                <w:sz w:val="28"/>
                <w:szCs w:val="28"/>
              </w:rPr>
              <w:t>服务期</w:t>
            </w:r>
          </w:p>
        </w:tc>
      </w:tr>
      <w:tr w14:paraId="26D24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2126" w:type="dxa"/>
            <w:tcBorders>
              <w:top w:val="single" w:color="auto" w:sz="4" w:space="0"/>
              <w:left w:val="single" w:color="auto" w:sz="4" w:space="0"/>
              <w:bottom w:val="single" w:color="auto" w:sz="4" w:space="0"/>
              <w:right w:val="single" w:color="auto" w:sz="4" w:space="0"/>
            </w:tcBorders>
          </w:tcPr>
          <w:p w14:paraId="58291145">
            <w:pPr>
              <w:spacing w:line="520" w:lineRule="exact"/>
              <w:ind w:firstLine="0" w:firstLineChars="0"/>
              <w:rPr>
                <w:rFonts w:cs="宋体" w:asciiTheme="minorEastAsia" w:hAnsiTheme="minorEastAsia" w:eastAsiaTheme="minorEastAsia"/>
                <w:color w:val="000000"/>
                <w:sz w:val="28"/>
                <w:szCs w:val="28"/>
              </w:rPr>
            </w:pPr>
          </w:p>
        </w:tc>
        <w:tc>
          <w:tcPr>
            <w:tcW w:w="2233" w:type="dxa"/>
            <w:tcBorders>
              <w:top w:val="single" w:color="auto" w:sz="4" w:space="0"/>
              <w:left w:val="single" w:color="auto" w:sz="4" w:space="0"/>
              <w:bottom w:val="single" w:color="auto" w:sz="4" w:space="0"/>
              <w:right w:val="single" w:color="auto" w:sz="4" w:space="0"/>
            </w:tcBorders>
          </w:tcPr>
          <w:p w14:paraId="0A5A9FE9">
            <w:pPr>
              <w:spacing w:line="520" w:lineRule="exact"/>
              <w:ind w:firstLine="0" w:firstLineChars="0"/>
              <w:rPr>
                <w:rFonts w:cs="宋体" w:asciiTheme="minorEastAsia" w:hAnsiTheme="minorEastAsia" w:eastAsiaTheme="minorEastAsia"/>
                <w:color w:val="000000"/>
                <w:sz w:val="28"/>
                <w:szCs w:val="28"/>
              </w:rPr>
            </w:pPr>
          </w:p>
        </w:tc>
        <w:tc>
          <w:tcPr>
            <w:tcW w:w="2420" w:type="dxa"/>
            <w:tcBorders>
              <w:top w:val="single" w:color="auto" w:sz="4" w:space="0"/>
              <w:left w:val="single" w:color="auto" w:sz="4" w:space="0"/>
              <w:bottom w:val="single" w:color="auto" w:sz="4" w:space="0"/>
              <w:right w:val="single" w:color="auto" w:sz="4" w:space="0"/>
            </w:tcBorders>
          </w:tcPr>
          <w:p w14:paraId="56C6F956">
            <w:pPr>
              <w:spacing w:line="520" w:lineRule="exact"/>
              <w:ind w:firstLine="0" w:firstLineChars="0"/>
              <w:rPr>
                <w:rFonts w:cs="宋体" w:asciiTheme="minorEastAsia" w:hAnsiTheme="minorEastAsia" w:eastAsiaTheme="minorEastAsia"/>
                <w:color w:val="000000"/>
                <w:sz w:val="28"/>
                <w:szCs w:val="28"/>
              </w:rPr>
            </w:pPr>
          </w:p>
        </w:tc>
        <w:tc>
          <w:tcPr>
            <w:tcW w:w="2581" w:type="dxa"/>
            <w:tcBorders>
              <w:top w:val="single" w:color="auto" w:sz="4" w:space="0"/>
              <w:left w:val="single" w:color="auto" w:sz="4" w:space="0"/>
              <w:bottom w:val="single" w:color="auto" w:sz="4" w:space="0"/>
              <w:right w:val="single" w:color="auto" w:sz="4" w:space="0"/>
            </w:tcBorders>
          </w:tcPr>
          <w:p w14:paraId="10742FBB">
            <w:pPr>
              <w:spacing w:line="520" w:lineRule="exact"/>
              <w:ind w:firstLine="0" w:firstLineChars="0"/>
              <w:rPr>
                <w:rFonts w:cs="宋体" w:asciiTheme="minorEastAsia" w:hAnsiTheme="minorEastAsia" w:eastAsiaTheme="minorEastAsia"/>
                <w:color w:val="000000"/>
                <w:sz w:val="28"/>
                <w:szCs w:val="28"/>
              </w:rPr>
            </w:pPr>
          </w:p>
        </w:tc>
      </w:tr>
      <w:tr w14:paraId="67992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6" w:hRule="atLeast"/>
          <w:jc w:val="center"/>
        </w:trPr>
        <w:tc>
          <w:tcPr>
            <w:tcW w:w="9360" w:type="dxa"/>
            <w:gridSpan w:val="4"/>
            <w:tcBorders>
              <w:top w:val="single" w:color="auto" w:sz="4" w:space="0"/>
              <w:left w:val="single" w:color="auto" w:sz="4" w:space="0"/>
              <w:bottom w:val="single" w:color="auto" w:sz="4" w:space="0"/>
              <w:right w:val="single" w:color="auto" w:sz="4" w:space="0"/>
            </w:tcBorders>
          </w:tcPr>
          <w:p w14:paraId="7CE8F6B1">
            <w:pPr>
              <w:spacing w:line="520" w:lineRule="exact"/>
              <w:ind w:firstLine="0" w:firstLineChars="0"/>
              <w:rPr>
                <w:rFonts w:cs="宋体" w:asciiTheme="minorEastAsia" w:hAnsiTheme="minorEastAsia" w:eastAsiaTheme="minorEastAsia"/>
                <w:color w:val="000000"/>
                <w:sz w:val="28"/>
                <w:szCs w:val="28"/>
              </w:rPr>
            </w:pPr>
            <w:r>
              <w:rPr>
                <w:rFonts w:hint="eastAsia" w:cs="宋体" w:asciiTheme="minorEastAsia" w:hAnsiTheme="minorEastAsia" w:eastAsiaTheme="minorEastAsia"/>
                <w:color w:val="000000"/>
                <w:sz w:val="28"/>
                <w:szCs w:val="28"/>
              </w:rPr>
              <w:t>最终确定的质量保证及服务承诺</w:t>
            </w:r>
          </w:p>
          <w:p w14:paraId="0479FE95">
            <w:pPr>
              <w:spacing w:line="520" w:lineRule="exact"/>
              <w:ind w:firstLine="0" w:firstLineChars="0"/>
              <w:rPr>
                <w:rFonts w:cs="宋体" w:asciiTheme="minorEastAsia" w:hAnsiTheme="minorEastAsia" w:eastAsiaTheme="minorEastAsia"/>
                <w:color w:val="000000"/>
                <w:sz w:val="28"/>
                <w:szCs w:val="28"/>
              </w:rPr>
            </w:pPr>
          </w:p>
          <w:p w14:paraId="1911F7F7">
            <w:pPr>
              <w:spacing w:line="520" w:lineRule="exact"/>
              <w:ind w:firstLine="0" w:firstLineChars="0"/>
              <w:rPr>
                <w:rFonts w:cs="宋体" w:asciiTheme="minorEastAsia" w:hAnsiTheme="minorEastAsia" w:eastAsiaTheme="minorEastAsia"/>
                <w:color w:val="000000"/>
                <w:sz w:val="28"/>
                <w:szCs w:val="28"/>
              </w:rPr>
            </w:pPr>
          </w:p>
          <w:p w14:paraId="669D4A19">
            <w:pPr>
              <w:spacing w:line="520" w:lineRule="exact"/>
              <w:ind w:firstLine="0" w:firstLineChars="0"/>
              <w:rPr>
                <w:rFonts w:cs="宋体" w:asciiTheme="minorEastAsia" w:hAnsiTheme="minorEastAsia" w:eastAsiaTheme="minorEastAsia"/>
                <w:color w:val="000000"/>
                <w:sz w:val="28"/>
                <w:szCs w:val="28"/>
              </w:rPr>
            </w:pPr>
          </w:p>
          <w:p w14:paraId="30585CB0">
            <w:pPr>
              <w:spacing w:line="520" w:lineRule="exact"/>
              <w:ind w:firstLine="0" w:firstLineChars="0"/>
              <w:rPr>
                <w:rFonts w:cs="宋体" w:asciiTheme="minorEastAsia" w:hAnsiTheme="minorEastAsia" w:eastAsiaTheme="minorEastAsia"/>
                <w:color w:val="000000"/>
                <w:sz w:val="28"/>
                <w:szCs w:val="28"/>
              </w:rPr>
            </w:pPr>
          </w:p>
        </w:tc>
      </w:tr>
    </w:tbl>
    <w:p w14:paraId="6F1D4B94">
      <w:pPr>
        <w:spacing w:line="520" w:lineRule="exact"/>
        <w:ind w:firstLine="560"/>
        <w:rPr>
          <w:rFonts w:asciiTheme="minorEastAsia" w:hAnsiTheme="minorEastAsia" w:eastAsiaTheme="minorEastAsia"/>
          <w:sz w:val="28"/>
          <w:szCs w:val="28"/>
        </w:rPr>
      </w:pPr>
      <w:r>
        <w:rPr>
          <w:rFonts w:hint="eastAsia" w:asciiTheme="minorEastAsia" w:hAnsiTheme="minorEastAsia" w:eastAsiaTheme="minorEastAsia"/>
          <w:sz w:val="28"/>
          <w:szCs w:val="28"/>
        </w:rPr>
        <w:t>注：最后</w:t>
      </w:r>
      <w:r>
        <w:rPr>
          <w:rFonts w:asciiTheme="minorEastAsia" w:hAnsiTheme="minorEastAsia" w:eastAsiaTheme="minorEastAsia"/>
          <w:sz w:val="28"/>
          <w:szCs w:val="28"/>
        </w:rPr>
        <w:t>报价表作为响应文件的组成部分，不</w:t>
      </w:r>
      <w:r>
        <w:rPr>
          <w:rFonts w:hint="eastAsia" w:asciiTheme="minorEastAsia" w:hAnsiTheme="minorEastAsia" w:eastAsiaTheme="minorEastAsia"/>
          <w:sz w:val="28"/>
          <w:szCs w:val="28"/>
        </w:rPr>
        <w:t>与响应文件同时提交。由资格审查合格的供应商填写最后报价表并签字、盖章。</w:t>
      </w:r>
    </w:p>
    <w:p w14:paraId="0D4A6870">
      <w:pPr>
        <w:spacing w:line="520" w:lineRule="exact"/>
        <w:ind w:firstLine="562"/>
        <w:rPr>
          <w:rFonts w:cs="宋体" w:asciiTheme="minorEastAsia" w:hAnsiTheme="minorEastAsia" w:eastAsiaTheme="minorEastAsia"/>
          <w:b/>
          <w:bCs/>
          <w:color w:val="000000"/>
          <w:sz w:val="28"/>
          <w:szCs w:val="28"/>
        </w:rPr>
      </w:pPr>
    </w:p>
    <w:p w14:paraId="5019BD46">
      <w:pPr>
        <w:tabs>
          <w:tab w:val="left" w:pos="168"/>
        </w:tabs>
        <w:spacing w:line="520" w:lineRule="exact"/>
        <w:ind w:firstLine="0" w:firstLineChars="0"/>
        <w:textAlignment w:val="baseline"/>
        <w:rPr>
          <w:rFonts w:cs="宋体" w:asciiTheme="minorEastAsia" w:hAnsiTheme="minorEastAsia" w:eastAsiaTheme="minorEastAsia"/>
          <w:b/>
          <w:bCs/>
          <w:color w:val="000000"/>
          <w:sz w:val="28"/>
          <w:szCs w:val="28"/>
        </w:rPr>
      </w:pPr>
    </w:p>
    <w:p w14:paraId="1BB2E9F7">
      <w:pPr>
        <w:spacing w:line="520" w:lineRule="exact"/>
        <w:ind w:firstLine="0" w:firstLineChars="0"/>
        <w:jc w:val="center"/>
        <w:rPr>
          <w:rFonts w:cs="宋体" w:asciiTheme="minorEastAsia" w:hAnsiTheme="minorEastAsia" w:eastAsiaTheme="minorEastAsia"/>
          <w:b/>
          <w:color w:val="000000"/>
          <w:sz w:val="28"/>
          <w:szCs w:val="28"/>
        </w:rPr>
      </w:pPr>
      <w:r>
        <w:rPr>
          <w:rFonts w:hint="eastAsia" w:cs="宋体" w:asciiTheme="minorEastAsia" w:hAnsiTheme="minorEastAsia" w:eastAsiaTheme="minorEastAsia"/>
          <w:b/>
          <w:color w:val="000000"/>
          <w:sz w:val="28"/>
          <w:szCs w:val="28"/>
        </w:rPr>
        <w:t xml:space="preserve">         供应商：（公章）</w:t>
      </w:r>
    </w:p>
    <w:p w14:paraId="1EB56C58">
      <w:pPr>
        <w:spacing w:line="520" w:lineRule="exact"/>
        <w:ind w:firstLine="0" w:firstLineChars="0"/>
        <w:jc w:val="center"/>
        <w:rPr>
          <w:rFonts w:cs="宋体" w:asciiTheme="minorEastAsia" w:hAnsiTheme="minorEastAsia" w:eastAsiaTheme="minorEastAsia"/>
          <w:b/>
          <w:color w:val="000000"/>
          <w:sz w:val="28"/>
          <w:szCs w:val="28"/>
        </w:rPr>
      </w:pPr>
      <w:r>
        <w:rPr>
          <w:rFonts w:hint="eastAsia" w:cs="宋体" w:asciiTheme="minorEastAsia" w:hAnsiTheme="minorEastAsia" w:eastAsiaTheme="minorEastAsia"/>
          <w:b/>
          <w:color w:val="000000"/>
          <w:sz w:val="28"/>
          <w:szCs w:val="28"/>
        </w:rPr>
        <w:t>法定代表人或委托代理人：（签字或盖章）</w:t>
      </w:r>
    </w:p>
    <w:p w14:paraId="15D52F01">
      <w:pPr>
        <w:spacing w:line="520" w:lineRule="exact"/>
        <w:ind w:firstLine="0" w:firstLineChars="0"/>
        <w:jc w:val="center"/>
        <w:rPr>
          <w:rFonts w:cs="宋体" w:asciiTheme="minorEastAsia" w:hAnsiTheme="minorEastAsia" w:eastAsiaTheme="minorEastAsia"/>
          <w:b/>
          <w:color w:val="000000"/>
          <w:sz w:val="28"/>
          <w:szCs w:val="28"/>
        </w:rPr>
      </w:pPr>
      <w:r>
        <w:rPr>
          <w:rFonts w:hint="eastAsia" w:cs="宋体" w:asciiTheme="minorEastAsia" w:hAnsiTheme="minorEastAsia" w:eastAsiaTheme="minorEastAsia"/>
          <w:b/>
          <w:color w:val="000000"/>
          <w:sz w:val="28"/>
          <w:szCs w:val="28"/>
        </w:rPr>
        <w:t>年  月  日</w:t>
      </w:r>
    </w:p>
    <w:p w14:paraId="735B5406">
      <w:pPr>
        <w:spacing w:line="520" w:lineRule="exact"/>
        <w:ind w:firstLine="0" w:firstLineChars="0"/>
        <w:jc w:val="center"/>
        <w:rPr>
          <w:rFonts w:cs="宋体" w:asciiTheme="minorEastAsia" w:hAnsiTheme="minorEastAsia" w:eastAsiaTheme="minorEastAsia"/>
          <w:b/>
          <w:color w:val="000000"/>
          <w:sz w:val="28"/>
          <w:szCs w:val="28"/>
        </w:rPr>
      </w:pPr>
    </w:p>
    <w:p w14:paraId="721AF411">
      <w:pPr>
        <w:spacing w:line="520" w:lineRule="exact"/>
        <w:ind w:firstLine="0" w:firstLineChars="0"/>
        <w:rPr>
          <w:rFonts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附件16：供应商的类似业绩证明材料</w:t>
      </w:r>
    </w:p>
    <w:p w14:paraId="185EB3D3">
      <w:pPr>
        <w:spacing w:line="520" w:lineRule="exact"/>
        <w:ind w:firstLine="2263" w:firstLineChars="805"/>
        <w:rPr>
          <w:rFonts w:asciiTheme="minorEastAsia" w:hAnsiTheme="minorEastAsia" w:eastAsiaTheme="minorEastAsia"/>
          <w:b/>
          <w:color w:val="000000" w:themeColor="text1"/>
          <w:sz w:val="28"/>
          <w:szCs w:val="28"/>
          <w:highlight w:val="none"/>
          <w14:textFill>
            <w14:solidFill>
              <w14:schemeClr w14:val="tx1"/>
            </w14:solidFill>
          </w14:textFill>
        </w:rPr>
      </w:pPr>
    </w:p>
    <w:p w14:paraId="17E67251">
      <w:pPr>
        <w:spacing w:line="520" w:lineRule="exact"/>
        <w:ind w:firstLine="155" w:firstLineChars="55"/>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供应商的类似业绩证明材料</w:t>
      </w:r>
    </w:p>
    <w:p w14:paraId="0720B932">
      <w:pPr>
        <w:tabs>
          <w:tab w:val="left" w:pos="168"/>
        </w:tabs>
        <w:adjustRightInd w:val="0"/>
        <w:spacing w:line="520" w:lineRule="exact"/>
        <w:ind w:firstLine="1968" w:firstLineChars="700"/>
        <w:textAlignment w:val="baseline"/>
        <w:rPr>
          <w:rFonts w:asciiTheme="minorEastAsia" w:hAnsiTheme="minorEastAsia" w:eastAsiaTheme="minorEastAsia"/>
          <w:b/>
          <w:color w:val="000000" w:themeColor="text1"/>
          <w:sz w:val="28"/>
          <w:szCs w:val="28"/>
          <w:highlight w:val="none"/>
          <w14:textFill>
            <w14:solidFill>
              <w14:schemeClr w14:val="tx1"/>
            </w14:solidFill>
          </w14:textFill>
        </w:rPr>
      </w:pPr>
    </w:p>
    <w:p w14:paraId="5B086454">
      <w:pPr>
        <w:spacing w:line="520" w:lineRule="exact"/>
        <w:ind w:firstLine="56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提供自20</w:t>
      </w:r>
      <w:r>
        <w:rPr>
          <w:rFonts w:hint="eastAsia" w:cs="宋体" w:asciiTheme="minorEastAsia" w:hAnsiTheme="minorEastAsia" w:eastAsiaTheme="minorEastAsia"/>
          <w:bCs/>
          <w:color w:val="000000" w:themeColor="text1"/>
          <w:sz w:val="28"/>
          <w:szCs w:val="28"/>
          <w:highlight w:val="none"/>
          <w:lang w:val="en-US" w:eastAsia="zh-CN"/>
          <w14:textFill>
            <w14:solidFill>
              <w14:schemeClr w14:val="tx1"/>
            </w14:solidFill>
          </w14:textFill>
        </w:rPr>
        <w:t>22</w:t>
      </w: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年1月1日至今的类似项目业绩</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w:t>
      </w: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（附业绩合同或中标通知书加盖公章作为证明材料）</w:t>
      </w:r>
    </w:p>
    <w:bookmarkEnd w:id="365"/>
    <w:p w14:paraId="29D000F5">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C7A4613">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7F00A65">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8C5B080">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3AECA637">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1942C835">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24C867F1">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年  月  日</w:t>
      </w:r>
    </w:p>
    <w:p w14:paraId="5094191A">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14:textFill>
            <w14:solidFill>
              <w14:schemeClr w14:val="tx1"/>
            </w14:solidFill>
          </w14:textFill>
        </w:rPr>
        <w:br w:type="page"/>
      </w:r>
      <w:bookmarkStart w:id="366" w:name="_Toc11887"/>
      <w:bookmarkStart w:id="367" w:name="_Toc10368"/>
      <w:bookmarkStart w:id="368" w:name="_Toc31301_WPSOffice_Level3"/>
      <w:bookmarkStart w:id="369" w:name="_Toc3146_WPSOffice_Level3"/>
      <w:bookmarkStart w:id="370" w:name="_Toc17566"/>
      <w:bookmarkStart w:id="371" w:name="_Toc4925"/>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附件17：服务方案</w:t>
      </w:r>
    </w:p>
    <w:p w14:paraId="3A4991A1">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E2A8E58">
      <w:pPr>
        <w:spacing w:line="520" w:lineRule="exact"/>
        <w:ind w:firstLine="0" w:firstLineChars="0"/>
        <w:jc w:val="left"/>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F17A0F8">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（其他内容格式自拟）</w:t>
      </w:r>
    </w:p>
    <w:p w14:paraId="37D49706">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C4FC12F">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F6F403C">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CFEB665">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430C271">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2F2611BB">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2160F927">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A5936CB">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3BCF5F4">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8A55D14">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8F05069">
      <w:pPr>
        <w:widowControl/>
        <w:spacing w:line="240" w:lineRule="auto"/>
        <w:ind w:firstLine="0" w:firstLineChars="0"/>
        <w:jc w:val="left"/>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p>
    <w:p w14:paraId="75B46735">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w:t>
      </w:r>
      <w:r>
        <w:rPr>
          <w:rFonts w:hint="eastAsia" w:cs="宋体" w:asciiTheme="minorEastAsia" w:hAnsiTheme="minorEastAsia" w:eastAsiaTheme="minorEastAsia"/>
          <w:b/>
          <w:color w:val="000000" w:themeColor="text1"/>
          <w:sz w:val="28"/>
          <w:szCs w:val="28"/>
          <w:highlight w:val="none"/>
          <w:lang w:val="en-US" w:eastAsia="zh-CN"/>
          <w14:textFill>
            <w14:solidFill>
              <w14:schemeClr w14:val="tx1"/>
            </w14:solidFill>
          </w14:textFill>
        </w:rPr>
        <w:t>8</w:t>
      </w: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：享受政府采购政策优惠的证明资料</w:t>
      </w:r>
      <w:bookmarkEnd w:id="366"/>
      <w:bookmarkEnd w:id="367"/>
      <w:bookmarkEnd w:id="368"/>
      <w:bookmarkEnd w:id="369"/>
      <w:bookmarkEnd w:id="370"/>
      <w:bookmarkEnd w:id="371"/>
    </w:p>
    <w:p w14:paraId="76A7A824">
      <w:pPr>
        <w:adjustRightInd w:val="0"/>
        <w:snapToGrid w:val="0"/>
        <w:spacing w:beforeLines="50"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bookmarkStart w:id="372" w:name="_Toc6454"/>
      <w:bookmarkStart w:id="373" w:name="_Toc31539"/>
      <w:bookmarkStart w:id="374" w:name="_Toc22784_WPSOffice_Level3"/>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1.中小企业声明函</w:t>
      </w:r>
      <w:bookmarkEnd w:id="372"/>
      <w:bookmarkEnd w:id="373"/>
      <w:bookmarkEnd w:id="374"/>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（服务）</w:t>
      </w:r>
    </w:p>
    <w:p w14:paraId="76D5D1D3">
      <w:pPr>
        <w:widowControl/>
        <w:adjustRightInd w:val="0"/>
        <w:snapToGrid w:val="0"/>
        <w:spacing w:line="520" w:lineRule="exact"/>
        <w:ind w:firstLine="586"/>
        <w:jc w:val="center"/>
        <w:rPr>
          <w:rFonts w:cs="仿宋_GB2312" w:asciiTheme="minorEastAsia" w:hAnsiTheme="minorEastAsia" w:eastAsiaTheme="minorEastAsia"/>
          <w:b/>
          <w:color w:val="000000" w:themeColor="text1"/>
          <w:spacing w:val="6"/>
          <w:sz w:val="28"/>
          <w:szCs w:val="28"/>
          <w:highlight w:val="none"/>
          <w14:textFill>
            <w14:solidFill>
              <w14:schemeClr w14:val="tx1"/>
            </w14:solidFill>
          </w14:textFill>
        </w:rPr>
      </w:pPr>
    </w:p>
    <w:p w14:paraId="1E0FD665">
      <w:pPr>
        <w:widowControl/>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本公司（联合体）郑重声明，根据《政府采购促进中小企业发展管理办法》（财库【2020】46号）的规定，本公司（联合体）参加</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（单位名称）</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的</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（项目名称）</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采购活动，提供的服务的（全部）供应商符合政策要求的中小企业，相关企业（含联合体中的中小企业、签订分包意向协议的中小企业）具体情况如下：</w:t>
      </w:r>
    </w:p>
    <w:p w14:paraId="510CE7E8">
      <w:pPr>
        <w:widowControl/>
        <w:numPr>
          <w:ilvl w:val="0"/>
          <w:numId w:val="8"/>
        </w:numPr>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（标的名称）</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，属于</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w:t>
      </w:r>
      <w:r>
        <w:rPr>
          <w:rFonts w:hint="eastAsia" w:cs="仿宋_GB2312" w:asciiTheme="minorEastAsia" w:hAnsiTheme="minorEastAsia" w:eastAsiaTheme="minorEastAsia"/>
          <w:color w:val="000000" w:themeColor="text1"/>
          <w:spacing w:val="6"/>
          <w:sz w:val="28"/>
          <w:szCs w:val="28"/>
          <w:highlight w:val="none"/>
          <w:u w:val="single"/>
          <w:lang w:val="en-US" w:eastAsia="zh-CN"/>
          <w14:textFill>
            <w14:solidFill>
              <w14:schemeClr w14:val="tx1"/>
            </w14:solidFill>
          </w14:textFill>
        </w:rPr>
        <w:t>未列明的其他行业</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）行业</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，承接企业为</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（企业名称）</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，从业人员人，营业收入为万元，资产总额为万元，属于</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（中型企业、小型企业、微型企业）</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p>
    <w:p w14:paraId="0BE5D5F4">
      <w:pPr>
        <w:widowControl/>
        <w:adjustRightInd w:val="0"/>
        <w:snapToGrid w:val="0"/>
        <w:spacing w:line="520" w:lineRule="exact"/>
        <w:ind w:firstLine="584"/>
        <w:jc w:val="left"/>
        <w:rPr>
          <w:rFonts w:cs="仿宋_GB2312" w:asciiTheme="minorEastAsia" w:hAnsiTheme="minorEastAsia" w:eastAsiaTheme="minorEastAsia"/>
          <w:color w:val="000000" w:themeColor="text1"/>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2.</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（标的名称）</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，属于</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w:t>
      </w:r>
      <w:r>
        <w:rPr>
          <w:rFonts w:hint="eastAsia" w:cs="仿宋_GB2312" w:asciiTheme="minorEastAsia" w:hAnsiTheme="minorEastAsia" w:eastAsiaTheme="minorEastAsia"/>
          <w:color w:val="000000" w:themeColor="text1"/>
          <w:spacing w:val="6"/>
          <w:sz w:val="28"/>
          <w:szCs w:val="28"/>
          <w:highlight w:val="none"/>
          <w:u w:val="single"/>
          <w:lang w:val="en-US" w:eastAsia="zh-CN"/>
          <w14:textFill>
            <w14:solidFill>
              <w14:schemeClr w14:val="tx1"/>
            </w14:solidFill>
          </w14:textFill>
        </w:rPr>
        <w:t>未列明的其他行业</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）行业</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，承接企业为</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（企业名称）</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，从业人员人，营业收入为万元，资产总额为万元，属于</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（中型企业、小型企业、微型企业）</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p>
    <w:p w14:paraId="0A69C806">
      <w:pPr>
        <w:widowControl/>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 xml:space="preserve">    ……</w:t>
      </w:r>
    </w:p>
    <w:p w14:paraId="15253A98">
      <w:pPr>
        <w:widowControl/>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以上企业，不属于大企业的分支机构，不存在控股股东为大企业的情形，也不存在与大企业的负责人为同一人的情形。</w:t>
      </w:r>
    </w:p>
    <w:p w14:paraId="4359342F">
      <w:pPr>
        <w:widowControl/>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本企业对上述声明内容的真实性负责。如有虚假，将依法承担相应责任。</w:t>
      </w:r>
    </w:p>
    <w:p w14:paraId="5A8360F7">
      <w:pPr>
        <w:spacing w:beforeLines="50" w:line="520" w:lineRule="exact"/>
        <w:ind w:firstLine="560"/>
        <w:jc w:val="center"/>
        <w:rPr>
          <w:rFonts w:cs="仿宋_GB2312" w:asciiTheme="minorEastAsia" w:hAnsiTheme="minorEastAsia" w:eastAsiaTheme="minorEastAsia"/>
          <w:bCs/>
          <w:color w:val="000000" w:themeColor="text1"/>
          <w:sz w:val="28"/>
          <w:szCs w:val="28"/>
          <w:highlight w:val="none"/>
          <w14:textFill>
            <w14:solidFill>
              <w14:schemeClr w14:val="tx1"/>
            </w14:solidFill>
          </w14:textFill>
        </w:rPr>
      </w:pPr>
      <w:bookmarkStart w:id="375" w:name="_Toc21636_WPSOffice_Level3"/>
      <w:r>
        <w:rPr>
          <w:rFonts w:hint="eastAsia" w:cs="仿宋_GB2312" w:asciiTheme="minorEastAsia" w:hAnsiTheme="minorEastAsia" w:eastAsiaTheme="minorEastAsia"/>
          <w:bCs/>
          <w:color w:val="000000" w:themeColor="text1"/>
          <w:sz w:val="28"/>
          <w:szCs w:val="28"/>
          <w:highlight w:val="none"/>
          <w14:textFill>
            <w14:solidFill>
              <w14:schemeClr w14:val="tx1"/>
            </w14:solidFill>
          </w14:textFill>
        </w:rPr>
        <w:t>企业名称（公章）：</w:t>
      </w:r>
      <w:bookmarkEnd w:id="375"/>
    </w:p>
    <w:p w14:paraId="7E727A2A">
      <w:pPr>
        <w:spacing w:beforeLines="50" w:line="520" w:lineRule="exact"/>
        <w:ind w:firstLine="560"/>
        <w:jc w:val="center"/>
        <w:rPr>
          <w:rFonts w:asciiTheme="minorEastAsia" w:hAnsiTheme="minorEastAsia" w:eastAsiaTheme="minorEastAsia"/>
          <w:b/>
          <w:color w:val="000000" w:themeColor="text1"/>
          <w:sz w:val="28"/>
          <w:szCs w:val="28"/>
          <w:highlight w:val="none"/>
          <w14:textFill>
            <w14:solidFill>
              <w14:schemeClr w14:val="tx1"/>
            </w14:solidFill>
          </w14:textFill>
        </w:rPr>
      </w:pPr>
      <w:bookmarkStart w:id="376" w:name="_Toc20470_WPSOffice_Level3"/>
      <w:r>
        <w:rPr>
          <w:rFonts w:hint="eastAsia" w:cs="仿宋_GB2312" w:asciiTheme="minorEastAsia" w:hAnsiTheme="minorEastAsia" w:eastAsiaTheme="minorEastAsia"/>
          <w:bCs/>
          <w:color w:val="000000" w:themeColor="text1"/>
          <w:sz w:val="28"/>
          <w:szCs w:val="28"/>
          <w:highlight w:val="none"/>
          <w14:textFill>
            <w14:solidFill>
              <w14:schemeClr w14:val="tx1"/>
            </w14:solidFill>
          </w14:textFill>
        </w:rPr>
        <w:t xml:space="preserve">      日期：</w:t>
      </w:r>
      <w:bookmarkEnd w:id="376"/>
    </w:p>
    <w:p w14:paraId="619D1730">
      <w:pPr>
        <w:widowControl/>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p>
    <w:p w14:paraId="17FB95A1">
      <w:pPr>
        <w:widowControl/>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t>注</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t>从业人员</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t>营业收入</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t>资产总额填报上一年度数据</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t>无上一年度数据的新成立企业可不填报</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p>
    <w:p w14:paraId="4F6773CF">
      <w:pPr>
        <w:adjustRightInd w:val="0"/>
        <w:snapToGrid w:val="0"/>
        <w:spacing w:beforeLines="50" w:line="520" w:lineRule="exact"/>
        <w:ind w:firstLineChars="71"/>
        <w:jc w:val="center"/>
        <w:rPr>
          <w:rFonts w:cs="楷体" w:asciiTheme="minorEastAsia" w:hAnsiTheme="minorEastAsia" w:eastAsiaTheme="minorEastAsia"/>
          <w:b/>
          <w:color w:val="000000" w:themeColor="text1"/>
          <w:sz w:val="28"/>
          <w:szCs w:val="28"/>
          <w:highlight w:val="none"/>
          <w14:textFill>
            <w14:solidFill>
              <w14:schemeClr w14:val="tx1"/>
            </w14:solidFill>
          </w14:textFill>
        </w:rPr>
      </w:pPr>
      <w:bookmarkStart w:id="377" w:name="_Toc14211_WPSOffice_Level3"/>
      <w:bookmarkStart w:id="378" w:name="_Toc12160"/>
      <w:bookmarkStart w:id="379" w:name="_Toc11740"/>
      <w:r>
        <w:rPr>
          <w:rFonts w:hint="eastAsia" w:cs="楷体" w:asciiTheme="minorEastAsia" w:hAnsiTheme="minorEastAsia" w:eastAsiaTheme="minorEastAsia"/>
          <w:b/>
          <w:color w:val="000000" w:themeColor="text1"/>
          <w:kern w:val="2"/>
          <w:sz w:val="28"/>
          <w:szCs w:val="28"/>
          <w:highlight w:val="none"/>
          <w14:textFill>
            <w14:solidFill>
              <w14:schemeClr w14:val="tx1"/>
            </w14:solidFill>
          </w14:textFill>
        </w:rPr>
        <w:t>2.残疾人福利性单位声明函</w:t>
      </w:r>
      <w:bookmarkEnd w:id="377"/>
      <w:bookmarkEnd w:id="378"/>
      <w:bookmarkEnd w:id="379"/>
    </w:p>
    <w:p w14:paraId="04A3C065">
      <w:pPr>
        <w:adjustRightInd w:val="0"/>
        <w:snapToGrid w:val="0"/>
        <w:spacing w:line="520" w:lineRule="exact"/>
        <w:ind w:firstLine="586"/>
        <w:jc w:val="cente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bookmarkStart w:id="380" w:name="_Toc17469_WPSOffice_Level3"/>
      <w:bookmarkStart w:id="381" w:name="_Toc12079_WPSOffice_Level3"/>
      <w:r>
        <w:rPr>
          <w:rFonts w:hint="eastAsia" w:cs="仿宋_GB2312" w:asciiTheme="minorEastAsia" w:hAnsiTheme="minorEastAsia" w:eastAsiaTheme="minorEastAsia"/>
          <w:b/>
          <w:color w:val="000000" w:themeColor="text1"/>
          <w:spacing w:val="6"/>
          <w:sz w:val="28"/>
          <w:szCs w:val="28"/>
          <w:highlight w:val="none"/>
          <w14:textFill>
            <w14:solidFill>
              <w14:schemeClr w14:val="tx1"/>
            </w14:solidFill>
          </w14:textFill>
        </w:rPr>
        <w:t>(不属于残疾人福利性单位的无需填写)</w:t>
      </w:r>
      <w:bookmarkEnd w:id="380"/>
      <w:bookmarkEnd w:id="381"/>
    </w:p>
    <w:p w14:paraId="2660A7F3">
      <w:pPr>
        <w:spacing w:line="520" w:lineRule="exact"/>
        <w:ind w:firstLine="584"/>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本单位郑重声明，根据《财政部、民政部、中国残疾人联合会关于促进残疾人就业政府采购政策的通知》（财库〔2017〕141号）的规定，本单位为符合条件的残疾人福利性单位，本单位在职职工人数为人，安置的残疾人人数人。且本单位参加单位的项目采购活动提供的服务，或者提供其他残疾人福利性单位制造的服务（不包括使用非残疾人福利性单位注册商标的服务）。</w:t>
      </w:r>
    </w:p>
    <w:p w14:paraId="4CEA7B56">
      <w:pPr>
        <w:spacing w:line="520" w:lineRule="exact"/>
        <w:ind w:firstLine="584"/>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本单位对上述声明的真实性负责。如有虚假，将依法承担相应责任。</w:t>
      </w:r>
    </w:p>
    <w:p w14:paraId="4B4D9278">
      <w:pPr>
        <w:spacing w:beforeLines="50" w:line="520" w:lineRule="exact"/>
        <w:ind w:firstLine="584"/>
        <w:jc w:val="cente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bookmarkStart w:id="382" w:name="_Toc17628_WPSOffice_Level3"/>
    </w:p>
    <w:p w14:paraId="05855735">
      <w:pPr>
        <w:spacing w:beforeLines="50" w:line="520" w:lineRule="exact"/>
        <w:ind w:firstLine="584"/>
        <w:jc w:val="cente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 xml:space="preserve">                单位名称：（公章）</w:t>
      </w:r>
      <w:bookmarkEnd w:id="382"/>
    </w:p>
    <w:p w14:paraId="2F429690">
      <w:pPr>
        <w:spacing w:beforeLines="50" w:line="520" w:lineRule="exact"/>
        <w:ind w:firstLine="584"/>
        <w:jc w:val="cente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bookmarkStart w:id="383" w:name="_Toc32124_WPSOffice_Level3"/>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法定代表人或委托代理人：（签字或盖章）</w:t>
      </w:r>
      <w:bookmarkEnd w:id="383"/>
    </w:p>
    <w:p w14:paraId="17FF4C7E">
      <w:pPr>
        <w:spacing w:beforeLines="50" w:line="520" w:lineRule="exact"/>
        <w:ind w:firstLine="584"/>
        <w:jc w:val="cente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bookmarkStart w:id="384" w:name="_Toc1871_WPSOffice_Level3"/>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年   月  日</w:t>
      </w:r>
      <w:bookmarkEnd w:id="384"/>
    </w:p>
    <w:p w14:paraId="75BBE7DF">
      <w:pPr>
        <w:adjustRightInd w:val="0"/>
        <w:snapToGrid w:val="0"/>
        <w:spacing w:line="520" w:lineRule="exact"/>
        <w:ind w:firstLine="584"/>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p>
    <w:p w14:paraId="336E5909">
      <w:pPr>
        <w:adjustRightInd w:val="0"/>
        <w:snapToGrid w:val="0"/>
        <w:spacing w:line="520" w:lineRule="exact"/>
        <w:ind w:firstLine="584"/>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p>
    <w:p w14:paraId="6A9EE59B">
      <w:pPr>
        <w:adjustRightInd w:val="0"/>
        <w:snapToGrid w:val="0"/>
        <w:spacing w:beforeLines="50" w:line="520" w:lineRule="exact"/>
        <w:ind w:firstLine="584"/>
        <w:rPr>
          <w:rFonts w:asciiTheme="minorEastAsia" w:hAnsiTheme="minorEastAsia" w:eastAsiaTheme="minorEastAsia"/>
          <w:color w:val="000000" w:themeColor="text1"/>
          <w:spacing w:val="6"/>
          <w:sz w:val="28"/>
          <w:szCs w:val="28"/>
          <w:highlight w:val="none"/>
          <w14:textFill>
            <w14:solidFill>
              <w14:schemeClr w14:val="tx1"/>
            </w14:solidFill>
          </w14:textFill>
        </w:rPr>
      </w:pPr>
    </w:p>
    <w:p w14:paraId="136ED36F">
      <w:pPr>
        <w:adjustRightInd w:val="0"/>
        <w:snapToGrid w:val="0"/>
        <w:spacing w:beforeLines="50" w:line="520" w:lineRule="exact"/>
        <w:ind w:firstLine="584"/>
        <w:rPr>
          <w:rFonts w:asciiTheme="minorEastAsia" w:hAnsiTheme="minorEastAsia" w:eastAsiaTheme="minorEastAsia"/>
          <w:color w:val="000000" w:themeColor="text1"/>
          <w:spacing w:val="6"/>
          <w:sz w:val="28"/>
          <w:szCs w:val="28"/>
          <w:highlight w:val="none"/>
          <w14:textFill>
            <w14:solidFill>
              <w14:schemeClr w14:val="tx1"/>
            </w14:solidFill>
          </w14:textFill>
        </w:rPr>
      </w:pPr>
    </w:p>
    <w:p w14:paraId="765D03CC">
      <w:pPr>
        <w:adjustRightInd w:val="0"/>
        <w:snapToGrid w:val="0"/>
        <w:spacing w:beforeLines="50" w:line="520" w:lineRule="exact"/>
        <w:ind w:firstLine="584"/>
        <w:rPr>
          <w:rFonts w:asciiTheme="minorEastAsia" w:hAnsiTheme="minorEastAsia" w:eastAsiaTheme="minorEastAsia"/>
          <w:color w:val="000000" w:themeColor="text1"/>
          <w:spacing w:val="6"/>
          <w:sz w:val="28"/>
          <w:szCs w:val="28"/>
          <w:highlight w:val="none"/>
          <w14:textFill>
            <w14:solidFill>
              <w14:schemeClr w14:val="tx1"/>
            </w14:solidFill>
          </w14:textFill>
        </w:rPr>
      </w:pPr>
    </w:p>
    <w:p w14:paraId="2E307A16">
      <w:pPr>
        <w:adjustRightInd w:val="0"/>
        <w:snapToGrid w:val="0"/>
        <w:spacing w:beforeLines="50" w:line="520" w:lineRule="exact"/>
        <w:ind w:firstLine="584"/>
        <w:rPr>
          <w:rFonts w:asciiTheme="minorEastAsia" w:hAnsiTheme="minorEastAsia" w:eastAsiaTheme="minorEastAsia"/>
          <w:color w:val="000000" w:themeColor="text1"/>
          <w:spacing w:val="6"/>
          <w:sz w:val="28"/>
          <w:szCs w:val="28"/>
          <w:highlight w:val="none"/>
          <w14:textFill>
            <w14:solidFill>
              <w14:schemeClr w14:val="tx1"/>
            </w14:solidFill>
          </w14:textFill>
        </w:rPr>
      </w:pPr>
    </w:p>
    <w:p w14:paraId="61A02A07">
      <w:pPr>
        <w:adjustRightInd w:val="0"/>
        <w:snapToGrid w:val="0"/>
        <w:spacing w:beforeLines="50" w:line="520" w:lineRule="exact"/>
        <w:ind w:firstLine="584"/>
        <w:rPr>
          <w:rFonts w:asciiTheme="minorEastAsia" w:hAnsiTheme="minorEastAsia" w:eastAsiaTheme="minorEastAsia"/>
          <w:color w:val="000000" w:themeColor="text1"/>
          <w:spacing w:val="6"/>
          <w:sz w:val="28"/>
          <w:szCs w:val="28"/>
          <w:highlight w:val="none"/>
          <w14:textFill>
            <w14:solidFill>
              <w14:schemeClr w14:val="tx1"/>
            </w14:solidFill>
          </w14:textFill>
        </w:rPr>
      </w:pPr>
    </w:p>
    <w:p w14:paraId="611C5B34">
      <w:pPr>
        <w:adjustRightInd w:val="0"/>
        <w:snapToGrid w:val="0"/>
        <w:spacing w:beforeLines="50" w:line="520" w:lineRule="exact"/>
        <w:ind w:firstLine="584"/>
        <w:rPr>
          <w:rFonts w:asciiTheme="minorEastAsia" w:hAnsiTheme="minorEastAsia" w:eastAsiaTheme="minorEastAsia"/>
          <w:color w:val="000000" w:themeColor="text1"/>
          <w:spacing w:val="6"/>
          <w:sz w:val="28"/>
          <w:szCs w:val="28"/>
          <w:highlight w:val="none"/>
          <w14:textFill>
            <w14:solidFill>
              <w14:schemeClr w14:val="tx1"/>
            </w14:solidFill>
          </w14:textFill>
        </w:rPr>
      </w:pPr>
    </w:p>
    <w:p w14:paraId="57EC3CAC">
      <w:pPr>
        <w:spacing w:beforeLines="50" w:line="520" w:lineRule="exact"/>
        <w:ind w:firstLine="560"/>
        <w:rPr>
          <w:rFonts w:cs="楷体" w:asciiTheme="minorEastAsia" w:hAnsiTheme="minorEastAsia" w:eastAsiaTheme="minorEastAsia"/>
          <w:color w:val="000000" w:themeColor="text1"/>
          <w:sz w:val="28"/>
          <w:szCs w:val="28"/>
          <w:highlight w:val="none"/>
          <w14:textFill>
            <w14:solidFill>
              <w14:schemeClr w14:val="tx1"/>
            </w14:solidFill>
          </w14:textFill>
        </w:rPr>
      </w:pPr>
    </w:p>
    <w:p w14:paraId="2173459C">
      <w:pPr>
        <w:spacing w:beforeLines="50" w:line="520" w:lineRule="exact"/>
        <w:ind w:firstLine="560"/>
        <w:rPr>
          <w:rFonts w:cs="楷体" w:asciiTheme="minorEastAsia" w:hAnsiTheme="minorEastAsia" w:eastAsiaTheme="minorEastAsia"/>
          <w:color w:val="000000" w:themeColor="text1"/>
          <w:sz w:val="28"/>
          <w:szCs w:val="28"/>
          <w:highlight w:val="none"/>
          <w14:textFill>
            <w14:solidFill>
              <w14:schemeClr w14:val="tx1"/>
            </w14:solidFill>
          </w14:textFill>
        </w:rPr>
      </w:pPr>
    </w:p>
    <w:p w14:paraId="0C8FC3ED">
      <w:pPr>
        <w:adjustRightInd w:val="0"/>
        <w:snapToGrid w:val="0"/>
        <w:spacing w:beforeLines="50" w:line="520" w:lineRule="exact"/>
        <w:ind w:firstLineChars="71"/>
        <w:jc w:val="center"/>
        <w:rPr>
          <w:rFonts w:cs="楷体" w:asciiTheme="minorEastAsia" w:hAnsiTheme="minorEastAsia" w:eastAsiaTheme="minorEastAsia"/>
          <w:b/>
          <w:color w:val="000000" w:themeColor="text1"/>
          <w:sz w:val="28"/>
          <w:szCs w:val="28"/>
          <w:highlight w:val="none"/>
          <w14:textFill>
            <w14:solidFill>
              <w14:schemeClr w14:val="tx1"/>
            </w14:solidFill>
          </w14:textFill>
        </w:rPr>
      </w:pPr>
      <w:bookmarkStart w:id="385" w:name="_Toc30801"/>
      <w:bookmarkStart w:id="386" w:name="_Toc9477"/>
      <w:r>
        <w:rPr>
          <w:rFonts w:hint="eastAsia" w:cs="楷体" w:asciiTheme="minorEastAsia" w:hAnsiTheme="minorEastAsia" w:eastAsiaTheme="minorEastAsia"/>
          <w:b/>
          <w:color w:val="000000" w:themeColor="text1"/>
          <w:kern w:val="2"/>
          <w:sz w:val="28"/>
          <w:szCs w:val="28"/>
          <w:highlight w:val="none"/>
          <w14:textFill>
            <w14:solidFill>
              <w14:schemeClr w14:val="tx1"/>
            </w14:solidFill>
          </w14:textFill>
        </w:rPr>
        <w:t>3.监狱企业证明资料</w:t>
      </w:r>
      <w:bookmarkEnd w:id="385"/>
      <w:bookmarkEnd w:id="386"/>
    </w:p>
    <w:p w14:paraId="3FE38CAA">
      <w:pPr>
        <w:adjustRightInd w:val="0"/>
        <w:snapToGrid w:val="0"/>
        <w:spacing w:line="520" w:lineRule="exact"/>
        <w:ind w:firstLine="232" w:firstLineChars="79"/>
        <w:jc w:val="center"/>
        <w:rPr>
          <w:rFonts w:cs="仿宋_GB2312" w:asciiTheme="minorEastAsia" w:hAnsiTheme="minorEastAsia" w:eastAsiaTheme="minorEastAsia"/>
          <w:color w:val="000000" w:themeColor="text1"/>
          <w:sz w:val="28"/>
          <w:szCs w:val="28"/>
          <w:highlight w:val="none"/>
          <w14:textFill>
            <w14:solidFill>
              <w14:schemeClr w14:val="tx1"/>
            </w14:solidFill>
          </w14:textFill>
        </w:rPr>
      </w:pPr>
      <w:bookmarkStart w:id="387" w:name="_Toc25903_WPSOffice_Level3"/>
      <w:bookmarkStart w:id="388" w:name="_Toc28022_WPSOffice_Level3"/>
      <w:r>
        <w:rPr>
          <w:rFonts w:hint="eastAsia" w:cs="仿宋_GB2312" w:asciiTheme="minorEastAsia" w:hAnsiTheme="minorEastAsia" w:eastAsiaTheme="minorEastAsia"/>
          <w:b/>
          <w:color w:val="000000" w:themeColor="text1"/>
          <w:spacing w:val="6"/>
          <w:sz w:val="28"/>
          <w:szCs w:val="28"/>
          <w:highlight w:val="none"/>
          <w14:textFill>
            <w14:solidFill>
              <w14:schemeClr w14:val="tx1"/>
            </w14:solidFill>
          </w14:textFill>
        </w:rPr>
        <w:t>(不属于监狱企业的无需提供)</w:t>
      </w:r>
      <w:bookmarkEnd w:id="387"/>
      <w:bookmarkEnd w:id="388"/>
    </w:p>
    <w:p w14:paraId="6D61A170">
      <w:pPr>
        <w:adjustRightInd w:val="0"/>
        <w:snapToGrid w:val="0"/>
        <w:spacing w:line="520" w:lineRule="exact"/>
        <w:ind w:firstLine="584"/>
        <w:rPr>
          <w:rFonts w:cs="仿宋_GB2312" w:asciiTheme="minorEastAsia" w:hAnsiTheme="minorEastAsia" w:eastAsiaTheme="minorEastAsia"/>
          <w:color w:val="000000" w:themeColor="text1"/>
          <w:sz w:val="28"/>
          <w:szCs w:val="28"/>
          <w:highlight w:val="none"/>
          <w14:textFill>
            <w14:solidFill>
              <w14:schemeClr w14:val="tx1"/>
            </w14:solidFill>
          </w14:textFill>
        </w:rPr>
      </w:pPr>
      <w:r>
        <w:rPr>
          <w:rFonts w:hint="eastAsia" w:cs="仿宋_GB2312" w:asciiTheme="minorEastAsia" w:hAnsiTheme="minorEastAsia" w:eastAsiaTheme="minorEastAsia"/>
          <w:bCs/>
          <w:color w:val="000000" w:themeColor="text1"/>
          <w:spacing w:val="6"/>
          <w:sz w:val="28"/>
          <w:szCs w:val="28"/>
          <w:highlight w:val="none"/>
          <w14:textFill>
            <w14:solidFill>
              <w14:schemeClr w14:val="tx1"/>
            </w14:solidFill>
          </w14:textFill>
        </w:rPr>
        <w:t>备注：</w:t>
      </w:r>
      <w:r>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t>按</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r>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t>财政部 司法部关于政府采购支持监狱企业发展有关问题的通知</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r>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t>(财库〔2014〕68号)文件规定提供证明文件（复印件）。</w:t>
      </w:r>
    </w:p>
    <w:p w14:paraId="326AD47F">
      <w:pPr>
        <w:adjustRightInd w:val="0"/>
        <w:snapToGrid w:val="0"/>
        <w:spacing w:line="520" w:lineRule="exact"/>
        <w:ind w:firstLine="560"/>
        <w:rPr>
          <w:rFonts w:cs="仿宋_GB2312" w:asciiTheme="minorEastAsia" w:hAnsiTheme="minorEastAsia" w:eastAsiaTheme="minorEastAsia"/>
          <w:color w:val="000000" w:themeColor="text1"/>
          <w:sz w:val="28"/>
          <w:szCs w:val="28"/>
          <w:highlight w:val="none"/>
          <w14:textFill>
            <w14:solidFill>
              <w14:schemeClr w14:val="tx1"/>
            </w14:solidFill>
          </w14:textFill>
        </w:rPr>
      </w:pPr>
    </w:p>
    <w:p w14:paraId="7FD550EF">
      <w:pPr>
        <w:adjustRightInd w:val="0"/>
        <w:snapToGrid w:val="0"/>
        <w:spacing w:line="520" w:lineRule="exact"/>
        <w:ind w:firstLine="560"/>
        <w:rPr>
          <w:rFonts w:cs="仿宋_GB2312" w:asciiTheme="minorEastAsia" w:hAnsiTheme="minorEastAsia" w:eastAsiaTheme="minorEastAsia"/>
          <w:color w:val="000000" w:themeColor="text1"/>
          <w:sz w:val="28"/>
          <w:szCs w:val="28"/>
          <w:highlight w:val="none"/>
          <w14:textFill>
            <w14:solidFill>
              <w14:schemeClr w14:val="tx1"/>
            </w14:solidFill>
          </w14:textFill>
        </w:rPr>
      </w:pPr>
    </w:p>
    <w:p w14:paraId="25702E33">
      <w:pPr>
        <w:spacing w:beforeLines="50" w:line="520" w:lineRule="exact"/>
        <w:ind w:firstLine="560"/>
        <w:jc w:val="center"/>
        <w:rPr>
          <w:rFonts w:cs="仿宋_GB2312" w:asciiTheme="minorEastAsia" w:hAnsiTheme="minorEastAsia" w:eastAsiaTheme="minorEastAsia"/>
          <w:bCs/>
          <w:color w:val="000000" w:themeColor="text1"/>
          <w:sz w:val="28"/>
          <w:szCs w:val="28"/>
          <w:highlight w:val="none"/>
          <w14:textFill>
            <w14:solidFill>
              <w14:schemeClr w14:val="tx1"/>
            </w14:solidFill>
          </w14:textFill>
        </w:rPr>
      </w:pPr>
      <w:bookmarkStart w:id="389" w:name="_Toc22071_WPSOffice_Level3"/>
      <w:r>
        <w:rPr>
          <w:rFonts w:hint="eastAsia" w:cs="仿宋_GB2312" w:asciiTheme="minorEastAsia" w:hAnsiTheme="minorEastAsia" w:eastAsiaTheme="minorEastAsia"/>
          <w:bCs/>
          <w:color w:val="000000" w:themeColor="text1"/>
          <w:sz w:val="28"/>
          <w:szCs w:val="28"/>
          <w:highlight w:val="none"/>
          <w14:textFill>
            <w14:solidFill>
              <w14:schemeClr w14:val="tx1"/>
            </w14:solidFill>
          </w14:textFill>
        </w:rPr>
        <w:t>单位名称：（公章）</w:t>
      </w:r>
      <w:bookmarkEnd w:id="389"/>
    </w:p>
    <w:p w14:paraId="3054C0C3">
      <w:pPr>
        <w:spacing w:beforeLines="50" w:line="520" w:lineRule="exact"/>
        <w:ind w:firstLine="560"/>
        <w:jc w:val="center"/>
        <w:rPr>
          <w:rFonts w:cs="仿宋_GB2312" w:asciiTheme="minorEastAsia" w:hAnsiTheme="minorEastAsia" w:eastAsiaTheme="minorEastAsia"/>
          <w:bCs/>
          <w:color w:val="000000" w:themeColor="text1"/>
          <w:sz w:val="28"/>
          <w:szCs w:val="28"/>
          <w:highlight w:val="none"/>
          <w14:textFill>
            <w14:solidFill>
              <w14:schemeClr w14:val="tx1"/>
            </w14:solidFill>
          </w14:textFill>
        </w:rPr>
      </w:pPr>
      <w:bookmarkStart w:id="390" w:name="_Toc11539_WPSOffice_Level3"/>
      <w:r>
        <w:rPr>
          <w:rFonts w:hint="eastAsia" w:cs="仿宋_GB2312" w:asciiTheme="minorEastAsia" w:hAnsiTheme="minorEastAsia" w:eastAsiaTheme="minorEastAsia"/>
          <w:bCs/>
          <w:color w:val="000000" w:themeColor="text1"/>
          <w:sz w:val="28"/>
          <w:szCs w:val="28"/>
          <w:highlight w:val="none"/>
          <w14:textFill>
            <w14:solidFill>
              <w14:schemeClr w14:val="tx1"/>
            </w14:solidFill>
          </w14:textFill>
        </w:rPr>
        <w:t>法定代表人或委托代理人：（签字或盖章）</w:t>
      </w:r>
      <w:bookmarkEnd w:id="390"/>
    </w:p>
    <w:p w14:paraId="7369F67D">
      <w:pPr>
        <w:spacing w:beforeLines="50" w:line="520" w:lineRule="exact"/>
        <w:ind w:firstLine="560"/>
        <w:jc w:val="center"/>
        <w:rPr>
          <w:rFonts w:asciiTheme="minorEastAsia" w:hAnsiTheme="minorEastAsia" w:eastAsiaTheme="minorEastAsia"/>
          <w:color w:val="000000" w:themeColor="text1"/>
          <w:spacing w:val="6"/>
          <w:sz w:val="28"/>
          <w:szCs w:val="28"/>
          <w:highlight w:val="none"/>
          <w14:textFill>
            <w14:solidFill>
              <w14:schemeClr w14:val="tx1"/>
            </w14:solidFill>
          </w14:textFill>
        </w:rPr>
      </w:pPr>
      <w:bookmarkStart w:id="391" w:name="_Toc3285_WPSOffice_Level3"/>
      <w:r>
        <w:rPr>
          <w:rFonts w:hint="eastAsia" w:cs="仿宋_GB2312" w:asciiTheme="minorEastAsia" w:hAnsiTheme="minorEastAsia" w:eastAsiaTheme="minorEastAsia"/>
          <w:bCs/>
          <w:color w:val="000000" w:themeColor="text1"/>
          <w:sz w:val="28"/>
          <w:szCs w:val="28"/>
          <w:highlight w:val="none"/>
          <w14:textFill>
            <w14:solidFill>
              <w14:schemeClr w14:val="tx1"/>
            </w14:solidFill>
          </w14:textFill>
        </w:rPr>
        <w:t>年   月  日</w:t>
      </w:r>
      <w:bookmarkEnd w:id="391"/>
    </w:p>
    <w:p w14:paraId="4E1D8372">
      <w:pPr>
        <w:adjustRightInd w:val="0"/>
        <w:snapToGrid w:val="0"/>
        <w:spacing w:line="520" w:lineRule="exact"/>
        <w:ind w:firstLine="560"/>
        <w:rPr>
          <w:rFonts w:cs="仿宋_GB2312" w:asciiTheme="minorEastAsia" w:hAnsiTheme="minorEastAsia" w:eastAsiaTheme="minorEastAsia"/>
          <w:color w:val="000000" w:themeColor="text1"/>
          <w:sz w:val="28"/>
          <w:szCs w:val="28"/>
          <w:highlight w:val="none"/>
          <w14:textFill>
            <w14:solidFill>
              <w14:schemeClr w14:val="tx1"/>
            </w14:solidFill>
          </w14:textFill>
        </w:rPr>
      </w:pPr>
    </w:p>
    <w:p w14:paraId="3D40A2FE">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2FAC8A24">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67009A95">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7D6BCB0E">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425A3D80">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47729920">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030CECB6">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2F168F8A">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60D17D58">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4561A392">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77EF1D3F">
      <w:pPr>
        <w:spacing w:line="520" w:lineRule="exact"/>
        <w:ind w:firstLine="562"/>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D33929F">
      <w:pPr>
        <w:spacing w:line="520" w:lineRule="exact"/>
        <w:ind w:firstLine="562"/>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46819BF3">
      <w:pPr>
        <w:spacing w:line="520" w:lineRule="exact"/>
        <w:ind w:firstLineChars="71"/>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r>
        <w:rPr>
          <w:rFonts w:hint="eastAsia" w:cs="宋体" w:asciiTheme="minorEastAsia" w:hAnsiTheme="minorEastAsia" w:eastAsiaTheme="minorEastAsia"/>
          <w:b/>
          <w:color w:val="000000" w:themeColor="text1"/>
          <w:sz w:val="28"/>
          <w:szCs w:val="28"/>
          <w:highlight w:val="none"/>
          <w:lang w:val="en-US" w:eastAsia="zh-CN"/>
          <w14:textFill>
            <w14:solidFill>
              <w14:schemeClr w14:val="tx1"/>
            </w14:solidFill>
          </w14:textFill>
        </w:rPr>
        <w:t>19</w:t>
      </w: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：供应商认为在其他方面有必要说明的事项</w:t>
      </w:r>
    </w:p>
    <w:p w14:paraId="7CAEFF76">
      <w:pPr>
        <w:spacing w:line="520" w:lineRule="exact"/>
        <w:ind w:firstLine="562"/>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D9E05BB">
      <w:pPr>
        <w:spacing w:line="520" w:lineRule="exact"/>
        <w:ind w:firstLine="562"/>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供应商认为在其他方面有必要说明的事项</w:t>
      </w:r>
    </w:p>
    <w:p w14:paraId="5BA0DD48">
      <w:pPr>
        <w:widowControl/>
        <w:spacing w:line="240" w:lineRule="auto"/>
        <w:ind w:firstLine="0" w:firstLineChars="0"/>
        <w:jc w:val="left"/>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p>
    <w:p w14:paraId="3532130A">
      <w:pPr>
        <w:pStyle w:val="30"/>
        <w:spacing w:line="240" w:lineRule="auto"/>
        <w:ind w:firstLine="0" w:firstLineChars="0"/>
        <w:rPr>
          <w:rFonts w:ascii="宋体" w:hAnsi="宋体"/>
          <w:color w:val="000000" w:themeColor="text1"/>
          <w:kern w:val="2"/>
          <w:sz w:val="44"/>
          <w:szCs w:val="44"/>
          <w:highlight w:val="none"/>
          <w:lang w:val="zh-CN"/>
          <w14:textFill>
            <w14:solidFill>
              <w14:schemeClr w14:val="tx1"/>
            </w14:solidFill>
          </w14:textFill>
        </w:rPr>
      </w:pPr>
      <w:bookmarkStart w:id="392" w:name="_Toc101710031"/>
      <w:r>
        <w:rPr>
          <w:rFonts w:hint="eastAsia" w:ascii="宋体" w:hAnsi="宋体"/>
          <w:color w:val="000000" w:themeColor="text1"/>
          <w:kern w:val="2"/>
          <w:sz w:val="44"/>
          <w:szCs w:val="44"/>
          <w:highlight w:val="none"/>
          <w:lang w:val="zh-CN"/>
          <w14:textFill>
            <w14:solidFill>
              <w14:schemeClr w14:val="tx1"/>
            </w14:solidFill>
          </w14:textFill>
        </w:rPr>
        <w:t>第五部分</w:t>
      </w:r>
      <w:bookmarkStart w:id="393" w:name="_Toc38126902"/>
      <w:bookmarkStart w:id="394" w:name="_Toc116636454"/>
      <w:bookmarkStart w:id="395" w:name="_Toc304808877"/>
      <w:bookmarkStart w:id="396" w:name="_Toc38020434"/>
      <w:r>
        <w:rPr>
          <w:rFonts w:hint="eastAsia" w:ascii="宋体" w:hAnsi="宋体"/>
          <w:color w:val="000000" w:themeColor="text1"/>
          <w:kern w:val="2"/>
          <w:sz w:val="44"/>
          <w:szCs w:val="44"/>
          <w:highlight w:val="none"/>
          <w:lang w:val="zh-CN"/>
          <w14:textFill>
            <w14:solidFill>
              <w14:schemeClr w14:val="tx1"/>
            </w14:solidFill>
          </w14:textFill>
        </w:rPr>
        <w:t>服务要求</w:t>
      </w:r>
      <w:bookmarkEnd w:id="392"/>
    </w:p>
    <w:bookmarkEnd w:id="393"/>
    <w:bookmarkEnd w:id="394"/>
    <w:bookmarkEnd w:id="395"/>
    <w:bookmarkEnd w:id="396"/>
    <w:p w14:paraId="16DDD733">
      <w:pPr>
        <w:pStyle w:val="10"/>
        <w:pageBreakBefore w:val="0"/>
        <w:widowControl w:val="0"/>
        <w:kinsoku/>
        <w:wordWrap/>
        <w:overflowPunct/>
        <w:topLinePunct w:val="0"/>
        <w:autoSpaceDE/>
        <w:autoSpaceDN/>
        <w:bidi w:val="0"/>
        <w:adjustRightInd/>
        <w:snapToGrid/>
        <w:spacing w:line="576" w:lineRule="exact"/>
        <w:jc w:val="center"/>
        <w:textAlignment w:val="auto"/>
        <w:outlineLvl w:val="0"/>
        <w:rPr>
          <w:rFonts w:hint="eastAsia" w:ascii="Arial Unicode MS" w:hAnsi="Arial Unicode MS" w:eastAsia="Arial Unicode MS" w:cs="Arial Unicode MS"/>
          <w:sz w:val="44"/>
          <w:szCs w:val="44"/>
        </w:rPr>
      </w:pPr>
      <w:bookmarkStart w:id="397" w:name="_Toc17186"/>
      <w:r>
        <w:rPr>
          <w:rFonts w:hint="eastAsia" w:ascii="Arial Unicode MS" w:hAnsi="Arial Unicode MS" w:eastAsia="Arial Unicode MS" w:cs="Arial Unicode MS"/>
          <w:sz w:val="44"/>
          <w:szCs w:val="44"/>
        </w:rPr>
        <w:t>项目概况及服务要求</w:t>
      </w:r>
      <w:bookmarkEnd w:id="397"/>
    </w:p>
    <w:p w14:paraId="5B0DA054">
      <w:pPr>
        <w:pageBreakBefore w:val="0"/>
        <w:numPr>
          <w:ilvl w:val="0"/>
          <w:numId w:val="0"/>
        </w:numPr>
        <w:kinsoku/>
        <w:wordWrap/>
        <w:overflowPunct/>
        <w:topLinePunct w:val="0"/>
        <w:autoSpaceDE/>
        <w:autoSpaceDN/>
        <w:bidi w:val="0"/>
        <w:snapToGrid/>
        <w:spacing w:line="520" w:lineRule="exact"/>
        <w:rPr>
          <w:rFonts w:hint="eastAsia"/>
          <w:b/>
          <w:bCs/>
          <w:sz w:val="32"/>
          <w:szCs w:val="40"/>
          <w:highlight w:val="none"/>
          <w:lang w:val="en-US" w:eastAsia="zh-CN"/>
        </w:rPr>
      </w:pPr>
      <w:r>
        <w:rPr>
          <w:rFonts w:hint="eastAsia"/>
          <w:b/>
          <w:bCs/>
          <w:sz w:val="32"/>
          <w:szCs w:val="40"/>
          <w:highlight w:val="none"/>
          <w:lang w:val="en-US" w:eastAsia="zh-CN"/>
        </w:rPr>
        <w:t>一、服务内容</w:t>
      </w:r>
    </w:p>
    <w:p w14:paraId="6C816484">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rPr>
      </w:pPr>
      <w:r>
        <w:rPr>
          <w:rFonts w:hint="eastAsia" w:ascii="仿宋" w:hAnsi="仿宋" w:eastAsia="仿宋" w:cs="宋体"/>
          <w:kern w:val="0"/>
          <w:sz w:val="30"/>
          <w:szCs w:val="30"/>
        </w:rPr>
        <w:t>项目概况：</w:t>
      </w:r>
    </w:p>
    <w:p w14:paraId="6F1C95C2">
      <w:pPr>
        <w:pageBreakBefore w:val="0"/>
        <w:widowControl/>
        <w:shd w:val="clear" w:color="auto" w:fill="FFFFFF"/>
        <w:kinsoku/>
        <w:wordWrap/>
        <w:overflowPunct/>
        <w:topLinePunct w:val="0"/>
        <w:autoSpaceDE/>
        <w:autoSpaceDN/>
        <w:bidi w:val="0"/>
        <w:snapToGrid/>
        <w:spacing w:line="520" w:lineRule="exact"/>
        <w:ind w:firstLine="600" w:firstLineChars="200"/>
        <w:jc w:val="left"/>
      </w:pPr>
      <w:r>
        <w:rPr>
          <w:rFonts w:hint="eastAsia" w:ascii="仿宋" w:hAnsi="仿宋" w:eastAsia="仿宋" w:cs="宋体"/>
          <w:kern w:val="0"/>
          <w:sz w:val="30"/>
          <w:szCs w:val="30"/>
        </w:rPr>
        <w:t>我校2025年预计有1030名硕士研究生、35名博士研究生毕业；2026年预计有950名硕士研究生、18名博士研究生毕业；2027年预计有1100名硕士研究生、19名博士研究生毕业（以上数据根据2024年我校在校生库预计，非包含往届结业生及2025年录取2年制研究生，具体实际送审数额以当年毕业实际人数为准）。每篇论文送审3名专家。成交商应提供不少于上数篇次（人数*3）的论文送审服务，如实际送审数额超过当年预计毕业人数也应按要求提供送审服务。</w:t>
      </w:r>
    </w:p>
    <w:p w14:paraId="31C0968E">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rPr>
      </w:pPr>
      <w:r>
        <w:rPr>
          <w:rFonts w:hint="eastAsia" w:ascii="仿宋" w:hAnsi="仿宋" w:eastAsia="仿宋" w:cs="宋体"/>
          <w:kern w:val="0"/>
          <w:sz w:val="30"/>
          <w:szCs w:val="30"/>
          <w:highlight w:val="none"/>
          <w:lang w:eastAsia="zh-CN"/>
        </w:rPr>
        <w:t>全委托送审，在约定的时间内实现我校</w:t>
      </w:r>
      <w:r>
        <w:rPr>
          <w:rFonts w:hint="eastAsia" w:ascii="仿宋" w:hAnsi="仿宋" w:eastAsia="仿宋" w:cs="宋体"/>
          <w:kern w:val="0"/>
          <w:sz w:val="30"/>
          <w:szCs w:val="30"/>
          <w:highlight w:val="none"/>
          <w:lang w:val="en-US" w:eastAsia="zh-CN"/>
        </w:rPr>
        <w:t>2025年博士硕士研究生学位论文送交符合我校论文评审条件的3位专家进行匿名评审、结果反馈等各环节工作，并做好聘请专家、评审管理、代付劳务费与管理费等相关工作，同时确保送审工作的保密性、安全性、科学性、有效性。论文评审结束后，应在规定时间内完成专家评阅意见书和评审结果汇总表的反馈工作。平台要求：</w:t>
      </w:r>
      <w:r>
        <w:rPr>
          <w:rFonts w:hint="eastAsia" w:ascii="仿宋" w:hAnsi="仿宋" w:eastAsia="仿宋" w:cs="宋体"/>
          <w:kern w:val="0"/>
          <w:sz w:val="30"/>
          <w:szCs w:val="30"/>
          <w:highlight w:val="none"/>
        </w:rPr>
        <w:t>稳定快捷、全流程可控管理、数据安全保密、专家资源质优量多、操作简便。送审高等学校和专家要求：</w:t>
      </w:r>
      <w:r>
        <w:rPr>
          <w:rFonts w:hint="eastAsia" w:ascii="仿宋" w:hAnsi="仿宋" w:eastAsia="仿宋" w:cs="宋体"/>
          <w:kern w:val="0"/>
          <w:sz w:val="30"/>
          <w:szCs w:val="30"/>
          <w:highlight w:val="none"/>
          <w:lang w:val="en-US" w:eastAsia="zh-CN"/>
        </w:rPr>
        <w:t>1.</w:t>
      </w:r>
      <w:r>
        <w:rPr>
          <w:rFonts w:hint="eastAsia" w:ascii="仿宋" w:hAnsi="仿宋" w:eastAsia="仿宋" w:cs="宋体"/>
          <w:kern w:val="0"/>
          <w:sz w:val="30"/>
          <w:szCs w:val="30"/>
          <w:highlight w:val="none"/>
        </w:rPr>
        <w:t>送审高校须与我校有相同的一级学科学位授权点，且排名在我校之前，至少为国内二本以上学校，不接受独立学院和三本院校接评我校送审论文。</w:t>
      </w:r>
      <w:r>
        <w:rPr>
          <w:rFonts w:hint="eastAsia" w:ascii="仿宋" w:hAnsi="仿宋" w:eastAsia="仿宋" w:cs="宋体"/>
          <w:kern w:val="0"/>
          <w:sz w:val="30"/>
          <w:szCs w:val="30"/>
          <w:highlight w:val="none"/>
          <w:lang w:val="en-US" w:eastAsia="zh-CN"/>
        </w:rPr>
        <w:t>2.</w:t>
      </w:r>
      <w:r>
        <w:rPr>
          <w:rFonts w:hint="eastAsia" w:ascii="仿宋" w:hAnsi="仿宋" w:eastAsia="仿宋" w:cs="宋体"/>
          <w:kern w:val="0"/>
          <w:sz w:val="30"/>
          <w:szCs w:val="30"/>
          <w:highlight w:val="none"/>
        </w:rPr>
        <w:t>我校民族类相关学科专业，须送往学科专业相近、学科特色突出的民族类高校。</w:t>
      </w:r>
      <w:r>
        <w:rPr>
          <w:rFonts w:hint="eastAsia" w:ascii="仿宋" w:hAnsi="仿宋" w:eastAsia="仿宋" w:cs="宋体"/>
          <w:kern w:val="0"/>
          <w:sz w:val="30"/>
          <w:szCs w:val="30"/>
          <w:highlight w:val="none"/>
          <w:lang w:val="en-US" w:eastAsia="zh-CN"/>
        </w:rPr>
        <w:t>3.</w:t>
      </w:r>
      <w:r>
        <w:rPr>
          <w:rFonts w:hint="eastAsia" w:ascii="仿宋" w:hAnsi="仿宋" w:eastAsia="仿宋" w:cs="宋体"/>
          <w:kern w:val="0"/>
          <w:sz w:val="30"/>
          <w:szCs w:val="30"/>
          <w:highlight w:val="none"/>
        </w:rPr>
        <w:t>平台须有我校自主设置二级学科和交叉学科专业的小同行专家库，同时专业学位论文有符合职称要求的行业实务专家库。</w:t>
      </w:r>
      <w:r>
        <w:rPr>
          <w:rFonts w:hint="eastAsia" w:ascii="仿宋" w:hAnsi="仿宋" w:eastAsia="仿宋" w:cs="宋体"/>
          <w:kern w:val="0"/>
          <w:sz w:val="30"/>
          <w:szCs w:val="30"/>
          <w:highlight w:val="none"/>
          <w:lang w:val="en-US" w:eastAsia="zh-CN"/>
        </w:rPr>
        <w:t>4.</w:t>
      </w:r>
      <w:r>
        <w:rPr>
          <w:rFonts w:hint="eastAsia" w:ascii="仿宋" w:hAnsi="仿宋" w:eastAsia="仿宋" w:cs="宋体"/>
          <w:kern w:val="0"/>
          <w:sz w:val="30"/>
          <w:szCs w:val="30"/>
          <w:highlight w:val="none"/>
        </w:rPr>
        <w:t>博士研究生学位论文评审专家须为相同学科且研究方向相近的博士生导师，职称须为正高，</w:t>
      </w:r>
      <w:r>
        <w:rPr>
          <w:rFonts w:hint="eastAsia" w:ascii="仿宋" w:hAnsi="仿宋" w:eastAsia="仿宋" w:cs="宋体"/>
          <w:kern w:val="0"/>
          <w:sz w:val="30"/>
          <w:szCs w:val="30"/>
          <w:highlight w:val="none"/>
          <w:lang w:eastAsia="zh-CN"/>
        </w:rPr>
        <w:t>具有博士</w:t>
      </w:r>
      <w:r>
        <w:rPr>
          <w:rFonts w:hint="eastAsia" w:ascii="仿宋" w:hAnsi="仿宋" w:eastAsia="仿宋" w:cs="宋体"/>
          <w:kern w:val="0"/>
          <w:sz w:val="30"/>
          <w:szCs w:val="30"/>
          <w:highlight w:val="none"/>
        </w:rPr>
        <w:t>导师任职资格2年以上；学术型硕士研究生学位论文评审专家必须为学术型导师，职称为副高以上，且导师任职资格2年以上；专业学位硕士研究生学位论文评审专家须有2位高校</w:t>
      </w:r>
      <w:r>
        <w:rPr>
          <w:rFonts w:hint="eastAsia" w:ascii="仿宋" w:hAnsi="仿宋" w:eastAsia="仿宋" w:cs="宋体"/>
          <w:kern w:val="0"/>
          <w:sz w:val="30"/>
          <w:szCs w:val="30"/>
          <w:highlight w:val="none"/>
          <w:lang w:val="en-US" w:eastAsia="zh-CN"/>
        </w:rPr>
        <w:t>硕士</w:t>
      </w:r>
      <w:r>
        <w:rPr>
          <w:rFonts w:hint="eastAsia" w:ascii="仿宋" w:hAnsi="仿宋" w:eastAsia="仿宋" w:cs="宋体"/>
          <w:kern w:val="0"/>
          <w:sz w:val="30"/>
          <w:szCs w:val="30"/>
          <w:highlight w:val="none"/>
        </w:rPr>
        <w:t>导师和1位行业专家接评，职称为副高以上，且导师任职资格2年以上；所有评审专家的研究方向须与送审论文的研究方向一致或相近；</w:t>
      </w:r>
      <w:r>
        <w:rPr>
          <w:rFonts w:hint="eastAsia" w:ascii="仿宋" w:hAnsi="仿宋" w:eastAsia="仿宋" w:cs="宋体"/>
          <w:kern w:val="0"/>
          <w:sz w:val="30"/>
          <w:szCs w:val="30"/>
          <w:highlight w:val="none"/>
          <w:lang w:val="en-US" w:eastAsia="zh-CN"/>
        </w:rPr>
        <w:t>5.</w:t>
      </w:r>
      <w:r>
        <w:rPr>
          <w:rFonts w:hint="eastAsia" w:ascii="仿宋" w:hAnsi="仿宋" w:eastAsia="仿宋" w:cs="宋体"/>
          <w:kern w:val="0"/>
          <w:sz w:val="30"/>
          <w:szCs w:val="30"/>
          <w:highlight w:val="none"/>
        </w:rPr>
        <w:t>博士研究生学位论文一位专家最多接评2篇，硕士研究生学位论文一位专家最多接评3篇。</w:t>
      </w:r>
      <w:r>
        <w:rPr>
          <w:rFonts w:hint="eastAsia" w:ascii="仿宋" w:hAnsi="仿宋" w:eastAsia="仿宋" w:cs="宋体"/>
          <w:kern w:val="0"/>
          <w:sz w:val="30"/>
          <w:szCs w:val="30"/>
          <w:highlight w:val="none"/>
          <w:lang w:val="en-US" w:eastAsia="zh-CN"/>
        </w:rPr>
        <w:t>6.</w:t>
      </w:r>
      <w:r>
        <w:rPr>
          <w:rFonts w:hint="eastAsia" w:ascii="仿宋" w:hAnsi="仿宋" w:eastAsia="仿宋" w:cs="宋体"/>
          <w:kern w:val="0"/>
          <w:sz w:val="30"/>
          <w:szCs w:val="30"/>
          <w:highlight w:val="none"/>
        </w:rPr>
        <w:t>建立专家回避库，同一篇送审论文不能两次送至同一位评审专家；第一次评审论文中出现评语过少、评判不客观的，学生和导师提出反对意见的，不得再接评任何论文。</w:t>
      </w:r>
      <w:r>
        <w:rPr>
          <w:rFonts w:hint="eastAsia" w:ascii="仿宋" w:hAnsi="仿宋" w:eastAsia="仿宋" w:cs="宋体"/>
          <w:kern w:val="0"/>
          <w:sz w:val="30"/>
          <w:szCs w:val="30"/>
          <w:highlight w:val="none"/>
          <w:lang w:val="en-US" w:eastAsia="zh-CN"/>
        </w:rPr>
        <w:t>7.</w:t>
      </w:r>
      <w:r>
        <w:rPr>
          <w:rFonts w:hint="eastAsia" w:ascii="仿宋" w:hAnsi="仿宋" w:eastAsia="仿宋" w:cs="宋体"/>
          <w:kern w:val="0"/>
          <w:sz w:val="30"/>
          <w:szCs w:val="30"/>
          <w:highlight w:val="none"/>
        </w:rPr>
        <w:t>所有学位论文评阅均须使用国家通用语言文字反馈。</w:t>
      </w:r>
    </w:p>
    <w:p w14:paraId="2EBF8783">
      <w:pPr>
        <w:pageBreakBefore w:val="0"/>
        <w:numPr>
          <w:ilvl w:val="0"/>
          <w:numId w:val="0"/>
        </w:numPr>
        <w:kinsoku/>
        <w:wordWrap/>
        <w:overflowPunct/>
        <w:topLinePunct w:val="0"/>
        <w:autoSpaceDE/>
        <w:autoSpaceDN/>
        <w:bidi w:val="0"/>
        <w:snapToGrid/>
        <w:spacing w:line="520" w:lineRule="exact"/>
        <w:rPr>
          <w:rFonts w:hint="eastAsia"/>
          <w:b/>
          <w:bCs/>
          <w:sz w:val="32"/>
          <w:szCs w:val="40"/>
          <w:highlight w:val="none"/>
          <w:lang w:val="en-US" w:eastAsia="zh-CN"/>
        </w:rPr>
      </w:pPr>
      <w:r>
        <w:rPr>
          <w:rFonts w:hint="eastAsia"/>
          <w:b/>
          <w:bCs/>
          <w:sz w:val="32"/>
          <w:szCs w:val="40"/>
          <w:highlight w:val="none"/>
          <w:lang w:val="en-US" w:eastAsia="zh-CN"/>
        </w:rPr>
        <w:t>二、服务要求</w:t>
      </w:r>
    </w:p>
    <w:p w14:paraId="139E1528">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rPr>
      </w:pPr>
      <w:r>
        <w:rPr>
          <w:rFonts w:hint="eastAsia" w:ascii="仿宋" w:hAnsi="仿宋" w:eastAsia="仿宋" w:cs="宋体"/>
          <w:kern w:val="0"/>
          <w:sz w:val="30"/>
          <w:szCs w:val="30"/>
          <w:highlight w:val="none"/>
          <w:lang w:val="en-US" w:eastAsia="zh-CN"/>
        </w:rPr>
        <w:t>1.</w:t>
      </w:r>
      <w:r>
        <w:rPr>
          <w:rFonts w:hint="eastAsia" w:ascii="仿宋" w:hAnsi="仿宋" w:eastAsia="仿宋" w:cs="宋体"/>
          <w:kern w:val="0"/>
          <w:sz w:val="30"/>
          <w:szCs w:val="30"/>
          <w:highlight w:val="none"/>
        </w:rPr>
        <w:t>服务方式</w:t>
      </w:r>
      <w:r>
        <w:rPr>
          <w:rFonts w:hint="eastAsia" w:ascii="仿宋" w:hAnsi="仿宋" w:eastAsia="仿宋" w:cs="宋体"/>
          <w:kern w:val="0"/>
          <w:sz w:val="30"/>
          <w:szCs w:val="30"/>
          <w:highlight w:val="none"/>
          <w:lang w:eastAsia="zh-CN"/>
        </w:rPr>
        <w:t>：全</w:t>
      </w:r>
      <w:r>
        <w:rPr>
          <w:rFonts w:hint="eastAsia" w:ascii="仿宋" w:hAnsi="仿宋" w:eastAsia="仿宋" w:cs="宋体"/>
          <w:kern w:val="0"/>
          <w:sz w:val="30"/>
          <w:szCs w:val="30"/>
          <w:highlight w:val="none"/>
        </w:rPr>
        <w:t>委托</w:t>
      </w:r>
      <w:r>
        <w:rPr>
          <w:rFonts w:hint="eastAsia" w:ascii="仿宋" w:hAnsi="仿宋" w:eastAsia="仿宋" w:cs="宋体"/>
          <w:kern w:val="0"/>
          <w:sz w:val="30"/>
          <w:szCs w:val="30"/>
          <w:highlight w:val="none"/>
          <w:lang w:eastAsia="zh-CN"/>
        </w:rPr>
        <w:t>送审。</w:t>
      </w:r>
      <w:r>
        <w:rPr>
          <w:rFonts w:hint="eastAsia" w:ascii="仿宋" w:hAnsi="仿宋" w:eastAsia="仿宋" w:cs="宋体"/>
          <w:kern w:val="0"/>
          <w:sz w:val="30"/>
          <w:szCs w:val="30"/>
          <w:highlight w:val="none"/>
        </w:rPr>
        <w:t>全权委托</w:t>
      </w:r>
      <w:r>
        <w:rPr>
          <w:rFonts w:hint="eastAsia" w:ascii="仿宋" w:hAnsi="仿宋" w:eastAsia="仿宋" w:cs="宋体"/>
          <w:kern w:val="0"/>
          <w:sz w:val="30"/>
          <w:szCs w:val="30"/>
          <w:highlight w:val="none"/>
          <w:lang w:eastAsia="zh-CN"/>
        </w:rPr>
        <w:t>中</w:t>
      </w:r>
      <w:r>
        <w:rPr>
          <w:rFonts w:hint="eastAsia" w:ascii="仿宋" w:hAnsi="仿宋" w:eastAsia="仿宋" w:cs="宋体"/>
          <w:kern w:val="0"/>
          <w:sz w:val="30"/>
          <w:szCs w:val="30"/>
          <w:highlight w:val="none"/>
        </w:rPr>
        <w:t>标人开展论文评审</w:t>
      </w:r>
      <w:r>
        <w:rPr>
          <w:rFonts w:hint="eastAsia" w:ascii="仿宋" w:hAnsi="仿宋" w:eastAsia="仿宋" w:cs="宋体"/>
          <w:kern w:val="0"/>
          <w:sz w:val="30"/>
          <w:szCs w:val="30"/>
          <w:highlight w:val="none"/>
          <w:lang w:eastAsia="zh-CN"/>
        </w:rPr>
        <w:t>工作，</w:t>
      </w:r>
      <w:r>
        <w:rPr>
          <w:rFonts w:hint="eastAsia" w:ascii="仿宋" w:hAnsi="仿宋" w:eastAsia="仿宋" w:cs="宋体"/>
          <w:kern w:val="0"/>
          <w:sz w:val="30"/>
          <w:szCs w:val="30"/>
          <w:highlight w:val="none"/>
        </w:rPr>
        <w:t>我校提供学位论文电子稿</w:t>
      </w:r>
      <w:r>
        <w:rPr>
          <w:rFonts w:hint="eastAsia" w:ascii="仿宋" w:hAnsi="仿宋" w:eastAsia="仿宋" w:cs="宋体"/>
          <w:kern w:val="0"/>
          <w:sz w:val="30"/>
          <w:szCs w:val="30"/>
          <w:highlight w:val="none"/>
          <w:lang w:eastAsia="zh-CN"/>
        </w:rPr>
        <w:t>、学位论文评阅书</w:t>
      </w:r>
      <w:r>
        <w:rPr>
          <w:rFonts w:hint="eastAsia" w:ascii="仿宋" w:hAnsi="仿宋" w:eastAsia="仿宋" w:cs="宋体"/>
          <w:kern w:val="0"/>
          <w:sz w:val="30"/>
          <w:szCs w:val="30"/>
          <w:highlight w:val="none"/>
        </w:rPr>
        <w:t>及有关材料；</w:t>
      </w:r>
      <w:r>
        <w:rPr>
          <w:rFonts w:hint="eastAsia" w:ascii="仿宋" w:hAnsi="仿宋" w:eastAsia="仿宋" w:cs="宋体"/>
          <w:kern w:val="0"/>
          <w:sz w:val="30"/>
          <w:szCs w:val="30"/>
          <w:highlight w:val="none"/>
          <w:lang w:eastAsia="zh-CN"/>
        </w:rPr>
        <w:t>中</w:t>
      </w:r>
      <w:r>
        <w:rPr>
          <w:rFonts w:hint="eastAsia" w:ascii="仿宋" w:hAnsi="仿宋" w:eastAsia="仿宋" w:cs="宋体"/>
          <w:kern w:val="0"/>
          <w:sz w:val="30"/>
          <w:szCs w:val="30"/>
          <w:highlight w:val="none"/>
        </w:rPr>
        <w:t>标人负责按要求聘请专家、管理评审过程、代付劳务费与管理费等，并在规定时间内向我校交付评审结果。</w:t>
      </w:r>
    </w:p>
    <w:p w14:paraId="2D3F69E4">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2.平台要求：有稳定快捷的技术平台、全流程可控管理、数据安全保密、专家资源质优量多、操作简便。</w:t>
      </w:r>
    </w:p>
    <w:p w14:paraId="7B3E59A6">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3.送审高等学校（以下简称“高校”）和专家要求。</w:t>
      </w:r>
    </w:p>
    <w:p w14:paraId="49FB9420">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（1）送审高校须与我校有相同的一级学科学位授权点，且排名在我校之前，至少为国内二本以上学校，不接受独立学院和三本院校接评我校送审论文。</w:t>
      </w:r>
    </w:p>
    <w:p w14:paraId="7097B90C">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（2）我校民族类相关学科专业，须送往学科专业相近、学科特色突出的民族类高校。</w:t>
      </w:r>
    </w:p>
    <w:p w14:paraId="6487B28C">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default"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（3）平台须有我校自主设置二级学科和交叉学科专业的小同行专家库，同时专业学位论文有符合职称要求的行业实务专家库。</w:t>
      </w:r>
    </w:p>
    <w:p w14:paraId="298E7F16">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4）博士研究生学位论文评审专家须为相同学科且研究方向相近的博士生导师，职称须为正高，博士导师任职资格2年以上；学术型硕士研究生学位论文评审专家必须为学术型导师，职称为副高以上，且导师任职资格2年以上；专业学位硕士研究生学位论文评审专家须有2位高校硕士导师和1位行业专家接评，职称为副高以上，且导师任职资格2年以上；所有评审专家的研究方向须与送审论文的研究方向一致或相近；</w:t>
      </w:r>
    </w:p>
    <w:p w14:paraId="091B5833">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（5）博士研究生学位论文一位专家最多接评2篇，硕士研究生学位论文一位专家最多接评3篇。</w:t>
      </w:r>
    </w:p>
    <w:p w14:paraId="1B6C4187">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（6）建立专家回避库，同一篇送审论文不能两次送至同一位评审专家；第一次评审论文中出现评语过少、评判不客观的，学生和导师提出反对意见的，不得再接评任何论文。</w:t>
      </w:r>
    </w:p>
    <w:p w14:paraId="1E90A709">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（7）所有学位论文评阅均须使用国家通用语言文字反馈。</w:t>
      </w:r>
    </w:p>
    <w:p w14:paraId="7EC7A155">
      <w:pPr>
        <w:pageBreakBefore w:val="0"/>
        <w:numPr>
          <w:ilvl w:val="0"/>
          <w:numId w:val="0"/>
        </w:numPr>
        <w:kinsoku/>
        <w:wordWrap/>
        <w:overflowPunct/>
        <w:topLinePunct w:val="0"/>
        <w:autoSpaceDE/>
        <w:autoSpaceDN/>
        <w:bidi w:val="0"/>
        <w:snapToGrid/>
        <w:spacing w:line="520" w:lineRule="exact"/>
        <w:rPr>
          <w:rFonts w:hint="eastAsia"/>
          <w:b/>
          <w:bCs/>
          <w:sz w:val="32"/>
          <w:szCs w:val="40"/>
          <w:highlight w:val="none"/>
          <w:lang w:val="en-US" w:eastAsia="zh-CN"/>
        </w:rPr>
      </w:pPr>
      <w:r>
        <w:rPr>
          <w:rFonts w:hint="eastAsia"/>
          <w:b/>
          <w:bCs/>
          <w:sz w:val="32"/>
          <w:szCs w:val="40"/>
          <w:highlight w:val="none"/>
          <w:lang w:val="en-US" w:eastAsia="zh-CN"/>
        </w:rPr>
        <w:t>三、平台功能要求</w:t>
      </w:r>
      <w:bookmarkStart w:id="398" w:name="_Toc510023087"/>
      <w:bookmarkStart w:id="399" w:name="_Toc499735777"/>
      <w:bookmarkStart w:id="400" w:name="_Toc509582154"/>
    </w:p>
    <w:p w14:paraId="0E1F5112">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1.平台支持我校研究生院根据学校情况灵活定制评阅书模板、批量上传送审学生信息和电子版论文，可单篇或批量下载评阅结果等信息，按要求统计评阅结果并提供。非匿名版评阅结果须有专家电子签名。</w:t>
      </w:r>
    </w:p>
    <w:p w14:paraId="6A9ECD5B">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2.详细提供当年送审结果进行各类数据分析（评阅专家职称、单位类别、评阅结果），就学位论文同行评阅专家所提出的共性问题进行条目化梳理，为下一次送审提出良好的意见建议。</w:t>
      </w:r>
    </w:p>
    <w:p w14:paraId="2EA07FF3">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3.根据需求，开通研究生院、学院、研究生导师、研究生本人可以通过平台对送审情况进行实时监督与管理、了解掌握、发布评阅结果的功能，但须有效防止更改的技术对策。</w:t>
      </w:r>
    </w:p>
    <w:p w14:paraId="2D62F342">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4.平台须在评审专家提交评阅意见时设置提醒功能，若未勾选评阅意见或论文评语过少时，不得提交结果，也无法提取评阅费用。</w:t>
      </w:r>
    </w:p>
    <w:p w14:paraId="11C79231">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5.平台须有催评功能，在距离最后评阅完成前7日，进行催评。已催评2次，专家依然未进行评阅的，立即重新分配给其他专家评阅，同时保证质量。</w:t>
      </w:r>
    </w:p>
    <w:p w14:paraId="58E0B560">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6.平台加送功能完善，支持追加专家评审和修改后再送审，能够方便高效进行特殊流程评审。</w:t>
      </w:r>
    </w:p>
    <w:p w14:paraId="5A53878C">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7.具有安全便捷的评审费、管理费提取方式，支持系统自动扣税功能</w:t>
      </w:r>
      <w:bookmarkEnd w:id="398"/>
      <w:bookmarkEnd w:id="399"/>
      <w:bookmarkEnd w:id="400"/>
      <w:bookmarkStart w:id="401" w:name="_Toc528924309"/>
      <w:r>
        <w:rPr>
          <w:rFonts w:hint="eastAsia" w:ascii="仿宋" w:hAnsi="仿宋" w:eastAsia="仿宋" w:cs="宋体"/>
          <w:kern w:val="0"/>
          <w:sz w:val="30"/>
          <w:szCs w:val="30"/>
          <w:highlight w:val="none"/>
          <w:lang w:val="en-US" w:eastAsia="zh-CN"/>
        </w:rPr>
        <w:t>。</w:t>
      </w:r>
    </w:p>
    <w:p w14:paraId="3726BE7A">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8.平台有良好的信息安全和保密技术，平台与所有涉及到送审论文工作的工作人员签订信息安全保密承诺书，不向任何组织或个人提供泄露我校有关学位论文送审的相关内容，包括学位论文全文、作者姓名、导师姓名和评阅结果等。</w:t>
      </w:r>
    </w:p>
    <w:bookmarkEnd w:id="401"/>
    <w:p w14:paraId="09A6FE1E">
      <w:pPr>
        <w:pageBreakBefore w:val="0"/>
        <w:numPr>
          <w:ilvl w:val="0"/>
          <w:numId w:val="0"/>
        </w:numPr>
        <w:kinsoku/>
        <w:wordWrap/>
        <w:overflowPunct/>
        <w:topLinePunct w:val="0"/>
        <w:autoSpaceDE/>
        <w:autoSpaceDN/>
        <w:bidi w:val="0"/>
        <w:snapToGrid/>
        <w:spacing w:line="520" w:lineRule="exact"/>
        <w:rPr>
          <w:rFonts w:hint="eastAsia"/>
          <w:b/>
          <w:bCs/>
          <w:sz w:val="32"/>
          <w:szCs w:val="40"/>
          <w:highlight w:val="none"/>
          <w:lang w:val="en-US" w:eastAsia="zh-CN"/>
        </w:rPr>
      </w:pPr>
      <w:r>
        <w:rPr>
          <w:rFonts w:hint="eastAsia"/>
          <w:b/>
          <w:bCs/>
          <w:sz w:val="32"/>
          <w:szCs w:val="40"/>
          <w:highlight w:val="none"/>
          <w:lang w:val="en-US" w:eastAsia="zh-CN"/>
        </w:rPr>
        <w:t>四、运维服务要求</w:t>
      </w:r>
    </w:p>
    <w:p w14:paraId="039014F2">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1.对平台进行运行维护和优化，对系统各功能模块的运行效率、性能进行分析，并根据分析结果进行程序优化（含底层开发平台的优化）、参数调整、结构扩展、重新部署等；受理基层操作人员问题，进行问题核实，解决问题。</w:t>
      </w:r>
    </w:p>
    <w:p w14:paraId="2C5380EF">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default"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2.对平台发生的故障及时响应，快速解决；对于送审过程中出现的突发问题，提供应急送审方案。</w:t>
      </w:r>
    </w:p>
    <w:p w14:paraId="3650510D">
      <w:pPr>
        <w:pageBreakBefore w:val="0"/>
        <w:numPr>
          <w:ilvl w:val="0"/>
          <w:numId w:val="0"/>
        </w:numPr>
        <w:kinsoku/>
        <w:wordWrap/>
        <w:overflowPunct/>
        <w:topLinePunct w:val="0"/>
        <w:autoSpaceDE/>
        <w:autoSpaceDN/>
        <w:bidi w:val="0"/>
        <w:snapToGrid/>
        <w:spacing w:line="520" w:lineRule="exact"/>
        <w:rPr>
          <w:rFonts w:hint="eastAsia"/>
          <w:b/>
          <w:bCs/>
          <w:sz w:val="32"/>
          <w:szCs w:val="40"/>
          <w:highlight w:val="none"/>
          <w:lang w:val="en-US" w:eastAsia="zh-CN"/>
        </w:rPr>
      </w:pPr>
      <w:r>
        <w:rPr>
          <w:rFonts w:hint="eastAsia"/>
          <w:b/>
          <w:bCs/>
          <w:sz w:val="32"/>
          <w:szCs w:val="40"/>
          <w:highlight w:val="none"/>
          <w:lang w:val="en-US" w:eastAsia="zh-CN"/>
        </w:rPr>
        <w:t>五、售后服务要求</w:t>
      </w:r>
    </w:p>
    <w:p w14:paraId="1AC36663">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1.中标人直接提供技术服务，保证7*24小时内服务运营响应。</w:t>
      </w:r>
    </w:p>
    <w:p w14:paraId="777DA17E">
      <w:pPr>
        <w:pageBreakBefore w:val="0"/>
        <w:widowControl/>
        <w:shd w:val="clear" w:color="auto" w:fill="FFFFFF"/>
        <w:kinsoku/>
        <w:wordWrap/>
        <w:overflowPunct/>
        <w:topLinePunct w:val="0"/>
        <w:autoSpaceDE/>
        <w:autoSpaceDN/>
        <w:bidi w:val="0"/>
        <w:snapToGrid/>
        <w:spacing w:line="520" w:lineRule="exact"/>
        <w:ind w:firstLine="600" w:firstLineChars="200"/>
        <w:jc w:val="left"/>
        <w:rPr>
          <w:rFonts w:hint="eastAsia" w:ascii="仿宋" w:hAnsi="仿宋" w:eastAsia="仿宋" w:cs="宋体"/>
          <w:kern w:val="0"/>
          <w:sz w:val="30"/>
          <w:szCs w:val="30"/>
          <w:highlight w:val="none"/>
          <w:lang w:val="en-US" w:eastAsia="zh-CN"/>
        </w:rPr>
      </w:pPr>
      <w:r>
        <w:rPr>
          <w:rFonts w:hint="eastAsia" w:ascii="仿宋" w:hAnsi="仿宋" w:eastAsia="仿宋" w:cs="宋体"/>
          <w:kern w:val="0"/>
          <w:sz w:val="30"/>
          <w:szCs w:val="30"/>
          <w:highlight w:val="none"/>
          <w:lang w:val="en-US" w:eastAsia="zh-CN"/>
        </w:rPr>
        <w:t>2.中标人提供免费的操作及维护培训，经双方确认后制定合理的培训方案，提供技术、业务的咨询、交流和产品、技术的培训。</w:t>
      </w:r>
    </w:p>
    <w:p w14:paraId="58D54A46">
      <w:pPr>
        <w:pageBreakBefore w:val="0"/>
        <w:numPr>
          <w:ilvl w:val="0"/>
          <w:numId w:val="0"/>
        </w:numPr>
        <w:kinsoku/>
        <w:wordWrap/>
        <w:overflowPunct/>
        <w:topLinePunct w:val="0"/>
        <w:autoSpaceDE/>
        <w:autoSpaceDN/>
        <w:bidi w:val="0"/>
        <w:snapToGrid/>
        <w:spacing w:line="520" w:lineRule="exact"/>
        <w:rPr>
          <w:rFonts w:hint="eastAsia"/>
          <w:b/>
          <w:bCs/>
          <w:sz w:val="32"/>
          <w:szCs w:val="40"/>
          <w:highlight w:val="none"/>
          <w:lang w:val="en-US" w:eastAsia="zh-CN"/>
        </w:rPr>
      </w:pPr>
      <w:r>
        <w:rPr>
          <w:rFonts w:hint="eastAsia"/>
          <w:b/>
          <w:bCs/>
          <w:sz w:val="32"/>
          <w:szCs w:val="40"/>
          <w:highlight w:val="none"/>
          <w:lang w:val="en-US" w:eastAsia="zh-CN"/>
        </w:rPr>
        <w:t>六、经费支付方式</w:t>
      </w:r>
    </w:p>
    <w:p w14:paraId="2789A576">
      <w:pPr>
        <w:pageBreakBefore w:val="0"/>
        <w:widowControl w:val="0"/>
        <w:kinsoku/>
        <w:wordWrap/>
        <w:overflowPunct/>
        <w:topLinePunct w:val="0"/>
        <w:autoSpaceDE/>
        <w:autoSpaceDN/>
        <w:bidi w:val="0"/>
        <w:adjustRightInd/>
        <w:snapToGrid/>
        <w:spacing w:before="0" w:beforeAutospacing="0" w:after="0" w:afterAutospacing="0" w:line="520" w:lineRule="exact"/>
        <w:ind w:firstLine="600" w:firstLineChars="200"/>
        <w:jc w:val="left"/>
        <w:textAlignment w:val="auto"/>
        <w:outlineLvl w:val="4"/>
        <w:rPr>
          <w:rFonts w:hint="default" w:ascii="仿宋" w:hAnsi="仿宋" w:eastAsia="仿宋" w:cs="宋体"/>
          <w:kern w:val="0"/>
          <w:sz w:val="30"/>
          <w:szCs w:val="30"/>
          <w:highlight w:val="none"/>
          <w:lang w:val="en-US" w:eastAsia="zh-CN" w:bidi="ar-SA"/>
        </w:rPr>
      </w:pPr>
      <w:r>
        <w:rPr>
          <w:rFonts w:hint="eastAsia" w:ascii="仿宋" w:hAnsi="仿宋" w:eastAsia="仿宋" w:cs="宋体"/>
          <w:kern w:val="0"/>
          <w:sz w:val="30"/>
          <w:szCs w:val="30"/>
          <w:highlight w:val="none"/>
          <w:lang w:val="en-US" w:eastAsia="zh-CN" w:bidi="ar-SA"/>
        </w:rPr>
        <w:t>中标后，中标人起草合作合同，并开展前期业务和人员培训，熟悉操作业务，并进行论文送审工作，在学校上传全部送审论文后，签订完善合同，于每批次（根据我校研究生毕业工作，每年预计将于4月、10月分别开展上下半年毕业研究生学位论文送审工作）论文评审验收合格后，中标人依据每批次送审篇数开具经费发票，学校进行财务报账支付，由平台负责各项费用发放，确保发放及时准确。本年度论文送审工作全部完成后，支付剩余资金。</w:t>
      </w:r>
    </w:p>
    <w:p w14:paraId="7FEF9E07">
      <w:pPr>
        <w:pageBreakBefore w:val="0"/>
        <w:numPr>
          <w:ilvl w:val="0"/>
          <w:numId w:val="0"/>
        </w:numPr>
        <w:kinsoku/>
        <w:wordWrap/>
        <w:overflowPunct/>
        <w:topLinePunct w:val="0"/>
        <w:autoSpaceDE/>
        <w:autoSpaceDN/>
        <w:bidi w:val="0"/>
        <w:snapToGrid/>
        <w:spacing w:line="520" w:lineRule="exact"/>
        <w:rPr>
          <w:rFonts w:hint="eastAsia"/>
          <w:b/>
          <w:bCs/>
          <w:sz w:val="32"/>
          <w:szCs w:val="40"/>
          <w:highlight w:val="none"/>
          <w:lang w:val="en-US" w:eastAsia="zh-CN"/>
        </w:rPr>
      </w:pPr>
      <w:r>
        <w:rPr>
          <w:rFonts w:hint="eastAsia"/>
          <w:b/>
          <w:bCs/>
          <w:sz w:val="32"/>
          <w:szCs w:val="40"/>
          <w:highlight w:val="none"/>
          <w:lang w:val="en-US" w:eastAsia="zh-CN"/>
        </w:rPr>
        <w:t>七、服务期</w:t>
      </w:r>
    </w:p>
    <w:p w14:paraId="6E0D501B">
      <w:pPr>
        <w:pageBreakBefore w:val="0"/>
        <w:widowControl w:val="0"/>
        <w:kinsoku/>
        <w:wordWrap/>
        <w:overflowPunct/>
        <w:topLinePunct w:val="0"/>
        <w:autoSpaceDE/>
        <w:autoSpaceDN/>
        <w:bidi w:val="0"/>
        <w:adjustRightInd/>
        <w:snapToGrid/>
        <w:spacing w:before="0" w:beforeAutospacing="0" w:after="0" w:afterAutospacing="0" w:line="520" w:lineRule="exact"/>
        <w:ind w:firstLine="600" w:firstLineChars="200"/>
        <w:jc w:val="left"/>
        <w:textAlignment w:val="auto"/>
        <w:outlineLvl w:val="4"/>
        <w:rPr>
          <w:rFonts w:hint="eastAsia" w:ascii="仿宋" w:hAnsi="仿宋" w:eastAsia="仿宋" w:cs="宋体"/>
          <w:kern w:val="0"/>
          <w:sz w:val="30"/>
          <w:szCs w:val="30"/>
          <w:highlight w:val="none"/>
          <w:lang w:val="en-US" w:eastAsia="zh-CN" w:bidi="ar-SA"/>
        </w:rPr>
      </w:pPr>
      <w:r>
        <w:rPr>
          <w:rFonts w:hint="eastAsia" w:ascii="仿宋" w:hAnsi="仿宋" w:eastAsia="仿宋" w:cs="宋体"/>
          <w:kern w:val="0"/>
          <w:sz w:val="30"/>
          <w:szCs w:val="30"/>
          <w:highlight w:val="none"/>
          <w:lang w:val="en-US" w:eastAsia="zh-CN" w:bidi="ar-SA"/>
        </w:rPr>
        <w:t>合同签订后三年。</w:t>
      </w:r>
    </w:p>
    <w:p w14:paraId="22F9529D">
      <w:pPr>
        <w:pageBreakBefore w:val="0"/>
        <w:numPr>
          <w:ilvl w:val="0"/>
          <w:numId w:val="0"/>
        </w:numPr>
        <w:kinsoku/>
        <w:wordWrap/>
        <w:overflowPunct/>
        <w:topLinePunct w:val="0"/>
        <w:autoSpaceDE/>
        <w:autoSpaceDN/>
        <w:bidi w:val="0"/>
        <w:snapToGrid/>
        <w:spacing w:line="520" w:lineRule="exact"/>
        <w:rPr>
          <w:rFonts w:hint="eastAsia"/>
          <w:b/>
          <w:bCs/>
          <w:sz w:val="32"/>
          <w:szCs w:val="40"/>
          <w:highlight w:val="none"/>
          <w:lang w:val="en-US" w:eastAsia="zh-CN"/>
        </w:rPr>
      </w:pPr>
      <w:r>
        <w:rPr>
          <w:rFonts w:hint="eastAsia"/>
          <w:b/>
          <w:bCs/>
          <w:sz w:val="32"/>
          <w:szCs w:val="40"/>
          <w:highlight w:val="none"/>
          <w:lang w:val="en-US" w:eastAsia="zh-CN"/>
        </w:rPr>
        <w:t>八、服务地点</w:t>
      </w:r>
    </w:p>
    <w:p w14:paraId="7E4BB519">
      <w:pPr>
        <w:pageBreakBefore w:val="0"/>
        <w:widowControl w:val="0"/>
        <w:kinsoku/>
        <w:wordWrap/>
        <w:overflowPunct/>
        <w:topLinePunct w:val="0"/>
        <w:autoSpaceDE/>
        <w:autoSpaceDN/>
        <w:bidi w:val="0"/>
        <w:adjustRightInd/>
        <w:snapToGrid/>
        <w:spacing w:before="0" w:beforeAutospacing="0" w:after="0" w:afterAutospacing="0" w:line="520" w:lineRule="exact"/>
        <w:ind w:firstLine="600" w:firstLineChars="200"/>
        <w:jc w:val="left"/>
        <w:textAlignment w:val="auto"/>
        <w:outlineLvl w:val="4"/>
        <w:rPr>
          <w:rFonts w:hint="eastAsia" w:ascii="仿宋" w:hAnsi="仿宋" w:eastAsia="仿宋" w:cs="宋体"/>
          <w:kern w:val="0"/>
          <w:sz w:val="30"/>
          <w:szCs w:val="30"/>
          <w:highlight w:val="none"/>
          <w:lang w:val="en-US" w:eastAsia="zh-CN" w:bidi="ar-SA"/>
        </w:rPr>
      </w:pPr>
      <w:r>
        <w:rPr>
          <w:rFonts w:hint="eastAsia" w:ascii="仿宋" w:hAnsi="仿宋" w:eastAsia="仿宋" w:cs="宋体"/>
          <w:kern w:val="0"/>
          <w:sz w:val="30"/>
          <w:szCs w:val="30"/>
          <w:highlight w:val="none"/>
          <w:lang w:val="en-US" w:eastAsia="zh-CN" w:bidi="ar-SA"/>
        </w:rPr>
        <w:t>青海民族大学或指定地点。</w:t>
      </w:r>
    </w:p>
    <w:p w14:paraId="6EC19C48">
      <w:pPr>
        <w:pageBreakBefore w:val="0"/>
        <w:numPr>
          <w:ilvl w:val="0"/>
          <w:numId w:val="0"/>
        </w:numPr>
        <w:kinsoku/>
        <w:wordWrap/>
        <w:overflowPunct/>
        <w:topLinePunct w:val="0"/>
        <w:autoSpaceDE/>
        <w:autoSpaceDN/>
        <w:bidi w:val="0"/>
        <w:snapToGrid/>
        <w:spacing w:line="520" w:lineRule="exact"/>
        <w:rPr>
          <w:rFonts w:hint="eastAsia"/>
          <w:b/>
          <w:bCs/>
          <w:sz w:val="32"/>
          <w:szCs w:val="40"/>
          <w:highlight w:val="none"/>
          <w:lang w:val="en-US" w:eastAsia="zh-CN"/>
        </w:rPr>
      </w:pPr>
      <w:r>
        <w:rPr>
          <w:rFonts w:hint="eastAsia"/>
          <w:b/>
          <w:bCs/>
          <w:sz w:val="32"/>
          <w:szCs w:val="40"/>
          <w:highlight w:val="none"/>
          <w:lang w:val="en-US" w:eastAsia="zh-CN"/>
        </w:rPr>
        <w:t>九、专家资源数据库要求</w:t>
      </w:r>
    </w:p>
    <w:p w14:paraId="1D6F9E96">
      <w:pPr>
        <w:pageBreakBefore w:val="0"/>
        <w:widowControl w:val="0"/>
        <w:kinsoku/>
        <w:wordWrap/>
        <w:overflowPunct/>
        <w:topLinePunct w:val="0"/>
        <w:autoSpaceDE/>
        <w:autoSpaceDN/>
        <w:bidi w:val="0"/>
        <w:adjustRightInd/>
        <w:snapToGrid/>
        <w:spacing w:before="0" w:beforeAutospacing="0" w:after="0" w:afterAutospacing="0" w:line="520" w:lineRule="exact"/>
        <w:ind w:firstLine="600" w:firstLineChars="200"/>
        <w:jc w:val="left"/>
        <w:textAlignment w:val="auto"/>
        <w:outlineLvl w:val="4"/>
        <w:rPr>
          <w:rFonts w:hint="eastAsia" w:ascii="仿宋" w:hAnsi="仿宋" w:eastAsia="仿宋" w:cs="宋体"/>
          <w:kern w:val="0"/>
          <w:sz w:val="30"/>
          <w:szCs w:val="30"/>
          <w:highlight w:val="none"/>
          <w:lang w:val="en-US" w:eastAsia="zh-CN" w:bidi="ar-SA"/>
        </w:rPr>
      </w:pPr>
      <w:r>
        <w:rPr>
          <w:rFonts w:hint="eastAsia" w:ascii="仿宋" w:hAnsi="仿宋" w:eastAsia="仿宋" w:cs="宋体"/>
          <w:kern w:val="0"/>
          <w:sz w:val="30"/>
          <w:szCs w:val="30"/>
          <w:highlight w:val="none"/>
          <w:lang w:val="en-US" w:eastAsia="zh-CN" w:bidi="ar-SA"/>
        </w:rPr>
        <w:t>为保障评审质量，供应商的专家库资源不低于八万人。</w:t>
      </w:r>
    </w:p>
    <w:p w14:paraId="5C6F447D">
      <w:pPr>
        <w:pageBreakBefore w:val="0"/>
        <w:numPr>
          <w:ilvl w:val="0"/>
          <w:numId w:val="0"/>
        </w:numPr>
        <w:kinsoku/>
        <w:wordWrap/>
        <w:overflowPunct/>
        <w:topLinePunct w:val="0"/>
        <w:autoSpaceDE/>
        <w:autoSpaceDN/>
        <w:bidi w:val="0"/>
        <w:snapToGrid/>
        <w:spacing w:line="520" w:lineRule="exact"/>
        <w:rPr>
          <w:rFonts w:hint="eastAsia"/>
          <w:b/>
          <w:bCs/>
          <w:sz w:val="32"/>
          <w:szCs w:val="40"/>
          <w:highlight w:val="none"/>
          <w:lang w:val="en-US" w:eastAsia="zh-CN"/>
        </w:rPr>
      </w:pPr>
      <w:r>
        <w:rPr>
          <w:rFonts w:hint="eastAsia"/>
          <w:b/>
          <w:bCs/>
          <w:sz w:val="32"/>
          <w:szCs w:val="40"/>
          <w:highlight w:val="none"/>
          <w:lang w:val="en-US" w:eastAsia="zh-CN"/>
        </w:rPr>
        <w:t>十、服务团队要求</w:t>
      </w:r>
    </w:p>
    <w:p w14:paraId="1D59F83B">
      <w:pPr>
        <w:pageBreakBefore w:val="0"/>
        <w:widowControl w:val="0"/>
        <w:kinsoku/>
        <w:wordWrap/>
        <w:overflowPunct/>
        <w:topLinePunct w:val="0"/>
        <w:autoSpaceDE/>
        <w:autoSpaceDN/>
        <w:bidi w:val="0"/>
        <w:adjustRightInd/>
        <w:snapToGrid/>
        <w:spacing w:before="0" w:beforeAutospacing="0" w:after="0" w:afterAutospacing="0" w:line="520" w:lineRule="exact"/>
        <w:ind w:firstLine="600" w:firstLineChars="200"/>
        <w:jc w:val="left"/>
        <w:textAlignment w:val="auto"/>
        <w:outlineLvl w:val="4"/>
        <w:rPr>
          <w:rFonts w:hint="eastAsia" w:ascii="仿宋" w:hAnsi="仿宋" w:eastAsia="仿宋" w:cs="宋体"/>
          <w:kern w:val="0"/>
          <w:sz w:val="30"/>
          <w:szCs w:val="30"/>
          <w:highlight w:val="none"/>
          <w:lang w:val="en-US" w:eastAsia="zh-CN" w:bidi="ar-SA"/>
        </w:rPr>
      </w:pPr>
      <w:r>
        <w:rPr>
          <w:rFonts w:hint="eastAsia" w:ascii="仿宋" w:hAnsi="仿宋" w:eastAsia="仿宋" w:cs="宋体"/>
          <w:kern w:val="0"/>
          <w:sz w:val="30"/>
          <w:szCs w:val="30"/>
          <w:highlight w:val="none"/>
          <w:lang w:val="en-US" w:eastAsia="zh-CN" w:bidi="ar-SA"/>
        </w:rPr>
        <w:t>供应商应保证投入本项目的实施人员为5人及以上，且服务团队成员应分工明确，各司其职。其中，项目负责人应具有相关项目经验，项目组成员应具有相关证书。</w:t>
      </w:r>
    </w:p>
    <w:p w14:paraId="3A6392CD">
      <w:pPr>
        <w:pageBreakBefore w:val="0"/>
        <w:numPr>
          <w:ilvl w:val="0"/>
          <w:numId w:val="0"/>
        </w:numPr>
        <w:kinsoku/>
        <w:wordWrap/>
        <w:overflowPunct/>
        <w:topLinePunct w:val="0"/>
        <w:autoSpaceDE/>
        <w:autoSpaceDN/>
        <w:bidi w:val="0"/>
        <w:snapToGrid/>
        <w:spacing w:line="520" w:lineRule="exact"/>
        <w:rPr>
          <w:rFonts w:hint="eastAsia"/>
          <w:b/>
          <w:bCs/>
          <w:sz w:val="32"/>
          <w:szCs w:val="40"/>
          <w:highlight w:val="none"/>
          <w:lang w:val="en-US" w:eastAsia="zh-CN"/>
        </w:rPr>
      </w:pPr>
      <w:r>
        <w:rPr>
          <w:rFonts w:hint="eastAsia"/>
          <w:b/>
          <w:bCs/>
          <w:sz w:val="32"/>
          <w:szCs w:val="40"/>
          <w:highlight w:val="none"/>
          <w:lang w:val="en-US" w:eastAsia="zh-CN"/>
        </w:rPr>
        <w:t>十一、验收标准</w:t>
      </w:r>
    </w:p>
    <w:p w14:paraId="2517FCAB">
      <w:pPr>
        <w:pageBreakBefore w:val="0"/>
        <w:widowControl w:val="0"/>
        <w:kinsoku/>
        <w:wordWrap/>
        <w:overflowPunct/>
        <w:topLinePunct w:val="0"/>
        <w:autoSpaceDE/>
        <w:autoSpaceDN/>
        <w:bidi w:val="0"/>
        <w:adjustRightInd/>
        <w:snapToGrid/>
        <w:spacing w:before="0" w:beforeAutospacing="0" w:after="0" w:afterAutospacing="0" w:line="520" w:lineRule="exact"/>
        <w:ind w:firstLine="600" w:firstLineChars="200"/>
        <w:jc w:val="left"/>
        <w:textAlignment w:val="auto"/>
        <w:outlineLvl w:val="4"/>
        <w:rPr>
          <w:rFonts w:hint="eastAsia" w:ascii="仿宋" w:hAnsi="仿宋" w:eastAsia="仿宋" w:cs="宋体"/>
          <w:kern w:val="0"/>
          <w:sz w:val="30"/>
          <w:szCs w:val="30"/>
          <w:highlight w:val="none"/>
          <w:lang w:val="en-US" w:eastAsia="zh-CN" w:bidi="ar-SA"/>
        </w:rPr>
      </w:pPr>
      <w:r>
        <w:rPr>
          <w:rFonts w:hint="eastAsia" w:ascii="仿宋" w:hAnsi="仿宋" w:eastAsia="仿宋" w:cs="宋体"/>
          <w:kern w:val="0"/>
          <w:sz w:val="30"/>
          <w:szCs w:val="30"/>
          <w:highlight w:val="none"/>
          <w:lang w:val="en-US" w:eastAsia="zh-CN" w:bidi="ar-SA"/>
        </w:rPr>
        <w:t>采购人自行组织对供应商履约的验收，如果发现与合同中要求不符，供应商须承担由此发生的一切损失和费用，并接受相应的处理。</w:t>
      </w:r>
    </w:p>
    <w:p w14:paraId="01899AEA">
      <w:pPr>
        <w:pageBreakBefore w:val="0"/>
        <w:numPr>
          <w:ilvl w:val="0"/>
          <w:numId w:val="0"/>
        </w:numPr>
        <w:kinsoku/>
        <w:wordWrap/>
        <w:overflowPunct/>
        <w:topLinePunct w:val="0"/>
        <w:autoSpaceDE/>
        <w:autoSpaceDN/>
        <w:bidi w:val="0"/>
        <w:snapToGrid/>
        <w:spacing w:line="520" w:lineRule="exact"/>
        <w:rPr>
          <w:rFonts w:hint="eastAsia"/>
          <w:b/>
          <w:bCs/>
          <w:sz w:val="32"/>
          <w:szCs w:val="40"/>
          <w:highlight w:val="none"/>
          <w:lang w:val="en-US" w:eastAsia="zh-CN"/>
        </w:rPr>
      </w:pPr>
      <w:r>
        <w:rPr>
          <w:rFonts w:hint="eastAsia"/>
          <w:b/>
          <w:bCs/>
          <w:sz w:val="32"/>
          <w:szCs w:val="40"/>
          <w:highlight w:val="none"/>
          <w:lang w:val="en-US" w:eastAsia="zh-CN"/>
        </w:rPr>
        <w:t>十二、质保期</w:t>
      </w:r>
    </w:p>
    <w:p w14:paraId="1DFAE3A7">
      <w:pPr>
        <w:pageBreakBefore w:val="0"/>
        <w:widowControl w:val="0"/>
        <w:kinsoku/>
        <w:wordWrap/>
        <w:overflowPunct/>
        <w:topLinePunct w:val="0"/>
        <w:autoSpaceDE/>
        <w:autoSpaceDN/>
        <w:bidi w:val="0"/>
        <w:adjustRightInd/>
        <w:snapToGrid/>
        <w:spacing w:before="0" w:beforeAutospacing="0" w:after="0" w:afterAutospacing="0" w:line="520" w:lineRule="exact"/>
        <w:ind w:firstLine="600" w:firstLineChars="200"/>
        <w:jc w:val="left"/>
        <w:textAlignment w:val="auto"/>
        <w:outlineLvl w:val="4"/>
        <w:rPr>
          <w:rFonts w:hint="eastAsia" w:ascii="仿宋" w:hAnsi="仿宋" w:eastAsia="仿宋" w:cs="宋体"/>
          <w:kern w:val="0"/>
          <w:sz w:val="30"/>
          <w:szCs w:val="30"/>
          <w:highlight w:val="none"/>
          <w:lang w:val="en-US" w:eastAsia="zh-CN" w:bidi="ar-SA"/>
        </w:rPr>
      </w:pPr>
      <w:r>
        <w:rPr>
          <w:rFonts w:hint="eastAsia" w:ascii="仿宋" w:hAnsi="仿宋" w:eastAsia="仿宋" w:cs="宋体"/>
          <w:kern w:val="0"/>
          <w:sz w:val="30"/>
          <w:szCs w:val="30"/>
          <w:highlight w:val="none"/>
          <w:lang w:val="en-US" w:eastAsia="zh-CN" w:bidi="ar-SA"/>
        </w:rPr>
        <w:t>评审结果质保期为2年。</w:t>
      </w:r>
    </w:p>
    <w:p w14:paraId="3AAFFA12">
      <w:pPr>
        <w:pageBreakBefore w:val="0"/>
        <w:numPr>
          <w:ilvl w:val="0"/>
          <w:numId w:val="0"/>
        </w:numPr>
        <w:kinsoku/>
        <w:wordWrap/>
        <w:overflowPunct/>
        <w:topLinePunct w:val="0"/>
        <w:autoSpaceDE/>
        <w:autoSpaceDN/>
        <w:bidi w:val="0"/>
        <w:snapToGrid/>
        <w:spacing w:line="520" w:lineRule="exact"/>
        <w:rPr>
          <w:rFonts w:hint="eastAsia"/>
          <w:b/>
          <w:bCs/>
          <w:sz w:val="32"/>
          <w:szCs w:val="40"/>
          <w:highlight w:val="none"/>
          <w:lang w:val="en-US" w:eastAsia="zh-CN"/>
        </w:rPr>
      </w:pPr>
      <w:r>
        <w:rPr>
          <w:rFonts w:hint="eastAsia"/>
          <w:b/>
          <w:bCs/>
          <w:sz w:val="32"/>
          <w:szCs w:val="40"/>
          <w:highlight w:val="none"/>
          <w:lang w:val="en-US" w:eastAsia="zh-CN"/>
        </w:rPr>
        <w:t>十三、保密要求</w:t>
      </w:r>
    </w:p>
    <w:p w14:paraId="78E3C9AF">
      <w:pPr>
        <w:pageBreakBefore w:val="0"/>
        <w:widowControl w:val="0"/>
        <w:kinsoku/>
        <w:wordWrap/>
        <w:overflowPunct/>
        <w:topLinePunct w:val="0"/>
        <w:autoSpaceDE/>
        <w:autoSpaceDN/>
        <w:bidi w:val="0"/>
        <w:adjustRightInd/>
        <w:snapToGrid/>
        <w:spacing w:before="0" w:beforeAutospacing="0" w:after="0" w:afterAutospacing="0" w:line="520" w:lineRule="exact"/>
        <w:ind w:firstLine="600" w:firstLineChars="200"/>
        <w:jc w:val="left"/>
        <w:textAlignment w:val="auto"/>
        <w:outlineLvl w:val="4"/>
        <w:rPr>
          <w:rFonts w:hint="eastAsia" w:ascii="仿宋" w:hAnsi="仿宋" w:eastAsia="仿宋" w:cs="宋体"/>
          <w:kern w:val="0"/>
          <w:sz w:val="30"/>
          <w:szCs w:val="30"/>
          <w:highlight w:val="none"/>
          <w:lang w:val="en-US" w:eastAsia="zh-CN" w:bidi="ar-SA"/>
        </w:rPr>
      </w:pPr>
      <w:r>
        <w:rPr>
          <w:rFonts w:hint="eastAsia" w:ascii="仿宋" w:hAnsi="仿宋" w:eastAsia="仿宋" w:cs="宋体"/>
          <w:kern w:val="0"/>
          <w:sz w:val="30"/>
          <w:szCs w:val="30"/>
          <w:highlight w:val="none"/>
          <w:lang w:val="en-US" w:eastAsia="zh-CN" w:bidi="ar-SA"/>
        </w:rPr>
        <w:t>有良好的信息安全和保密技术，平台与所有有关服务人员签订信息安全保密承诺书，不向任何组织或个人提供泄露我校有关学位论文送审的相关内容，包括学位论文全文、作者姓名、导师姓名和评阅结果等。</w:t>
      </w:r>
    </w:p>
    <w:p w14:paraId="74FA8B20">
      <w:pPr>
        <w:keepNext/>
        <w:keepLines/>
        <w:pageBreakBefore w:val="0"/>
        <w:widowControl w:val="0"/>
        <w:numPr>
          <w:ilvl w:val="1"/>
          <w:numId w:val="0"/>
        </w:numPr>
        <w:tabs>
          <w:tab w:val="left" w:pos="0"/>
          <w:tab w:val="left" w:pos="360"/>
          <w:tab w:val="left" w:pos="425"/>
        </w:tabs>
        <w:kinsoku/>
        <w:wordWrap/>
        <w:overflowPunct/>
        <w:topLinePunct w:val="0"/>
        <w:autoSpaceDE/>
        <w:autoSpaceDN/>
        <w:bidi w:val="0"/>
        <w:adjustRightInd w:val="0"/>
        <w:snapToGrid/>
        <w:spacing w:before="0" w:after="0" w:line="520" w:lineRule="exact"/>
        <w:jc w:val="both"/>
        <w:textAlignment w:val="baseline"/>
        <w:outlineLvl w:val="0"/>
        <w:rPr>
          <w:rFonts w:hint="eastAsia" w:ascii="Calibri" w:hAnsi="Calibri" w:eastAsia="宋体" w:cs="Times New Roman"/>
          <w:b/>
          <w:bCs/>
          <w:sz w:val="32"/>
          <w:szCs w:val="40"/>
          <w:highlight w:val="none"/>
          <w:lang w:val="en-US" w:eastAsia="zh-CN" w:bidi="ar-SA"/>
        </w:rPr>
      </w:pPr>
      <w:r>
        <w:rPr>
          <w:rFonts w:hint="eastAsia" w:ascii="Calibri" w:hAnsi="Calibri" w:eastAsia="宋体" w:cs="Times New Roman"/>
          <w:b/>
          <w:bCs/>
          <w:sz w:val="32"/>
          <w:szCs w:val="40"/>
          <w:highlight w:val="none"/>
          <w:lang w:val="en-US" w:eastAsia="zh-CN" w:bidi="ar-SA"/>
        </w:rPr>
        <w:t>十四、其他要求</w:t>
      </w:r>
    </w:p>
    <w:p w14:paraId="5464BBC4">
      <w:pPr>
        <w:pageBreakBefore w:val="0"/>
        <w:widowControl w:val="0"/>
        <w:kinsoku/>
        <w:wordWrap/>
        <w:overflowPunct/>
        <w:topLinePunct w:val="0"/>
        <w:autoSpaceDE/>
        <w:autoSpaceDN/>
        <w:bidi w:val="0"/>
        <w:adjustRightInd/>
        <w:snapToGrid/>
        <w:spacing w:before="0" w:beforeAutospacing="0" w:after="0" w:afterAutospacing="0" w:line="520" w:lineRule="exact"/>
        <w:ind w:firstLine="600" w:firstLineChars="200"/>
        <w:jc w:val="left"/>
        <w:textAlignment w:val="auto"/>
        <w:outlineLvl w:val="4"/>
        <w:rPr>
          <w:rFonts w:hint="eastAsia" w:ascii="仿宋" w:hAnsi="仿宋" w:eastAsia="仿宋" w:cs="宋体"/>
          <w:kern w:val="0"/>
          <w:sz w:val="30"/>
          <w:szCs w:val="30"/>
          <w:highlight w:val="none"/>
          <w:lang w:val="en-US" w:eastAsia="zh-CN" w:bidi="ar-SA"/>
        </w:rPr>
      </w:pPr>
      <w:r>
        <w:rPr>
          <w:rFonts w:hint="eastAsia" w:ascii="仿宋" w:hAnsi="仿宋" w:eastAsia="仿宋" w:cs="宋体"/>
          <w:kern w:val="0"/>
          <w:sz w:val="30"/>
          <w:szCs w:val="30"/>
          <w:highlight w:val="none"/>
          <w:lang w:val="en-US" w:eastAsia="zh-CN" w:bidi="ar-SA"/>
        </w:rPr>
        <w:t>1.本项目报价已包含各项服务以及伴随服务货物的有关费用，且所有根据合同或其他原因应由投标人支付的税款和其他应交纳的费用都要包括在投标人提交的投标价格中；2.技术服务：投标人在提供服务的同时，有义务提供其他相关服务；3.严格执行国家相关的规范、规程、规定，按国家所有现行有关验收规范、规程、质量检验验收标准等为验收标准。</w:t>
      </w:r>
    </w:p>
    <w:p w14:paraId="38AEA3D1">
      <w:pPr>
        <w:pageBreakBefore w:val="0"/>
        <w:widowControl w:val="0"/>
        <w:kinsoku/>
        <w:wordWrap/>
        <w:overflowPunct/>
        <w:topLinePunct w:val="0"/>
        <w:autoSpaceDE/>
        <w:autoSpaceDN/>
        <w:bidi w:val="0"/>
        <w:adjustRightInd/>
        <w:snapToGrid/>
        <w:spacing w:before="0" w:beforeAutospacing="0" w:after="0" w:afterAutospacing="0" w:line="360" w:lineRule="auto"/>
        <w:ind w:firstLine="600" w:firstLineChars="200"/>
        <w:jc w:val="left"/>
        <w:textAlignment w:val="auto"/>
        <w:outlineLvl w:val="4"/>
        <w:rPr>
          <w:rFonts w:hint="eastAsia" w:ascii="仿宋" w:hAnsi="仿宋" w:eastAsia="仿宋" w:cs="宋体"/>
          <w:kern w:val="0"/>
          <w:sz w:val="30"/>
          <w:szCs w:val="30"/>
          <w:highlight w:val="none"/>
          <w:lang w:val="en-US" w:eastAsia="zh-CN" w:bidi="ar-SA"/>
        </w:rPr>
      </w:pPr>
    </w:p>
    <w:sectPr>
      <w:headerReference r:id="rId13" w:type="first"/>
      <w:footerReference r:id="rId16" w:type="first"/>
      <w:headerReference r:id="rId12" w:type="default"/>
      <w:footerReference r:id="rId14" w:type="default"/>
      <w:footerReference r:id="rId15" w:type="even"/>
      <w:pgSz w:w="11907" w:h="16840"/>
      <w:pgMar w:top="1701" w:right="1134" w:bottom="1701" w:left="1701" w:header="1134" w:footer="1134" w:gutter="0"/>
      <w:pgNumType w:fmt="numberInDash" w:start="1"/>
      <w:cols w:space="720" w:num="1"/>
      <w:titlePg/>
      <w:docGrid w:linePitch="319" w:charSpace="-63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FA50E9BD-0EE3-423F-9752-D5D5EC32177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8E7E5C42-EAF6-49B9-B0F8-97114FAAE25A}"/>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embedRegular r:id="rId3" w:fontKey="{1BD7A25A-FBE9-49CB-ACB8-2ABD86BA7305}"/>
  </w:font>
  <w:font w:name="Tahoma">
    <w:panose1 w:val="020B0604030504040204"/>
    <w:charset w:val="00"/>
    <w:family w:val="swiss"/>
    <w:pitch w:val="default"/>
    <w:sig w:usb0="E1002EFF" w:usb1="C000605B" w:usb2="00000029" w:usb3="00000000" w:csb0="200101FF" w:csb1="20280000"/>
  </w:font>
  <w:font w:name="Cambria Math">
    <w:panose1 w:val="02040503050406030204"/>
    <w:charset w:val="00"/>
    <w:family w:val="roman"/>
    <w:pitch w:val="default"/>
    <w:sig w:usb0="E00006FF" w:usb1="420024FF" w:usb2="02000000" w:usb3="00000000" w:csb0="2000019F" w:csb1="00000000"/>
  </w:font>
  <w:font w:name="Microsoft YaHei UI">
    <w:panose1 w:val="020B0503020204020204"/>
    <w:charset w:val="86"/>
    <w:family w:val="swiss"/>
    <w:pitch w:val="default"/>
    <w:sig w:usb0="80000287" w:usb1="2ACF3C50" w:usb2="00000016" w:usb3="00000000" w:csb0="0004001F" w:csb1="00000000"/>
    <w:embedRegular r:id="rId4" w:fontKey="{3E0E9F24-176C-4050-BE93-18BD8D753DB8}"/>
  </w:font>
  <w:font w:name="楷体">
    <w:panose1 w:val="02010609060101010101"/>
    <w:charset w:val="86"/>
    <w:family w:val="modern"/>
    <w:pitch w:val="default"/>
    <w:sig w:usb0="800002BF" w:usb1="38CF7CFA" w:usb2="00000016" w:usb3="00000000" w:csb0="00040001" w:csb1="00000000"/>
    <w:embedRegular r:id="rId5" w:fontKey="{BBC2B16D-683F-4ACD-BE3F-6CF83481B477}"/>
  </w:font>
  <w:font w:name="Arial Unicode MS">
    <w:panose1 w:val="020B0604020202020204"/>
    <w:charset w:val="86"/>
    <w:family w:val="auto"/>
    <w:pitch w:val="default"/>
    <w:sig w:usb0="FFFFFFFF" w:usb1="E9FFFFFF" w:usb2="0000003F" w:usb3="00000000" w:csb0="603F01FF" w:csb1="FFFF0000"/>
    <w:embedRegular r:id="rId6" w:fontKey="{82B8EA64-44D5-4B96-A61A-6A46E78A6627}"/>
  </w:font>
  <w:font w:name="仿宋">
    <w:panose1 w:val="02010609060101010101"/>
    <w:charset w:val="86"/>
    <w:family w:val="modern"/>
    <w:pitch w:val="default"/>
    <w:sig w:usb0="800002BF" w:usb1="38CF7CFA" w:usb2="00000016" w:usb3="00000000" w:csb0="00040001" w:csb1="00000000"/>
    <w:embedRegular r:id="rId7" w:fontKey="{0F8E4D40-5FC8-4F55-9FDF-0DF8BE38722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1238C1">
    <w:pPr>
      <w:pStyle w:val="22"/>
      <w:ind w:firstLine="0" w:firstLineChars="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BC112A">
    <w:pPr>
      <w:pStyle w:val="22"/>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EA3B7E">
    <w:pPr>
      <w:pStyle w:val="22"/>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678946">
    <w:pPr>
      <w:pStyle w:val="22"/>
      <w:ind w:firstLine="0" w:firstLineChars="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78C305">
    <w:pPr>
      <w:pStyle w:val="22"/>
      <w:ind w:firstLine="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DA3A13">
    <w:pPr>
      <w:pStyle w:val="22"/>
      <w:ind w:firstLine="0" w:firstLineChars="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48DCA9F">
                          <w:pPr>
                            <w:pStyle w:val="22"/>
                          </w:pPr>
                          <w:r>
                            <w:fldChar w:fldCharType="begin"/>
                          </w:r>
                          <w:r>
                            <w:instrText xml:space="preserve"> PAGE  \* MERGEFORMAT </w:instrText>
                          </w:r>
                          <w:r>
                            <w:fldChar w:fldCharType="separate"/>
                          </w:r>
                          <w:r>
                            <w:t>3</w:t>
                          </w:r>
                          <w:r>
                            <w:fldChar w:fldCharType="end"/>
                          </w:r>
                        </w:p>
                      </w:txbxContent>
                    </wps:txbx>
                    <wps:bodyPr wrap="none" lIns="0" tIns="0" rIns="0" bIns="0" upright="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ihY+ckBAACZ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mUOG5x4OefP86/Hs8P38mb&#10;LE8foMasu4B5aXjvh5w6+QGdmfWgos1f5EMwjuKeLuLKIRGRH62Wq1WFIYGx+YI47Ol5iJA+SG9J&#10;NhoacXpFVH78BGlMnVNyNedvtTHo57VxfzkQM3tY7n3sMVtp2A1T4zvfnpBPj4NvqMM9p8R8dKhr&#10;3pHZiLOxm41DiHrflSXK9SC8OyRsovSWK4ywU2GcWGE3bVdeiT/vJevpj9r8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mKFj5yQEAAJkDAAAOAAAAAAAAAAEAIAAAAB4BAABkcnMvZTJvRG9j&#10;LnhtbFBLBQYAAAAABgAGAFkBAABZBQAAAAA=&#10;">
              <v:fill on="f" focussize="0,0"/>
              <v:stroke on="f"/>
              <v:imagedata o:title=""/>
              <o:lock v:ext="edit" aspectratio="f"/>
              <v:textbox inset="0mm,0mm,0mm,0mm" style="mso-fit-shape-to-text:t;">
                <w:txbxContent>
                  <w:p w14:paraId="748DCA9F">
                    <w:pPr>
                      <w:pStyle w:val="22"/>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5A6207">
    <w:pPr>
      <w:pStyle w:val="22"/>
      <w:ind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9E58D34">
                          <w:pPr>
                            <w:pStyle w:val="22"/>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pfMzMkBAACZAwAADgAAAGRycy9lMm9Eb2MueG1srVPNjtMwEL6vxDtY&#10;vlNnK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V1S4rjFgZ9//jj/ejw/fCdv&#10;sjx9gBqz7gLmpeG9H3BpZj+gM7MeVLT5i3wIxlHc00VcOSQi8qPVcrWqMCQwNl8Qnz09DxHSB+kt&#10;yUZDI06viMqPnyCNqXNKrub8rTamTNC4vxyImT0s9z72mK007IaJ0M63J+TT4+Ab6nDPKTEfHeqa&#10;d2Q24mzsZuMQot53ZYlyPQjvDgmbKL3lCiPsVBgnVthN25VX4s97yXr6oz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yl8zMyQEAAJkDAAAOAAAAAAAAAAEAIAAAAB4BAABkcnMvZTJvRG9j&#10;LnhtbFBLBQYAAAAABgAGAFkBAABZBQAAAAA=&#10;">
              <v:fill on="f" focussize="0,0"/>
              <v:stroke on="f"/>
              <v:imagedata o:title=""/>
              <o:lock v:ext="edit" aspectratio="f"/>
              <v:textbox inset="0mm,0mm,0mm,0mm" style="mso-fit-shape-to-text:t;">
                <w:txbxContent>
                  <w:p w14:paraId="19E58D34">
                    <w:pPr>
                      <w:pStyle w:val="2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5ED6A9">
    <w:pPr>
      <w:pStyle w:val="22"/>
      <w:ind w:firstLine="36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CAEF4E9">
                          <w:pPr>
                            <w:pStyle w:val="22"/>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vF7+8kBAACZAwAADgAAAGRycy9lMm9Eb2MueG1srVPNjtMwEL4j8Q6W&#10;79TZIlAVNV2BqkVICJCWfQDXsRtL/pPHbdIXgDfgxIU7z9XnYOwkXdi97GEvznhm/M1830zW14M1&#10;5CgjaO8aerWoKJFO+Fa7fUPvvt28WlECibuWG+9kQ08S6PXm5Yt1H2q59J03rYwEQRzUfWhol1Ko&#10;GQPRScth4YN0GFQ+Wp7wGvesjbxHdGvYsqrest7HNkQvJAB6t2OQTojxKYBeKS3k1ouDlS6NqFEa&#10;npASdDoA3ZRulZIifVEKZCKmocg0lROLoL3LJ9useb2PPHRaTC3wp7TwgJPl2mHRC9SWJ04OUT+C&#10;slpED16lhfCWjUSKIsjiqnqgzW3HgyxcUGoIF9Hh+WDF5+PXSHTb0NeUOG5x4OefP86//px/fydv&#10;sjx9gBqzbgPmpeG9H3BpZj+gM7MeVLT5i3wIxlHc00VcOSQi8qPVcrWqMCQwNl8Qn90/DxHSB+kt&#10;yUZDI06viMqPnyCNqXNKrub8jTamTNC4/xyImT0s9z72mK007IaJ0M63J+TT4+Ab6nDPKTEfHeqa&#10;d2Q24mzsZuMQot53ZYlyPQjvDgmbKL3lCiPsVBgnVthN25VX4t97ybr/ozZ/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C8Xv7yQEAAJkDAAAOAAAAAAAAAAEAIAAAAB4BAABkcnMvZTJvRG9j&#10;LnhtbFBLBQYAAAAABgAGAFkBAABZBQAAAAA=&#10;">
              <v:fill on="f" focussize="0,0"/>
              <v:stroke on="f"/>
              <v:imagedata o:title=""/>
              <o:lock v:ext="edit" aspectratio="f"/>
              <v:textbox inset="0mm,0mm,0mm,0mm" style="mso-fit-shape-to-text:t;">
                <w:txbxContent>
                  <w:p w14:paraId="2CAEF4E9">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384B87">
    <w:pPr>
      <w:pBdr>
        <w:bottom w:val="single" w:color="auto" w:sz="4" w:space="0"/>
      </w:pBdr>
      <w:ind w:left="0" w:leftChars="0" w:firstLine="0" w:firstLineChars="0"/>
      <w:jc w:val="right"/>
      <w:rPr>
        <w:rFonts w:hint="eastAsia" w:eastAsia="宋体"/>
        <w:kern w:val="2"/>
        <w:lang w:eastAsia="zh-CN"/>
      </w:rPr>
    </w:pPr>
    <w:r>
      <w:rPr>
        <w:rFonts w:hint="eastAsia"/>
        <w:kern w:val="2"/>
        <w:lang w:eastAsia="zh-CN"/>
      </w:rPr>
      <w:t>青海省招标有限责任公司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529C41">
    <w:pPr>
      <w:ind w:firstLine="0" w:firstLineChars="0"/>
      <w:rPr>
        <w:kern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823FF2">
    <w:pPr>
      <w:ind w:left="420" w:firstLine="0" w:firstLineChars="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FE501C">
    <w:pPr>
      <w:ind w:left="420" w:firstLine="0" w:firstLineChars="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C856ED4"/>
    <w:multiLevelType w:val="singleLevel"/>
    <w:tmpl w:val="EC856ED4"/>
    <w:lvl w:ilvl="0" w:tentative="0">
      <w:start w:val="12"/>
      <w:numFmt w:val="chineseCounting"/>
      <w:suff w:val="nothing"/>
      <w:lvlText w:val="%1、"/>
      <w:lvlJc w:val="left"/>
      <w:rPr>
        <w:rFonts w:hint="eastAsia"/>
      </w:rPr>
    </w:lvl>
  </w:abstractNum>
  <w:abstractNum w:abstractNumId="1">
    <w:nsid w:val="0000000B"/>
    <w:multiLevelType w:val="multilevel"/>
    <w:tmpl w:val="0000000B"/>
    <w:lvl w:ilvl="0" w:tentative="0">
      <w:start w:val="1"/>
      <w:numFmt w:val="decimal"/>
      <w:pStyle w:val="3"/>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0000000E"/>
    <w:multiLevelType w:val="multilevel"/>
    <w:tmpl w:val="0000000E"/>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pStyle w:val="2"/>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
    <w:nsid w:val="346C5CA9"/>
    <w:multiLevelType w:val="multilevel"/>
    <w:tmpl w:val="346C5CA9"/>
    <w:lvl w:ilvl="0" w:tentative="0">
      <w:start w:val="1"/>
      <w:numFmt w:val="bullet"/>
      <w:pStyle w:val="59"/>
      <w:lvlText w:val="-"/>
      <w:lvlJc w:val="left"/>
      <w:pPr>
        <w:tabs>
          <w:tab w:val="left" w:pos="840"/>
        </w:tabs>
        <w:ind w:left="840" w:hanging="420"/>
      </w:pPr>
      <w:rPr>
        <w:rFonts w:hint="eastAsia" w:ascii="宋体" w:hAnsi="Wingdings" w:eastAsia="宋体"/>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4">
    <w:nsid w:val="376F54CF"/>
    <w:multiLevelType w:val="multilevel"/>
    <w:tmpl w:val="376F54CF"/>
    <w:lvl w:ilvl="0" w:tentative="0">
      <w:start w:val="1"/>
      <w:numFmt w:val="decimal"/>
      <w:pStyle w:val="61"/>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59B11739"/>
    <w:multiLevelType w:val="singleLevel"/>
    <w:tmpl w:val="59B11739"/>
    <w:lvl w:ilvl="0" w:tentative="0">
      <w:start w:val="1"/>
      <w:numFmt w:val="decimal"/>
      <w:suff w:val="nothing"/>
      <w:lvlText w:val="（%1）"/>
      <w:lvlJc w:val="left"/>
    </w:lvl>
  </w:abstractNum>
  <w:abstractNum w:abstractNumId="6">
    <w:nsid w:val="6A700C17"/>
    <w:multiLevelType w:val="multilevel"/>
    <w:tmpl w:val="6A700C17"/>
    <w:lvl w:ilvl="0" w:tentative="0">
      <w:start w:val="1"/>
      <w:numFmt w:val="decimal"/>
      <w:pStyle w:val="60"/>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6A7196BF"/>
    <w:multiLevelType w:val="singleLevel"/>
    <w:tmpl w:val="6A7196BF"/>
    <w:lvl w:ilvl="0" w:tentative="0">
      <w:start w:val="1"/>
      <w:numFmt w:val="decimal"/>
      <w:suff w:val="space"/>
      <w:lvlText w:val="%1."/>
      <w:lvlJc w:val="left"/>
    </w:lvl>
  </w:abstractNum>
  <w:num w:numId="1">
    <w:abstractNumId w:val="2"/>
  </w:num>
  <w:num w:numId="2">
    <w:abstractNumId w:val="1"/>
  </w:num>
  <w:num w:numId="3">
    <w:abstractNumId w:val="3"/>
  </w:num>
  <w:num w:numId="4">
    <w:abstractNumId w:val="6"/>
  </w:num>
  <w:num w:numId="5">
    <w:abstractNumId w:val="4"/>
  </w:num>
  <w:num w:numId="6">
    <w:abstractNumId w:val="0"/>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evenAndOddHeaders w:val="1"/>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RhODQ2MjMxMjBlMzJmZWMyZTNkMWE4NGM2Njg1NTUifQ=="/>
  </w:docVars>
  <w:rsids>
    <w:rsidRoot w:val="00672A50"/>
    <w:rsid w:val="00002F1A"/>
    <w:rsid w:val="000035E1"/>
    <w:rsid w:val="00004907"/>
    <w:rsid w:val="00005A09"/>
    <w:rsid w:val="000102EE"/>
    <w:rsid w:val="0001174F"/>
    <w:rsid w:val="00011D64"/>
    <w:rsid w:val="00011DFD"/>
    <w:rsid w:val="000121FE"/>
    <w:rsid w:val="00012F7E"/>
    <w:rsid w:val="00017883"/>
    <w:rsid w:val="00017B9F"/>
    <w:rsid w:val="00021ACF"/>
    <w:rsid w:val="00022A81"/>
    <w:rsid w:val="0002382B"/>
    <w:rsid w:val="000261B2"/>
    <w:rsid w:val="0002724C"/>
    <w:rsid w:val="00037F05"/>
    <w:rsid w:val="0004173A"/>
    <w:rsid w:val="00042D55"/>
    <w:rsid w:val="00043C12"/>
    <w:rsid w:val="00047901"/>
    <w:rsid w:val="00047B4F"/>
    <w:rsid w:val="00054274"/>
    <w:rsid w:val="0005760C"/>
    <w:rsid w:val="000603C3"/>
    <w:rsid w:val="000635AD"/>
    <w:rsid w:val="000641CF"/>
    <w:rsid w:val="000661B0"/>
    <w:rsid w:val="00067987"/>
    <w:rsid w:val="0007216A"/>
    <w:rsid w:val="00074F0C"/>
    <w:rsid w:val="00075090"/>
    <w:rsid w:val="000757CF"/>
    <w:rsid w:val="0007659D"/>
    <w:rsid w:val="00077691"/>
    <w:rsid w:val="000778BF"/>
    <w:rsid w:val="00082824"/>
    <w:rsid w:val="0009262A"/>
    <w:rsid w:val="00093197"/>
    <w:rsid w:val="00093587"/>
    <w:rsid w:val="000936DD"/>
    <w:rsid w:val="00097B20"/>
    <w:rsid w:val="000A230F"/>
    <w:rsid w:val="000A3CDA"/>
    <w:rsid w:val="000A5154"/>
    <w:rsid w:val="000A6F1B"/>
    <w:rsid w:val="000B1133"/>
    <w:rsid w:val="000B2855"/>
    <w:rsid w:val="000B3F35"/>
    <w:rsid w:val="000B5EC0"/>
    <w:rsid w:val="000B60F7"/>
    <w:rsid w:val="000B628B"/>
    <w:rsid w:val="000C02C8"/>
    <w:rsid w:val="000C1DE3"/>
    <w:rsid w:val="000C3519"/>
    <w:rsid w:val="000C3D0D"/>
    <w:rsid w:val="000C4ACE"/>
    <w:rsid w:val="000C5B98"/>
    <w:rsid w:val="000C7724"/>
    <w:rsid w:val="000D583A"/>
    <w:rsid w:val="000D7DB1"/>
    <w:rsid w:val="000E0C04"/>
    <w:rsid w:val="000E3B3F"/>
    <w:rsid w:val="000E52CB"/>
    <w:rsid w:val="000E52D5"/>
    <w:rsid w:val="000E6E99"/>
    <w:rsid w:val="000E7ECC"/>
    <w:rsid w:val="000F1B3A"/>
    <w:rsid w:val="000F31B1"/>
    <w:rsid w:val="000F330D"/>
    <w:rsid w:val="000F7FDA"/>
    <w:rsid w:val="00100070"/>
    <w:rsid w:val="00104EE6"/>
    <w:rsid w:val="0011117C"/>
    <w:rsid w:val="001118B1"/>
    <w:rsid w:val="00111F90"/>
    <w:rsid w:val="00114D61"/>
    <w:rsid w:val="00115C57"/>
    <w:rsid w:val="001207D0"/>
    <w:rsid w:val="001216FF"/>
    <w:rsid w:val="00124EAC"/>
    <w:rsid w:val="00126B77"/>
    <w:rsid w:val="0012756C"/>
    <w:rsid w:val="001309BB"/>
    <w:rsid w:val="00140B86"/>
    <w:rsid w:val="00142AEA"/>
    <w:rsid w:val="00144128"/>
    <w:rsid w:val="00146331"/>
    <w:rsid w:val="00146A52"/>
    <w:rsid w:val="0014750B"/>
    <w:rsid w:val="00151501"/>
    <w:rsid w:val="00151A3D"/>
    <w:rsid w:val="00152B0E"/>
    <w:rsid w:val="001579FE"/>
    <w:rsid w:val="00157B5D"/>
    <w:rsid w:val="0016032C"/>
    <w:rsid w:val="001624F8"/>
    <w:rsid w:val="00162E90"/>
    <w:rsid w:val="0016759F"/>
    <w:rsid w:val="00167DBD"/>
    <w:rsid w:val="00170A0F"/>
    <w:rsid w:val="00172D2A"/>
    <w:rsid w:val="00173EAA"/>
    <w:rsid w:val="00174DD4"/>
    <w:rsid w:val="001750AA"/>
    <w:rsid w:val="00176BD9"/>
    <w:rsid w:val="001802DC"/>
    <w:rsid w:val="0018117C"/>
    <w:rsid w:val="00182468"/>
    <w:rsid w:val="0018489B"/>
    <w:rsid w:val="001868D1"/>
    <w:rsid w:val="00187297"/>
    <w:rsid w:val="00190C2F"/>
    <w:rsid w:val="00194CBC"/>
    <w:rsid w:val="00197B24"/>
    <w:rsid w:val="001A0C5B"/>
    <w:rsid w:val="001A325E"/>
    <w:rsid w:val="001A4A9D"/>
    <w:rsid w:val="001A6140"/>
    <w:rsid w:val="001A63F1"/>
    <w:rsid w:val="001A6819"/>
    <w:rsid w:val="001B178C"/>
    <w:rsid w:val="001B197E"/>
    <w:rsid w:val="001B2131"/>
    <w:rsid w:val="001B295A"/>
    <w:rsid w:val="001B3647"/>
    <w:rsid w:val="001B6DA9"/>
    <w:rsid w:val="001B7A15"/>
    <w:rsid w:val="001B7A84"/>
    <w:rsid w:val="001C1679"/>
    <w:rsid w:val="001C315E"/>
    <w:rsid w:val="001C5F3E"/>
    <w:rsid w:val="001C7719"/>
    <w:rsid w:val="001D12FB"/>
    <w:rsid w:val="001D2FA4"/>
    <w:rsid w:val="001D367D"/>
    <w:rsid w:val="001D3C77"/>
    <w:rsid w:val="001D431F"/>
    <w:rsid w:val="001D4DD7"/>
    <w:rsid w:val="001D5789"/>
    <w:rsid w:val="001D59D3"/>
    <w:rsid w:val="001D5B78"/>
    <w:rsid w:val="001D75C0"/>
    <w:rsid w:val="001E2414"/>
    <w:rsid w:val="001E26D6"/>
    <w:rsid w:val="001E3EE8"/>
    <w:rsid w:val="001E45D8"/>
    <w:rsid w:val="001E5E52"/>
    <w:rsid w:val="001E701D"/>
    <w:rsid w:val="001E77B1"/>
    <w:rsid w:val="001F128E"/>
    <w:rsid w:val="001F1999"/>
    <w:rsid w:val="001F20E1"/>
    <w:rsid w:val="001F35B7"/>
    <w:rsid w:val="001F5988"/>
    <w:rsid w:val="002031F5"/>
    <w:rsid w:val="00203736"/>
    <w:rsid w:val="00204409"/>
    <w:rsid w:val="00206919"/>
    <w:rsid w:val="002121E7"/>
    <w:rsid w:val="0021221B"/>
    <w:rsid w:val="00212833"/>
    <w:rsid w:val="00217BC8"/>
    <w:rsid w:val="00222B1E"/>
    <w:rsid w:val="00223C54"/>
    <w:rsid w:val="00224129"/>
    <w:rsid w:val="00225DA4"/>
    <w:rsid w:val="00226D27"/>
    <w:rsid w:val="002301D8"/>
    <w:rsid w:val="00233336"/>
    <w:rsid w:val="00234FDB"/>
    <w:rsid w:val="002372E4"/>
    <w:rsid w:val="002412EF"/>
    <w:rsid w:val="00241DA5"/>
    <w:rsid w:val="00243C8B"/>
    <w:rsid w:val="00244CC1"/>
    <w:rsid w:val="00246649"/>
    <w:rsid w:val="00246C14"/>
    <w:rsid w:val="00250979"/>
    <w:rsid w:val="00251655"/>
    <w:rsid w:val="002516C1"/>
    <w:rsid w:val="002516F6"/>
    <w:rsid w:val="00252120"/>
    <w:rsid w:val="00254C10"/>
    <w:rsid w:val="0025799E"/>
    <w:rsid w:val="00257BA1"/>
    <w:rsid w:val="002638B1"/>
    <w:rsid w:val="00263F61"/>
    <w:rsid w:val="00263F6D"/>
    <w:rsid w:val="002701FF"/>
    <w:rsid w:val="00271430"/>
    <w:rsid w:val="00272CCC"/>
    <w:rsid w:val="00274AA4"/>
    <w:rsid w:val="00283835"/>
    <w:rsid w:val="002838BE"/>
    <w:rsid w:val="00284CB8"/>
    <w:rsid w:val="002852C8"/>
    <w:rsid w:val="00285775"/>
    <w:rsid w:val="00286337"/>
    <w:rsid w:val="00286E3C"/>
    <w:rsid w:val="0029127E"/>
    <w:rsid w:val="00292582"/>
    <w:rsid w:val="00294C4C"/>
    <w:rsid w:val="00294DD9"/>
    <w:rsid w:val="002959FB"/>
    <w:rsid w:val="00297039"/>
    <w:rsid w:val="002975DF"/>
    <w:rsid w:val="002A0BF9"/>
    <w:rsid w:val="002A2E07"/>
    <w:rsid w:val="002A3EE1"/>
    <w:rsid w:val="002A5D79"/>
    <w:rsid w:val="002A7290"/>
    <w:rsid w:val="002B1678"/>
    <w:rsid w:val="002B1CDC"/>
    <w:rsid w:val="002B5B30"/>
    <w:rsid w:val="002B6403"/>
    <w:rsid w:val="002B7CE3"/>
    <w:rsid w:val="002C1C26"/>
    <w:rsid w:val="002C2BC7"/>
    <w:rsid w:val="002C2E51"/>
    <w:rsid w:val="002C32C1"/>
    <w:rsid w:val="002C488B"/>
    <w:rsid w:val="002D1FFD"/>
    <w:rsid w:val="002D2594"/>
    <w:rsid w:val="002D391D"/>
    <w:rsid w:val="002D59E6"/>
    <w:rsid w:val="002D5A3E"/>
    <w:rsid w:val="002D6F66"/>
    <w:rsid w:val="002D6FBC"/>
    <w:rsid w:val="002D7206"/>
    <w:rsid w:val="002E30CC"/>
    <w:rsid w:val="002E49FD"/>
    <w:rsid w:val="002E7FB5"/>
    <w:rsid w:val="002F0835"/>
    <w:rsid w:val="002F0BCC"/>
    <w:rsid w:val="002F27D2"/>
    <w:rsid w:val="002F27FE"/>
    <w:rsid w:val="002F4BAB"/>
    <w:rsid w:val="002F5858"/>
    <w:rsid w:val="00300021"/>
    <w:rsid w:val="00302E49"/>
    <w:rsid w:val="00303EDD"/>
    <w:rsid w:val="003042E9"/>
    <w:rsid w:val="003044C1"/>
    <w:rsid w:val="0030694A"/>
    <w:rsid w:val="0031153A"/>
    <w:rsid w:val="00311FDE"/>
    <w:rsid w:val="003121D8"/>
    <w:rsid w:val="00315AE9"/>
    <w:rsid w:val="00315E1E"/>
    <w:rsid w:val="00320392"/>
    <w:rsid w:val="00320399"/>
    <w:rsid w:val="00321B2A"/>
    <w:rsid w:val="003235CF"/>
    <w:rsid w:val="003237C9"/>
    <w:rsid w:val="00325896"/>
    <w:rsid w:val="00325DE7"/>
    <w:rsid w:val="003272FF"/>
    <w:rsid w:val="00327F43"/>
    <w:rsid w:val="003301C9"/>
    <w:rsid w:val="00334152"/>
    <w:rsid w:val="00334EA6"/>
    <w:rsid w:val="003351E5"/>
    <w:rsid w:val="003374D4"/>
    <w:rsid w:val="00337779"/>
    <w:rsid w:val="00341339"/>
    <w:rsid w:val="003455FC"/>
    <w:rsid w:val="003471AD"/>
    <w:rsid w:val="003502A1"/>
    <w:rsid w:val="003553A6"/>
    <w:rsid w:val="0035703B"/>
    <w:rsid w:val="00361895"/>
    <w:rsid w:val="003621A2"/>
    <w:rsid w:val="00363EFB"/>
    <w:rsid w:val="00367376"/>
    <w:rsid w:val="0036772D"/>
    <w:rsid w:val="0037172C"/>
    <w:rsid w:val="00371752"/>
    <w:rsid w:val="00371E8A"/>
    <w:rsid w:val="0037314D"/>
    <w:rsid w:val="00373813"/>
    <w:rsid w:val="0037492F"/>
    <w:rsid w:val="00375038"/>
    <w:rsid w:val="0037756F"/>
    <w:rsid w:val="00377B65"/>
    <w:rsid w:val="00382F44"/>
    <w:rsid w:val="00387556"/>
    <w:rsid w:val="003913B9"/>
    <w:rsid w:val="00391A3D"/>
    <w:rsid w:val="00397683"/>
    <w:rsid w:val="003A2077"/>
    <w:rsid w:val="003A2891"/>
    <w:rsid w:val="003A5901"/>
    <w:rsid w:val="003A6020"/>
    <w:rsid w:val="003B07E9"/>
    <w:rsid w:val="003B1119"/>
    <w:rsid w:val="003B3C58"/>
    <w:rsid w:val="003B539D"/>
    <w:rsid w:val="003B5DEC"/>
    <w:rsid w:val="003B6A4B"/>
    <w:rsid w:val="003C0C68"/>
    <w:rsid w:val="003C4E99"/>
    <w:rsid w:val="003C541A"/>
    <w:rsid w:val="003C5CD8"/>
    <w:rsid w:val="003C751E"/>
    <w:rsid w:val="003D4443"/>
    <w:rsid w:val="003E09BB"/>
    <w:rsid w:val="003E11A3"/>
    <w:rsid w:val="003E1918"/>
    <w:rsid w:val="003E23C8"/>
    <w:rsid w:val="003E2EB9"/>
    <w:rsid w:val="003E3341"/>
    <w:rsid w:val="003E514B"/>
    <w:rsid w:val="003E6612"/>
    <w:rsid w:val="003E718A"/>
    <w:rsid w:val="003F0E1B"/>
    <w:rsid w:val="003F10D5"/>
    <w:rsid w:val="003F2C17"/>
    <w:rsid w:val="003F79A2"/>
    <w:rsid w:val="0040114B"/>
    <w:rsid w:val="00401C92"/>
    <w:rsid w:val="00404ADA"/>
    <w:rsid w:val="00405BD1"/>
    <w:rsid w:val="00405D39"/>
    <w:rsid w:val="00407AAA"/>
    <w:rsid w:val="004116C0"/>
    <w:rsid w:val="00412CF5"/>
    <w:rsid w:val="0041470E"/>
    <w:rsid w:val="0041500A"/>
    <w:rsid w:val="00415EA0"/>
    <w:rsid w:val="00416FD8"/>
    <w:rsid w:val="00424B9E"/>
    <w:rsid w:val="00425B37"/>
    <w:rsid w:val="004318B6"/>
    <w:rsid w:val="00431DB7"/>
    <w:rsid w:val="00432231"/>
    <w:rsid w:val="004341ED"/>
    <w:rsid w:val="004344E5"/>
    <w:rsid w:val="00434BC1"/>
    <w:rsid w:val="00436B66"/>
    <w:rsid w:val="00436B9C"/>
    <w:rsid w:val="00443C11"/>
    <w:rsid w:val="004451D5"/>
    <w:rsid w:val="00445AF5"/>
    <w:rsid w:val="00445FD3"/>
    <w:rsid w:val="00450EAD"/>
    <w:rsid w:val="004525B3"/>
    <w:rsid w:val="0045344A"/>
    <w:rsid w:val="00456B76"/>
    <w:rsid w:val="00457835"/>
    <w:rsid w:val="00460B04"/>
    <w:rsid w:val="00460F12"/>
    <w:rsid w:val="004614FF"/>
    <w:rsid w:val="0047063E"/>
    <w:rsid w:val="00470FA1"/>
    <w:rsid w:val="0047463D"/>
    <w:rsid w:val="00477675"/>
    <w:rsid w:val="00481050"/>
    <w:rsid w:val="00481CDD"/>
    <w:rsid w:val="004828EC"/>
    <w:rsid w:val="00484537"/>
    <w:rsid w:val="004851AF"/>
    <w:rsid w:val="00485884"/>
    <w:rsid w:val="0048736E"/>
    <w:rsid w:val="00491969"/>
    <w:rsid w:val="00491E27"/>
    <w:rsid w:val="0049234C"/>
    <w:rsid w:val="0049283D"/>
    <w:rsid w:val="0049289E"/>
    <w:rsid w:val="00493E1C"/>
    <w:rsid w:val="00494F02"/>
    <w:rsid w:val="00497F76"/>
    <w:rsid w:val="004A0681"/>
    <w:rsid w:val="004A1AA2"/>
    <w:rsid w:val="004A2129"/>
    <w:rsid w:val="004A3345"/>
    <w:rsid w:val="004A601B"/>
    <w:rsid w:val="004B004B"/>
    <w:rsid w:val="004B0243"/>
    <w:rsid w:val="004B05DE"/>
    <w:rsid w:val="004B3580"/>
    <w:rsid w:val="004B5231"/>
    <w:rsid w:val="004B5F1B"/>
    <w:rsid w:val="004B6EED"/>
    <w:rsid w:val="004B709A"/>
    <w:rsid w:val="004B76F2"/>
    <w:rsid w:val="004C00A1"/>
    <w:rsid w:val="004C049D"/>
    <w:rsid w:val="004C08E2"/>
    <w:rsid w:val="004C1824"/>
    <w:rsid w:val="004C2B3C"/>
    <w:rsid w:val="004C54BD"/>
    <w:rsid w:val="004D11EE"/>
    <w:rsid w:val="004D2BE1"/>
    <w:rsid w:val="004D35D7"/>
    <w:rsid w:val="004D3BEC"/>
    <w:rsid w:val="004D7B88"/>
    <w:rsid w:val="004E155B"/>
    <w:rsid w:val="004E3511"/>
    <w:rsid w:val="004E5FC6"/>
    <w:rsid w:val="004E77BC"/>
    <w:rsid w:val="004F11BB"/>
    <w:rsid w:val="004F1636"/>
    <w:rsid w:val="004F1A87"/>
    <w:rsid w:val="004F1FD2"/>
    <w:rsid w:val="004F2059"/>
    <w:rsid w:val="004F49A8"/>
    <w:rsid w:val="004F5E95"/>
    <w:rsid w:val="005007FD"/>
    <w:rsid w:val="00500EEF"/>
    <w:rsid w:val="00502451"/>
    <w:rsid w:val="005031E8"/>
    <w:rsid w:val="005103B6"/>
    <w:rsid w:val="0051073F"/>
    <w:rsid w:val="005116ED"/>
    <w:rsid w:val="00512D34"/>
    <w:rsid w:val="005143BA"/>
    <w:rsid w:val="00514622"/>
    <w:rsid w:val="0051533E"/>
    <w:rsid w:val="00516FED"/>
    <w:rsid w:val="00520D15"/>
    <w:rsid w:val="005269AF"/>
    <w:rsid w:val="00527507"/>
    <w:rsid w:val="00527763"/>
    <w:rsid w:val="0053061C"/>
    <w:rsid w:val="00531C54"/>
    <w:rsid w:val="005328FB"/>
    <w:rsid w:val="00532E80"/>
    <w:rsid w:val="005348ED"/>
    <w:rsid w:val="00536997"/>
    <w:rsid w:val="00540150"/>
    <w:rsid w:val="00540A35"/>
    <w:rsid w:val="00541B87"/>
    <w:rsid w:val="00542BE7"/>
    <w:rsid w:val="005440D4"/>
    <w:rsid w:val="00550223"/>
    <w:rsid w:val="00550A6E"/>
    <w:rsid w:val="005566ED"/>
    <w:rsid w:val="005578EB"/>
    <w:rsid w:val="005607F3"/>
    <w:rsid w:val="00561A6E"/>
    <w:rsid w:val="005624B5"/>
    <w:rsid w:val="00562690"/>
    <w:rsid w:val="005626D3"/>
    <w:rsid w:val="0056539A"/>
    <w:rsid w:val="005660FE"/>
    <w:rsid w:val="0056714B"/>
    <w:rsid w:val="005700C3"/>
    <w:rsid w:val="00570297"/>
    <w:rsid w:val="00570F5B"/>
    <w:rsid w:val="005715A5"/>
    <w:rsid w:val="00572EAF"/>
    <w:rsid w:val="00573204"/>
    <w:rsid w:val="0057337A"/>
    <w:rsid w:val="00573ED0"/>
    <w:rsid w:val="00575F11"/>
    <w:rsid w:val="00575F42"/>
    <w:rsid w:val="0058299B"/>
    <w:rsid w:val="00583674"/>
    <w:rsid w:val="0058368E"/>
    <w:rsid w:val="00583CA6"/>
    <w:rsid w:val="005841C5"/>
    <w:rsid w:val="005845E0"/>
    <w:rsid w:val="00590AF7"/>
    <w:rsid w:val="00591F68"/>
    <w:rsid w:val="00592A0A"/>
    <w:rsid w:val="00594C6B"/>
    <w:rsid w:val="00595DBE"/>
    <w:rsid w:val="005969A1"/>
    <w:rsid w:val="005A207A"/>
    <w:rsid w:val="005A408E"/>
    <w:rsid w:val="005A41C6"/>
    <w:rsid w:val="005A4AE8"/>
    <w:rsid w:val="005A695D"/>
    <w:rsid w:val="005A7733"/>
    <w:rsid w:val="005B17D2"/>
    <w:rsid w:val="005B5F06"/>
    <w:rsid w:val="005B6766"/>
    <w:rsid w:val="005C04A1"/>
    <w:rsid w:val="005C2201"/>
    <w:rsid w:val="005C23EC"/>
    <w:rsid w:val="005C3026"/>
    <w:rsid w:val="005C49AE"/>
    <w:rsid w:val="005C4A26"/>
    <w:rsid w:val="005C4D7C"/>
    <w:rsid w:val="005C50DF"/>
    <w:rsid w:val="005D15ED"/>
    <w:rsid w:val="005D3093"/>
    <w:rsid w:val="005D5411"/>
    <w:rsid w:val="005D5FB8"/>
    <w:rsid w:val="005D6973"/>
    <w:rsid w:val="005D6AD9"/>
    <w:rsid w:val="005D6B24"/>
    <w:rsid w:val="005E6542"/>
    <w:rsid w:val="005E6B8C"/>
    <w:rsid w:val="005E7CAA"/>
    <w:rsid w:val="005F290C"/>
    <w:rsid w:val="005F57D0"/>
    <w:rsid w:val="005F73CA"/>
    <w:rsid w:val="005F7D1A"/>
    <w:rsid w:val="00602618"/>
    <w:rsid w:val="00602BA6"/>
    <w:rsid w:val="006035A0"/>
    <w:rsid w:val="00604544"/>
    <w:rsid w:val="006046F5"/>
    <w:rsid w:val="00606C5F"/>
    <w:rsid w:val="006076EC"/>
    <w:rsid w:val="006109FC"/>
    <w:rsid w:val="00610B35"/>
    <w:rsid w:val="0061323D"/>
    <w:rsid w:val="0061624D"/>
    <w:rsid w:val="00617025"/>
    <w:rsid w:val="00617510"/>
    <w:rsid w:val="00617F8B"/>
    <w:rsid w:val="00620D49"/>
    <w:rsid w:val="0062142C"/>
    <w:rsid w:val="00621D31"/>
    <w:rsid w:val="006240D7"/>
    <w:rsid w:val="0062568C"/>
    <w:rsid w:val="006273E5"/>
    <w:rsid w:val="0063019A"/>
    <w:rsid w:val="00631957"/>
    <w:rsid w:val="00631E38"/>
    <w:rsid w:val="00633401"/>
    <w:rsid w:val="00633A57"/>
    <w:rsid w:val="006367E7"/>
    <w:rsid w:val="006371B4"/>
    <w:rsid w:val="00642549"/>
    <w:rsid w:val="00642BF1"/>
    <w:rsid w:val="00642DC1"/>
    <w:rsid w:val="006435B7"/>
    <w:rsid w:val="006436CC"/>
    <w:rsid w:val="00643E53"/>
    <w:rsid w:val="0064554E"/>
    <w:rsid w:val="006468F9"/>
    <w:rsid w:val="00653229"/>
    <w:rsid w:val="00653354"/>
    <w:rsid w:val="00653369"/>
    <w:rsid w:val="006538E4"/>
    <w:rsid w:val="006539F5"/>
    <w:rsid w:val="0065554F"/>
    <w:rsid w:val="006578E2"/>
    <w:rsid w:val="0066159F"/>
    <w:rsid w:val="00662B0B"/>
    <w:rsid w:val="0066333D"/>
    <w:rsid w:val="00663C30"/>
    <w:rsid w:val="0066438C"/>
    <w:rsid w:val="00665BF4"/>
    <w:rsid w:val="0066633C"/>
    <w:rsid w:val="006679EF"/>
    <w:rsid w:val="006708BE"/>
    <w:rsid w:val="00672A50"/>
    <w:rsid w:val="00673026"/>
    <w:rsid w:val="006737DE"/>
    <w:rsid w:val="00673A01"/>
    <w:rsid w:val="006768D9"/>
    <w:rsid w:val="00677E57"/>
    <w:rsid w:val="006820C1"/>
    <w:rsid w:val="00682B09"/>
    <w:rsid w:val="006872E9"/>
    <w:rsid w:val="006921C5"/>
    <w:rsid w:val="00693FFB"/>
    <w:rsid w:val="006941B6"/>
    <w:rsid w:val="00694A85"/>
    <w:rsid w:val="00696719"/>
    <w:rsid w:val="00696978"/>
    <w:rsid w:val="006973F5"/>
    <w:rsid w:val="00697C8C"/>
    <w:rsid w:val="006A2F56"/>
    <w:rsid w:val="006A57E1"/>
    <w:rsid w:val="006A6ECD"/>
    <w:rsid w:val="006B0526"/>
    <w:rsid w:val="006B1560"/>
    <w:rsid w:val="006B1E25"/>
    <w:rsid w:val="006B2EE9"/>
    <w:rsid w:val="006B3454"/>
    <w:rsid w:val="006B46BE"/>
    <w:rsid w:val="006B4727"/>
    <w:rsid w:val="006B492A"/>
    <w:rsid w:val="006B5E9F"/>
    <w:rsid w:val="006B6DAF"/>
    <w:rsid w:val="006B71DA"/>
    <w:rsid w:val="006B7C41"/>
    <w:rsid w:val="006C1C39"/>
    <w:rsid w:val="006C212C"/>
    <w:rsid w:val="006C385B"/>
    <w:rsid w:val="006C40E7"/>
    <w:rsid w:val="006C4E4B"/>
    <w:rsid w:val="006C52CB"/>
    <w:rsid w:val="006C5BB6"/>
    <w:rsid w:val="006D0761"/>
    <w:rsid w:val="006D1774"/>
    <w:rsid w:val="006D17F4"/>
    <w:rsid w:val="006D1CE5"/>
    <w:rsid w:val="006D289C"/>
    <w:rsid w:val="006D2E8C"/>
    <w:rsid w:val="006E14A2"/>
    <w:rsid w:val="006E7310"/>
    <w:rsid w:val="006F0B07"/>
    <w:rsid w:val="006F0CA3"/>
    <w:rsid w:val="006F20FB"/>
    <w:rsid w:val="006F4D9C"/>
    <w:rsid w:val="006F5B5B"/>
    <w:rsid w:val="007010CD"/>
    <w:rsid w:val="007012ED"/>
    <w:rsid w:val="00701390"/>
    <w:rsid w:val="00702A95"/>
    <w:rsid w:val="00704B00"/>
    <w:rsid w:val="00706C5F"/>
    <w:rsid w:val="00715546"/>
    <w:rsid w:val="00715A54"/>
    <w:rsid w:val="00717DAC"/>
    <w:rsid w:val="007234FA"/>
    <w:rsid w:val="00723A42"/>
    <w:rsid w:val="00725378"/>
    <w:rsid w:val="0072679F"/>
    <w:rsid w:val="0072700A"/>
    <w:rsid w:val="00731299"/>
    <w:rsid w:val="00731E8A"/>
    <w:rsid w:val="007325F2"/>
    <w:rsid w:val="00732F4B"/>
    <w:rsid w:val="00732F9F"/>
    <w:rsid w:val="00733024"/>
    <w:rsid w:val="00733C2A"/>
    <w:rsid w:val="00734753"/>
    <w:rsid w:val="00734E43"/>
    <w:rsid w:val="00735946"/>
    <w:rsid w:val="00736F37"/>
    <w:rsid w:val="00737030"/>
    <w:rsid w:val="007400A3"/>
    <w:rsid w:val="00742335"/>
    <w:rsid w:val="0075012A"/>
    <w:rsid w:val="007513F9"/>
    <w:rsid w:val="00754466"/>
    <w:rsid w:val="007552F8"/>
    <w:rsid w:val="00756A95"/>
    <w:rsid w:val="007608DB"/>
    <w:rsid w:val="00760B5D"/>
    <w:rsid w:val="00761621"/>
    <w:rsid w:val="00762B57"/>
    <w:rsid w:val="00766A43"/>
    <w:rsid w:val="00767676"/>
    <w:rsid w:val="00767CF6"/>
    <w:rsid w:val="00772EE6"/>
    <w:rsid w:val="0077580C"/>
    <w:rsid w:val="007840AD"/>
    <w:rsid w:val="00784DA9"/>
    <w:rsid w:val="0078544C"/>
    <w:rsid w:val="0078545F"/>
    <w:rsid w:val="0078601B"/>
    <w:rsid w:val="00786BB4"/>
    <w:rsid w:val="00786C26"/>
    <w:rsid w:val="007912DD"/>
    <w:rsid w:val="00791F81"/>
    <w:rsid w:val="00792CA0"/>
    <w:rsid w:val="00793796"/>
    <w:rsid w:val="00794B02"/>
    <w:rsid w:val="0079500E"/>
    <w:rsid w:val="0079504C"/>
    <w:rsid w:val="0079515A"/>
    <w:rsid w:val="00795AA6"/>
    <w:rsid w:val="007A1E51"/>
    <w:rsid w:val="007A4173"/>
    <w:rsid w:val="007A530F"/>
    <w:rsid w:val="007A71EC"/>
    <w:rsid w:val="007A7CB9"/>
    <w:rsid w:val="007B00FF"/>
    <w:rsid w:val="007B1B67"/>
    <w:rsid w:val="007B342B"/>
    <w:rsid w:val="007B3989"/>
    <w:rsid w:val="007B5ED2"/>
    <w:rsid w:val="007B69C2"/>
    <w:rsid w:val="007B7351"/>
    <w:rsid w:val="007C2A27"/>
    <w:rsid w:val="007C619B"/>
    <w:rsid w:val="007D0FEB"/>
    <w:rsid w:val="007D1AF8"/>
    <w:rsid w:val="007D2738"/>
    <w:rsid w:val="007D43C9"/>
    <w:rsid w:val="007D45DF"/>
    <w:rsid w:val="007D6203"/>
    <w:rsid w:val="007D69AF"/>
    <w:rsid w:val="007E0B45"/>
    <w:rsid w:val="007E0FA8"/>
    <w:rsid w:val="007E1890"/>
    <w:rsid w:val="007E5DEE"/>
    <w:rsid w:val="007E6014"/>
    <w:rsid w:val="007E608D"/>
    <w:rsid w:val="007E672D"/>
    <w:rsid w:val="007F07A2"/>
    <w:rsid w:val="00800AD9"/>
    <w:rsid w:val="0080369A"/>
    <w:rsid w:val="00805BB8"/>
    <w:rsid w:val="008065F4"/>
    <w:rsid w:val="00806CB0"/>
    <w:rsid w:val="0080798D"/>
    <w:rsid w:val="0081460D"/>
    <w:rsid w:val="00814A1E"/>
    <w:rsid w:val="00814F44"/>
    <w:rsid w:val="0081686C"/>
    <w:rsid w:val="00817295"/>
    <w:rsid w:val="008207D1"/>
    <w:rsid w:val="00821DDE"/>
    <w:rsid w:val="0082512F"/>
    <w:rsid w:val="00831386"/>
    <w:rsid w:val="008313F1"/>
    <w:rsid w:val="00831DF3"/>
    <w:rsid w:val="00833C9B"/>
    <w:rsid w:val="0083500C"/>
    <w:rsid w:val="00835624"/>
    <w:rsid w:val="00835F5B"/>
    <w:rsid w:val="008406C4"/>
    <w:rsid w:val="00842C3F"/>
    <w:rsid w:val="00842DBB"/>
    <w:rsid w:val="00845F4C"/>
    <w:rsid w:val="008463C0"/>
    <w:rsid w:val="008471B7"/>
    <w:rsid w:val="00847390"/>
    <w:rsid w:val="00851F3B"/>
    <w:rsid w:val="0085282B"/>
    <w:rsid w:val="00852C61"/>
    <w:rsid w:val="00854142"/>
    <w:rsid w:val="00855ACB"/>
    <w:rsid w:val="00857F8C"/>
    <w:rsid w:val="00861EAF"/>
    <w:rsid w:val="008625BC"/>
    <w:rsid w:val="00862FA8"/>
    <w:rsid w:val="0086724D"/>
    <w:rsid w:val="00870140"/>
    <w:rsid w:val="0087240E"/>
    <w:rsid w:val="0087309A"/>
    <w:rsid w:val="00873666"/>
    <w:rsid w:val="008739D1"/>
    <w:rsid w:val="00874409"/>
    <w:rsid w:val="0088041B"/>
    <w:rsid w:val="00880FDE"/>
    <w:rsid w:val="00882033"/>
    <w:rsid w:val="0088365A"/>
    <w:rsid w:val="0088563E"/>
    <w:rsid w:val="00885EDA"/>
    <w:rsid w:val="00890EBD"/>
    <w:rsid w:val="00891261"/>
    <w:rsid w:val="0089135A"/>
    <w:rsid w:val="0089254E"/>
    <w:rsid w:val="00892BB3"/>
    <w:rsid w:val="00894407"/>
    <w:rsid w:val="00895A64"/>
    <w:rsid w:val="00896AF1"/>
    <w:rsid w:val="00897E1E"/>
    <w:rsid w:val="008A13E1"/>
    <w:rsid w:val="008A1475"/>
    <w:rsid w:val="008A1683"/>
    <w:rsid w:val="008A3488"/>
    <w:rsid w:val="008A5885"/>
    <w:rsid w:val="008A7B34"/>
    <w:rsid w:val="008B2265"/>
    <w:rsid w:val="008B3168"/>
    <w:rsid w:val="008B41A6"/>
    <w:rsid w:val="008B4B51"/>
    <w:rsid w:val="008C1066"/>
    <w:rsid w:val="008D1D99"/>
    <w:rsid w:val="008D5791"/>
    <w:rsid w:val="008E010F"/>
    <w:rsid w:val="008E0BF1"/>
    <w:rsid w:val="008E3E66"/>
    <w:rsid w:val="008E422D"/>
    <w:rsid w:val="008E447E"/>
    <w:rsid w:val="008E50CB"/>
    <w:rsid w:val="008E7FBD"/>
    <w:rsid w:val="008F02BB"/>
    <w:rsid w:val="008F343D"/>
    <w:rsid w:val="00901F35"/>
    <w:rsid w:val="00904363"/>
    <w:rsid w:val="009119BA"/>
    <w:rsid w:val="0091427C"/>
    <w:rsid w:val="00915804"/>
    <w:rsid w:val="0091713A"/>
    <w:rsid w:val="0092043C"/>
    <w:rsid w:val="00921D61"/>
    <w:rsid w:val="009222C2"/>
    <w:rsid w:val="009237FF"/>
    <w:rsid w:val="00925C66"/>
    <w:rsid w:val="0092659B"/>
    <w:rsid w:val="009272BE"/>
    <w:rsid w:val="0093435E"/>
    <w:rsid w:val="009350ED"/>
    <w:rsid w:val="00935D6F"/>
    <w:rsid w:val="00935FE2"/>
    <w:rsid w:val="009418F9"/>
    <w:rsid w:val="00942183"/>
    <w:rsid w:val="00943826"/>
    <w:rsid w:val="00946A68"/>
    <w:rsid w:val="00946CFE"/>
    <w:rsid w:val="00950D5E"/>
    <w:rsid w:val="00950D70"/>
    <w:rsid w:val="009563F5"/>
    <w:rsid w:val="00957359"/>
    <w:rsid w:val="0096081A"/>
    <w:rsid w:val="00967CD7"/>
    <w:rsid w:val="009718C1"/>
    <w:rsid w:val="0097315A"/>
    <w:rsid w:val="00975630"/>
    <w:rsid w:val="0097692B"/>
    <w:rsid w:val="00980E5E"/>
    <w:rsid w:val="00983EEC"/>
    <w:rsid w:val="0098419F"/>
    <w:rsid w:val="0098445A"/>
    <w:rsid w:val="00985D4D"/>
    <w:rsid w:val="009925C7"/>
    <w:rsid w:val="00993217"/>
    <w:rsid w:val="009937FB"/>
    <w:rsid w:val="00993A6B"/>
    <w:rsid w:val="009947C1"/>
    <w:rsid w:val="00995A4E"/>
    <w:rsid w:val="00995D44"/>
    <w:rsid w:val="009962C9"/>
    <w:rsid w:val="009965A2"/>
    <w:rsid w:val="009A239E"/>
    <w:rsid w:val="009A35CA"/>
    <w:rsid w:val="009A4C6D"/>
    <w:rsid w:val="009B3160"/>
    <w:rsid w:val="009B4755"/>
    <w:rsid w:val="009B58B5"/>
    <w:rsid w:val="009B5B90"/>
    <w:rsid w:val="009B67D1"/>
    <w:rsid w:val="009B70F2"/>
    <w:rsid w:val="009C0DAB"/>
    <w:rsid w:val="009C137E"/>
    <w:rsid w:val="009C3FD8"/>
    <w:rsid w:val="009C601B"/>
    <w:rsid w:val="009C62A5"/>
    <w:rsid w:val="009C7703"/>
    <w:rsid w:val="009D15B5"/>
    <w:rsid w:val="009D29C8"/>
    <w:rsid w:val="009D54EB"/>
    <w:rsid w:val="009D68F0"/>
    <w:rsid w:val="009D6D54"/>
    <w:rsid w:val="009D6F0E"/>
    <w:rsid w:val="009D6F62"/>
    <w:rsid w:val="009E037F"/>
    <w:rsid w:val="009E1901"/>
    <w:rsid w:val="009E361C"/>
    <w:rsid w:val="009E586E"/>
    <w:rsid w:val="009E6B81"/>
    <w:rsid w:val="009E7041"/>
    <w:rsid w:val="009E71A6"/>
    <w:rsid w:val="009F2554"/>
    <w:rsid w:val="009F461E"/>
    <w:rsid w:val="009F6A23"/>
    <w:rsid w:val="009F6CE6"/>
    <w:rsid w:val="009F6E89"/>
    <w:rsid w:val="00A001E3"/>
    <w:rsid w:val="00A00A9F"/>
    <w:rsid w:val="00A0608C"/>
    <w:rsid w:val="00A068F0"/>
    <w:rsid w:val="00A06C8A"/>
    <w:rsid w:val="00A121A1"/>
    <w:rsid w:val="00A131AA"/>
    <w:rsid w:val="00A1473F"/>
    <w:rsid w:val="00A14911"/>
    <w:rsid w:val="00A1774B"/>
    <w:rsid w:val="00A17E15"/>
    <w:rsid w:val="00A236B3"/>
    <w:rsid w:val="00A2488E"/>
    <w:rsid w:val="00A26983"/>
    <w:rsid w:val="00A3393B"/>
    <w:rsid w:val="00A353DB"/>
    <w:rsid w:val="00A35D34"/>
    <w:rsid w:val="00A37ED7"/>
    <w:rsid w:val="00A40D8E"/>
    <w:rsid w:val="00A43163"/>
    <w:rsid w:val="00A43CB7"/>
    <w:rsid w:val="00A43E55"/>
    <w:rsid w:val="00A44714"/>
    <w:rsid w:val="00A4477B"/>
    <w:rsid w:val="00A44B67"/>
    <w:rsid w:val="00A45200"/>
    <w:rsid w:val="00A45F40"/>
    <w:rsid w:val="00A467D9"/>
    <w:rsid w:val="00A469F7"/>
    <w:rsid w:val="00A47DFC"/>
    <w:rsid w:val="00A50CC5"/>
    <w:rsid w:val="00A51C7E"/>
    <w:rsid w:val="00A521E3"/>
    <w:rsid w:val="00A5608D"/>
    <w:rsid w:val="00A61AE5"/>
    <w:rsid w:val="00A62B78"/>
    <w:rsid w:val="00A6368D"/>
    <w:rsid w:val="00A65D8C"/>
    <w:rsid w:val="00A65FFD"/>
    <w:rsid w:val="00A70515"/>
    <w:rsid w:val="00A713C8"/>
    <w:rsid w:val="00A72512"/>
    <w:rsid w:val="00A74549"/>
    <w:rsid w:val="00A758DC"/>
    <w:rsid w:val="00A8074D"/>
    <w:rsid w:val="00A83D58"/>
    <w:rsid w:val="00A83DDE"/>
    <w:rsid w:val="00A83F8E"/>
    <w:rsid w:val="00A864A9"/>
    <w:rsid w:val="00A877B8"/>
    <w:rsid w:val="00A900A3"/>
    <w:rsid w:val="00A919FA"/>
    <w:rsid w:val="00A93483"/>
    <w:rsid w:val="00A95612"/>
    <w:rsid w:val="00AA2FAF"/>
    <w:rsid w:val="00AA60BB"/>
    <w:rsid w:val="00AB38CB"/>
    <w:rsid w:val="00AB5942"/>
    <w:rsid w:val="00AB61B4"/>
    <w:rsid w:val="00AB61C8"/>
    <w:rsid w:val="00AB69C1"/>
    <w:rsid w:val="00AC3A5D"/>
    <w:rsid w:val="00AC519D"/>
    <w:rsid w:val="00AC5444"/>
    <w:rsid w:val="00AC5703"/>
    <w:rsid w:val="00AC5EDA"/>
    <w:rsid w:val="00AD1353"/>
    <w:rsid w:val="00AD4683"/>
    <w:rsid w:val="00AE350E"/>
    <w:rsid w:val="00AE6EBF"/>
    <w:rsid w:val="00AE7E26"/>
    <w:rsid w:val="00AF04D5"/>
    <w:rsid w:val="00AF05FC"/>
    <w:rsid w:val="00AF4DE9"/>
    <w:rsid w:val="00B07A0F"/>
    <w:rsid w:val="00B10DFA"/>
    <w:rsid w:val="00B145A2"/>
    <w:rsid w:val="00B16199"/>
    <w:rsid w:val="00B22024"/>
    <w:rsid w:val="00B228F0"/>
    <w:rsid w:val="00B236EC"/>
    <w:rsid w:val="00B2396B"/>
    <w:rsid w:val="00B26B68"/>
    <w:rsid w:val="00B26E81"/>
    <w:rsid w:val="00B2734C"/>
    <w:rsid w:val="00B27BA7"/>
    <w:rsid w:val="00B27C49"/>
    <w:rsid w:val="00B30039"/>
    <w:rsid w:val="00B3045E"/>
    <w:rsid w:val="00B317BF"/>
    <w:rsid w:val="00B320F2"/>
    <w:rsid w:val="00B321F1"/>
    <w:rsid w:val="00B33661"/>
    <w:rsid w:val="00B406F6"/>
    <w:rsid w:val="00B40AB6"/>
    <w:rsid w:val="00B4479F"/>
    <w:rsid w:val="00B44901"/>
    <w:rsid w:val="00B452E8"/>
    <w:rsid w:val="00B46FA4"/>
    <w:rsid w:val="00B479F2"/>
    <w:rsid w:val="00B504A9"/>
    <w:rsid w:val="00B51B4A"/>
    <w:rsid w:val="00B526EB"/>
    <w:rsid w:val="00B52E06"/>
    <w:rsid w:val="00B559DB"/>
    <w:rsid w:val="00B5636B"/>
    <w:rsid w:val="00B577F9"/>
    <w:rsid w:val="00B63375"/>
    <w:rsid w:val="00B6353B"/>
    <w:rsid w:val="00B63BCF"/>
    <w:rsid w:val="00B64401"/>
    <w:rsid w:val="00B65FD1"/>
    <w:rsid w:val="00B664B1"/>
    <w:rsid w:val="00B66FC6"/>
    <w:rsid w:val="00B672D0"/>
    <w:rsid w:val="00B67538"/>
    <w:rsid w:val="00B7171A"/>
    <w:rsid w:val="00B732B9"/>
    <w:rsid w:val="00B74601"/>
    <w:rsid w:val="00B75579"/>
    <w:rsid w:val="00B76E7C"/>
    <w:rsid w:val="00B80030"/>
    <w:rsid w:val="00B823BB"/>
    <w:rsid w:val="00B84CEE"/>
    <w:rsid w:val="00B8621E"/>
    <w:rsid w:val="00B86897"/>
    <w:rsid w:val="00B90475"/>
    <w:rsid w:val="00B91DA0"/>
    <w:rsid w:val="00B92993"/>
    <w:rsid w:val="00B947C9"/>
    <w:rsid w:val="00B95523"/>
    <w:rsid w:val="00B966F7"/>
    <w:rsid w:val="00B96A5A"/>
    <w:rsid w:val="00BA2959"/>
    <w:rsid w:val="00BA737E"/>
    <w:rsid w:val="00BB20C9"/>
    <w:rsid w:val="00BB2F2E"/>
    <w:rsid w:val="00BB3510"/>
    <w:rsid w:val="00BB5274"/>
    <w:rsid w:val="00BB641A"/>
    <w:rsid w:val="00BB7AD2"/>
    <w:rsid w:val="00BC01A4"/>
    <w:rsid w:val="00BC0559"/>
    <w:rsid w:val="00BC26A3"/>
    <w:rsid w:val="00BC5CB7"/>
    <w:rsid w:val="00BC7746"/>
    <w:rsid w:val="00BD063E"/>
    <w:rsid w:val="00BD0AA4"/>
    <w:rsid w:val="00BD18E6"/>
    <w:rsid w:val="00BD2067"/>
    <w:rsid w:val="00BD26C7"/>
    <w:rsid w:val="00BD3C19"/>
    <w:rsid w:val="00BE0AF9"/>
    <w:rsid w:val="00BE0D08"/>
    <w:rsid w:val="00BE0E0C"/>
    <w:rsid w:val="00BE1F47"/>
    <w:rsid w:val="00BE3F52"/>
    <w:rsid w:val="00BE73E4"/>
    <w:rsid w:val="00BF1D9A"/>
    <w:rsid w:val="00BF23CD"/>
    <w:rsid w:val="00BF3307"/>
    <w:rsid w:val="00BF487B"/>
    <w:rsid w:val="00BF67CD"/>
    <w:rsid w:val="00C01EC0"/>
    <w:rsid w:val="00C04F16"/>
    <w:rsid w:val="00C067E6"/>
    <w:rsid w:val="00C07914"/>
    <w:rsid w:val="00C108CE"/>
    <w:rsid w:val="00C15BD3"/>
    <w:rsid w:val="00C2159C"/>
    <w:rsid w:val="00C21AAD"/>
    <w:rsid w:val="00C22524"/>
    <w:rsid w:val="00C23508"/>
    <w:rsid w:val="00C23B86"/>
    <w:rsid w:val="00C24CAA"/>
    <w:rsid w:val="00C30284"/>
    <w:rsid w:val="00C32BB6"/>
    <w:rsid w:val="00C3330B"/>
    <w:rsid w:val="00C35621"/>
    <w:rsid w:val="00C4175E"/>
    <w:rsid w:val="00C41F02"/>
    <w:rsid w:val="00C42A25"/>
    <w:rsid w:val="00C42E65"/>
    <w:rsid w:val="00C43463"/>
    <w:rsid w:val="00C43503"/>
    <w:rsid w:val="00C45BAA"/>
    <w:rsid w:val="00C474F9"/>
    <w:rsid w:val="00C514B0"/>
    <w:rsid w:val="00C52C1C"/>
    <w:rsid w:val="00C54362"/>
    <w:rsid w:val="00C60BB1"/>
    <w:rsid w:val="00C61A8A"/>
    <w:rsid w:val="00C62476"/>
    <w:rsid w:val="00C62582"/>
    <w:rsid w:val="00C66E9D"/>
    <w:rsid w:val="00C674EF"/>
    <w:rsid w:val="00C67DEE"/>
    <w:rsid w:val="00C70B8B"/>
    <w:rsid w:val="00C71D98"/>
    <w:rsid w:val="00C73078"/>
    <w:rsid w:val="00C730B7"/>
    <w:rsid w:val="00C73FE0"/>
    <w:rsid w:val="00C73FF2"/>
    <w:rsid w:val="00C75435"/>
    <w:rsid w:val="00C765DB"/>
    <w:rsid w:val="00C774FC"/>
    <w:rsid w:val="00C805E9"/>
    <w:rsid w:val="00C81DCD"/>
    <w:rsid w:val="00C82280"/>
    <w:rsid w:val="00C8276B"/>
    <w:rsid w:val="00C90CAE"/>
    <w:rsid w:val="00C92776"/>
    <w:rsid w:val="00C978E9"/>
    <w:rsid w:val="00CA254A"/>
    <w:rsid w:val="00CA279E"/>
    <w:rsid w:val="00CA2FC3"/>
    <w:rsid w:val="00CA5B4E"/>
    <w:rsid w:val="00CA5F73"/>
    <w:rsid w:val="00CA62FE"/>
    <w:rsid w:val="00CA6AA0"/>
    <w:rsid w:val="00CA6D10"/>
    <w:rsid w:val="00CB11D8"/>
    <w:rsid w:val="00CB365D"/>
    <w:rsid w:val="00CB5DD6"/>
    <w:rsid w:val="00CC3346"/>
    <w:rsid w:val="00CC41F7"/>
    <w:rsid w:val="00CC79DE"/>
    <w:rsid w:val="00CD09D3"/>
    <w:rsid w:val="00CD23E4"/>
    <w:rsid w:val="00CD4C2E"/>
    <w:rsid w:val="00CD4EF3"/>
    <w:rsid w:val="00CD5159"/>
    <w:rsid w:val="00CD5ECE"/>
    <w:rsid w:val="00CD63CF"/>
    <w:rsid w:val="00CD697B"/>
    <w:rsid w:val="00CD72FC"/>
    <w:rsid w:val="00CE0362"/>
    <w:rsid w:val="00CE217A"/>
    <w:rsid w:val="00CE7583"/>
    <w:rsid w:val="00CF0377"/>
    <w:rsid w:val="00CF1E70"/>
    <w:rsid w:val="00CF23DC"/>
    <w:rsid w:val="00CF2C12"/>
    <w:rsid w:val="00CF4808"/>
    <w:rsid w:val="00CF614C"/>
    <w:rsid w:val="00CF62F8"/>
    <w:rsid w:val="00CF6EF4"/>
    <w:rsid w:val="00CF7BB4"/>
    <w:rsid w:val="00D030F1"/>
    <w:rsid w:val="00D03D0C"/>
    <w:rsid w:val="00D041AE"/>
    <w:rsid w:val="00D056B6"/>
    <w:rsid w:val="00D10460"/>
    <w:rsid w:val="00D15908"/>
    <w:rsid w:val="00D20F7D"/>
    <w:rsid w:val="00D21741"/>
    <w:rsid w:val="00D21C02"/>
    <w:rsid w:val="00D21F06"/>
    <w:rsid w:val="00D23E59"/>
    <w:rsid w:val="00D2544E"/>
    <w:rsid w:val="00D25670"/>
    <w:rsid w:val="00D25C83"/>
    <w:rsid w:val="00D26EC3"/>
    <w:rsid w:val="00D27CC1"/>
    <w:rsid w:val="00D31F4C"/>
    <w:rsid w:val="00D320DA"/>
    <w:rsid w:val="00D334D6"/>
    <w:rsid w:val="00D34D78"/>
    <w:rsid w:val="00D35A3C"/>
    <w:rsid w:val="00D40E90"/>
    <w:rsid w:val="00D413CF"/>
    <w:rsid w:val="00D42032"/>
    <w:rsid w:val="00D455C0"/>
    <w:rsid w:val="00D46A4D"/>
    <w:rsid w:val="00D47C4B"/>
    <w:rsid w:val="00D50A5F"/>
    <w:rsid w:val="00D51C5C"/>
    <w:rsid w:val="00D5405F"/>
    <w:rsid w:val="00D5562C"/>
    <w:rsid w:val="00D55AA5"/>
    <w:rsid w:val="00D61A0E"/>
    <w:rsid w:val="00D62459"/>
    <w:rsid w:val="00D62783"/>
    <w:rsid w:val="00D63498"/>
    <w:rsid w:val="00D647C2"/>
    <w:rsid w:val="00D65A6E"/>
    <w:rsid w:val="00D65D09"/>
    <w:rsid w:val="00D67EEA"/>
    <w:rsid w:val="00D70505"/>
    <w:rsid w:val="00D71479"/>
    <w:rsid w:val="00D71596"/>
    <w:rsid w:val="00D72300"/>
    <w:rsid w:val="00D726A8"/>
    <w:rsid w:val="00D744F7"/>
    <w:rsid w:val="00D74EAD"/>
    <w:rsid w:val="00D80A8D"/>
    <w:rsid w:val="00D816D2"/>
    <w:rsid w:val="00D834F2"/>
    <w:rsid w:val="00D84BE9"/>
    <w:rsid w:val="00D86984"/>
    <w:rsid w:val="00D90A2D"/>
    <w:rsid w:val="00D91CE0"/>
    <w:rsid w:val="00D91E5E"/>
    <w:rsid w:val="00D93956"/>
    <w:rsid w:val="00D93B1E"/>
    <w:rsid w:val="00D96821"/>
    <w:rsid w:val="00D977DD"/>
    <w:rsid w:val="00DA10EB"/>
    <w:rsid w:val="00DA30F0"/>
    <w:rsid w:val="00DB03AA"/>
    <w:rsid w:val="00DB0FD2"/>
    <w:rsid w:val="00DB1108"/>
    <w:rsid w:val="00DB54AD"/>
    <w:rsid w:val="00DB5E69"/>
    <w:rsid w:val="00DC0CB5"/>
    <w:rsid w:val="00DC10AE"/>
    <w:rsid w:val="00DC1C0D"/>
    <w:rsid w:val="00DC2139"/>
    <w:rsid w:val="00DC2E66"/>
    <w:rsid w:val="00DC4A37"/>
    <w:rsid w:val="00DC4A6F"/>
    <w:rsid w:val="00DC5C33"/>
    <w:rsid w:val="00DC7D80"/>
    <w:rsid w:val="00DC7F8F"/>
    <w:rsid w:val="00DC7FAA"/>
    <w:rsid w:val="00DD0BBA"/>
    <w:rsid w:val="00DD182D"/>
    <w:rsid w:val="00DD22FE"/>
    <w:rsid w:val="00DD309F"/>
    <w:rsid w:val="00DD3539"/>
    <w:rsid w:val="00DD6B86"/>
    <w:rsid w:val="00DE03AE"/>
    <w:rsid w:val="00DE179A"/>
    <w:rsid w:val="00DE2503"/>
    <w:rsid w:val="00DE60EB"/>
    <w:rsid w:val="00DF0943"/>
    <w:rsid w:val="00DF1751"/>
    <w:rsid w:val="00DF250E"/>
    <w:rsid w:val="00DF2EC4"/>
    <w:rsid w:val="00DF30AC"/>
    <w:rsid w:val="00DF4429"/>
    <w:rsid w:val="00DF45DD"/>
    <w:rsid w:val="00DF4BED"/>
    <w:rsid w:val="00DF5132"/>
    <w:rsid w:val="00DF6964"/>
    <w:rsid w:val="00DF7201"/>
    <w:rsid w:val="00DF79D2"/>
    <w:rsid w:val="00E00F7B"/>
    <w:rsid w:val="00E02A4D"/>
    <w:rsid w:val="00E02F01"/>
    <w:rsid w:val="00E053D3"/>
    <w:rsid w:val="00E06AC1"/>
    <w:rsid w:val="00E06AC7"/>
    <w:rsid w:val="00E11158"/>
    <w:rsid w:val="00E11577"/>
    <w:rsid w:val="00E14955"/>
    <w:rsid w:val="00E1770D"/>
    <w:rsid w:val="00E20E43"/>
    <w:rsid w:val="00E234CE"/>
    <w:rsid w:val="00E25404"/>
    <w:rsid w:val="00E271F0"/>
    <w:rsid w:val="00E27C70"/>
    <w:rsid w:val="00E30EA8"/>
    <w:rsid w:val="00E32AFF"/>
    <w:rsid w:val="00E340D5"/>
    <w:rsid w:val="00E365CF"/>
    <w:rsid w:val="00E37393"/>
    <w:rsid w:val="00E4262E"/>
    <w:rsid w:val="00E447BA"/>
    <w:rsid w:val="00E4492E"/>
    <w:rsid w:val="00E44962"/>
    <w:rsid w:val="00E47220"/>
    <w:rsid w:val="00E47B79"/>
    <w:rsid w:val="00E51111"/>
    <w:rsid w:val="00E56D64"/>
    <w:rsid w:val="00E62385"/>
    <w:rsid w:val="00E65118"/>
    <w:rsid w:val="00E715E6"/>
    <w:rsid w:val="00E71610"/>
    <w:rsid w:val="00E7267E"/>
    <w:rsid w:val="00E72E66"/>
    <w:rsid w:val="00E740E6"/>
    <w:rsid w:val="00E759CC"/>
    <w:rsid w:val="00E75B3F"/>
    <w:rsid w:val="00E7748D"/>
    <w:rsid w:val="00E84B33"/>
    <w:rsid w:val="00E851E1"/>
    <w:rsid w:val="00E859FE"/>
    <w:rsid w:val="00E87A12"/>
    <w:rsid w:val="00E87A2C"/>
    <w:rsid w:val="00E87D02"/>
    <w:rsid w:val="00E93538"/>
    <w:rsid w:val="00E93A7C"/>
    <w:rsid w:val="00E94175"/>
    <w:rsid w:val="00E94B9C"/>
    <w:rsid w:val="00E9515C"/>
    <w:rsid w:val="00EA1AC8"/>
    <w:rsid w:val="00EA1F6E"/>
    <w:rsid w:val="00EA32D5"/>
    <w:rsid w:val="00EA4802"/>
    <w:rsid w:val="00EB2137"/>
    <w:rsid w:val="00EB2D65"/>
    <w:rsid w:val="00EB2F7D"/>
    <w:rsid w:val="00EC0AD6"/>
    <w:rsid w:val="00ED0D64"/>
    <w:rsid w:val="00ED207A"/>
    <w:rsid w:val="00ED229B"/>
    <w:rsid w:val="00ED376E"/>
    <w:rsid w:val="00ED51A1"/>
    <w:rsid w:val="00ED6711"/>
    <w:rsid w:val="00ED75BB"/>
    <w:rsid w:val="00EE0126"/>
    <w:rsid w:val="00EE09BC"/>
    <w:rsid w:val="00EE19E5"/>
    <w:rsid w:val="00EE217C"/>
    <w:rsid w:val="00EE28CF"/>
    <w:rsid w:val="00EE564C"/>
    <w:rsid w:val="00EE7E1A"/>
    <w:rsid w:val="00EF0E77"/>
    <w:rsid w:val="00EF5696"/>
    <w:rsid w:val="00EF7473"/>
    <w:rsid w:val="00F00532"/>
    <w:rsid w:val="00F04339"/>
    <w:rsid w:val="00F06406"/>
    <w:rsid w:val="00F1207F"/>
    <w:rsid w:val="00F143AB"/>
    <w:rsid w:val="00F16911"/>
    <w:rsid w:val="00F173EE"/>
    <w:rsid w:val="00F205F0"/>
    <w:rsid w:val="00F20641"/>
    <w:rsid w:val="00F23C4E"/>
    <w:rsid w:val="00F2411D"/>
    <w:rsid w:val="00F24BD1"/>
    <w:rsid w:val="00F25C3E"/>
    <w:rsid w:val="00F316D3"/>
    <w:rsid w:val="00F34212"/>
    <w:rsid w:val="00F37E2A"/>
    <w:rsid w:val="00F41B53"/>
    <w:rsid w:val="00F440CC"/>
    <w:rsid w:val="00F445FF"/>
    <w:rsid w:val="00F450AA"/>
    <w:rsid w:val="00F469F0"/>
    <w:rsid w:val="00F511B2"/>
    <w:rsid w:val="00F54B4C"/>
    <w:rsid w:val="00F56444"/>
    <w:rsid w:val="00F56BD7"/>
    <w:rsid w:val="00F56D09"/>
    <w:rsid w:val="00F62990"/>
    <w:rsid w:val="00F641BD"/>
    <w:rsid w:val="00F648AD"/>
    <w:rsid w:val="00F65624"/>
    <w:rsid w:val="00F665FA"/>
    <w:rsid w:val="00F675E5"/>
    <w:rsid w:val="00F70254"/>
    <w:rsid w:val="00F7170E"/>
    <w:rsid w:val="00F71CD7"/>
    <w:rsid w:val="00F73DC6"/>
    <w:rsid w:val="00F77B7B"/>
    <w:rsid w:val="00F84E32"/>
    <w:rsid w:val="00F85065"/>
    <w:rsid w:val="00F86C11"/>
    <w:rsid w:val="00F876B6"/>
    <w:rsid w:val="00F87FC0"/>
    <w:rsid w:val="00F91420"/>
    <w:rsid w:val="00F9203A"/>
    <w:rsid w:val="00F93877"/>
    <w:rsid w:val="00F9499D"/>
    <w:rsid w:val="00F94D91"/>
    <w:rsid w:val="00F95771"/>
    <w:rsid w:val="00F95D20"/>
    <w:rsid w:val="00FA06DA"/>
    <w:rsid w:val="00FA14D0"/>
    <w:rsid w:val="00FA14ED"/>
    <w:rsid w:val="00FA2B39"/>
    <w:rsid w:val="00FA3AEF"/>
    <w:rsid w:val="00FA3B5D"/>
    <w:rsid w:val="00FA7E51"/>
    <w:rsid w:val="00FA7EC9"/>
    <w:rsid w:val="00FB0392"/>
    <w:rsid w:val="00FB5828"/>
    <w:rsid w:val="00FB675B"/>
    <w:rsid w:val="00FB7124"/>
    <w:rsid w:val="00FB74CE"/>
    <w:rsid w:val="00FC0EF0"/>
    <w:rsid w:val="00FC13E0"/>
    <w:rsid w:val="00FC14C3"/>
    <w:rsid w:val="00FC334F"/>
    <w:rsid w:val="00FC454B"/>
    <w:rsid w:val="00FC4A3B"/>
    <w:rsid w:val="00FC53ED"/>
    <w:rsid w:val="00FC5604"/>
    <w:rsid w:val="00FC65EF"/>
    <w:rsid w:val="00FC7F75"/>
    <w:rsid w:val="00FD006A"/>
    <w:rsid w:val="00FD05E7"/>
    <w:rsid w:val="00FD3CC4"/>
    <w:rsid w:val="00FD5A1A"/>
    <w:rsid w:val="00FD6DEF"/>
    <w:rsid w:val="00FD7F58"/>
    <w:rsid w:val="00FE011D"/>
    <w:rsid w:val="00FE078E"/>
    <w:rsid w:val="00FE26DC"/>
    <w:rsid w:val="00FE2F48"/>
    <w:rsid w:val="00FE3CC9"/>
    <w:rsid w:val="00FE4F95"/>
    <w:rsid w:val="00FE63AB"/>
    <w:rsid w:val="00FE69CE"/>
    <w:rsid w:val="00FE6D9D"/>
    <w:rsid w:val="00FE79EA"/>
    <w:rsid w:val="00FF085C"/>
    <w:rsid w:val="00FF0FE1"/>
    <w:rsid w:val="00FF1544"/>
    <w:rsid w:val="00FF6038"/>
    <w:rsid w:val="0114450C"/>
    <w:rsid w:val="015679D0"/>
    <w:rsid w:val="02210F18"/>
    <w:rsid w:val="02954528"/>
    <w:rsid w:val="033A4890"/>
    <w:rsid w:val="03F275AA"/>
    <w:rsid w:val="04B96508"/>
    <w:rsid w:val="06911B22"/>
    <w:rsid w:val="06DE6AD7"/>
    <w:rsid w:val="06FD3566"/>
    <w:rsid w:val="08D4742C"/>
    <w:rsid w:val="09776797"/>
    <w:rsid w:val="0D1E2A14"/>
    <w:rsid w:val="0E060087"/>
    <w:rsid w:val="0E800D96"/>
    <w:rsid w:val="0F0E3CFD"/>
    <w:rsid w:val="10AC00EA"/>
    <w:rsid w:val="10C6464F"/>
    <w:rsid w:val="114A2981"/>
    <w:rsid w:val="11EA62B8"/>
    <w:rsid w:val="14BB166B"/>
    <w:rsid w:val="157524F2"/>
    <w:rsid w:val="16D968DA"/>
    <w:rsid w:val="17D450D9"/>
    <w:rsid w:val="1807337A"/>
    <w:rsid w:val="1816702E"/>
    <w:rsid w:val="185F4F64"/>
    <w:rsid w:val="18B41D16"/>
    <w:rsid w:val="1A920590"/>
    <w:rsid w:val="1AFC6A9A"/>
    <w:rsid w:val="1B9730BC"/>
    <w:rsid w:val="1C3F7586"/>
    <w:rsid w:val="1C870697"/>
    <w:rsid w:val="1CEF7B21"/>
    <w:rsid w:val="1E5D655D"/>
    <w:rsid w:val="1E87008D"/>
    <w:rsid w:val="1F3357C3"/>
    <w:rsid w:val="1FA96D62"/>
    <w:rsid w:val="20330095"/>
    <w:rsid w:val="208174CF"/>
    <w:rsid w:val="214178C3"/>
    <w:rsid w:val="231F53B1"/>
    <w:rsid w:val="24CD1023"/>
    <w:rsid w:val="250255F5"/>
    <w:rsid w:val="25D7514D"/>
    <w:rsid w:val="27EC1889"/>
    <w:rsid w:val="28F57442"/>
    <w:rsid w:val="290B259E"/>
    <w:rsid w:val="29211DC2"/>
    <w:rsid w:val="29E31C2B"/>
    <w:rsid w:val="2B5B5560"/>
    <w:rsid w:val="2B8C4425"/>
    <w:rsid w:val="2C9F3729"/>
    <w:rsid w:val="2D4D3D4C"/>
    <w:rsid w:val="2E9677A7"/>
    <w:rsid w:val="2EA21405"/>
    <w:rsid w:val="2F4D40E8"/>
    <w:rsid w:val="2F920605"/>
    <w:rsid w:val="30AB2D5F"/>
    <w:rsid w:val="318F7C1C"/>
    <w:rsid w:val="31C851B2"/>
    <w:rsid w:val="323B59A6"/>
    <w:rsid w:val="325427C4"/>
    <w:rsid w:val="32B53CA7"/>
    <w:rsid w:val="331108DD"/>
    <w:rsid w:val="3327131B"/>
    <w:rsid w:val="33830F21"/>
    <w:rsid w:val="33C35A9E"/>
    <w:rsid w:val="3444054E"/>
    <w:rsid w:val="347276BC"/>
    <w:rsid w:val="353F7704"/>
    <w:rsid w:val="38166DB6"/>
    <w:rsid w:val="3817079E"/>
    <w:rsid w:val="381C711B"/>
    <w:rsid w:val="386A108F"/>
    <w:rsid w:val="38C140A7"/>
    <w:rsid w:val="3A2F7653"/>
    <w:rsid w:val="3A5570AA"/>
    <w:rsid w:val="3BCE3093"/>
    <w:rsid w:val="3C5B60B3"/>
    <w:rsid w:val="3DA54918"/>
    <w:rsid w:val="3DBF74FF"/>
    <w:rsid w:val="401D732F"/>
    <w:rsid w:val="40896772"/>
    <w:rsid w:val="40FD2557"/>
    <w:rsid w:val="412636B0"/>
    <w:rsid w:val="4274539F"/>
    <w:rsid w:val="43BD07B0"/>
    <w:rsid w:val="448852D5"/>
    <w:rsid w:val="44D62655"/>
    <w:rsid w:val="456A1771"/>
    <w:rsid w:val="45C73015"/>
    <w:rsid w:val="478832E0"/>
    <w:rsid w:val="480712EA"/>
    <w:rsid w:val="4A2A1889"/>
    <w:rsid w:val="4AB17E1E"/>
    <w:rsid w:val="4BDA411C"/>
    <w:rsid w:val="4C416153"/>
    <w:rsid w:val="4C7958ED"/>
    <w:rsid w:val="4E271D91"/>
    <w:rsid w:val="5068006C"/>
    <w:rsid w:val="51B12E15"/>
    <w:rsid w:val="526A27BD"/>
    <w:rsid w:val="530F19A9"/>
    <w:rsid w:val="537E3241"/>
    <w:rsid w:val="53F41D95"/>
    <w:rsid w:val="541F4B43"/>
    <w:rsid w:val="54D914AF"/>
    <w:rsid w:val="566640A8"/>
    <w:rsid w:val="5721105B"/>
    <w:rsid w:val="572177D4"/>
    <w:rsid w:val="572C6094"/>
    <w:rsid w:val="584E3BED"/>
    <w:rsid w:val="588F2DB1"/>
    <w:rsid w:val="590E60B9"/>
    <w:rsid w:val="595B7B41"/>
    <w:rsid w:val="59C2077A"/>
    <w:rsid w:val="59CF4A33"/>
    <w:rsid w:val="5AA11C28"/>
    <w:rsid w:val="5AAF4CED"/>
    <w:rsid w:val="5AC91420"/>
    <w:rsid w:val="5C25339C"/>
    <w:rsid w:val="5C734107"/>
    <w:rsid w:val="5C9E6047"/>
    <w:rsid w:val="5ED35136"/>
    <w:rsid w:val="5EFB5A8F"/>
    <w:rsid w:val="60FE319A"/>
    <w:rsid w:val="62542B7F"/>
    <w:rsid w:val="646E37AF"/>
    <w:rsid w:val="650139D3"/>
    <w:rsid w:val="67367AC0"/>
    <w:rsid w:val="69AB1B70"/>
    <w:rsid w:val="6B746F82"/>
    <w:rsid w:val="6E2D223D"/>
    <w:rsid w:val="6E7E4FF6"/>
    <w:rsid w:val="6F4739C7"/>
    <w:rsid w:val="6FE74DB6"/>
    <w:rsid w:val="6FFE32A4"/>
    <w:rsid w:val="723D68EC"/>
    <w:rsid w:val="726309A3"/>
    <w:rsid w:val="72B13295"/>
    <w:rsid w:val="734C3B60"/>
    <w:rsid w:val="74D963BA"/>
    <w:rsid w:val="752B4572"/>
    <w:rsid w:val="75386134"/>
    <w:rsid w:val="75644FBF"/>
    <w:rsid w:val="758B7234"/>
    <w:rsid w:val="75D47694"/>
    <w:rsid w:val="765C11DE"/>
    <w:rsid w:val="76D637B8"/>
    <w:rsid w:val="77147E3D"/>
    <w:rsid w:val="782A07A0"/>
    <w:rsid w:val="7A6A4943"/>
    <w:rsid w:val="7CAF0A81"/>
    <w:rsid w:val="7D250DA9"/>
    <w:rsid w:val="7DA13E53"/>
    <w:rsid w:val="7E084708"/>
    <w:rsid w:val="7FCA110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400" w:lineRule="exact"/>
      <w:ind w:firstLine="200" w:firstLineChars="200"/>
      <w:jc w:val="both"/>
    </w:pPr>
    <w:rPr>
      <w:rFonts w:ascii="Calibri" w:hAnsi="Calibri" w:eastAsia="宋体" w:cs="Times New Roman"/>
      <w:sz w:val="21"/>
      <w:szCs w:val="22"/>
      <w:lang w:val="en-US" w:eastAsia="zh-CN" w:bidi="ar-SA"/>
    </w:rPr>
  </w:style>
  <w:style w:type="paragraph" w:styleId="9">
    <w:name w:val="heading 1"/>
    <w:basedOn w:val="1"/>
    <w:next w:val="1"/>
    <w:link w:val="52"/>
    <w:autoRedefine/>
    <w:qFormat/>
    <w:uiPriority w:val="0"/>
    <w:pPr>
      <w:keepNext/>
      <w:keepLines/>
      <w:spacing w:before="340" w:after="330" w:line="578" w:lineRule="auto"/>
      <w:ind w:firstLine="0" w:firstLineChars="0"/>
      <w:outlineLvl w:val="0"/>
    </w:pPr>
    <w:rPr>
      <w:rFonts w:ascii="Times New Roman" w:hAnsi="Times New Roman"/>
      <w:b/>
      <w:bCs/>
      <w:kern w:val="44"/>
      <w:sz w:val="30"/>
      <w:szCs w:val="44"/>
    </w:rPr>
  </w:style>
  <w:style w:type="paragraph" w:styleId="10">
    <w:name w:val="heading 2"/>
    <w:basedOn w:val="1"/>
    <w:next w:val="1"/>
    <w:link w:val="54"/>
    <w:autoRedefine/>
    <w:qFormat/>
    <w:uiPriority w:val="0"/>
    <w:pPr>
      <w:keepNext/>
      <w:keepLines/>
      <w:spacing w:before="260" w:after="260" w:line="416" w:lineRule="auto"/>
      <w:ind w:firstLine="0" w:firstLineChars="0"/>
      <w:outlineLvl w:val="1"/>
    </w:pPr>
    <w:rPr>
      <w:rFonts w:ascii="Cambria" w:hAnsi="Cambria"/>
      <w:b/>
      <w:bCs/>
      <w:kern w:val="2"/>
      <w:sz w:val="32"/>
      <w:szCs w:val="32"/>
    </w:rPr>
  </w:style>
  <w:style w:type="paragraph" w:styleId="11">
    <w:name w:val="heading 3"/>
    <w:basedOn w:val="1"/>
    <w:next w:val="1"/>
    <w:link w:val="68"/>
    <w:autoRedefine/>
    <w:qFormat/>
    <w:uiPriority w:val="0"/>
    <w:pPr>
      <w:keepNext/>
      <w:keepLines/>
      <w:spacing w:before="260" w:after="260" w:line="416" w:lineRule="auto"/>
      <w:ind w:firstLine="0" w:firstLineChars="0"/>
      <w:outlineLvl w:val="2"/>
    </w:pPr>
    <w:rPr>
      <w:rFonts w:ascii="Times New Roman" w:hAnsi="Times New Roman"/>
      <w:b/>
      <w:bCs/>
      <w:kern w:val="2"/>
      <w:sz w:val="32"/>
      <w:szCs w:val="32"/>
    </w:rPr>
  </w:style>
  <w:style w:type="paragraph" w:styleId="12">
    <w:name w:val="heading 4"/>
    <w:basedOn w:val="1"/>
    <w:next w:val="1"/>
    <w:link w:val="71"/>
    <w:autoRedefine/>
    <w:semiHidden/>
    <w:unhideWhenUsed/>
    <w:qFormat/>
    <w:uiPriority w:val="0"/>
    <w:pPr>
      <w:keepNext/>
      <w:keepLines/>
      <w:spacing w:before="280" w:after="290" w:line="376" w:lineRule="atLeast"/>
      <w:outlineLvl w:val="3"/>
    </w:pPr>
    <w:rPr>
      <w:rFonts w:asciiTheme="majorHAnsi" w:hAnsiTheme="majorHAnsi" w:eastAsiaTheme="majorEastAsia" w:cstheme="majorBidi"/>
      <w:b/>
      <w:bCs/>
      <w:sz w:val="28"/>
      <w:szCs w:val="28"/>
    </w:rPr>
  </w:style>
  <w:style w:type="paragraph" w:styleId="13">
    <w:name w:val="heading 5"/>
    <w:basedOn w:val="1"/>
    <w:next w:val="1"/>
    <w:link w:val="72"/>
    <w:autoRedefine/>
    <w:semiHidden/>
    <w:unhideWhenUsed/>
    <w:qFormat/>
    <w:uiPriority w:val="0"/>
    <w:pPr>
      <w:keepNext/>
      <w:keepLines/>
      <w:spacing w:before="280" w:after="290" w:line="376" w:lineRule="atLeast"/>
      <w:outlineLvl w:val="4"/>
    </w:pPr>
    <w:rPr>
      <w:b/>
      <w:bCs/>
      <w:sz w:val="28"/>
      <w:szCs w:val="28"/>
    </w:rPr>
  </w:style>
  <w:style w:type="character" w:default="1" w:styleId="36">
    <w:name w:val="Default Paragraph Font"/>
    <w:autoRedefine/>
    <w:semiHidden/>
    <w:unhideWhenUsed/>
    <w:qFormat/>
    <w:uiPriority w:val="1"/>
  </w:style>
  <w:style w:type="table" w:default="1" w:styleId="34">
    <w:name w:val="Normal Table"/>
    <w:autoRedefine/>
    <w:semiHidden/>
    <w:unhideWhenUsed/>
    <w:qFormat/>
    <w:uiPriority w:val="99"/>
    <w:tblPr>
      <w:tblCellMar>
        <w:top w:w="0" w:type="dxa"/>
        <w:left w:w="108" w:type="dxa"/>
        <w:bottom w:w="0" w:type="dxa"/>
        <w:right w:w="108" w:type="dxa"/>
      </w:tblCellMar>
    </w:tblPr>
  </w:style>
  <w:style w:type="paragraph" w:customStyle="1" w:styleId="2">
    <w:name w:val="引言二级条标题"/>
    <w:basedOn w:val="3"/>
    <w:next w:val="7"/>
    <w:qFormat/>
    <w:uiPriority w:val="0"/>
    <w:pPr>
      <w:numPr>
        <w:ilvl w:val="1"/>
        <w:numId w:val="1"/>
      </w:numPr>
      <w:tabs>
        <w:tab w:val="left" w:pos="0"/>
        <w:tab w:val="left" w:pos="360"/>
        <w:tab w:val="left" w:pos="425"/>
      </w:tabs>
    </w:pPr>
    <w:rPr>
      <w:rFonts w:eastAsia="黑体"/>
      <w:kern w:val="2"/>
      <w:sz w:val="21"/>
    </w:rPr>
  </w:style>
  <w:style w:type="paragraph" w:customStyle="1" w:styleId="3">
    <w:name w:val="引言一级条标题"/>
    <w:basedOn w:val="4"/>
    <w:next w:val="7"/>
    <w:qFormat/>
    <w:uiPriority w:val="0"/>
    <w:pPr>
      <w:numPr>
        <w:ilvl w:val="0"/>
        <w:numId w:val="2"/>
      </w:numPr>
      <w:tabs>
        <w:tab w:val="left" w:pos="0"/>
        <w:tab w:val="left" w:pos="425"/>
      </w:tabs>
    </w:pPr>
    <w:rPr>
      <w:rFonts w:ascii="Times New Roman" w:hAnsi="Times New Roman" w:eastAsia="黑体"/>
    </w:rPr>
  </w:style>
  <w:style w:type="paragraph" w:customStyle="1" w:styleId="4">
    <w:name w:val="正文1"/>
    <w:basedOn w:val="5"/>
    <w:next w:val="2"/>
    <w:qFormat/>
    <w:uiPriority w:val="0"/>
    <w:pPr>
      <w:widowControl w:val="0"/>
      <w:adjustRightInd w:val="0"/>
      <w:spacing w:line="0" w:lineRule="atLeast"/>
      <w:textAlignment w:val="baseline"/>
    </w:pPr>
    <w:rPr>
      <w:lang w:val="en-US" w:eastAsia="zh-CN" w:bidi="ar-SA"/>
    </w:rPr>
  </w:style>
  <w:style w:type="paragraph" w:customStyle="1" w:styleId="5">
    <w:name w:val="样式1"/>
    <w:basedOn w:val="6"/>
    <w:qFormat/>
    <w:uiPriority w:val="0"/>
    <w:pPr>
      <w:ind w:firstLine="1958" w:firstLineChars="650"/>
    </w:pPr>
    <w:rPr>
      <w:rFonts w:ascii="仿宋_GB2312" w:hAnsi="仿宋_GB2312" w:eastAsia="仿宋_GB2312"/>
      <w:sz w:val="32"/>
    </w:rPr>
  </w:style>
  <w:style w:type="paragraph" w:customStyle="1" w:styleId="6">
    <w:name w:val="标题 11"/>
    <w:basedOn w:val="1"/>
    <w:next w:val="1"/>
    <w:qFormat/>
    <w:uiPriority w:val="0"/>
    <w:pPr>
      <w:keepNext/>
      <w:keepLines/>
      <w:spacing w:before="340" w:after="330" w:line="578" w:lineRule="auto"/>
      <w:outlineLvl w:val="0"/>
    </w:pPr>
    <w:rPr>
      <w:b/>
      <w:bCs/>
      <w:sz w:val="44"/>
      <w:szCs w:val="44"/>
    </w:rPr>
  </w:style>
  <w:style w:type="paragraph" w:customStyle="1" w:styleId="7">
    <w:name w:val="段"/>
    <w:basedOn w:val="8"/>
    <w:next w:val="1"/>
    <w:qFormat/>
    <w:uiPriority w:val="0"/>
    <w:pPr>
      <w:autoSpaceDE w:val="0"/>
      <w:autoSpaceDN w:val="0"/>
      <w:ind w:firstLine="200" w:firstLineChars="200"/>
      <w:jc w:val="both"/>
    </w:pPr>
    <w:rPr>
      <w:rFonts w:ascii="宋体" w:hAnsi="Times New Roman" w:eastAsia="宋体" w:cs="Times New Roman"/>
      <w:sz w:val="21"/>
      <w:lang w:val="en-US" w:eastAsia="zh-CN"/>
    </w:rPr>
  </w:style>
  <w:style w:type="paragraph" w:styleId="8">
    <w:name w:val="Plain Text"/>
    <w:basedOn w:val="1"/>
    <w:next w:val="1"/>
    <w:autoRedefine/>
    <w:qFormat/>
    <w:uiPriority w:val="0"/>
    <w:rPr>
      <w:rFonts w:ascii="宋体" w:hAnsi="Courier New"/>
      <w:szCs w:val="20"/>
    </w:rPr>
  </w:style>
  <w:style w:type="paragraph" w:styleId="14">
    <w:name w:val="Normal Indent"/>
    <w:basedOn w:val="1"/>
    <w:autoRedefine/>
    <w:qFormat/>
    <w:uiPriority w:val="0"/>
    <w:pPr>
      <w:ind w:firstLine="420"/>
    </w:pPr>
    <w:rPr>
      <w:szCs w:val="20"/>
    </w:rPr>
  </w:style>
  <w:style w:type="paragraph" w:styleId="15">
    <w:name w:val="annotation text"/>
    <w:basedOn w:val="1"/>
    <w:link w:val="73"/>
    <w:autoRedefine/>
    <w:qFormat/>
    <w:uiPriority w:val="0"/>
    <w:pPr>
      <w:jc w:val="left"/>
    </w:pPr>
  </w:style>
  <w:style w:type="paragraph" w:styleId="16">
    <w:name w:val="Body Text"/>
    <w:basedOn w:val="1"/>
    <w:next w:val="8"/>
    <w:autoRedefine/>
    <w:qFormat/>
    <w:uiPriority w:val="0"/>
    <w:pPr>
      <w:spacing w:after="120" w:line="240" w:lineRule="auto"/>
      <w:ind w:firstLine="0" w:firstLineChars="0"/>
    </w:pPr>
    <w:rPr>
      <w:rFonts w:ascii="Times New Roman" w:hAnsi="Times New Roman"/>
      <w:kern w:val="2"/>
      <w:szCs w:val="24"/>
    </w:rPr>
  </w:style>
  <w:style w:type="paragraph" w:styleId="17">
    <w:name w:val="Body Text Indent"/>
    <w:basedOn w:val="1"/>
    <w:next w:val="12"/>
    <w:autoRedefine/>
    <w:qFormat/>
    <w:uiPriority w:val="0"/>
    <w:pPr>
      <w:spacing w:after="120"/>
      <w:ind w:left="420" w:leftChars="200"/>
    </w:pPr>
  </w:style>
  <w:style w:type="paragraph" w:styleId="18">
    <w:name w:val="Block Text"/>
    <w:basedOn w:val="1"/>
    <w:autoRedefine/>
    <w:qFormat/>
    <w:uiPriority w:val="0"/>
    <w:pPr>
      <w:tabs>
        <w:tab w:val="left" w:pos="1440"/>
      </w:tabs>
      <w:spacing w:after="100"/>
      <w:ind w:left="3600" w:right="-288" w:hanging="2880"/>
    </w:pPr>
    <w:rPr>
      <w:snapToGrid w:val="0"/>
      <w:kern w:val="0"/>
      <w:sz w:val="22"/>
      <w:szCs w:val="20"/>
      <w:lang w:eastAsia="en-US"/>
    </w:rPr>
  </w:style>
  <w:style w:type="paragraph" w:styleId="19">
    <w:name w:val="toc 3"/>
    <w:basedOn w:val="1"/>
    <w:next w:val="1"/>
    <w:autoRedefine/>
    <w:qFormat/>
    <w:uiPriority w:val="0"/>
    <w:pPr>
      <w:tabs>
        <w:tab w:val="right" w:leader="dot" w:pos="8777"/>
      </w:tabs>
      <w:spacing w:line="480" w:lineRule="exact"/>
      <w:ind w:left="482" w:firstLine="103" w:firstLineChars="43"/>
      <w:jc w:val="left"/>
    </w:pPr>
    <w:rPr>
      <w:i/>
      <w:iCs/>
      <w:kern w:val="2"/>
      <w:sz w:val="20"/>
      <w:szCs w:val="20"/>
    </w:rPr>
  </w:style>
  <w:style w:type="paragraph" w:styleId="20">
    <w:name w:val="Date"/>
    <w:basedOn w:val="1"/>
    <w:next w:val="1"/>
    <w:autoRedefine/>
    <w:qFormat/>
    <w:uiPriority w:val="0"/>
    <w:pPr>
      <w:spacing w:line="240" w:lineRule="auto"/>
      <w:ind w:left="100" w:leftChars="2500" w:firstLine="0" w:firstLineChars="0"/>
    </w:pPr>
    <w:rPr>
      <w:rFonts w:ascii="Times New Roman" w:hAnsi="Times New Roman"/>
      <w:kern w:val="2"/>
      <w:szCs w:val="24"/>
    </w:rPr>
  </w:style>
  <w:style w:type="paragraph" w:styleId="21">
    <w:name w:val="Balloon Text"/>
    <w:basedOn w:val="1"/>
    <w:link w:val="44"/>
    <w:autoRedefine/>
    <w:semiHidden/>
    <w:qFormat/>
    <w:uiPriority w:val="0"/>
    <w:pPr>
      <w:spacing w:line="240" w:lineRule="auto"/>
    </w:pPr>
    <w:rPr>
      <w:sz w:val="18"/>
      <w:szCs w:val="18"/>
    </w:rPr>
  </w:style>
  <w:style w:type="paragraph" w:styleId="22">
    <w:name w:val="footer"/>
    <w:basedOn w:val="1"/>
    <w:link w:val="46"/>
    <w:autoRedefine/>
    <w:qFormat/>
    <w:uiPriority w:val="99"/>
    <w:pPr>
      <w:tabs>
        <w:tab w:val="center" w:pos="4153"/>
        <w:tab w:val="right" w:pos="8306"/>
      </w:tabs>
      <w:snapToGrid w:val="0"/>
      <w:jc w:val="left"/>
    </w:pPr>
    <w:rPr>
      <w:sz w:val="18"/>
      <w:szCs w:val="20"/>
    </w:rPr>
  </w:style>
  <w:style w:type="paragraph" w:styleId="23">
    <w:name w:val="header"/>
    <w:link w:val="48"/>
    <w:autoRedefine/>
    <w:qFormat/>
    <w:uiPriority w:val="99"/>
    <w:pPr>
      <w:pBdr>
        <w:bottom w:val="single" w:color="auto" w:sz="6" w:space="1"/>
      </w:pBdr>
      <w:tabs>
        <w:tab w:val="center" w:pos="4153"/>
        <w:tab w:val="right" w:pos="8306"/>
      </w:tabs>
      <w:snapToGrid w:val="0"/>
      <w:jc w:val="center"/>
    </w:pPr>
    <w:rPr>
      <w:rFonts w:ascii="Calibri" w:hAnsi="Calibri" w:eastAsia="宋体" w:cs="Times New Roman"/>
      <w:sz w:val="18"/>
      <w:szCs w:val="18"/>
      <w:lang w:val="en-US" w:eastAsia="zh-CN" w:bidi="ar-SA"/>
    </w:rPr>
  </w:style>
  <w:style w:type="paragraph" w:styleId="24">
    <w:name w:val="toc 1"/>
    <w:basedOn w:val="1"/>
    <w:next w:val="1"/>
    <w:autoRedefine/>
    <w:qFormat/>
    <w:uiPriority w:val="39"/>
    <w:pPr>
      <w:spacing w:before="120" w:after="120"/>
      <w:jc w:val="left"/>
    </w:pPr>
    <w:rPr>
      <w:b/>
      <w:bCs/>
      <w:caps/>
      <w:sz w:val="20"/>
      <w:szCs w:val="20"/>
    </w:rPr>
  </w:style>
  <w:style w:type="paragraph" w:styleId="25">
    <w:name w:val="Subtitle"/>
    <w:basedOn w:val="1"/>
    <w:next w:val="1"/>
    <w:link w:val="50"/>
    <w:autoRedefine/>
    <w:qFormat/>
    <w:uiPriority w:val="0"/>
    <w:pPr>
      <w:spacing w:before="240" w:after="60" w:line="312" w:lineRule="auto"/>
      <w:ind w:firstLine="0" w:firstLineChars="0"/>
      <w:jc w:val="center"/>
      <w:outlineLvl w:val="1"/>
    </w:pPr>
    <w:rPr>
      <w:rFonts w:ascii="Cambria" w:hAnsi="Cambria"/>
      <w:b/>
      <w:bCs/>
      <w:kern w:val="28"/>
      <w:sz w:val="32"/>
      <w:szCs w:val="32"/>
    </w:rPr>
  </w:style>
  <w:style w:type="paragraph" w:styleId="26">
    <w:name w:val="Body Text Indent 3"/>
    <w:basedOn w:val="1"/>
    <w:autoRedefine/>
    <w:qFormat/>
    <w:uiPriority w:val="0"/>
    <w:pPr>
      <w:ind w:left="420" w:leftChars="200"/>
    </w:pPr>
    <w:rPr>
      <w:sz w:val="16"/>
    </w:rPr>
  </w:style>
  <w:style w:type="paragraph" w:styleId="27">
    <w:name w:val="toc 2"/>
    <w:basedOn w:val="1"/>
    <w:next w:val="1"/>
    <w:autoRedefine/>
    <w:qFormat/>
    <w:uiPriority w:val="0"/>
    <w:pPr>
      <w:tabs>
        <w:tab w:val="right" w:leader="dot" w:pos="8777"/>
      </w:tabs>
      <w:ind w:firstLine="566" w:firstLineChars="236"/>
      <w:jc w:val="left"/>
    </w:pPr>
    <w:rPr>
      <w:smallCaps/>
      <w:kern w:val="2"/>
      <w:sz w:val="20"/>
      <w:szCs w:val="20"/>
    </w:rPr>
  </w:style>
  <w:style w:type="paragraph" w:styleId="28">
    <w:name w:val="HTML Preformatted"/>
    <w:basedOn w:val="1"/>
    <w:link w:val="64"/>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firstLineChars="0"/>
      <w:jc w:val="left"/>
    </w:pPr>
    <w:rPr>
      <w:rFonts w:ascii="Arial" w:hAnsi="Arial"/>
      <w:kern w:val="2"/>
      <w:sz w:val="24"/>
      <w:szCs w:val="20"/>
    </w:rPr>
  </w:style>
  <w:style w:type="paragraph" w:styleId="29">
    <w:name w:val="Normal (Web)"/>
    <w:basedOn w:val="1"/>
    <w:autoRedefine/>
    <w:unhideWhenUsed/>
    <w:qFormat/>
    <w:uiPriority w:val="99"/>
    <w:pPr>
      <w:spacing w:line="240" w:lineRule="auto"/>
      <w:ind w:firstLine="0" w:firstLineChars="0"/>
    </w:pPr>
    <w:rPr>
      <w:rFonts w:ascii="Times New Roman" w:hAnsi="Times New Roman"/>
      <w:kern w:val="2"/>
      <w:sz w:val="24"/>
      <w:szCs w:val="24"/>
    </w:rPr>
  </w:style>
  <w:style w:type="paragraph" w:styleId="30">
    <w:name w:val="Title"/>
    <w:basedOn w:val="1"/>
    <w:next w:val="1"/>
    <w:link w:val="51"/>
    <w:autoRedefine/>
    <w:qFormat/>
    <w:uiPriority w:val="0"/>
    <w:pPr>
      <w:spacing w:before="240" w:after="60"/>
      <w:jc w:val="center"/>
      <w:outlineLvl w:val="0"/>
    </w:pPr>
    <w:rPr>
      <w:rFonts w:ascii="Cambria" w:hAnsi="Cambria"/>
      <w:b/>
      <w:bCs/>
      <w:sz w:val="36"/>
      <w:szCs w:val="32"/>
    </w:rPr>
  </w:style>
  <w:style w:type="paragraph" w:styleId="31">
    <w:name w:val="annotation subject"/>
    <w:basedOn w:val="15"/>
    <w:next w:val="15"/>
    <w:link w:val="74"/>
    <w:autoRedefine/>
    <w:qFormat/>
    <w:uiPriority w:val="0"/>
    <w:rPr>
      <w:b/>
      <w:bCs/>
    </w:rPr>
  </w:style>
  <w:style w:type="paragraph" w:styleId="32">
    <w:name w:val="Body Text First Indent"/>
    <w:basedOn w:val="16"/>
    <w:next w:val="1"/>
    <w:autoRedefine/>
    <w:qFormat/>
    <w:uiPriority w:val="0"/>
    <w:pPr>
      <w:tabs>
        <w:tab w:val="left" w:pos="360"/>
      </w:tabs>
      <w:ind w:firstLine="420" w:firstLineChars="100"/>
    </w:pPr>
  </w:style>
  <w:style w:type="paragraph" w:styleId="33">
    <w:name w:val="Body Text First Indent 2"/>
    <w:basedOn w:val="17"/>
    <w:autoRedefine/>
    <w:qFormat/>
    <w:uiPriority w:val="0"/>
    <w:pPr>
      <w:widowControl/>
      <w:spacing w:line="276" w:lineRule="auto"/>
      <w:ind w:left="200" w:firstLine="420"/>
      <w:jc w:val="left"/>
    </w:pPr>
    <w:rPr>
      <w:rFonts w:ascii="Arial" w:hAnsi="Arial" w:eastAsia="仿宋_GB2312"/>
      <w:sz w:val="32"/>
    </w:rPr>
  </w:style>
  <w:style w:type="table" w:styleId="35">
    <w:name w:val="Table Grid"/>
    <w:basedOn w:val="34"/>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7">
    <w:name w:val="Strong"/>
    <w:autoRedefine/>
    <w:qFormat/>
    <w:uiPriority w:val="0"/>
    <w:rPr>
      <w:b/>
      <w:bCs/>
    </w:rPr>
  </w:style>
  <w:style w:type="character" w:styleId="38">
    <w:name w:val="page number"/>
    <w:basedOn w:val="36"/>
    <w:autoRedefine/>
    <w:qFormat/>
    <w:uiPriority w:val="0"/>
  </w:style>
  <w:style w:type="character" w:styleId="39">
    <w:name w:val="FollowedHyperlink"/>
    <w:basedOn w:val="36"/>
    <w:autoRedefine/>
    <w:qFormat/>
    <w:uiPriority w:val="0"/>
    <w:rPr>
      <w:color w:val="800080" w:themeColor="followedHyperlink"/>
      <w:u w:val="single"/>
      <w14:textFill>
        <w14:solidFill>
          <w14:schemeClr w14:val="folHlink"/>
        </w14:solidFill>
      </w14:textFill>
    </w:rPr>
  </w:style>
  <w:style w:type="character" w:styleId="40">
    <w:name w:val="Emphasis"/>
    <w:basedOn w:val="36"/>
    <w:autoRedefine/>
    <w:qFormat/>
    <w:uiPriority w:val="20"/>
    <w:rPr>
      <w:i/>
      <w:iCs/>
    </w:rPr>
  </w:style>
  <w:style w:type="character" w:styleId="41">
    <w:name w:val="Hyperlink"/>
    <w:autoRedefine/>
    <w:qFormat/>
    <w:uiPriority w:val="99"/>
    <w:rPr>
      <w:color w:val="000099"/>
      <w:u w:val="none"/>
    </w:rPr>
  </w:style>
  <w:style w:type="character" w:styleId="42">
    <w:name w:val="annotation reference"/>
    <w:basedOn w:val="36"/>
    <w:autoRedefine/>
    <w:qFormat/>
    <w:uiPriority w:val="0"/>
    <w:rPr>
      <w:sz w:val="21"/>
      <w:szCs w:val="21"/>
    </w:rPr>
  </w:style>
  <w:style w:type="paragraph" w:customStyle="1" w:styleId="43">
    <w:name w:val="Char Char Char Char Char Char Char Char Char Char Char Char Char Char"/>
    <w:basedOn w:val="1"/>
    <w:autoRedefine/>
    <w:qFormat/>
    <w:uiPriority w:val="0"/>
    <w:pPr>
      <w:spacing w:line="240" w:lineRule="auto"/>
      <w:ind w:firstLine="0" w:firstLineChars="0"/>
    </w:pPr>
    <w:rPr>
      <w:rFonts w:ascii="Tahoma" w:hAnsi="Tahoma"/>
      <w:kern w:val="2"/>
      <w:sz w:val="24"/>
      <w:szCs w:val="20"/>
    </w:rPr>
  </w:style>
  <w:style w:type="character" w:customStyle="1" w:styleId="44">
    <w:name w:val="批注框文本 Char"/>
    <w:link w:val="21"/>
    <w:autoRedefine/>
    <w:qFormat/>
    <w:locked/>
    <w:uiPriority w:val="0"/>
    <w:rPr>
      <w:rFonts w:ascii="Calibri" w:hAnsi="Calibri" w:eastAsia="宋体"/>
      <w:sz w:val="18"/>
      <w:szCs w:val="18"/>
      <w:lang w:val="en-US" w:eastAsia="zh-CN" w:bidi="ar-SA"/>
    </w:rPr>
  </w:style>
  <w:style w:type="paragraph" w:styleId="45">
    <w:name w:val="List Paragraph"/>
    <w:basedOn w:val="1"/>
    <w:autoRedefine/>
    <w:qFormat/>
    <w:uiPriority w:val="34"/>
    <w:pPr>
      <w:spacing w:line="240" w:lineRule="auto"/>
      <w:ind w:firstLine="420"/>
    </w:pPr>
    <w:rPr>
      <w:kern w:val="2"/>
    </w:rPr>
  </w:style>
  <w:style w:type="character" w:customStyle="1" w:styleId="46">
    <w:name w:val="页脚 Char"/>
    <w:link w:val="22"/>
    <w:autoRedefine/>
    <w:qFormat/>
    <w:uiPriority w:val="99"/>
    <w:rPr>
      <w:rFonts w:ascii="Calibri" w:hAnsi="Calibri" w:eastAsia="宋体"/>
      <w:sz w:val="18"/>
      <w:lang w:val="en-US" w:eastAsia="zh-CN" w:bidi="ar-SA"/>
    </w:rPr>
  </w:style>
  <w:style w:type="paragraph" w:customStyle="1" w:styleId="47">
    <w:name w:val="Char Char Char Char Char Char Char Char Char Char"/>
    <w:basedOn w:val="1"/>
    <w:autoRedefine/>
    <w:qFormat/>
    <w:uiPriority w:val="0"/>
    <w:pPr>
      <w:spacing w:line="240" w:lineRule="auto"/>
      <w:ind w:firstLine="0" w:firstLineChars="0"/>
    </w:pPr>
    <w:rPr>
      <w:rFonts w:ascii="Times New Roman" w:hAnsi="Times New Roman"/>
      <w:kern w:val="2"/>
      <w:szCs w:val="24"/>
    </w:rPr>
  </w:style>
  <w:style w:type="character" w:customStyle="1" w:styleId="48">
    <w:name w:val="页眉 Char"/>
    <w:link w:val="23"/>
    <w:autoRedefine/>
    <w:qFormat/>
    <w:uiPriority w:val="99"/>
    <w:rPr>
      <w:rFonts w:ascii="Calibri" w:hAnsi="Calibri"/>
      <w:sz w:val="18"/>
      <w:szCs w:val="18"/>
      <w:lang w:bidi="ar-SA"/>
    </w:rPr>
  </w:style>
  <w:style w:type="paragraph" w:customStyle="1" w:styleId="49">
    <w:name w:val="_Style 15"/>
    <w:basedOn w:val="1"/>
    <w:autoRedefine/>
    <w:qFormat/>
    <w:uiPriority w:val="0"/>
    <w:pPr>
      <w:tabs>
        <w:tab w:val="left" w:pos="360"/>
      </w:tabs>
      <w:spacing w:line="240" w:lineRule="auto"/>
      <w:ind w:firstLine="0" w:firstLineChars="0"/>
    </w:pPr>
    <w:rPr>
      <w:rFonts w:ascii="Times New Roman" w:hAnsi="Times New Roman"/>
      <w:kern w:val="2"/>
      <w:sz w:val="24"/>
      <w:szCs w:val="24"/>
    </w:rPr>
  </w:style>
  <w:style w:type="character" w:customStyle="1" w:styleId="50">
    <w:name w:val="副标题 Char"/>
    <w:link w:val="25"/>
    <w:autoRedefine/>
    <w:qFormat/>
    <w:uiPriority w:val="0"/>
    <w:rPr>
      <w:rFonts w:ascii="Cambria" w:hAnsi="Cambria" w:eastAsia="宋体"/>
      <w:b/>
      <w:bCs/>
      <w:kern w:val="28"/>
      <w:sz w:val="32"/>
      <w:szCs w:val="32"/>
      <w:lang w:bidi="ar-SA"/>
    </w:rPr>
  </w:style>
  <w:style w:type="character" w:customStyle="1" w:styleId="51">
    <w:name w:val="标题 Char"/>
    <w:link w:val="30"/>
    <w:autoRedefine/>
    <w:qFormat/>
    <w:uiPriority w:val="0"/>
    <w:rPr>
      <w:rFonts w:ascii="Cambria" w:hAnsi="Cambria" w:eastAsia="宋体"/>
      <w:b/>
      <w:bCs/>
      <w:sz w:val="36"/>
      <w:szCs w:val="32"/>
      <w:lang w:val="en-US" w:eastAsia="zh-CN" w:bidi="ar-SA"/>
    </w:rPr>
  </w:style>
  <w:style w:type="character" w:customStyle="1" w:styleId="52">
    <w:name w:val="标题 1 Char"/>
    <w:link w:val="9"/>
    <w:autoRedefine/>
    <w:qFormat/>
    <w:uiPriority w:val="0"/>
    <w:rPr>
      <w:rFonts w:eastAsia="宋体"/>
      <w:b/>
      <w:bCs/>
      <w:kern w:val="44"/>
      <w:sz w:val="30"/>
      <w:szCs w:val="44"/>
      <w:lang w:bidi="ar-SA"/>
    </w:rPr>
  </w:style>
  <w:style w:type="paragraph" w:customStyle="1" w:styleId="53">
    <w:name w:val="TOC 标题1"/>
    <w:basedOn w:val="9"/>
    <w:next w:val="1"/>
    <w:autoRedefine/>
    <w:qFormat/>
    <w:uiPriority w:val="0"/>
    <w:pPr>
      <w:widowControl/>
      <w:spacing w:before="480" w:after="0" w:line="276" w:lineRule="auto"/>
      <w:jc w:val="left"/>
      <w:outlineLvl w:val="9"/>
    </w:pPr>
    <w:rPr>
      <w:rFonts w:ascii="Cambria" w:hAnsi="Cambria"/>
      <w:color w:val="365F91"/>
      <w:kern w:val="0"/>
      <w:sz w:val="28"/>
      <w:szCs w:val="28"/>
    </w:rPr>
  </w:style>
  <w:style w:type="character" w:customStyle="1" w:styleId="54">
    <w:name w:val="标题 2 Char"/>
    <w:link w:val="10"/>
    <w:autoRedefine/>
    <w:semiHidden/>
    <w:qFormat/>
    <w:uiPriority w:val="0"/>
    <w:rPr>
      <w:rFonts w:ascii="Cambria" w:hAnsi="Cambria" w:eastAsia="宋体"/>
      <w:b/>
      <w:bCs/>
      <w:kern w:val="2"/>
      <w:sz w:val="32"/>
      <w:szCs w:val="32"/>
      <w:lang w:bidi="ar-SA"/>
    </w:rPr>
  </w:style>
  <w:style w:type="paragraph" w:customStyle="1" w:styleId="55">
    <w:name w:val="Char"/>
    <w:basedOn w:val="1"/>
    <w:autoRedefine/>
    <w:qFormat/>
    <w:uiPriority w:val="0"/>
    <w:pPr>
      <w:spacing w:line="240" w:lineRule="auto"/>
      <w:ind w:firstLine="0" w:firstLineChars="0"/>
    </w:pPr>
    <w:rPr>
      <w:rFonts w:ascii="Tahoma" w:hAnsi="Tahoma"/>
      <w:kern w:val="2"/>
      <w:sz w:val="24"/>
      <w:szCs w:val="20"/>
    </w:rPr>
  </w:style>
  <w:style w:type="paragraph" w:customStyle="1" w:styleId="56">
    <w:name w:val="Char Char 字元 字元 字元 Char Char Char Char"/>
    <w:basedOn w:val="1"/>
    <w:autoRedefine/>
    <w:qFormat/>
    <w:uiPriority w:val="0"/>
    <w:pPr>
      <w:adjustRightInd w:val="0"/>
      <w:spacing w:line="360" w:lineRule="auto"/>
      <w:ind w:firstLine="0" w:firstLineChars="0"/>
    </w:pPr>
    <w:rPr>
      <w:rFonts w:ascii="Times New Roman" w:hAnsi="Times New Roman"/>
      <w:kern w:val="2"/>
      <w:sz w:val="24"/>
      <w:szCs w:val="20"/>
    </w:rPr>
  </w:style>
  <w:style w:type="paragraph" w:customStyle="1" w:styleId="57">
    <w:name w:val="U_正文2"/>
    <w:basedOn w:val="1"/>
    <w:link w:val="58"/>
    <w:autoRedefine/>
    <w:qFormat/>
    <w:uiPriority w:val="0"/>
    <w:pPr>
      <w:spacing w:beforeLines="10" w:afterLines="10" w:line="300" w:lineRule="auto"/>
      <w:ind w:firstLine="0" w:firstLineChars="0"/>
    </w:pPr>
    <w:rPr>
      <w:rFonts w:ascii="Times New Roman" w:hAnsi="Times New Roman"/>
      <w:kern w:val="2"/>
      <w:sz w:val="24"/>
      <w:szCs w:val="20"/>
    </w:rPr>
  </w:style>
  <w:style w:type="character" w:customStyle="1" w:styleId="58">
    <w:name w:val="U_正文2 Char"/>
    <w:link w:val="57"/>
    <w:autoRedefine/>
    <w:qFormat/>
    <w:uiPriority w:val="0"/>
    <w:rPr>
      <w:rFonts w:eastAsia="宋体"/>
      <w:kern w:val="2"/>
      <w:sz w:val="24"/>
      <w:lang w:bidi="ar-SA"/>
    </w:rPr>
  </w:style>
  <w:style w:type="paragraph" w:customStyle="1" w:styleId="59">
    <w:name w:val="U_编号1"/>
    <w:basedOn w:val="1"/>
    <w:autoRedefine/>
    <w:qFormat/>
    <w:uiPriority w:val="0"/>
    <w:pPr>
      <w:numPr>
        <w:ilvl w:val="0"/>
        <w:numId w:val="3"/>
      </w:numPr>
      <w:tabs>
        <w:tab w:val="left" w:pos="420"/>
        <w:tab w:val="clear" w:pos="840"/>
      </w:tabs>
      <w:spacing w:beforeLines="10" w:afterLines="10" w:line="300" w:lineRule="auto"/>
      <w:ind w:left="420" w:firstLine="0" w:firstLineChars="0"/>
    </w:pPr>
    <w:rPr>
      <w:rFonts w:ascii="Times New Roman" w:hAnsi="Times New Roman"/>
      <w:b/>
      <w:kern w:val="2"/>
      <w:sz w:val="24"/>
      <w:szCs w:val="20"/>
    </w:rPr>
  </w:style>
  <w:style w:type="paragraph" w:customStyle="1" w:styleId="60">
    <w:name w:val="U_编号2"/>
    <w:basedOn w:val="1"/>
    <w:autoRedefine/>
    <w:qFormat/>
    <w:uiPriority w:val="0"/>
    <w:pPr>
      <w:numPr>
        <w:ilvl w:val="0"/>
        <w:numId w:val="4"/>
      </w:numPr>
      <w:spacing w:beforeLines="10" w:afterLines="10" w:line="300" w:lineRule="auto"/>
      <w:ind w:firstLine="0" w:firstLineChars="0"/>
    </w:pPr>
    <w:rPr>
      <w:rFonts w:ascii="Times New Roman" w:hAnsi="Times New Roman"/>
      <w:kern w:val="2"/>
      <w:sz w:val="24"/>
      <w:szCs w:val="20"/>
    </w:rPr>
  </w:style>
  <w:style w:type="paragraph" w:customStyle="1" w:styleId="61">
    <w:name w:val="G_Bullet3"/>
    <w:basedOn w:val="1"/>
    <w:autoRedefine/>
    <w:qFormat/>
    <w:uiPriority w:val="0"/>
    <w:pPr>
      <w:numPr>
        <w:ilvl w:val="0"/>
        <w:numId w:val="5"/>
      </w:numPr>
      <w:tabs>
        <w:tab w:val="left" w:pos="1000"/>
      </w:tabs>
      <w:spacing w:line="240" w:lineRule="auto"/>
      <w:ind w:firstLine="0" w:firstLineChars="0"/>
    </w:pPr>
    <w:rPr>
      <w:rFonts w:ascii="Times New Roman" w:hAnsi="Times New Roman"/>
      <w:bCs/>
      <w:color w:val="000000"/>
      <w:kern w:val="2"/>
      <w:sz w:val="24"/>
      <w:szCs w:val="21"/>
    </w:rPr>
  </w:style>
  <w:style w:type="paragraph" w:customStyle="1" w:styleId="62">
    <w:name w:val="列出段落1"/>
    <w:basedOn w:val="1"/>
    <w:autoRedefine/>
    <w:qFormat/>
    <w:uiPriority w:val="0"/>
    <w:pPr>
      <w:spacing w:line="240" w:lineRule="auto"/>
      <w:ind w:firstLine="420"/>
    </w:pPr>
    <w:rPr>
      <w:rFonts w:ascii="Times New Roman" w:hAnsi="Times New Roman"/>
      <w:kern w:val="2"/>
      <w:szCs w:val="24"/>
    </w:rPr>
  </w:style>
  <w:style w:type="paragraph" w:customStyle="1" w:styleId="63">
    <w:name w:val="Char Char Char Char Char Char Char Char Char Char Char Char Char Char1"/>
    <w:basedOn w:val="1"/>
    <w:autoRedefine/>
    <w:qFormat/>
    <w:uiPriority w:val="0"/>
    <w:pPr>
      <w:spacing w:line="240" w:lineRule="auto"/>
      <w:ind w:firstLine="0" w:firstLineChars="0"/>
    </w:pPr>
    <w:rPr>
      <w:rFonts w:ascii="Tahoma" w:hAnsi="Tahoma"/>
      <w:kern w:val="2"/>
      <w:sz w:val="24"/>
      <w:szCs w:val="20"/>
    </w:rPr>
  </w:style>
  <w:style w:type="character" w:customStyle="1" w:styleId="64">
    <w:name w:val="HTML 预设格式 Char"/>
    <w:link w:val="28"/>
    <w:autoRedefine/>
    <w:qFormat/>
    <w:uiPriority w:val="0"/>
    <w:rPr>
      <w:rFonts w:ascii="Arial" w:hAnsi="Arial"/>
      <w:kern w:val="2"/>
      <w:sz w:val="24"/>
    </w:rPr>
  </w:style>
  <w:style w:type="character" w:customStyle="1" w:styleId="65">
    <w:name w:val="HTML 预设格式 Char1"/>
    <w:autoRedefine/>
    <w:qFormat/>
    <w:uiPriority w:val="0"/>
    <w:rPr>
      <w:rFonts w:ascii="Courier New" w:hAnsi="Courier New" w:cs="Courier New"/>
    </w:rPr>
  </w:style>
  <w:style w:type="paragraph" w:customStyle="1" w:styleId="66">
    <w:name w:val="JY的章标题"/>
    <w:basedOn w:val="1"/>
    <w:autoRedefine/>
    <w:qFormat/>
    <w:uiPriority w:val="0"/>
    <w:pPr>
      <w:tabs>
        <w:tab w:val="left" w:pos="-105"/>
        <w:tab w:val="left" w:pos="120"/>
      </w:tabs>
      <w:spacing w:line="440" w:lineRule="exact"/>
      <w:ind w:left="864" w:right="-70" w:rightChars="-70" w:firstLine="0" w:firstLineChars="0"/>
      <w:outlineLvl w:val="2"/>
    </w:pPr>
    <w:rPr>
      <w:rFonts w:ascii="宋体" w:hAnsi="宋体"/>
      <w:kern w:val="2"/>
      <w:sz w:val="24"/>
      <w:szCs w:val="20"/>
    </w:rPr>
  </w:style>
  <w:style w:type="character" w:customStyle="1" w:styleId="67">
    <w:name w:val="标题 Char1"/>
    <w:autoRedefine/>
    <w:qFormat/>
    <w:uiPriority w:val="0"/>
    <w:rPr>
      <w:rFonts w:ascii="Arial" w:hAnsi="Arial"/>
      <w:b/>
      <w:smallCaps/>
      <w:kern w:val="28"/>
      <w:sz w:val="36"/>
      <w:lang w:eastAsia="en-US"/>
    </w:rPr>
  </w:style>
  <w:style w:type="character" w:customStyle="1" w:styleId="68">
    <w:name w:val="标题 3 Char"/>
    <w:basedOn w:val="36"/>
    <w:link w:val="11"/>
    <w:autoRedefine/>
    <w:qFormat/>
    <w:uiPriority w:val="0"/>
    <w:rPr>
      <w:b/>
      <w:bCs/>
      <w:kern w:val="2"/>
      <w:sz w:val="32"/>
      <w:szCs w:val="32"/>
    </w:rPr>
  </w:style>
  <w:style w:type="character" w:customStyle="1" w:styleId="69">
    <w:name w:val="Table caption|1_"/>
    <w:basedOn w:val="36"/>
    <w:link w:val="70"/>
    <w:autoRedefine/>
    <w:qFormat/>
    <w:uiPriority w:val="0"/>
    <w:rPr>
      <w:rFonts w:ascii="宋体" w:hAnsi="宋体" w:cs="宋体"/>
      <w:lang w:val="zh-TW" w:eastAsia="zh-TW" w:bidi="zh-TW"/>
    </w:rPr>
  </w:style>
  <w:style w:type="paragraph" w:customStyle="1" w:styleId="70">
    <w:name w:val="Table caption|1"/>
    <w:basedOn w:val="1"/>
    <w:link w:val="69"/>
    <w:autoRedefine/>
    <w:qFormat/>
    <w:uiPriority w:val="0"/>
    <w:pPr>
      <w:spacing w:line="360" w:lineRule="auto"/>
      <w:ind w:firstLine="0" w:firstLineChars="0"/>
      <w:jc w:val="left"/>
    </w:pPr>
    <w:rPr>
      <w:rFonts w:ascii="宋体" w:hAnsi="宋体" w:cs="宋体"/>
      <w:sz w:val="20"/>
      <w:szCs w:val="20"/>
      <w:lang w:val="zh-TW" w:eastAsia="zh-TW" w:bidi="zh-TW"/>
    </w:rPr>
  </w:style>
  <w:style w:type="character" w:customStyle="1" w:styleId="71">
    <w:name w:val="标题 4 Char"/>
    <w:basedOn w:val="36"/>
    <w:link w:val="12"/>
    <w:autoRedefine/>
    <w:semiHidden/>
    <w:qFormat/>
    <w:uiPriority w:val="0"/>
    <w:rPr>
      <w:rFonts w:asciiTheme="majorHAnsi" w:hAnsiTheme="majorHAnsi" w:eastAsiaTheme="majorEastAsia" w:cstheme="majorBidi"/>
      <w:b/>
      <w:bCs/>
      <w:sz w:val="28"/>
      <w:szCs w:val="28"/>
    </w:rPr>
  </w:style>
  <w:style w:type="character" w:customStyle="1" w:styleId="72">
    <w:name w:val="标题 5 Char"/>
    <w:basedOn w:val="36"/>
    <w:link w:val="13"/>
    <w:autoRedefine/>
    <w:semiHidden/>
    <w:qFormat/>
    <w:uiPriority w:val="0"/>
    <w:rPr>
      <w:rFonts w:ascii="Calibri" w:hAnsi="Calibri"/>
      <w:b/>
      <w:bCs/>
      <w:sz w:val="28"/>
      <w:szCs w:val="28"/>
    </w:rPr>
  </w:style>
  <w:style w:type="character" w:customStyle="1" w:styleId="73">
    <w:name w:val="批注文字 Char"/>
    <w:basedOn w:val="36"/>
    <w:link w:val="15"/>
    <w:autoRedefine/>
    <w:qFormat/>
    <w:uiPriority w:val="0"/>
    <w:rPr>
      <w:rFonts w:ascii="Calibri" w:hAnsi="Calibri"/>
      <w:sz w:val="21"/>
      <w:szCs w:val="22"/>
    </w:rPr>
  </w:style>
  <w:style w:type="character" w:customStyle="1" w:styleId="74">
    <w:name w:val="批注主题 Char"/>
    <w:basedOn w:val="73"/>
    <w:link w:val="31"/>
    <w:autoRedefine/>
    <w:qFormat/>
    <w:uiPriority w:val="0"/>
    <w:rPr>
      <w:rFonts w:ascii="Calibri" w:hAnsi="Calibri"/>
      <w:b/>
      <w:bCs/>
      <w:sz w:val="21"/>
      <w:szCs w:val="22"/>
    </w:rPr>
  </w:style>
  <w:style w:type="paragraph" w:customStyle="1" w:styleId="75">
    <w:name w:val="正文_2"/>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6">
    <w:name w:val="正文_0_0"/>
    <w:autoRedefine/>
    <w:qFormat/>
    <w:uiPriority w:val="0"/>
    <w:pPr>
      <w:widowControl w:val="0"/>
      <w:spacing w:line="360" w:lineRule="auto"/>
      <w:ind w:firstLine="200" w:firstLineChars="200"/>
      <w:jc w:val="both"/>
    </w:pPr>
    <w:rPr>
      <w:rFonts w:ascii="Cambria Math" w:hAnsi="Cambria Math" w:eastAsia="宋体" w:cs="Cambria Math"/>
      <w:kern w:val="2"/>
      <w:sz w:val="24"/>
      <w:szCs w:val="24"/>
      <w:lang w:val="en-US" w:eastAsia="zh-CN" w:bidi="ar-SA"/>
    </w:rPr>
  </w:style>
  <w:style w:type="paragraph" w:customStyle="1" w:styleId="77">
    <w:name w:val="Body Text First Indent 21"/>
    <w:basedOn w:val="78"/>
    <w:autoRedefine/>
    <w:qFormat/>
    <w:uiPriority w:val="0"/>
    <w:pPr>
      <w:spacing w:line="240" w:lineRule="auto"/>
      <w:ind w:left="420" w:leftChars="200" w:firstLine="420" w:firstLineChars="200"/>
    </w:pPr>
    <w:rPr>
      <w:sz w:val="21"/>
    </w:rPr>
  </w:style>
  <w:style w:type="paragraph" w:customStyle="1" w:styleId="78">
    <w:name w:val="Body Text Indent1"/>
    <w:basedOn w:val="1"/>
    <w:autoRedefine/>
    <w:qFormat/>
    <w:uiPriority w:val="0"/>
    <w:pPr>
      <w:ind w:firstLine="480"/>
    </w:pPr>
    <w:rPr>
      <w:rFonts w:ascii="宋体" w:hAnsi="宋体"/>
    </w:rPr>
  </w:style>
  <w:style w:type="paragraph" w:customStyle="1" w:styleId="79">
    <w:name w:val="Table Paragraph"/>
    <w:basedOn w:val="1"/>
    <w:autoRedefine/>
    <w:qFormat/>
    <w:uiPriority w:val="1"/>
    <w:rPr>
      <w:rFonts w:ascii="宋体" w:hAnsi="宋体" w:eastAsia="宋体" w:cs="宋体"/>
    </w:rPr>
  </w:style>
  <w:style w:type="paragraph" w:customStyle="1" w:styleId="80">
    <w:name w:val="Body Text First Indent 2"/>
    <w:basedOn w:val="81"/>
    <w:autoRedefine/>
    <w:qFormat/>
    <w:uiPriority w:val="0"/>
    <w:pPr>
      <w:spacing w:after="120" w:afterLines="0"/>
      <w:ind w:left="420" w:leftChars="200" w:firstLine="420" w:firstLineChars="200"/>
    </w:pPr>
  </w:style>
  <w:style w:type="paragraph" w:customStyle="1" w:styleId="81">
    <w:name w:val="Body Text Indent"/>
    <w:basedOn w:val="1"/>
    <w:autoRedefine/>
    <w:qFormat/>
    <w:uiPriority w:val="0"/>
    <w:pPr>
      <w:spacing w:after="120" w:afterLines="0"/>
      <w:ind w:left="420" w:leftChars="200"/>
    </w:pPr>
    <w:rPr>
      <w:rFonts w:ascii="Times New Roman" w:hAnsi="Times New Roman" w:eastAsia="宋体" w:cs="Times New Roman"/>
      <w:szCs w:val="24"/>
    </w:rPr>
  </w:style>
  <w:style w:type="paragraph" w:customStyle="1" w:styleId="82">
    <w:name w:val="正文文本首行缩进 21"/>
    <w:basedOn w:val="83"/>
    <w:autoRedefine/>
    <w:qFormat/>
    <w:uiPriority w:val="0"/>
    <w:pPr>
      <w:ind w:firstLine="420"/>
    </w:pPr>
  </w:style>
  <w:style w:type="paragraph" w:customStyle="1" w:styleId="83">
    <w:name w:val="正文文本缩进1"/>
    <w:basedOn w:val="1"/>
    <w:autoRedefine/>
    <w:qFormat/>
    <w:uiPriority w:val="0"/>
    <w:pPr>
      <w:spacing w:after="120"/>
      <w:ind w:left="420" w:leftChars="200"/>
    </w:pPr>
    <w:rPr>
      <w:rFonts w:ascii="Times New Roman" w:hAnsi="Times New Roman"/>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header" Target="header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4.xml"/><Relationship Id="rId12" Type="http://schemas.openxmlformats.org/officeDocument/2006/relationships/header" Target="header3.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65</Pages>
  <Words>19949</Words>
  <Characters>21673</Characters>
  <Lines>217</Lines>
  <Paragraphs>61</Paragraphs>
  <TotalTime>145</TotalTime>
  <ScaleCrop>false</ScaleCrop>
  <LinksUpToDate>false</LinksUpToDate>
  <CharactersWithSpaces>22392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2023-10-11T01:59:00Z</dcterms:created>
  <dc:creator>Administrator</dc:creator>
  <cp:lastModifiedBy>半世迷离1413521860</cp:lastModifiedBy>
  <cp:lastPrinted>2024-03-06T09:10:00Z</cp:lastPrinted>
  <dcterms:modified xsi:type="dcterms:W3CDTF">2025-03-28T12:32:27Z</dcterms:modified>
  <cp:revision>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C356E0A5C6564F03B8342193F233FFD3_13</vt:lpwstr>
  </property>
  <property fmtid="{D5CDD505-2E9C-101B-9397-08002B2CF9AE}" pid="4" name="KSOTemplateDocerSaveRecord">
    <vt:lpwstr>eyJoZGlkIjoiZGEwOTdkOThiNzQzYTFhZWVkZDUwOGMyZmU4MTJjYWYiLCJ1c2VySWQiOiIyMzIyNTIzOCJ9</vt:lpwstr>
  </property>
</Properties>
</file>