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2112C">
      <w:pPr>
        <w:pStyle w:val="9"/>
        <w:spacing w:before="156" w:beforeLines="50" w:line="560" w:lineRule="exact"/>
        <w:jc w:val="center"/>
        <w:rPr>
          <w:rFonts w:ascii="隶书" w:hAnsi="华文中宋" w:eastAsia="隶书"/>
          <w:sz w:val="84"/>
          <w:szCs w:val="84"/>
        </w:rPr>
      </w:pPr>
    </w:p>
    <w:p w14:paraId="7A063053">
      <w:pPr>
        <w:pStyle w:val="9"/>
        <w:spacing w:before="156" w:beforeLines="50" w:line="560" w:lineRule="exact"/>
        <w:jc w:val="center"/>
        <w:rPr>
          <w:rFonts w:ascii="隶书" w:hAnsi="华文中宋" w:eastAsia="隶书"/>
          <w:sz w:val="84"/>
          <w:szCs w:val="84"/>
        </w:rPr>
      </w:pPr>
    </w:p>
    <w:p w14:paraId="7B061D42">
      <w:pPr>
        <w:pStyle w:val="9"/>
        <w:spacing w:before="156" w:beforeLines="50" w:line="560" w:lineRule="exact"/>
        <w:jc w:val="center"/>
        <w:rPr>
          <w:rFonts w:ascii="隶书" w:hAnsi="华文中宋" w:eastAsia="隶书"/>
          <w:sz w:val="84"/>
          <w:szCs w:val="84"/>
        </w:rPr>
      </w:pPr>
    </w:p>
    <w:p w14:paraId="143C0F5E">
      <w:pPr>
        <w:pStyle w:val="9"/>
        <w:spacing w:before="312" w:beforeLines="100" w:line="560" w:lineRule="exact"/>
        <w:jc w:val="center"/>
        <w:rPr>
          <w:rFonts w:ascii="华文中宋" w:hAnsi="华文中宋" w:eastAsia="华文中宋" w:cs="华文中宋"/>
          <w:sz w:val="84"/>
          <w:szCs w:val="84"/>
        </w:rPr>
      </w:pPr>
      <w:r>
        <w:rPr>
          <w:rFonts w:hint="eastAsia" w:ascii="华文中宋" w:hAnsi="华文中宋" w:eastAsia="华文中宋" w:cs="华文中宋"/>
          <w:sz w:val="84"/>
          <w:szCs w:val="84"/>
        </w:rPr>
        <w:t>政府采购</w:t>
      </w:r>
    </w:p>
    <w:p w14:paraId="38199911">
      <w:pPr>
        <w:pStyle w:val="9"/>
        <w:spacing w:before="312" w:beforeLines="100" w:line="560" w:lineRule="exact"/>
        <w:jc w:val="center"/>
        <w:rPr>
          <w:rFonts w:ascii="华文中宋" w:hAnsi="华文中宋" w:eastAsia="华文中宋" w:cs="华文中宋"/>
          <w:sz w:val="84"/>
          <w:szCs w:val="84"/>
        </w:rPr>
      </w:pPr>
    </w:p>
    <w:p w14:paraId="60EFC9C0">
      <w:pPr>
        <w:pStyle w:val="9"/>
        <w:adjustRightInd w:val="0"/>
        <w:snapToGrid w:val="0"/>
        <w:spacing w:before="312" w:beforeLines="100" w:line="560" w:lineRule="exact"/>
        <w:jc w:val="center"/>
        <w:rPr>
          <w:rFonts w:ascii="华文中宋" w:hAnsi="华文中宋" w:eastAsia="华文中宋" w:cs="华文中宋"/>
          <w:sz w:val="84"/>
          <w:szCs w:val="84"/>
        </w:rPr>
      </w:pPr>
      <w:r>
        <w:rPr>
          <w:rFonts w:hint="eastAsia" w:ascii="华文中宋" w:hAnsi="华文中宋" w:eastAsia="华文中宋" w:cs="华文中宋"/>
          <w:sz w:val="84"/>
          <w:szCs w:val="84"/>
        </w:rPr>
        <w:t>竞争性谈判文件</w:t>
      </w:r>
    </w:p>
    <w:p w14:paraId="6A1A00A5">
      <w:pPr>
        <w:pStyle w:val="9"/>
        <w:adjustRightInd w:val="0"/>
        <w:snapToGrid w:val="0"/>
        <w:spacing w:before="312" w:beforeLines="100" w:line="560" w:lineRule="exact"/>
        <w:ind w:left="7043" w:leftChars="554" w:hanging="5880" w:hangingChars="700"/>
        <w:rPr>
          <w:rFonts w:ascii="华文中宋" w:hAnsi="华文中宋" w:eastAsia="华文中宋" w:cs="华文中宋"/>
          <w:sz w:val="84"/>
          <w:szCs w:val="84"/>
        </w:rPr>
      </w:pPr>
    </w:p>
    <w:p w14:paraId="1D2F3819">
      <w:pPr>
        <w:pStyle w:val="9"/>
        <w:adjustRightInd w:val="0"/>
        <w:snapToGrid w:val="0"/>
        <w:spacing w:before="312" w:beforeLines="100" w:line="560" w:lineRule="exact"/>
        <w:ind w:left="7043" w:leftChars="554" w:hanging="5880" w:hangingChars="700"/>
        <w:rPr>
          <w:rFonts w:ascii="华文中宋" w:hAnsi="华文中宋" w:eastAsia="华文中宋" w:cs="华文中宋"/>
          <w:sz w:val="84"/>
          <w:szCs w:val="84"/>
        </w:rPr>
      </w:pPr>
    </w:p>
    <w:p w14:paraId="27288C50">
      <w:pPr>
        <w:pStyle w:val="9"/>
        <w:adjustRightInd w:val="0"/>
        <w:snapToGrid w:val="0"/>
        <w:spacing w:before="312" w:beforeLines="100" w:line="560" w:lineRule="exact"/>
        <w:ind w:left="7043" w:leftChars="554" w:hanging="5880" w:hangingChars="700"/>
        <w:rPr>
          <w:rFonts w:ascii="华文中宋" w:hAnsi="华文中宋" w:eastAsia="华文中宋" w:cs="华文中宋"/>
          <w:sz w:val="84"/>
          <w:szCs w:val="84"/>
        </w:rPr>
      </w:pPr>
    </w:p>
    <w:p w14:paraId="3497B226">
      <w:pPr>
        <w:pStyle w:val="9"/>
        <w:adjustRightInd w:val="0"/>
        <w:snapToGrid w:val="0"/>
        <w:spacing w:before="312" w:beforeLines="100" w:line="560" w:lineRule="exact"/>
        <w:ind w:left="2563" w:leftChars="554" w:hanging="1400" w:hangingChars="700"/>
        <w:rPr>
          <w:rFonts w:ascii="Tahoma" w:hAnsi="Tahoma" w:cs="Tahoma"/>
          <w:sz w:val="20"/>
          <w:szCs w:val="20"/>
        </w:rPr>
      </w:pPr>
    </w:p>
    <w:p w14:paraId="7155BA0B">
      <w:pPr>
        <w:adjustRightInd w:val="0"/>
        <w:snapToGrid w:val="0"/>
        <w:spacing w:before="156" w:beforeLines="50" w:line="560" w:lineRule="exact"/>
        <w:rPr>
          <w:rFonts w:hint="eastAsia" w:ascii="华文中宋" w:hAnsi="华文中宋" w:eastAsia="华文中宋" w:cs="华文中宋"/>
          <w:bCs/>
          <w:color w:val="000000"/>
          <w:kern w:val="0"/>
          <w:sz w:val="32"/>
          <w:szCs w:val="32"/>
          <w:u w:val="single"/>
          <w:lang w:val="zh-CN"/>
        </w:rPr>
      </w:pPr>
      <w:r>
        <w:rPr>
          <w:rFonts w:hint="eastAsia" w:ascii="华文中宋" w:hAnsi="华文中宋" w:eastAsia="华文中宋" w:cs="华文中宋"/>
          <w:bCs/>
          <w:sz w:val="32"/>
          <w:szCs w:val="32"/>
        </w:rPr>
        <w:t>采购项目名称：</w:t>
      </w:r>
      <w:r>
        <w:rPr>
          <w:rFonts w:hint="eastAsia" w:ascii="华文中宋" w:hAnsi="华文中宋" w:eastAsia="华文中宋" w:cs="华文中宋"/>
          <w:bCs/>
          <w:color w:val="000000"/>
          <w:kern w:val="0"/>
          <w:sz w:val="32"/>
          <w:szCs w:val="32"/>
          <w:u w:val="single"/>
          <w:lang w:val="zh-CN"/>
        </w:rPr>
        <w:t>玉树市214国道沿线（新寨村至勒巴沟）生态</w:t>
      </w:r>
    </w:p>
    <w:p w14:paraId="4A637562">
      <w:pPr>
        <w:adjustRightInd w:val="0"/>
        <w:snapToGrid w:val="0"/>
        <w:spacing w:before="156" w:beforeLines="50" w:line="560" w:lineRule="exact"/>
        <w:ind w:firstLine="2240" w:firstLineChars="700"/>
        <w:rPr>
          <w:rFonts w:ascii="华文中宋" w:hAnsi="华文中宋" w:eastAsia="华文中宋" w:cs="华文中宋"/>
          <w:bCs/>
          <w:sz w:val="32"/>
          <w:szCs w:val="32"/>
        </w:rPr>
      </w:pPr>
      <w:r>
        <w:rPr>
          <w:rFonts w:hint="eastAsia" w:ascii="华文中宋" w:hAnsi="华文中宋" w:eastAsia="华文中宋" w:cs="华文中宋"/>
          <w:bCs/>
          <w:color w:val="000000"/>
          <w:kern w:val="0"/>
          <w:sz w:val="32"/>
          <w:szCs w:val="32"/>
          <w:u w:val="single"/>
          <w:lang w:val="zh-CN"/>
        </w:rPr>
        <w:t>环境综合整治项目</w:t>
      </w:r>
    </w:p>
    <w:p w14:paraId="1C8B5F4D">
      <w:pPr>
        <w:autoSpaceDE w:val="0"/>
        <w:autoSpaceDN w:val="0"/>
        <w:adjustRightInd w:val="0"/>
        <w:spacing w:before="156" w:beforeLines="50" w:line="560" w:lineRule="exact"/>
        <w:jc w:val="left"/>
        <w:rPr>
          <w:rFonts w:ascii="华文中宋" w:hAnsi="华文中宋" w:eastAsia="华文中宋" w:cs="华文中宋"/>
          <w:bCs/>
          <w:color w:val="000000"/>
          <w:kern w:val="0"/>
          <w:sz w:val="32"/>
          <w:szCs w:val="32"/>
          <w:u w:val="single"/>
          <w:lang w:val="zh-CN"/>
        </w:rPr>
      </w:pPr>
      <w:r>
        <w:rPr>
          <w:rFonts w:hint="eastAsia" w:ascii="华文中宋" w:hAnsi="华文中宋" w:eastAsia="华文中宋" w:cs="华文中宋"/>
          <w:bCs/>
          <w:sz w:val="32"/>
          <w:szCs w:val="32"/>
        </w:rPr>
        <w:t>政府采购编号：</w:t>
      </w:r>
      <w:r>
        <w:rPr>
          <w:rFonts w:hint="eastAsia" w:ascii="华文中宋" w:hAnsi="华文中宋" w:eastAsia="华文中宋" w:cs="华文中宋"/>
          <w:bCs/>
          <w:color w:val="000000"/>
          <w:kern w:val="0"/>
          <w:sz w:val="32"/>
          <w:szCs w:val="32"/>
          <w:u w:val="single"/>
          <w:lang w:val="zh-CN"/>
        </w:rPr>
        <w:t xml:space="preserve">青海聚鑫竞谈（服务）2024-029        </w:t>
      </w:r>
    </w:p>
    <w:p w14:paraId="2FB3C6A9">
      <w:pPr>
        <w:adjustRightInd w:val="0"/>
        <w:snapToGrid w:val="0"/>
        <w:spacing w:before="156" w:beforeLines="50" w:line="560" w:lineRule="exact"/>
        <w:ind w:left="2240" w:hanging="2240" w:hangingChars="700"/>
        <w:rPr>
          <w:rFonts w:ascii="华文中宋" w:hAnsi="华文中宋" w:eastAsia="华文中宋" w:cs="华文中宋"/>
          <w:bCs/>
          <w:color w:val="000000"/>
          <w:kern w:val="0"/>
          <w:sz w:val="32"/>
          <w:szCs w:val="32"/>
          <w:u w:val="single"/>
          <w:lang w:val="zh-CN"/>
        </w:rPr>
      </w:pPr>
      <w:r>
        <w:rPr>
          <w:rFonts w:hint="eastAsia" w:ascii="华文中宋" w:hAnsi="华文中宋" w:eastAsia="华文中宋" w:cs="华文中宋"/>
          <w:bCs/>
          <w:sz w:val="32"/>
          <w:szCs w:val="32"/>
        </w:rPr>
        <w:t>采   购   人：</w:t>
      </w:r>
      <w:r>
        <w:rPr>
          <w:rFonts w:hint="eastAsia" w:ascii="华文中宋" w:hAnsi="华文中宋" w:eastAsia="华文中宋" w:cs="华文中宋"/>
          <w:bCs/>
          <w:color w:val="000000"/>
          <w:kern w:val="0"/>
          <w:sz w:val="32"/>
          <w:szCs w:val="32"/>
          <w:u w:val="single"/>
          <w:lang w:val="en-US" w:eastAsia="zh-CN"/>
        </w:rPr>
        <w:t>玉树市综合执法局</w:t>
      </w:r>
    </w:p>
    <w:p w14:paraId="6B253976">
      <w:pPr>
        <w:adjustRightInd w:val="0"/>
        <w:snapToGrid w:val="0"/>
        <w:spacing w:before="156" w:beforeLines="50" w:line="560" w:lineRule="exact"/>
        <w:rPr>
          <w:rFonts w:ascii="华文中宋" w:hAnsi="华文中宋" w:eastAsia="华文中宋" w:cs="华文中宋"/>
          <w:bCs/>
          <w:color w:val="000000"/>
          <w:kern w:val="0"/>
          <w:sz w:val="32"/>
          <w:szCs w:val="32"/>
          <w:u w:val="single"/>
          <w:lang w:val="zh-CN"/>
        </w:rPr>
      </w:pPr>
      <w:r>
        <w:rPr>
          <w:rFonts w:hint="eastAsia" w:ascii="华文中宋" w:hAnsi="华文中宋" w:eastAsia="华文中宋" w:cs="华文中宋"/>
          <w:bCs/>
          <w:sz w:val="32"/>
          <w:szCs w:val="32"/>
        </w:rPr>
        <w:t>采购代理机构：</w:t>
      </w:r>
      <w:r>
        <w:rPr>
          <w:rFonts w:hint="eastAsia" w:ascii="华文中宋" w:hAnsi="华文中宋" w:eastAsia="华文中宋" w:cs="华文中宋"/>
          <w:bCs/>
          <w:color w:val="000000"/>
          <w:kern w:val="0"/>
          <w:sz w:val="32"/>
          <w:szCs w:val="32"/>
          <w:u w:val="single"/>
          <w:lang w:val="zh-CN"/>
        </w:rPr>
        <w:t>青海聚鑫工程管理有限公司</w:t>
      </w:r>
    </w:p>
    <w:p w14:paraId="02FD3617">
      <w:pPr>
        <w:autoSpaceDE w:val="0"/>
        <w:autoSpaceDN w:val="0"/>
        <w:adjustRightInd w:val="0"/>
        <w:spacing w:before="156" w:beforeLines="50" w:line="560" w:lineRule="exact"/>
        <w:jc w:val="left"/>
        <w:rPr>
          <w:rFonts w:ascii="宋体" w:hAnsi="宋体" w:cs="宋体"/>
          <w:color w:val="000000"/>
          <w:kern w:val="0"/>
          <w:sz w:val="30"/>
          <w:szCs w:val="30"/>
          <w:lang w:val="zh-CN"/>
        </w:rPr>
      </w:pPr>
    </w:p>
    <w:p w14:paraId="74FAE400">
      <w:pPr>
        <w:autoSpaceDE w:val="0"/>
        <w:autoSpaceDN w:val="0"/>
        <w:adjustRightInd w:val="0"/>
        <w:spacing w:before="156" w:beforeLines="50" w:line="390" w:lineRule="exact"/>
        <w:jc w:val="left"/>
        <w:rPr>
          <w:rFonts w:ascii="华文中宋" w:hAnsi="华文中宋" w:eastAsia="华文中宋" w:cs="华文中宋"/>
          <w:color w:val="000000"/>
          <w:kern w:val="0"/>
          <w:sz w:val="44"/>
          <w:szCs w:val="44"/>
          <w:lang w:val="zh-CN"/>
        </w:rPr>
      </w:pPr>
    </w:p>
    <w:p w14:paraId="3F17DF16">
      <w:pPr>
        <w:spacing w:line="380" w:lineRule="exact"/>
        <w:jc w:val="center"/>
        <w:rPr>
          <w:sz w:val="24"/>
        </w:rPr>
      </w:pPr>
      <w:r>
        <w:rPr>
          <w:rFonts w:hint="eastAsia" w:ascii="华文中宋" w:hAnsi="华文中宋" w:eastAsia="华文中宋" w:cs="华文中宋"/>
          <w:sz w:val="24"/>
        </w:rPr>
        <w:t>目录</w:t>
      </w:r>
    </w:p>
    <w:p w14:paraId="6D52AA69">
      <w:pPr>
        <w:pStyle w:val="13"/>
        <w:tabs>
          <w:tab w:val="right" w:leader="dot" w:pos="8958"/>
        </w:tabs>
        <w:spacing w:line="380" w:lineRule="exact"/>
      </w:pPr>
      <w:r>
        <w:rPr>
          <w:sz w:val="24"/>
        </w:rPr>
        <w:fldChar w:fldCharType="begin"/>
      </w:r>
      <w:r>
        <w:rPr>
          <w:sz w:val="24"/>
        </w:rPr>
        <w:instrText xml:space="preserve">TOC \o "1-3" \h \u </w:instrText>
      </w:r>
      <w:r>
        <w:rPr>
          <w:sz w:val="24"/>
        </w:rPr>
        <w:fldChar w:fldCharType="separate"/>
      </w:r>
      <w:r>
        <w:fldChar w:fldCharType="begin"/>
      </w:r>
      <w:r>
        <w:instrText xml:space="preserve"> HYPERLINK \l "_Toc27521" </w:instrText>
      </w:r>
      <w:r>
        <w:fldChar w:fldCharType="separate"/>
      </w:r>
      <w:r>
        <w:rPr>
          <w:rFonts w:hint="eastAsia" w:ascii="华文中宋" w:hAnsi="华文中宋" w:eastAsia="华文中宋" w:cs="仿宋_GB2312"/>
          <w:szCs w:val="44"/>
        </w:rPr>
        <w:t>第一部分 谈判邀请</w:t>
      </w:r>
      <w:r>
        <w:tab/>
      </w:r>
      <w:r>
        <w:fldChar w:fldCharType="begin"/>
      </w:r>
      <w:r>
        <w:instrText xml:space="preserve"> PAGEREF _Toc27521 \h </w:instrText>
      </w:r>
      <w:r>
        <w:fldChar w:fldCharType="separate"/>
      </w:r>
      <w:r>
        <w:t>1</w:t>
      </w:r>
      <w:r>
        <w:fldChar w:fldCharType="end"/>
      </w:r>
      <w:r>
        <w:fldChar w:fldCharType="end"/>
      </w:r>
    </w:p>
    <w:p w14:paraId="4EB12E13">
      <w:pPr>
        <w:pStyle w:val="13"/>
        <w:tabs>
          <w:tab w:val="right" w:leader="dot" w:pos="8958"/>
        </w:tabs>
        <w:spacing w:line="380" w:lineRule="exact"/>
      </w:pPr>
      <w:r>
        <w:fldChar w:fldCharType="begin"/>
      </w:r>
      <w:r>
        <w:instrText xml:space="preserve"> HYPERLINK \l "_Toc25367" </w:instrText>
      </w:r>
      <w:r>
        <w:fldChar w:fldCharType="separate"/>
      </w:r>
      <w:r>
        <w:rPr>
          <w:rFonts w:hint="eastAsia" w:ascii="华文中宋" w:hAnsi="华文中宋" w:eastAsia="华文中宋" w:cs="华文中宋"/>
          <w:szCs w:val="44"/>
        </w:rPr>
        <w:t>第二部分 谈判须知前附表及说明</w:t>
      </w:r>
      <w:r>
        <w:tab/>
      </w:r>
      <w:r>
        <w:fldChar w:fldCharType="begin"/>
      </w:r>
      <w:r>
        <w:instrText xml:space="preserve"> PAGEREF _Toc25367 \h </w:instrText>
      </w:r>
      <w:r>
        <w:fldChar w:fldCharType="separate"/>
      </w:r>
      <w:r>
        <w:t>4</w:t>
      </w:r>
      <w:r>
        <w:fldChar w:fldCharType="end"/>
      </w:r>
      <w:r>
        <w:fldChar w:fldCharType="end"/>
      </w:r>
    </w:p>
    <w:p w14:paraId="4FBC538D">
      <w:pPr>
        <w:pStyle w:val="14"/>
        <w:tabs>
          <w:tab w:val="right" w:leader="dot" w:pos="8958"/>
        </w:tabs>
        <w:spacing w:line="380" w:lineRule="exact"/>
      </w:pPr>
      <w:r>
        <w:fldChar w:fldCharType="begin"/>
      </w:r>
      <w:r>
        <w:instrText xml:space="preserve"> HYPERLINK \l "_Toc31127" </w:instrText>
      </w:r>
      <w:r>
        <w:fldChar w:fldCharType="separate"/>
      </w:r>
      <w:r>
        <w:rPr>
          <w:rFonts w:hint="eastAsia" w:ascii="黑体" w:hAnsi="黑体" w:eastAsia="黑体" w:cs="黑体"/>
          <w:szCs w:val="32"/>
        </w:rPr>
        <w:t>一、说明</w:t>
      </w:r>
      <w:r>
        <w:tab/>
      </w:r>
      <w:r>
        <w:fldChar w:fldCharType="begin"/>
      </w:r>
      <w:r>
        <w:instrText xml:space="preserve"> PAGEREF _Toc31127 \h </w:instrText>
      </w:r>
      <w:r>
        <w:fldChar w:fldCharType="separate"/>
      </w:r>
      <w:r>
        <w:t>8</w:t>
      </w:r>
      <w:r>
        <w:fldChar w:fldCharType="end"/>
      </w:r>
      <w:r>
        <w:fldChar w:fldCharType="end"/>
      </w:r>
    </w:p>
    <w:p w14:paraId="4BDB9A70">
      <w:pPr>
        <w:pStyle w:val="8"/>
        <w:tabs>
          <w:tab w:val="right" w:leader="dot" w:pos="8958"/>
        </w:tabs>
        <w:spacing w:line="380" w:lineRule="exact"/>
      </w:pPr>
      <w:r>
        <w:fldChar w:fldCharType="begin"/>
      </w:r>
      <w:r>
        <w:instrText xml:space="preserve"> HYPERLINK \l "_Toc22017" </w:instrText>
      </w:r>
      <w:r>
        <w:fldChar w:fldCharType="separate"/>
      </w:r>
      <w:r>
        <w:rPr>
          <w:rFonts w:hint="eastAsia" w:ascii="楷体_GB2312" w:hAnsi="楷体_GB2312" w:eastAsia="楷体_GB2312" w:cs="楷体_GB2312"/>
        </w:rPr>
        <w:t>1.适用范围</w:t>
      </w:r>
      <w:r>
        <w:tab/>
      </w:r>
      <w:r>
        <w:fldChar w:fldCharType="begin"/>
      </w:r>
      <w:r>
        <w:instrText xml:space="preserve"> PAGEREF _Toc22017 \h </w:instrText>
      </w:r>
      <w:r>
        <w:fldChar w:fldCharType="separate"/>
      </w:r>
      <w:r>
        <w:t>8</w:t>
      </w:r>
      <w:r>
        <w:fldChar w:fldCharType="end"/>
      </w:r>
      <w:r>
        <w:fldChar w:fldCharType="end"/>
      </w:r>
    </w:p>
    <w:p w14:paraId="18F3699F">
      <w:pPr>
        <w:pStyle w:val="8"/>
        <w:tabs>
          <w:tab w:val="right" w:leader="dot" w:pos="8958"/>
        </w:tabs>
        <w:spacing w:line="380" w:lineRule="exact"/>
      </w:pPr>
      <w:r>
        <w:fldChar w:fldCharType="begin"/>
      </w:r>
      <w:r>
        <w:instrText xml:space="preserve"> HYPERLINK \l "_Toc23029" </w:instrText>
      </w:r>
      <w:r>
        <w:fldChar w:fldCharType="separate"/>
      </w:r>
      <w:r>
        <w:rPr>
          <w:rFonts w:hint="eastAsia" w:ascii="楷体_GB2312" w:hAnsi="楷体_GB2312" w:eastAsia="楷体_GB2312" w:cs="楷体_GB2312"/>
        </w:rPr>
        <w:t>2.采购人及代理机构</w:t>
      </w:r>
      <w:r>
        <w:tab/>
      </w:r>
      <w:r>
        <w:fldChar w:fldCharType="begin"/>
      </w:r>
      <w:r>
        <w:instrText xml:space="preserve"> PAGEREF _Toc23029 \h </w:instrText>
      </w:r>
      <w:r>
        <w:fldChar w:fldCharType="separate"/>
      </w:r>
      <w:r>
        <w:t>8</w:t>
      </w:r>
      <w:r>
        <w:fldChar w:fldCharType="end"/>
      </w:r>
      <w:r>
        <w:fldChar w:fldCharType="end"/>
      </w:r>
    </w:p>
    <w:p w14:paraId="36F14E40">
      <w:pPr>
        <w:pStyle w:val="8"/>
        <w:tabs>
          <w:tab w:val="right" w:leader="dot" w:pos="8958"/>
        </w:tabs>
        <w:spacing w:line="380" w:lineRule="exact"/>
      </w:pPr>
      <w:r>
        <w:fldChar w:fldCharType="begin"/>
      </w:r>
      <w:r>
        <w:instrText xml:space="preserve"> HYPERLINK \l "_Toc22448" </w:instrText>
      </w:r>
      <w:r>
        <w:fldChar w:fldCharType="separate"/>
      </w:r>
      <w:r>
        <w:rPr>
          <w:rFonts w:hint="eastAsia" w:ascii="楷体_GB2312" w:hAnsi="楷体_GB2312" w:eastAsia="楷体_GB2312" w:cs="楷体_GB2312"/>
        </w:rPr>
        <w:t>3.供应商的资格要求</w:t>
      </w:r>
      <w:r>
        <w:tab/>
      </w:r>
      <w:r>
        <w:fldChar w:fldCharType="begin"/>
      </w:r>
      <w:r>
        <w:instrText xml:space="preserve"> PAGEREF _Toc22448 \h </w:instrText>
      </w:r>
      <w:r>
        <w:fldChar w:fldCharType="separate"/>
      </w:r>
      <w:r>
        <w:t>8</w:t>
      </w:r>
      <w:r>
        <w:fldChar w:fldCharType="end"/>
      </w:r>
      <w:r>
        <w:fldChar w:fldCharType="end"/>
      </w:r>
    </w:p>
    <w:p w14:paraId="57FF8D1A">
      <w:pPr>
        <w:pStyle w:val="8"/>
        <w:tabs>
          <w:tab w:val="right" w:leader="dot" w:pos="8958"/>
        </w:tabs>
        <w:spacing w:line="380" w:lineRule="exact"/>
      </w:pPr>
      <w:r>
        <w:fldChar w:fldCharType="begin"/>
      </w:r>
      <w:r>
        <w:instrText xml:space="preserve"> HYPERLINK \l "_Toc558" </w:instrText>
      </w:r>
      <w:r>
        <w:fldChar w:fldCharType="separate"/>
      </w:r>
      <w:r>
        <w:rPr>
          <w:rFonts w:hint="eastAsia" w:ascii="楷体_GB2312" w:hAnsi="楷体_GB2312" w:eastAsia="楷体_GB2312" w:cs="楷体_GB2312"/>
        </w:rPr>
        <w:t>4.谈判费用</w:t>
      </w:r>
      <w:r>
        <w:tab/>
      </w:r>
      <w:r>
        <w:fldChar w:fldCharType="begin"/>
      </w:r>
      <w:r>
        <w:instrText xml:space="preserve"> PAGEREF _Toc558 \h </w:instrText>
      </w:r>
      <w:r>
        <w:fldChar w:fldCharType="separate"/>
      </w:r>
      <w:r>
        <w:t>8</w:t>
      </w:r>
      <w:r>
        <w:fldChar w:fldCharType="end"/>
      </w:r>
      <w:r>
        <w:fldChar w:fldCharType="end"/>
      </w:r>
    </w:p>
    <w:p w14:paraId="629596AC">
      <w:pPr>
        <w:pStyle w:val="14"/>
        <w:tabs>
          <w:tab w:val="right" w:leader="dot" w:pos="8958"/>
        </w:tabs>
        <w:spacing w:line="380" w:lineRule="exact"/>
      </w:pPr>
      <w:r>
        <w:fldChar w:fldCharType="begin"/>
      </w:r>
      <w:r>
        <w:instrText xml:space="preserve"> HYPERLINK \l "_Toc5717" </w:instrText>
      </w:r>
      <w:r>
        <w:fldChar w:fldCharType="separate"/>
      </w:r>
      <w:r>
        <w:rPr>
          <w:rFonts w:hint="eastAsia" w:ascii="黑体" w:hAnsi="黑体" w:eastAsia="黑体" w:cs="黑体"/>
          <w:szCs w:val="32"/>
        </w:rPr>
        <w:t>二、谈判文件</w:t>
      </w:r>
      <w:r>
        <w:tab/>
      </w:r>
      <w:r>
        <w:fldChar w:fldCharType="begin"/>
      </w:r>
      <w:r>
        <w:instrText xml:space="preserve"> PAGEREF _Toc5717 \h </w:instrText>
      </w:r>
      <w:r>
        <w:fldChar w:fldCharType="separate"/>
      </w:r>
      <w:r>
        <w:t>8</w:t>
      </w:r>
      <w:r>
        <w:fldChar w:fldCharType="end"/>
      </w:r>
      <w:r>
        <w:fldChar w:fldCharType="end"/>
      </w:r>
    </w:p>
    <w:p w14:paraId="57D506BF">
      <w:pPr>
        <w:pStyle w:val="8"/>
        <w:tabs>
          <w:tab w:val="right" w:leader="dot" w:pos="8958"/>
        </w:tabs>
        <w:spacing w:line="380" w:lineRule="exact"/>
      </w:pPr>
      <w:r>
        <w:fldChar w:fldCharType="begin"/>
      </w:r>
      <w:r>
        <w:instrText xml:space="preserve"> HYPERLINK \l "_Toc25326" </w:instrText>
      </w:r>
      <w:r>
        <w:fldChar w:fldCharType="separate"/>
      </w:r>
      <w:r>
        <w:rPr>
          <w:rFonts w:hint="eastAsia" w:ascii="楷体_GB2312" w:hAnsi="楷体_GB2312" w:eastAsia="楷体_GB2312" w:cs="楷体_GB2312"/>
        </w:rPr>
        <w:t>5.谈判文件的组成</w:t>
      </w:r>
      <w:r>
        <w:tab/>
      </w:r>
      <w:r>
        <w:fldChar w:fldCharType="begin"/>
      </w:r>
      <w:r>
        <w:instrText xml:space="preserve"> PAGEREF _Toc25326 \h </w:instrText>
      </w:r>
      <w:r>
        <w:fldChar w:fldCharType="separate"/>
      </w:r>
      <w:r>
        <w:t>8</w:t>
      </w:r>
      <w:r>
        <w:fldChar w:fldCharType="end"/>
      </w:r>
      <w:r>
        <w:fldChar w:fldCharType="end"/>
      </w:r>
    </w:p>
    <w:p w14:paraId="18D85212">
      <w:pPr>
        <w:pStyle w:val="8"/>
        <w:tabs>
          <w:tab w:val="right" w:leader="dot" w:pos="8958"/>
        </w:tabs>
        <w:spacing w:line="380" w:lineRule="exact"/>
      </w:pPr>
      <w:r>
        <w:fldChar w:fldCharType="begin"/>
      </w:r>
      <w:r>
        <w:instrText xml:space="preserve"> HYPERLINK \l "_Toc22054" </w:instrText>
      </w:r>
      <w:r>
        <w:fldChar w:fldCharType="separate"/>
      </w:r>
      <w:r>
        <w:rPr>
          <w:rFonts w:hint="eastAsia" w:ascii="楷体_GB2312" w:hAnsi="楷体_GB2312" w:eastAsia="楷体_GB2312" w:cs="楷体_GB2312"/>
        </w:rPr>
        <w:t>6.谈判文件的澄清</w:t>
      </w:r>
      <w:r>
        <w:rPr>
          <w:rFonts w:hint="eastAsia" w:ascii="楷体_GB2312" w:hAnsi="楷体_GB2312" w:eastAsia="楷体_GB2312" w:cs="楷体_GB2312"/>
          <w:lang w:val="zh-CN"/>
        </w:rPr>
        <w:t>或者</w:t>
      </w:r>
      <w:r>
        <w:rPr>
          <w:rFonts w:hint="eastAsia" w:ascii="楷体_GB2312" w:hAnsi="楷体_GB2312" w:eastAsia="楷体_GB2312" w:cs="楷体_GB2312"/>
        </w:rPr>
        <w:t>修改</w:t>
      </w:r>
      <w:r>
        <w:tab/>
      </w:r>
      <w:r>
        <w:fldChar w:fldCharType="begin"/>
      </w:r>
      <w:r>
        <w:instrText xml:space="preserve"> PAGEREF _Toc22054 \h </w:instrText>
      </w:r>
      <w:r>
        <w:fldChar w:fldCharType="separate"/>
      </w:r>
      <w:r>
        <w:t>9</w:t>
      </w:r>
      <w:r>
        <w:fldChar w:fldCharType="end"/>
      </w:r>
      <w:r>
        <w:fldChar w:fldCharType="end"/>
      </w:r>
    </w:p>
    <w:p w14:paraId="5B4D3525">
      <w:pPr>
        <w:pStyle w:val="8"/>
        <w:tabs>
          <w:tab w:val="right" w:leader="dot" w:pos="8958"/>
        </w:tabs>
        <w:spacing w:line="380" w:lineRule="exact"/>
      </w:pPr>
      <w:r>
        <w:fldChar w:fldCharType="begin"/>
      </w:r>
      <w:r>
        <w:instrText xml:space="preserve"> HYPERLINK \l "_Toc21736" </w:instrText>
      </w:r>
      <w:r>
        <w:fldChar w:fldCharType="separate"/>
      </w:r>
      <w:r>
        <w:rPr>
          <w:rFonts w:hint="eastAsia" w:ascii="楷体_GB2312" w:hAnsi="楷体_GB2312" w:eastAsia="楷体_GB2312" w:cs="楷体_GB2312"/>
        </w:rPr>
        <w:t>7.谈判文件的询问或质疑</w:t>
      </w:r>
      <w:r>
        <w:tab/>
      </w:r>
      <w:r>
        <w:fldChar w:fldCharType="begin"/>
      </w:r>
      <w:r>
        <w:instrText xml:space="preserve"> PAGEREF _Toc21736 \h </w:instrText>
      </w:r>
      <w:r>
        <w:fldChar w:fldCharType="separate"/>
      </w:r>
      <w:r>
        <w:t>9</w:t>
      </w:r>
      <w:r>
        <w:fldChar w:fldCharType="end"/>
      </w:r>
      <w:r>
        <w:fldChar w:fldCharType="end"/>
      </w:r>
    </w:p>
    <w:p w14:paraId="41013E44">
      <w:pPr>
        <w:pStyle w:val="14"/>
        <w:tabs>
          <w:tab w:val="right" w:leader="dot" w:pos="8958"/>
        </w:tabs>
        <w:spacing w:line="380" w:lineRule="exact"/>
      </w:pPr>
      <w:r>
        <w:fldChar w:fldCharType="begin"/>
      </w:r>
      <w:r>
        <w:instrText xml:space="preserve"> HYPERLINK \l "_Toc25876" </w:instrText>
      </w:r>
      <w:r>
        <w:fldChar w:fldCharType="separate"/>
      </w:r>
      <w:r>
        <w:rPr>
          <w:rFonts w:hint="eastAsia" w:ascii="黑体" w:hAnsi="黑体" w:eastAsia="黑体" w:cs="黑体"/>
          <w:szCs w:val="32"/>
        </w:rPr>
        <w:t>三、响应文件</w:t>
      </w:r>
      <w:r>
        <w:tab/>
      </w:r>
      <w:r>
        <w:fldChar w:fldCharType="begin"/>
      </w:r>
      <w:r>
        <w:instrText xml:space="preserve"> PAGEREF _Toc25876 \h </w:instrText>
      </w:r>
      <w:r>
        <w:fldChar w:fldCharType="separate"/>
      </w:r>
      <w:r>
        <w:t>9</w:t>
      </w:r>
      <w:r>
        <w:fldChar w:fldCharType="end"/>
      </w:r>
      <w:r>
        <w:fldChar w:fldCharType="end"/>
      </w:r>
    </w:p>
    <w:p w14:paraId="6563DA8D">
      <w:pPr>
        <w:pStyle w:val="8"/>
        <w:tabs>
          <w:tab w:val="right" w:leader="dot" w:pos="8958"/>
        </w:tabs>
        <w:spacing w:line="380" w:lineRule="exact"/>
      </w:pPr>
      <w:r>
        <w:fldChar w:fldCharType="begin"/>
      </w:r>
      <w:r>
        <w:instrText xml:space="preserve"> HYPERLINK \l "_Toc3622" </w:instrText>
      </w:r>
      <w:r>
        <w:fldChar w:fldCharType="separate"/>
      </w:r>
      <w:r>
        <w:rPr>
          <w:rFonts w:hint="eastAsia" w:ascii="楷体_GB2312" w:hAnsi="楷体_GB2312" w:eastAsia="楷体_GB2312" w:cs="楷体_GB2312"/>
        </w:rPr>
        <w:t>8.一般要求</w:t>
      </w:r>
      <w:r>
        <w:tab/>
      </w:r>
      <w:r>
        <w:fldChar w:fldCharType="begin"/>
      </w:r>
      <w:r>
        <w:instrText xml:space="preserve"> PAGEREF _Toc3622 \h </w:instrText>
      </w:r>
      <w:r>
        <w:fldChar w:fldCharType="separate"/>
      </w:r>
      <w:r>
        <w:t>9</w:t>
      </w:r>
      <w:r>
        <w:fldChar w:fldCharType="end"/>
      </w:r>
      <w:r>
        <w:fldChar w:fldCharType="end"/>
      </w:r>
    </w:p>
    <w:p w14:paraId="098398CF">
      <w:pPr>
        <w:pStyle w:val="8"/>
        <w:tabs>
          <w:tab w:val="right" w:leader="dot" w:pos="8958"/>
        </w:tabs>
        <w:spacing w:line="380" w:lineRule="exact"/>
      </w:pPr>
      <w:r>
        <w:fldChar w:fldCharType="begin"/>
      </w:r>
      <w:r>
        <w:instrText xml:space="preserve"> HYPERLINK \l "_Toc18780" </w:instrText>
      </w:r>
      <w:r>
        <w:fldChar w:fldCharType="separate"/>
      </w:r>
      <w:r>
        <w:rPr>
          <w:rFonts w:hint="eastAsia" w:ascii="楷体_GB2312" w:hAnsi="楷体_GB2312" w:eastAsia="楷体_GB2312" w:cs="楷体_GB2312"/>
        </w:rPr>
        <w:t>9.报价要求</w:t>
      </w:r>
      <w:r>
        <w:tab/>
      </w:r>
      <w:r>
        <w:fldChar w:fldCharType="begin"/>
      </w:r>
      <w:r>
        <w:instrText xml:space="preserve"> PAGEREF _Toc18780 \h </w:instrText>
      </w:r>
      <w:r>
        <w:fldChar w:fldCharType="separate"/>
      </w:r>
      <w:r>
        <w:t>10</w:t>
      </w:r>
      <w:r>
        <w:fldChar w:fldCharType="end"/>
      </w:r>
      <w:r>
        <w:fldChar w:fldCharType="end"/>
      </w:r>
    </w:p>
    <w:p w14:paraId="604BEFA7">
      <w:pPr>
        <w:pStyle w:val="8"/>
        <w:tabs>
          <w:tab w:val="right" w:leader="dot" w:pos="8958"/>
        </w:tabs>
        <w:spacing w:line="380" w:lineRule="exact"/>
      </w:pPr>
      <w:r>
        <w:fldChar w:fldCharType="begin"/>
      </w:r>
      <w:r>
        <w:instrText xml:space="preserve"> HYPERLINK \l "_Toc27369" </w:instrText>
      </w:r>
      <w:r>
        <w:fldChar w:fldCharType="separate"/>
      </w:r>
      <w:r>
        <w:rPr>
          <w:rFonts w:hint="eastAsia" w:ascii="楷体_GB2312" w:hAnsi="楷体_GB2312" w:eastAsia="楷体_GB2312" w:cs="楷体_GB2312"/>
        </w:rPr>
        <w:t>10.保证金</w:t>
      </w:r>
      <w:r>
        <w:tab/>
      </w:r>
      <w:r>
        <w:fldChar w:fldCharType="begin"/>
      </w:r>
      <w:r>
        <w:instrText xml:space="preserve"> PAGEREF _Toc27369 \h </w:instrText>
      </w:r>
      <w:r>
        <w:fldChar w:fldCharType="separate"/>
      </w:r>
      <w:r>
        <w:t>11</w:t>
      </w:r>
      <w:r>
        <w:fldChar w:fldCharType="end"/>
      </w:r>
      <w:r>
        <w:fldChar w:fldCharType="end"/>
      </w:r>
    </w:p>
    <w:p w14:paraId="3F27AC70">
      <w:pPr>
        <w:pStyle w:val="8"/>
        <w:tabs>
          <w:tab w:val="right" w:leader="dot" w:pos="8958"/>
        </w:tabs>
        <w:spacing w:line="380" w:lineRule="exact"/>
      </w:pPr>
      <w:r>
        <w:fldChar w:fldCharType="begin"/>
      </w:r>
      <w:r>
        <w:instrText xml:space="preserve"> HYPERLINK \l "_Toc26981" </w:instrText>
      </w:r>
      <w:r>
        <w:fldChar w:fldCharType="separate"/>
      </w:r>
      <w:r>
        <w:rPr>
          <w:rFonts w:hint="eastAsia" w:ascii="楷体_GB2312" w:hAnsi="楷体_GB2312" w:eastAsia="楷体_GB2312" w:cs="楷体_GB2312"/>
        </w:rPr>
        <w:t>11.响应文件的组成</w:t>
      </w:r>
      <w:r>
        <w:tab/>
      </w:r>
      <w:r>
        <w:fldChar w:fldCharType="begin"/>
      </w:r>
      <w:r>
        <w:instrText xml:space="preserve"> PAGEREF _Toc26981 \h </w:instrText>
      </w:r>
      <w:r>
        <w:fldChar w:fldCharType="separate"/>
      </w:r>
      <w:r>
        <w:t>11</w:t>
      </w:r>
      <w:r>
        <w:fldChar w:fldCharType="end"/>
      </w:r>
      <w:r>
        <w:fldChar w:fldCharType="end"/>
      </w:r>
    </w:p>
    <w:p w14:paraId="7A2E1CE4">
      <w:pPr>
        <w:pStyle w:val="8"/>
        <w:tabs>
          <w:tab w:val="right" w:leader="dot" w:pos="8958"/>
        </w:tabs>
        <w:spacing w:line="380" w:lineRule="exact"/>
      </w:pPr>
      <w:r>
        <w:fldChar w:fldCharType="begin"/>
      </w:r>
      <w:r>
        <w:instrText xml:space="preserve"> HYPERLINK \l "_Toc28283" </w:instrText>
      </w:r>
      <w:r>
        <w:fldChar w:fldCharType="separate"/>
      </w:r>
      <w:r>
        <w:rPr>
          <w:rFonts w:hint="eastAsia" w:ascii="楷体_GB2312" w:hAnsi="楷体_GB2312" w:eastAsia="楷体_GB2312" w:cs="楷体_GB2312"/>
        </w:rPr>
        <w:t>12.响应文件有效期</w:t>
      </w:r>
      <w:r>
        <w:tab/>
      </w:r>
      <w:r>
        <w:fldChar w:fldCharType="begin"/>
      </w:r>
      <w:r>
        <w:instrText xml:space="preserve"> PAGEREF _Toc28283 \h </w:instrText>
      </w:r>
      <w:r>
        <w:fldChar w:fldCharType="separate"/>
      </w:r>
      <w:r>
        <w:t>12</w:t>
      </w:r>
      <w:r>
        <w:fldChar w:fldCharType="end"/>
      </w:r>
      <w:r>
        <w:fldChar w:fldCharType="end"/>
      </w:r>
    </w:p>
    <w:p w14:paraId="06F815A3">
      <w:pPr>
        <w:pStyle w:val="8"/>
        <w:tabs>
          <w:tab w:val="right" w:leader="dot" w:pos="8958"/>
        </w:tabs>
        <w:spacing w:line="380" w:lineRule="exact"/>
      </w:pPr>
      <w:r>
        <w:fldChar w:fldCharType="begin"/>
      </w:r>
      <w:r>
        <w:instrText xml:space="preserve"> HYPERLINK \l "_Toc8136" </w:instrText>
      </w:r>
      <w:r>
        <w:fldChar w:fldCharType="separate"/>
      </w:r>
      <w:r>
        <w:rPr>
          <w:rFonts w:hint="eastAsia" w:ascii="楷体_GB2312" w:hAnsi="楷体_GB2312" w:eastAsia="楷体_GB2312" w:cs="楷体_GB2312"/>
        </w:rPr>
        <w:t>13.响应文件的签署及规定</w:t>
      </w:r>
      <w:r>
        <w:tab/>
      </w:r>
      <w:r>
        <w:fldChar w:fldCharType="begin"/>
      </w:r>
      <w:r>
        <w:instrText xml:space="preserve"> PAGEREF _Toc8136 \h </w:instrText>
      </w:r>
      <w:r>
        <w:fldChar w:fldCharType="separate"/>
      </w:r>
      <w:r>
        <w:t>13</w:t>
      </w:r>
      <w:r>
        <w:fldChar w:fldCharType="end"/>
      </w:r>
      <w:r>
        <w:fldChar w:fldCharType="end"/>
      </w:r>
    </w:p>
    <w:p w14:paraId="6D7A8355">
      <w:pPr>
        <w:pStyle w:val="14"/>
        <w:tabs>
          <w:tab w:val="right" w:leader="dot" w:pos="8958"/>
        </w:tabs>
        <w:spacing w:line="380" w:lineRule="exact"/>
      </w:pPr>
      <w:r>
        <w:fldChar w:fldCharType="begin"/>
      </w:r>
      <w:r>
        <w:instrText xml:space="preserve"> HYPERLINK \l "_Toc17315" </w:instrText>
      </w:r>
      <w:r>
        <w:fldChar w:fldCharType="separate"/>
      </w:r>
      <w:r>
        <w:rPr>
          <w:rFonts w:hint="eastAsia" w:ascii="黑体" w:hAnsi="黑体" w:eastAsia="黑体" w:cs="黑体"/>
          <w:szCs w:val="32"/>
        </w:rPr>
        <w:t>四、响应文件的递交</w:t>
      </w:r>
      <w:r>
        <w:tab/>
      </w:r>
      <w:r>
        <w:fldChar w:fldCharType="begin"/>
      </w:r>
      <w:r>
        <w:instrText xml:space="preserve"> PAGEREF _Toc17315 \h </w:instrText>
      </w:r>
      <w:r>
        <w:fldChar w:fldCharType="separate"/>
      </w:r>
      <w:r>
        <w:t>13</w:t>
      </w:r>
      <w:r>
        <w:fldChar w:fldCharType="end"/>
      </w:r>
      <w:r>
        <w:fldChar w:fldCharType="end"/>
      </w:r>
    </w:p>
    <w:p w14:paraId="33C30C6D">
      <w:pPr>
        <w:pStyle w:val="8"/>
        <w:tabs>
          <w:tab w:val="right" w:leader="dot" w:pos="8958"/>
        </w:tabs>
        <w:spacing w:line="380" w:lineRule="exact"/>
        <w:rPr>
          <w:rFonts w:hint="eastAsia" w:eastAsia="宋体"/>
          <w:lang w:val="en-US" w:eastAsia="zh-CN"/>
        </w:rPr>
      </w:pPr>
      <w:r>
        <w:fldChar w:fldCharType="begin"/>
      </w:r>
      <w:r>
        <w:instrText xml:space="preserve"> HYPERLINK \l "_Toc1151" </w:instrText>
      </w:r>
      <w:r>
        <w:fldChar w:fldCharType="separate"/>
      </w:r>
      <w:r>
        <w:rPr>
          <w:rFonts w:hint="eastAsia" w:ascii="楷体_GB2312" w:hAnsi="楷体_GB2312" w:eastAsia="楷体_GB2312" w:cs="楷体_GB2312"/>
        </w:rPr>
        <w:t>14.响应文件的密封和标记</w:t>
      </w:r>
      <w:r>
        <w:tab/>
      </w:r>
      <w:r>
        <w:rPr>
          <w:rFonts w:hint="eastAsia"/>
          <w:lang w:val="en-US" w:eastAsia="zh-CN"/>
        </w:rPr>
        <w:t>1</w:t>
      </w:r>
      <w:r>
        <w:fldChar w:fldCharType="end"/>
      </w:r>
      <w:r>
        <w:rPr>
          <w:rFonts w:hint="eastAsia"/>
          <w:lang w:val="en-US" w:eastAsia="zh-CN"/>
        </w:rPr>
        <w:t>3</w:t>
      </w:r>
    </w:p>
    <w:p w14:paraId="20B39DE4">
      <w:pPr>
        <w:pStyle w:val="8"/>
        <w:tabs>
          <w:tab w:val="right" w:leader="dot" w:pos="8958"/>
        </w:tabs>
        <w:spacing w:line="380" w:lineRule="exact"/>
      </w:pPr>
      <w:r>
        <w:fldChar w:fldCharType="begin"/>
      </w:r>
      <w:r>
        <w:instrText xml:space="preserve"> HYPERLINK \l "_Toc405" </w:instrText>
      </w:r>
      <w:r>
        <w:fldChar w:fldCharType="separate"/>
      </w:r>
      <w:r>
        <w:rPr>
          <w:rFonts w:hint="eastAsia" w:ascii="楷体_GB2312" w:hAnsi="楷体_GB2312" w:eastAsia="楷体_GB2312" w:cs="楷体_GB2312"/>
        </w:rPr>
        <w:t>15.响应文件的递交与接收</w:t>
      </w:r>
      <w:r>
        <w:tab/>
      </w:r>
      <w:r>
        <w:fldChar w:fldCharType="begin"/>
      </w:r>
      <w:r>
        <w:instrText xml:space="preserve"> PAGEREF _Toc405 \h </w:instrText>
      </w:r>
      <w:r>
        <w:fldChar w:fldCharType="separate"/>
      </w:r>
      <w:r>
        <w:t>13</w:t>
      </w:r>
      <w:r>
        <w:fldChar w:fldCharType="end"/>
      </w:r>
      <w:r>
        <w:fldChar w:fldCharType="end"/>
      </w:r>
    </w:p>
    <w:p w14:paraId="3C31252F">
      <w:pPr>
        <w:pStyle w:val="8"/>
        <w:tabs>
          <w:tab w:val="right" w:leader="dot" w:pos="8958"/>
        </w:tabs>
        <w:spacing w:line="380" w:lineRule="exact"/>
      </w:pPr>
      <w:r>
        <w:fldChar w:fldCharType="begin"/>
      </w:r>
      <w:r>
        <w:instrText xml:space="preserve"> HYPERLINK \l "_Toc15490" </w:instrText>
      </w:r>
      <w:r>
        <w:fldChar w:fldCharType="separate"/>
      </w:r>
      <w:r>
        <w:rPr>
          <w:rFonts w:hint="eastAsia" w:ascii="楷体_GB2312" w:hAnsi="楷体_GB2312" w:eastAsia="楷体_GB2312" w:cs="楷体_GB2312"/>
        </w:rPr>
        <w:t>16.响应文件的</w:t>
      </w:r>
      <w:r>
        <w:rPr>
          <w:rFonts w:hint="eastAsia" w:ascii="楷体_GB2312" w:hAnsi="楷体_GB2312" w:eastAsia="楷体_GB2312" w:cs="楷体_GB2312"/>
          <w:lang w:val="zh-CN"/>
        </w:rPr>
        <w:t>补充、修改或者撤回</w:t>
      </w:r>
      <w:r>
        <w:tab/>
      </w:r>
      <w:r>
        <w:fldChar w:fldCharType="begin"/>
      </w:r>
      <w:r>
        <w:instrText xml:space="preserve"> PAGEREF _Toc15490 \h </w:instrText>
      </w:r>
      <w:r>
        <w:fldChar w:fldCharType="separate"/>
      </w:r>
      <w:r>
        <w:t>13</w:t>
      </w:r>
      <w:r>
        <w:fldChar w:fldCharType="end"/>
      </w:r>
      <w:r>
        <w:fldChar w:fldCharType="end"/>
      </w:r>
    </w:p>
    <w:p w14:paraId="73416201">
      <w:pPr>
        <w:pStyle w:val="14"/>
        <w:tabs>
          <w:tab w:val="right" w:leader="dot" w:pos="8958"/>
        </w:tabs>
        <w:spacing w:line="380" w:lineRule="exact"/>
      </w:pPr>
      <w:r>
        <w:fldChar w:fldCharType="begin"/>
      </w:r>
      <w:r>
        <w:instrText xml:space="preserve"> HYPERLINK \l "_Toc24988" </w:instrText>
      </w:r>
      <w:r>
        <w:fldChar w:fldCharType="separate"/>
      </w:r>
      <w:r>
        <w:rPr>
          <w:rFonts w:hint="eastAsia" w:ascii="黑体" w:hAnsi="黑体" w:eastAsia="黑体" w:cs="黑体"/>
          <w:szCs w:val="32"/>
        </w:rPr>
        <w:t>五、响应文件的评审与谈判</w:t>
      </w:r>
      <w:r>
        <w:tab/>
      </w:r>
      <w:r>
        <w:fldChar w:fldCharType="begin"/>
      </w:r>
      <w:r>
        <w:instrText xml:space="preserve"> PAGEREF _Toc24988 \h </w:instrText>
      </w:r>
      <w:r>
        <w:fldChar w:fldCharType="separate"/>
      </w:r>
      <w:r>
        <w:t>13</w:t>
      </w:r>
      <w:r>
        <w:fldChar w:fldCharType="end"/>
      </w:r>
      <w:r>
        <w:fldChar w:fldCharType="end"/>
      </w:r>
    </w:p>
    <w:p w14:paraId="16C257C0">
      <w:pPr>
        <w:pStyle w:val="8"/>
        <w:tabs>
          <w:tab w:val="right" w:leader="dot" w:pos="8958"/>
        </w:tabs>
        <w:spacing w:line="380" w:lineRule="exact"/>
      </w:pPr>
      <w:r>
        <w:fldChar w:fldCharType="begin"/>
      </w:r>
      <w:r>
        <w:instrText xml:space="preserve"> HYPERLINK \l "_Toc27488" </w:instrText>
      </w:r>
      <w:r>
        <w:fldChar w:fldCharType="separate"/>
      </w:r>
      <w:r>
        <w:rPr>
          <w:rFonts w:hint="eastAsia" w:ascii="楷体_GB2312" w:hAnsi="楷体_GB2312" w:eastAsia="楷体_GB2312" w:cs="楷体_GB2312"/>
        </w:rPr>
        <w:t>17.谈判小组</w:t>
      </w:r>
      <w:r>
        <w:tab/>
      </w:r>
      <w:r>
        <w:fldChar w:fldCharType="begin"/>
      </w:r>
      <w:r>
        <w:instrText xml:space="preserve"> PAGEREF _Toc27488 \h </w:instrText>
      </w:r>
      <w:r>
        <w:fldChar w:fldCharType="separate"/>
      </w:r>
      <w:r>
        <w:t>13</w:t>
      </w:r>
      <w:r>
        <w:fldChar w:fldCharType="end"/>
      </w:r>
      <w:r>
        <w:fldChar w:fldCharType="end"/>
      </w:r>
    </w:p>
    <w:p w14:paraId="46BE4007">
      <w:pPr>
        <w:pStyle w:val="8"/>
        <w:tabs>
          <w:tab w:val="right" w:leader="dot" w:pos="8958"/>
        </w:tabs>
        <w:spacing w:line="380" w:lineRule="exact"/>
      </w:pPr>
      <w:r>
        <w:fldChar w:fldCharType="begin"/>
      </w:r>
      <w:r>
        <w:instrText xml:space="preserve"> HYPERLINK \l "_Toc13002" </w:instrText>
      </w:r>
      <w:r>
        <w:fldChar w:fldCharType="separate"/>
      </w:r>
      <w:r>
        <w:rPr>
          <w:rFonts w:hint="eastAsia" w:ascii="楷体_GB2312" w:hAnsi="楷体_GB2312" w:eastAsia="楷体_GB2312" w:cs="楷体_GB2312"/>
        </w:rPr>
        <w:t>18.响应文件审查</w:t>
      </w:r>
      <w:r>
        <w:tab/>
      </w:r>
      <w:r>
        <w:fldChar w:fldCharType="begin"/>
      </w:r>
      <w:r>
        <w:instrText xml:space="preserve"> PAGEREF _Toc13002 \h </w:instrText>
      </w:r>
      <w:r>
        <w:fldChar w:fldCharType="separate"/>
      </w:r>
      <w:r>
        <w:t>15</w:t>
      </w:r>
      <w:r>
        <w:fldChar w:fldCharType="end"/>
      </w:r>
      <w:r>
        <w:fldChar w:fldCharType="end"/>
      </w:r>
    </w:p>
    <w:p w14:paraId="2EAF57A3">
      <w:pPr>
        <w:pStyle w:val="8"/>
        <w:tabs>
          <w:tab w:val="right" w:leader="dot" w:pos="8958"/>
        </w:tabs>
        <w:spacing w:line="380" w:lineRule="exact"/>
      </w:pPr>
      <w:r>
        <w:fldChar w:fldCharType="begin"/>
      </w:r>
      <w:r>
        <w:instrText xml:space="preserve"> HYPERLINK \l "_Toc32410" </w:instrText>
      </w:r>
      <w:r>
        <w:fldChar w:fldCharType="separate"/>
      </w:r>
      <w:r>
        <w:rPr>
          <w:rFonts w:hint="eastAsia" w:ascii="楷体_GB2312" w:hAnsi="楷体_GB2312" w:eastAsia="楷体_GB2312" w:cs="楷体_GB2312"/>
        </w:rPr>
        <w:t>19.谈判程序</w:t>
      </w:r>
      <w:r>
        <w:tab/>
      </w:r>
      <w:r>
        <w:fldChar w:fldCharType="begin"/>
      </w:r>
      <w:r>
        <w:instrText xml:space="preserve"> PAGEREF _Toc32410 \h </w:instrText>
      </w:r>
      <w:r>
        <w:fldChar w:fldCharType="separate"/>
      </w:r>
      <w:r>
        <w:t>15</w:t>
      </w:r>
      <w:r>
        <w:fldChar w:fldCharType="end"/>
      </w:r>
      <w:r>
        <w:fldChar w:fldCharType="end"/>
      </w:r>
    </w:p>
    <w:p w14:paraId="721AEA6C">
      <w:pPr>
        <w:pStyle w:val="8"/>
        <w:tabs>
          <w:tab w:val="right" w:leader="dot" w:pos="8958"/>
        </w:tabs>
        <w:spacing w:line="380" w:lineRule="exact"/>
      </w:pPr>
      <w:r>
        <w:fldChar w:fldCharType="begin"/>
      </w:r>
      <w:r>
        <w:instrText xml:space="preserve"> HYPERLINK \l "_Toc1137" </w:instrText>
      </w:r>
      <w:r>
        <w:fldChar w:fldCharType="separate"/>
      </w:r>
      <w:r>
        <w:rPr>
          <w:rFonts w:hint="eastAsia" w:ascii="楷体_GB2312" w:hAnsi="楷体_GB2312" w:eastAsia="楷体_GB2312" w:cs="楷体_GB2312"/>
        </w:rPr>
        <w:t>20.澄清</w:t>
      </w:r>
      <w:r>
        <w:tab/>
      </w:r>
      <w:r>
        <w:fldChar w:fldCharType="begin"/>
      </w:r>
      <w:r>
        <w:instrText xml:space="preserve"> PAGEREF _Toc1137 \h </w:instrText>
      </w:r>
      <w:r>
        <w:fldChar w:fldCharType="separate"/>
      </w:r>
      <w:r>
        <w:t>16</w:t>
      </w:r>
      <w:r>
        <w:fldChar w:fldCharType="end"/>
      </w:r>
      <w:r>
        <w:fldChar w:fldCharType="end"/>
      </w:r>
    </w:p>
    <w:p w14:paraId="7996DA1E">
      <w:pPr>
        <w:pStyle w:val="8"/>
        <w:tabs>
          <w:tab w:val="right" w:leader="dot" w:pos="8958"/>
        </w:tabs>
        <w:spacing w:line="380" w:lineRule="exact"/>
      </w:pPr>
      <w:r>
        <w:fldChar w:fldCharType="begin"/>
      </w:r>
      <w:r>
        <w:instrText xml:space="preserve"> HYPERLINK \l "_Toc2242" </w:instrText>
      </w:r>
      <w:r>
        <w:fldChar w:fldCharType="separate"/>
      </w:r>
      <w:r>
        <w:rPr>
          <w:rFonts w:hint="eastAsia" w:ascii="楷体_GB2312" w:hAnsi="楷体_GB2312" w:eastAsia="楷体_GB2312" w:cs="楷体_GB2312"/>
        </w:rPr>
        <w:t>21.退出谈判</w:t>
      </w:r>
      <w:r>
        <w:tab/>
      </w:r>
      <w:r>
        <w:fldChar w:fldCharType="begin"/>
      </w:r>
      <w:r>
        <w:instrText xml:space="preserve"> PAGEREF _Toc2242 \h </w:instrText>
      </w:r>
      <w:r>
        <w:fldChar w:fldCharType="separate"/>
      </w:r>
      <w:r>
        <w:t>16</w:t>
      </w:r>
      <w:r>
        <w:fldChar w:fldCharType="end"/>
      </w:r>
      <w:r>
        <w:fldChar w:fldCharType="end"/>
      </w:r>
    </w:p>
    <w:p w14:paraId="4825CB72">
      <w:pPr>
        <w:pStyle w:val="8"/>
        <w:tabs>
          <w:tab w:val="right" w:leader="dot" w:pos="8958"/>
        </w:tabs>
        <w:spacing w:line="380" w:lineRule="exact"/>
      </w:pPr>
      <w:r>
        <w:fldChar w:fldCharType="begin"/>
      </w:r>
      <w:r>
        <w:instrText xml:space="preserve"> HYPERLINK \l "_Toc1342" </w:instrText>
      </w:r>
      <w:r>
        <w:fldChar w:fldCharType="separate"/>
      </w:r>
      <w:r>
        <w:rPr>
          <w:rFonts w:hint="eastAsia" w:ascii="楷体_GB2312" w:hAnsi="楷体_GB2312" w:eastAsia="楷体_GB2312" w:cs="楷体_GB2312"/>
        </w:rPr>
        <w:t>22.最后报价</w:t>
      </w:r>
      <w:r>
        <w:tab/>
      </w:r>
      <w:r>
        <w:fldChar w:fldCharType="begin"/>
      </w:r>
      <w:r>
        <w:instrText xml:space="preserve"> PAGEREF _Toc1342 \h </w:instrText>
      </w:r>
      <w:r>
        <w:fldChar w:fldCharType="separate"/>
      </w:r>
      <w:r>
        <w:t>16</w:t>
      </w:r>
      <w:r>
        <w:fldChar w:fldCharType="end"/>
      </w:r>
      <w:r>
        <w:fldChar w:fldCharType="end"/>
      </w:r>
    </w:p>
    <w:p w14:paraId="5387EB48">
      <w:pPr>
        <w:pStyle w:val="8"/>
        <w:tabs>
          <w:tab w:val="right" w:leader="dot" w:pos="8958"/>
        </w:tabs>
        <w:spacing w:line="380" w:lineRule="exact"/>
      </w:pPr>
      <w:r>
        <w:fldChar w:fldCharType="begin"/>
      </w:r>
      <w:r>
        <w:instrText xml:space="preserve"> HYPERLINK \l "_Toc21167" </w:instrText>
      </w:r>
      <w:r>
        <w:fldChar w:fldCharType="separate"/>
      </w:r>
      <w:r>
        <w:rPr>
          <w:rFonts w:hint="eastAsia" w:ascii="楷体_GB2312" w:hAnsi="楷体_GB2312" w:eastAsia="楷体_GB2312" w:cs="楷体_GB2312"/>
        </w:rPr>
        <w:t>23.确定成交供应商</w:t>
      </w:r>
      <w:r>
        <w:tab/>
      </w:r>
      <w:r>
        <w:fldChar w:fldCharType="begin"/>
      </w:r>
      <w:r>
        <w:instrText xml:space="preserve"> PAGEREF _Toc21167 \h </w:instrText>
      </w:r>
      <w:r>
        <w:fldChar w:fldCharType="separate"/>
      </w:r>
      <w:r>
        <w:t>17</w:t>
      </w:r>
      <w:r>
        <w:fldChar w:fldCharType="end"/>
      </w:r>
      <w:r>
        <w:fldChar w:fldCharType="end"/>
      </w:r>
    </w:p>
    <w:p w14:paraId="7131F206">
      <w:pPr>
        <w:pStyle w:val="8"/>
        <w:tabs>
          <w:tab w:val="right" w:leader="dot" w:pos="8958"/>
        </w:tabs>
        <w:spacing w:line="380" w:lineRule="exact"/>
      </w:pPr>
      <w:r>
        <w:fldChar w:fldCharType="begin"/>
      </w:r>
      <w:r>
        <w:instrText xml:space="preserve"> HYPERLINK \l "_Toc17436" </w:instrText>
      </w:r>
      <w:r>
        <w:fldChar w:fldCharType="separate"/>
      </w:r>
      <w:r>
        <w:rPr>
          <w:rFonts w:hint="eastAsia" w:ascii="楷体_GB2312" w:hAnsi="楷体_GB2312" w:eastAsia="楷体_GB2312" w:cs="楷体_GB2312"/>
        </w:rPr>
        <w:t>24.重新评审</w:t>
      </w:r>
      <w:r>
        <w:tab/>
      </w:r>
      <w:r>
        <w:fldChar w:fldCharType="begin"/>
      </w:r>
      <w:r>
        <w:instrText xml:space="preserve"> PAGEREF _Toc17436 \h </w:instrText>
      </w:r>
      <w:r>
        <w:fldChar w:fldCharType="separate"/>
      </w:r>
      <w:r>
        <w:t>18</w:t>
      </w:r>
      <w:r>
        <w:fldChar w:fldCharType="end"/>
      </w:r>
      <w:r>
        <w:fldChar w:fldCharType="end"/>
      </w:r>
    </w:p>
    <w:p w14:paraId="047D430B">
      <w:pPr>
        <w:pStyle w:val="8"/>
        <w:tabs>
          <w:tab w:val="right" w:leader="dot" w:pos="8958"/>
        </w:tabs>
        <w:spacing w:line="380" w:lineRule="exact"/>
      </w:pPr>
      <w:r>
        <w:fldChar w:fldCharType="begin"/>
      </w:r>
      <w:r>
        <w:instrText xml:space="preserve"> HYPERLINK \l "_Toc15179" </w:instrText>
      </w:r>
      <w:r>
        <w:fldChar w:fldCharType="separate"/>
      </w:r>
      <w:r>
        <w:rPr>
          <w:rFonts w:hint="eastAsia" w:ascii="楷体_GB2312" w:hAnsi="楷体_GB2312" w:eastAsia="楷体_GB2312" w:cs="楷体_GB2312"/>
        </w:rPr>
        <w:t>25.谈判终止</w:t>
      </w:r>
      <w:r>
        <w:tab/>
      </w:r>
      <w:r>
        <w:fldChar w:fldCharType="begin"/>
      </w:r>
      <w:r>
        <w:instrText xml:space="preserve"> PAGEREF _Toc15179 \h </w:instrText>
      </w:r>
      <w:r>
        <w:fldChar w:fldCharType="separate"/>
      </w:r>
      <w:r>
        <w:t>18</w:t>
      </w:r>
      <w:r>
        <w:fldChar w:fldCharType="end"/>
      </w:r>
      <w:r>
        <w:fldChar w:fldCharType="end"/>
      </w:r>
    </w:p>
    <w:p w14:paraId="154AB532">
      <w:pPr>
        <w:pStyle w:val="8"/>
        <w:tabs>
          <w:tab w:val="right" w:leader="dot" w:pos="8958"/>
        </w:tabs>
        <w:spacing w:line="380" w:lineRule="exact"/>
      </w:pPr>
      <w:r>
        <w:fldChar w:fldCharType="begin"/>
      </w:r>
      <w:r>
        <w:instrText xml:space="preserve"> HYPERLINK \l "_Toc10575" </w:instrText>
      </w:r>
      <w:r>
        <w:fldChar w:fldCharType="separate"/>
      </w:r>
      <w:r>
        <w:rPr>
          <w:rFonts w:hint="eastAsia" w:ascii="楷体_GB2312" w:hAnsi="楷体_GB2312" w:eastAsia="楷体_GB2312" w:cs="楷体_GB2312"/>
        </w:rPr>
        <w:t>26.串通情形认定及处理</w:t>
      </w:r>
      <w:r>
        <w:tab/>
      </w:r>
      <w:r>
        <w:fldChar w:fldCharType="begin"/>
      </w:r>
      <w:r>
        <w:instrText xml:space="preserve"> PAGEREF _Toc10575 \h </w:instrText>
      </w:r>
      <w:r>
        <w:fldChar w:fldCharType="separate"/>
      </w:r>
      <w:r>
        <w:t>18</w:t>
      </w:r>
      <w:r>
        <w:fldChar w:fldCharType="end"/>
      </w:r>
      <w:r>
        <w:fldChar w:fldCharType="end"/>
      </w:r>
    </w:p>
    <w:p w14:paraId="5F4D1650">
      <w:pPr>
        <w:pStyle w:val="8"/>
        <w:tabs>
          <w:tab w:val="right" w:leader="dot" w:pos="8958"/>
        </w:tabs>
        <w:spacing w:line="380" w:lineRule="exact"/>
      </w:pPr>
      <w:r>
        <w:fldChar w:fldCharType="begin"/>
      </w:r>
      <w:r>
        <w:instrText xml:space="preserve"> HYPERLINK \l "_Toc701" </w:instrText>
      </w:r>
      <w:r>
        <w:fldChar w:fldCharType="separate"/>
      </w:r>
      <w:r>
        <w:rPr>
          <w:rFonts w:hint="eastAsia" w:ascii="楷体_GB2312" w:hAnsi="楷体_GB2312" w:eastAsia="楷体_GB2312" w:cs="楷体_GB2312"/>
        </w:rPr>
        <w:t>27.成交信息的公布与通知</w:t>
      </w:r>
      <w:r>
        <w:tab/>
      </w:r>
      <w:r>
        <w:fldChar w:fldCharType="begin"/>
      </w:r>
      <w:r>
        <w:instrText xml:space="preserve"> PAGEREF _Toc701 \h </w:instrText>
      </w:r>
      <w:r>
        <w:fldChar w:fldCharType="separate"/>
      </w:r>
      <w:r>
        <w:t>19</w:t>
      </w:r>
      <w:r>
        <w:fldChar w:fldCharType="end"/>
      </w:r>
      <w:r>
        <w:fldChar w:fldCharType="end"/>
      </w:r>
    </w:p>
    <w:p w14:paraId="6D25D89A">
      <w:pPr>
        <w:pStyle w:val="8"/>
        <w:tabs>
          <w:tab w:val="right" w:leader="dot" w:pos="8958"/>
        </w:tabs>
        <w:spacing w:line="380" w:lineRule="exact"/>
      </w:pPr>
      <w:r>
        <w:fldChar w:fldCharType="begin"/>
      </w:r>
      <w:r>
        <w:instrText xml:space="preserve"> HYPERLINK \l "_Toc29042" </w:instrText>
      </w:r>
      <w:r>
        <w:fldChar w:fldCharType="separate"/>
      </w:r>
      <w:r>
        <w:rPr>
          <w:rFonts w:hint="eastAsia" w:ascii="楷体_GB2312" w:hAnsi="楷体_GB2312" w:eastAsia="楷体_GB2312" w:cs="楷体_GB2312"/>
        </w:rPr>
        <w:t>28.授予合同</w:t>
      </w:r>
      <w:r>
        <w:tab/>
      </w:r>
      <w:r>
        <w:fldChar w:fldCharType="begin"/>
      </w:r>
      <w:r>
        <w:instrText xml:space="preserve"> PAGEREF _Toc29042 \h </w:instrText>
      </w:r>
      <w:r>
        <w:fldChar w:fldCharType="separate"/>
      </w:r>
      <w:r>
        <w:t>20</w:t>
      </w:r>
      <w:r>
        <w:fldChar w:fldCharType="end"/>
      </w:r>
      <w:r>
        <w:fldChar w:fldCharType="end"/>
      </w:r>
    </w:p>
    <w:p w14:paraId="67775DA6">
      <w:pPr>
        <w:pStyle w:val="8"/>
        <w:tabs>
          <w:tab w:val="right" w:leader="dot" w:pos="8958"/>
        </w:tabs>
        <w:spacing w:line="380" w:lineRule="exact"/>
      </w:pPr>
      <w:r>
        <w:fldChar w:fldCharType="begin"/>
      </w:r>
      <w:r>
        <w:instrText xml:space="preserve"> HYPERLINK \l "_Toc17412" </w:instrText>
      </w:r>
      <w:r>
        <w:fldChar w:fldCharType="separate"/>
      </w:r>
      <w:r>
        <w:rPr>
          <w:rFonts w:hint="eastAsia" w:ascii="楷体_GB2312" w:hAnsi="楷体_GB2312" w:eastAsia="楷体_GB2312" w:cs="楷体_GB2312"/>
        </w:rPr>
        <w:t>29.履约验收</w:t>
      </w:r>
      <w:r>
        <w:tab/>
      </w:r>
      <w:r>
        <w:fldChar w:fldCharType="begin"/>
      </w:r>
      <w:r>
        <w:instrText xml:space="preserve"> PAGEREF _Toc17412 \h </w:instrText>
      </w:r>
      <w:r>
        <w:fldChar w:fldCharType="separate"/>
      </w:r>
      <w:r>
        <w:t>20</w:t>
      </w:r>
      <w:r>
        <w:fldChar w:fldCharType="end"/>
      </w:r>
      <w:r>
        <w:fldChar w:fldCharType="end"/>
      </w:r>
    </w:p>
    <w:p w14:paraId="140CC14C">
      <w:pPr>
        <w:pStyle w:val="14"/>
        <w:tabs>
          <w:tab w:val="right" w:leader="dot" w:pos="8958"/>
        </w:tabs>
        <w:spacing w:line="380" w:lineRule="exact"/>
      </w:pPr>
      <w:r>
        <w:fldChar w:fldCharType="begin"/>
      </w:r>
      <w:r>
        <w:instrText xml:space="preserve"> HYPERLINK \l "_Toc304" </w:instrText>
      </w:r>
      <w:r>
        <w:fldChar w:fldCharType="separate"/>
      </w:r>
      <w:r>
        <w:rPr>
          <w:rFonts w:hint="eastAsia" w:ascii="黑体" w:hAnsi="黑体" w:eastAsia="黑体" w:cs="黑体"/>
          <w:szCs w:val="32"/>
        </w:rPr>
        <w:t>七、询问与质疑</w:t>
      </w:r>
      <w:r>
        <w:tab/>
      </w:r>
      <w:r>
        <w:fldChar w:fldCharType="begin"/>
      </w:r>
      <w:r>
        <w:instrText xml:space="preserve"> PAGEREF _Toc304 \h </w:instrText>
      </w:r>
      <w:r>
        <w:fldChar w:fldCharType="separate"/>
      </w:r>
      <w:r>
        <w:t>21</w:t>
      </w:r>
      <w:r>
        <w:fldChar w:fldCharType="end"/>
      </w:r>
      <w:r>
        <w:fldChar w:fldCharType="end"/>
      </w:r>
    </w:p>
    <w:p w14:paraId="031299D3">
      <w:pPr>
        <w:pStyle w:val="8"/>
        <w:tabs>
          <w:tab w:val="right" w:leader="dot" w:pos="8958"/>
        </w:tabs>
        <w:spacing w:line="380" w:lineRule="exact"/>
      </w:pPr>
      <w:r>
        <w:fldChar w:fldCharType="begin"/>
      </w:r>
      <w:r>
        <w:instrText xml:space="preserve"> HYPERLINK \l "_Toc14391" </w:instrText>
      </w:r>
      <w:r>
        <w:fldChar w:fldCharType="separate"/>
      </w:r>
      <w:r>
        <w:rPr>
          <w:rFonts w:hint="eastAsia" w:ascii="楷体_GB2312" w:hAnsi="楷体_GB2312" w:eastAsia="楷体_GB2312" w:cs="楷体_GB2312"/>
        </w:rPr>
        <w:t>30.对采购过程、结果的询问及质疑</w:t>
      </w:r>
      <w:r>
        <w:tab/>
      </w:r>
      <w:r>
        <w:fldChar w:fldCharType="begin"/>
      </w:r>
      <w:r>
        <w:instrText xml:space="preserve"> PAGEREF _Toc14391 \h </w:instrText>
      </w:r>
      <w:r>
        <w:fldChar w:fldCharType="separate"/>
      </w:r>
      <w:r>
        <w:t>21</w:t>
      </w:r>
      <w:r>
        <w:fldChar w:fldCharType="end"/>
      </w:r>
      <w:r>
        <w:fldChar w:fldCharType="end"/>
      </w:r>
    </w:p>
    <w:p w14:paraId="48895D3C">
      <w:pPr>
        <w:pStyle w:val="14"/>
        <w:tabs>
          <w:tab w:val="right" w:leader="dot" w:pos="8958"/>
        </w:tabs>
        <w:spacing w:line="380" w:lineRule="exact"/>
      </w:pPr>
      <w:r>
        <w:fldChar w:fldCharType="begin"/>
      </w:r>
      <w:r>
        <w:instrText xml:space="preserve"> HYPERLINK \l "_Toc24559" </w:instrText>
      </w:r>
      <w:r>
        <w:fldChar w:fldCharType="separate"/>
      </w:r>
      <w:r>
        <w:rPr>
          <w:rFonts w:hint="eastAsia" w:ascii="黑体" w:hAnsi="黑体" w:eastAsia="黑体" w:cs="黑体"/>
          <w:szCs w:val="32"/>
        </w:rPr>
        <w:t>八、政府采购政策</w:t>
      </w:r>
      <w:r>
        <w:tab/>
      </w:r>
      <w:r>
        <w:fldChar w:fldCharType="begin"/>
      </w:r>
      <w:r>
        <w:instrText xml:space="preserve"> PAGEREF _Toc24559 \h </w:instrText>
      </w:r>
      <w:r>
        <w:fldChar w:fldCharType="separate"/>
      </w:r>
      <w:r>
        <w:t>21</w:t>
      </w:r>
      <w:r>
        <w:fldChar w:fldCharType="end"/>
      </w:r>
      <w:r>
        <w:fldChar w:fldCharType="end"/>
      </w:r>
    </w:p>
    <w:p w14:paraId="7046F068">
      <w:pPr>
        <w:pStyle w:val="8"/>
        <w:tabs>
          <w:tab w:val="right" w:leader="dot" w:pos="8958"/>
        </w:tabs>
        <w:spacing w:line="380" w:lineRule="exact"/>
      </w:pPr>
      <w:r>
        <w:fldChar w:fldCharType="begin"/>
      </w:r>
      <w:r>
        <w:instrText xml:space="preserve"> HYPERLINK \l "_Toc30988" </w:instrText>
      </w:r>
      <w:r>
        <w:fldChar w:fldCharType="separate"/>
      </w:r>
      <w:r>
        <w:rPr>
          <w:rFonts w:hint="eastAsia" w:ascii="楷体_GB2312" w:hAnsi="楷体_GB2312" w:eastAsia="楷体_GB2312" w:cs="楷体_GB2312"/>
        </w:rPr>
        <w:t>31.政府采购政策</w:t>
      </w:r>
      <w:r>
        <w:tab/>
      </w:r>
      <w:r>
        <w:fldChar w:fldCharType="begin"/>
      </w:r>
      <w:r>
        <w:instrText xml:space="preserve"> PAGEREF _Toc30988 \h </w:instrText>
      </w:r>
      <w:r>
        <w:fldChar w:fldCharType="separate"/>
      </w:r>
      <w:r>
        <w:t>21</w:t>
      </w:r>
      <w:r>
        <w:fldChar w:fldCharType="end"/>
      </w:r>
      <w:r>
        <w:fldChar w:fldCharType="end"/>
      </w:r>
    </w:p>
    <w:p w14:paraId="0CBFA95D">
      <w:pPr>
        <w:pStyle w:val="14"/>
        <w:tabs>
          <w:tab w:val="right" w:leader="dot" w:pos="8958"/>
        </w:tabs>
        <w:spacing w:line="380" w:lineRule="exact"/>
      </w:pPr>
      <w:r>
        <w:fldChar w:fldCharType="begin"/>
      </w:r>
      <w:r>
        <w:instrText xml:space="preserve"> HYPERLINK \l "_Toc22739" </w:instrText>
      </w:r>
      <w:r>
        <w:fldChar w:fldCharType="separate"/>
      </w:r>
      <w:r>
        <w:rPr>
          <w:rFonts w:hint="eastAsia" w:ascii="黑体" w:hAnsi="黑体" w:eastAsia="黑体" w:cs="黑体"/>
          <w:szCs w:val="32"/>
        </w:rPr>
        <w:t>九、其他规定</w:t>
      </w:r>
      <w:r>
        <w:tab/>
      </w:r>
      <w:r>
        <w:fldChar w:fldCharType="begin"/>
      </w:r>
      <w:r>
        <w:instrText xml:space="preserve"> PAGEREF _Toc22739 \h </w:instrText>
      </w:r>
      <w:r>
        <w:fldChar w:fldCharType="separate"/>
      </w:r>
      <w:r>
        <w:t>22</w:t>
      </w:r>
      <w:r>
        <w:fldChar w:fldCharType="end"/>
      </w:r>
      <w:r>
        <w:fldChar w:fldCharType="end"/>
      </w:r>
    </w:p>
    <w:p w14:paraId="7D09084A">
      <w:pPr>
        <w:pStyle w:val="8"/>
        <w:tabs>
          <w:tab w:val="right" w:leader="dot" w:pos="8958"/>
        </w:tabs>
        <w:spacing w:line="380" w:lineRule="exact"/>
      </w:pPr>
      <w:r>
        <w:fldChar w:fldCharType="begin"/>
      </w:r>
      <w:r>
        <w:instrText xml:space="preserve"> HYPERLINK \l "_Toc25686" </w:instrText>
      </w:r>
      <w:r>
        <w:fldChar w:fldCharType="separate"/>
      </w:r>
      <w:r>
        <w:rPr>
          <w:rFonts w:hint="eastAsia" w:ascii="楷体_GB2312" w:hAnsi="楷体_GB2312" w:eastAsia="楷体_GB2312" w:cs="楷体_GB2312"/>
        </w:rPr>
        <w:t>32.代理服务费</w:t>
      </w:r>
      <w:r>
        <w:tab/>
      </w:r>
      <w:r>
        <w:fldChar w:fldCharType="begin"/>
      </w:r>
      <w:r>
        <w:instrText xml:space="preserve"> PAGEREF _Toc25686 \h </w:instrText>
      </w:r>
      <w:r>
        <w:fldChar w:fldCharType="separate"/>
      </w:r>
      <w:r>
        <w:t>22</w:t>
      </w:r>
      <w:r>
        <w:fldChar w:fldCharType="end"/>
      </w:r>
      <w:r>
        <w:fldChar w:fldCharType="end"/>
      </w:r>
    </w:p>
    <w:p w14:paraId="676C4B36">
      <w:pPr>
        <w:pStyle w:val="8"/>
        <w:tabs>
          <w:tab w:val="right" w:leader="dot" w:pos="8958"/>
        </w:tabs>
        <w:spacing w:line="380" w:lineRule="exact"/>
      </w:pPr>
      <w:r>
        <w:fldChar w:fldCharType="begin"/>
      </w:r>
      <w:r>
        <w:instrText xml:space="preserve"> HYPERLINK \l "_Toc31926" </w:instrText>
      </w:r>
      <w:r>
        <w:fldChar w:fldCharType="separate"/>
      </w:r>
      <w:r>
        <w:rPr>
          <w:rFonts w:hint="eastAsia" w:ascii="楷体_GB2312" w:hAnsi="楷体_GB2312" w:eastAsia="楷体_GB2312" w:cs="楷体_GB2312"/>
        </w:rPr>
        <w:t>33.其他规定</w:t>
      </w:r>
      <w:r>
        <w:tab/>
      </w:r>
      <w:r>
        <w:fldChar w:fldCharType="begin"/>
      </w:r>
      <w:r>
        <w:instrText xml:space="preserve"> PAGEREF _Toc31926 \h </w:instrText>
      </w:r>
      <w:r>
        <w:fldChar w:fldCharType="separate"/>
      </w:r>
      <w:r>
        <w:t>22</w:t>
      </w:r>
      <w:r>
        <w:fldChar w:fldCharType="end"/>
      </w:r>
      <w:r>
        <w:fldChar w:fldCharType="end"/>
      </w:r>
    </w:p>
    <w:p w14:paraId="69E491A6">
      <w:pPr>
        <w:pStyle w:val="13"/>
        <w:tabs>
          <w:tab w:val="right" w:leader="dot" w:pos="8958"/>
        </w:tabs>
        <w:spacing w:line="380" w:lineRule="exact"/>
      </w:pPr>
      <w:r>
        <w:fldChar w:fldCharType="begin"/>
      </w:r>
      <w:r>
        <w:instrText xml:space="preserve"> HYPERLINK \l "_Toc4238" </w:instrText>
      </w:r>
      <w:r>
        <w:fldChar w:fldCharType="separate"/>
      </w:r>
      <w:r>
        <w:rPr>
          <w:rFonts w:hint="eastAsia" w:ascii="华文中宋" w:hAnsi="华文中宋" w:eastAsia="华文中宋" w:cs="华文中宋"/>
          <w:szCs w:val="44"/>
        </w:rPr>
        <w:t>第三部分 采购需求</w:t>
      </w:r>
      <w:r>
        <w:tab/>
      </w:r>
      <w:r>
        <w:fldChar w:fldCharType="begin"/>
      </w:r>
      <w:r>
        <w:instrText xml:space="preserve"> PAGEREF _Toc4238 \h </w:instrText>
      </w:r>
      <w:r>
        <w:fldChar w:fldCharType="separate"/>
      </w:r>
      <w:r>
        <w:t>23</w:t>
      </w:r>
      <w:r>
        <w:fldChar w:fldCharType="end"/>
      </w:r>
      <w:r>
        <w:fldChar w:fldCharType="end"/>
      </w:r>
    </w:p>
    <w:p w14:paraId="132EF821">
      <w:pPr>
        <w:pStyle w:val="13"/>
        <w:tabs>
          <w:tab w:val="right" w:leader="dot" w:pos="8958"/>
        </w:tabs>
        <w:spacing w:line="380" w:lineRule="exact"/>
        <w:rPr>
          <w:rFonts w:hint="eastAsia" w:eastAsia="宋体"/>
          <w:lang w:val="en-US" w:eastAsia="zh-CN"/>
        </w:rPr>
      </w:pPr>
      <w:r>
        <w:fldChar w:fldCharType="begin"/>
      </w:r>
      <w:r>
        <w:instrText xml:space="preserve"> HYPERLINK \l "_Toc4238" </w:instrText>
      </w:r>
      <w:r>
        <w:fldChar w:fldCharType="separate"/>
      </w:r>
      <w:r>
        <w:rPr>
          <w:rFonts w:hint="eastAsia" w:ascii="华文中宋" w:hAnsi="华文中宋" w:eastAsia="华文中宋" w:cs="华文中宋"/>
          <w:szCs w:val="44"/>
        </w:rPr>
        <w:t>第四部分 谈判响应文件格式</w:t>
      </w:r>
      <w:r>
        <w:tab/>
      </w:r>
      <w:r>
        <w:rPr>
          <w:rFonts w:hint="eastAsia"/>
          <w:lang w:val="en-US" w:eastAsia="zh-CN"/>
        </w:rPr>
        <w:t>2</w:t>
      </w:r>
      <w:r>
        <w:fldChar w:fldCharType="end"/>
      </w:r>
      <w:r>
        <w:rPr>
          <w:rFonts w:hint="eastAsia"/>
          <w:lang w:val="en-US" w:eastAsia="zh-CN"/>
        </w:rPr>
        <w:t>4</w:t>
      </w:r>
    </w:p>
    <w:p w14:paraId="7D8F6C98">
      <w:pPr>
        <w:pStyle w:val="14"/>
        <w:tabs>
          <w:tab w:val="right" w:leader="dot" w:pos="8958"/>
        </w:tabs>
        <w:spacing w:line="380" w:lineRule="exact"/>
      </w:pPr>
      <w:r>
        <w:fldChar w:fldCharType="begin"/>
      </w:r>
      <w:r>
        <w:instrText xml:space="preserve"> HYPERLINK \l "_Toc21773" </w:instrText>
      </w:r>
      <w:r>
        <w:fldChar w:fldCharType="separate"/>
      </w:r>
      <w:r>
        <w:rPr>
          <w:rFonts w:hint="eastAsia" w:ascii="黑体" w:hAnsi="黑体" w:eastAsia="黑体" w:cs="黑体"/>
          <w:szCs w:val="32"/>
        </w:rPr>
        <w:t>十、谈判响应文件的组成</w:t>
      </w:r>
      <w:r>
        <w:tab/>
      </w:r>
      <w:r>
        <w:fldChar w:fldCharType="begin"/>
      </w:r>
      <w:r>
        <w:instrText xml:space="preserve"> PAGEREF _Toc21773 \h </w:instrText>
      </w:r>
      <w:r>
        <w:fldChar w:fldCharType="separate"/>
      </w:r>
      <w:r>
        <w:t>24</w:t>
      </w:r>
      <w:r>
        <w:fldChar w:fldCharType="end"/>
      </w:r>
      <w:r>
        <w:fldChar w:fldCharType="end"/>
      </w:r>
    </w:p>
    <w:p w14:paraId="09E1CE4A">
      <w:pPr>
        <w:pStyle w:val="8"/>
        <w:tabs>
          <w:tab w:val="right" w:leader="dot" w:pos="8958"/>
        </w:tabs>
        <w:spacing w:line="380" w:lineRule="exact"/>
      </w:pPr>
      <w:r>
        <w:fldChar w:fldCharType="begin"/>
      </w:r>
      <w:r>
        <w:instrText xml:space="preserve"> HYPERLINK \l "_Toc688" </w:instrText>
      </w:r>
      <w:r>
        <w:fldChar w:fldCharType="separate"/>
      </w:r>
      <w:r>
        <w:rPr>
          <w:rFonts w:hint="eastAsia" w:ascii="楷体_GB2312" w:hAnsi="楷体_GB2312" w:eastAsia="楷体_GB2312" w:cs="楷体_GB2312"/>
          <w:bCs/>
          <w:szCs w:val="32"/>
          <w:lang w:val="zh-CN"/>
        </w:rPr>
        <w:t>（一）资格审查部分</w:t>
      </w:r>
      <w:r>
        <w:tab/>
      </w:r>
      <w:r>
        <w:fldChar w:fldCharType="begin"/>
      </w:r>
      <w:r>
        <w:instrText xml:space="preserve"> PAGEREF _Toc688 \h </w:instrText>
      </w:r>
      <w:r>
        <w:fldChar w:fldCharType="separate"/>
      </w:r>
      <w:r>
        <w:t>24</w:t>
      </w:r>
      <w:r>
        <w:fldChar w:fldCharType="end"/>
      </w:r>
      <w:r>
        <w:fldChar w:fldCharType="end"/>
      </w:r>
    </w:p>
    <w:p w14:paraId="598D09AA">
      <w:pPr>
        <w:pStyle w:val="8"/>
        <w:tabs>
          <w:tab w:val="right" w:leader="dot" w:pos="8958"/>
        </w:tabs>
        <w:spacing w:line="380" w:lineRule="exact"/>
      </w:pPr>
      <w:r>
        <w:fldChar w:fldCharType="begin"/>
      </w:r>
      <w:r>
        <w:instrText xml:space="preserve"> HYPERLINK \l "_Toc22228" </w:instrText>
      </w:r>
      <w:r>
        <w:fldChar w:fldCharType="separate"/>
      </w:r>
      <w:r>
        <w:rPr>
          <w:rFonts w:hint="eastAsia" w:ascii="楷体_GB2312" w:hAnsi="楷体_GB2312" w:eastAsia="楷体_GB2312" w:cs="楷体_GB2312"/>
          <w:bCs/>
          <w:szCs w:val="32"/>
          <w:lang w:val="zh-CN"/>
        </w:rPr>
        <w:t>（二）有效性、完整性、响应程度审查部分</w:t>
      </w:r>
      <w:r>
        <w:tab/>
      </w:r>
      <w:r>
        <w:fldChar w:fldCharType="begin"/>
      </w:r>
      <w:r>
        <w:instrText xml:space="preserve"> PAGEREF _Toc22228 \h </w:instrText>
      </w:r>
      <w:r>
        <w:fldChar w:fldCharType="separate"/>
      </w:r>
      <w:r>
        <w:t>24</w:t>
      </w:r>
      <w:r>
        <w:fldChar w:fldCharType="end"/>
      </w:r>
      <w:r>
        <w:fldChar w:fldCharType="end"/>
      </w:r>
    </w:p>
    <w:p w14:paraId="5B320CBA">
      <w:pPr>
        <w:pStyle w:val="14"/>
        <w:tabs>
          <w:tab w:val="right" w:leader="dot" w:pos="8958"/>
        </w:tabs>
        <w:spacing w:line="380" w:lineRule="exact"/>
      </w:pPr>
      <w:r>
        <w:fldChar w:fldCharType="begin"/>
      </w:r>
      <w:r>
        <w:instrText xml:space="preserve"> HYPERLINK \l "_Toc6128" </w:instrText>
      </w:r>
      <w:r>
        <w:fldChar w:fldCharType="separate"/>
      </w:r>
      <w:r>
        <w:rPr>
          <w:rFonts w:hint="eastAsia" w:ascii="黑体" w:hAnsi="黑体" w:eastAsia="黑体" w:cs="黑体"/>
          <w:szCs w:val="32"/>
        </w:rPr>
        <w:t>十一、谈判响应文件</w:t>
      </w:r>
      <w:r>
        <w:tab/>
      </w:r>
      <w:r>
        <w:fldChar w:fldCharType="begin"/>
      </w:r>
      <w:r>
        <w:instrText xml:space="preserve"> PAGEREF _Toc6128 \h </w:instrText>
      </w:r>
      <w:r>
        <w:fldChar w:fldCharType="separate"/>
      </w:r>
      <w:r>
        <w:t>25</w:t>
      </w:r>
      <w:r>
        <w:fldChar w:fldCharType="end"/>
      </w:r>
      <w:r>
        <w:fldChar w:fldCharType="end"/>
      </w:r>
    </w:p>
    <w:p w14:paraId="72C3B68F">
      <w:pPr>
        <w:pStyle w:val="8"/>
        <w:tabs>
          <w:tab w:val="right" w:leader="dot" w:pos="8958"/>
        </w:tabs>
        <w:spacing w:line="380" w:lineRule="exact"/>
      </w:pPr>
      <w:r>
        <w:fldChar w:fldCharType="begin"/>
      </w:r>
      <w:r>
        <w:instrText xml:space="preserve"> HYPERLINK \l "_Toc24053" </w:instrText>
      </w:r>
      <w:r>
        <w:fldChar w:fldCharType="separate"/>
      </w:r>
      <w:r>
        <w:rPr>
          <w:rFonts w:hint="eastAsia" w:ascii="楷体_GB2312" w:hAnsi="楷体_GB2312" w:eastAsia="楷体_GB2312" w:cs="楷体_GB2312"/>
          <w:szCs w:val="32"/>
        </w:rPr>
        <w:t>附件1：响应函</w:t>
      </w:r>
      <w:r>
        <w:tab/>
      </w:r>
      <w:r>
        <w:fldChar w:fldCharType="begin"/>
      </w:r>
      <w:r>
        <w:instrText xml:space="preserve"> PAGEREF _Toc24053 \h </w:instrText>
      </w:r>
      <w:r>
        <w:fldChar w:fldCharType="separate"/>
      </w:r>
      <w:r>
        <w:t>26</w:t>
      </w:r>
      <w:r>
        <w:fldChar w:fldCharType="end"/>
      </w:r>
      <w:r>
        <w:fldChar w:fldCharType="end"/>
      </w:r>
    </w:p>
    <w:p w14:paraId="1727AAED">
      <w:pPr>
        <w:pStyle w:val="8"/>
        <w:tabs>
          <w:tab w:val="right" w:leader="dot" w:pos="8958"/>
        </w:tabs>
        <w:spacing w:line="380" w:lineRule="exact"/>
      </w:pPr>
      <w:r>
        <w:fldChar w:fldCharType="begin"/>
      </w:r>
      <w:r>
        <w:instrText xml:space="preserve"> HYPERLINK \l "_Toc27148" </w:instrText>
      </w:r>
      <w:r>
        <w:fldChar w:fldCharType="separate"/>
      </w:r>
      <w:r>
        <w:rPr>
          <w:rFonts w:hint="eastAsia" w:ascii="楷体_GB2312" w:hAnsi="楷体_GB2312" w:eastAsia="楷体_GB2312" w:cs="楷体_GB2312"/>
          <w:szCs w:val="32"/>
        </w:rPr>
        <w:t>附件2：法定代表人证明书</w:t>
      </w:r>
      <w:r>
        <w:tab/>
      </w:r>
      <w:r>
        <w:fldChar w:fldCharType="begin"/>
      </w:r>
      <w:r>
        <w:instrText xml:space="preserve"> PAGEREF _Toc27148 \h </w:instrText>
      </w:r>
      <w:r>
        <w:fldChar w:fldCharType="separate"/>
      </w:r>
      <w:r>
        <w:t>27</w:t>
      </w:r>
      <w:r>
        <w:fldChar w:fldCharType="end"/>
      </w:r>
      <w:r>
        <w:fldChar w:fldCharType="end"/>
      </w:r>
    </w:p>
    <w:p w14:paraId="1972406C">
      <w:pPr>
        <w:pStyle w:val="8"/>
        <w:tabs>
          <w:tab w:val="right" w:leader="dot" w:pos="8958"/>
        </w:tabs>
        <w:spacing w:line="380" w:lineRule="exact"/>
      </w:pPr>
      <w:r>
        <w:fldChar w:fldCharType="begin"/>
      </w:r>
      <w:r>
        <w:instrText xml:space="preserve"> HYPERLINK \l "_Toc31941" </w:instrText>
      </w:r>
      <w:r>
        <w:fldChar w:fldCharType="separate"/>
      </w:r>
      <w:r>
        <w:rPr>
          <w:rFonts w:hint="eastAsia" w:ascii="楷体_GB2312" w:hAnsi="楷体_GB2312" w:eastAsia="楷体_GB2312" w:cs="楷体_GB2312"/>
          <w:szCs w:val="32"/>
        </w:rPr>
        <w:t>附件3：法定代表人授权书</w:t>
      </w:r>
      <w:r>
        <w:tab/>
      </w:r>
      <w:r>
        <w:fldChar w:fldCharType="begin"/>
      </w:r>
      <w:r>
        <w:instrText xml:space="preserve"> PAGEREF _Toc31941 \h </w:instrText>
      </w:r>
      <w:r>
        <w:fldChar w:fldCharType="separate"/>
      </w:r>
      <w:r>
        <w:t>28</w:t>
      </w:r>
      <w:r>
        <w:fldChar w:fldCharType="end"/>
      </w:r>
      <w:r>
        <w:fldChar w:fldCharType="end"/>
      </w:r>
    </w:p>
    <w:p w14:paraId="09F86F42">
      <w:pPr>
        <w:pStyle w:val="8"/>
        <w:tabs>
          <w:tab w:val="right" w:leader="dot" w:pos="8958"/>
        </w:tabs>
        <w:spacing w:line="380" w:lineRule="exact"/>
      </w:pPr>
      <w:r>
        <w:fldChar w:fldCharType="begin"/>
      </w:r>
      <w:r>
        <w:instrText xml:space="preserve"> HYPERLINK \l "_Toc27469" </w:instrText>
      </w:r>
      <w:r>
        <w:fldChar w:fldCharType="separate"/>
      </w:r>
      <w:r>
        <w:rPr>
          <w:rFonts w:hint="eastAsia" w:ascii="楷体_GB2312" w:hAnsi="楷体_GB2312" w:eastAsia="楷体_GB2312" w:cs="楷体_GB2312"/>
          <w:szCs w:val="32"/>
        </w:rPr>
        <w:t>附件4：供应商承诺函</w:t>
      </w:r>
      <w:r>
        <w:tab/>
      </w:r>
      <w:r>
        <w:fldChar w:fldCharType="begin"/>
      </w:r>
      <w:r>
        <w:instrText xml:space="preserve"> PAGEREF _Toc27469 \h </w:instrText>
      </w:r>
      <w:r>
        <w:fldChar w:fldCharType="separate"/>
      </w:r>
      <w:r>
        <w:t>29</w:t>
      </w:r>
      <w:r>
        <w:fldChar w:fldCharType="end"/>
      </w:r>
      <w:r>
        <w:fldChar w:fldCharType="end"/>
      </w:r>
    </w:p>
    <w:p w14:paraId="360A23BC">
      <w:pPr>
        <w:pStyle w:val="14"/>
        <w:tabs>
          <w:tab w:val="right" w:leader="dot" w:pos="8958"/>
        </w:tabs>
        <w:spacing w:line="380" w:lineRule="exact"/>
      </w:pPr>
      <w:r>
        <w:fldChar w:fldCharType="begin"/>
      </w:r>
      <w:r>
        <w:instrText xml:space="preserve"> HYPERLINK \l "_Toc2189" </w:instrText>
      </w:r>
      <w:r>
        <w:fldChar w:fldCharType="separate"/>
      </w:r>
      <w:r>
        <w:rPr>
          <w:rFonts w:hint="eastAsia" w:ascii="楷体_GB2312" w:hAnsi="楷体_GB2312" w:eastAsia="楷体_GB2312" w:cs="楷体_GB2312"/>
          <w:szCs w:val="32"/>
        </w:rPr>
        <w:t>附件5：供应商诚信承诺书</w:t>
      </w:r>
      <w:r>
        <w:tab/>
      </w:r>
      <w:r>
        <w:fldChar w:fldCharType="begin"/>
      </w:r>
      <w:r>
        <w:instrText xml:space="preserve"> PAGEREF _Toc2189 \h </w:instrText>
      </w:r>
      <w:r>
        <w:fldChar w:fldCharType="separate"/>
      </w:r>
      <w:r>
        <w:t>30</w:t>
      </w:r>
      <w:r>
        <w:fldChar w:fldCharType="end"/>
      </w:r>
      <w:r>
        <w:fldChar w:fldCharType="end"/>
      </w:r>
    </w:p>
    <w:p w14:paraId="75BEA09E">
      <w:pPr>
        <w:pStyle w:val="14"/>
        <w:tabs>
          <w:tab w:val="right" w:leader="dot" w:pos="8958"/>
        </w:tabs>
        <w:spacing w:line="380" w:lineRule="exact"/>
      </w:pPr>
      <w:r>
        <w:fldChar w:fldCharType="begin"/>
      </w:r>
      <w:r>
        <w:instrText xml:space="preserve"> HYPERLINK \l "_Toc8053" </w:instrText>
      </w:r>
      <w:r>
        <w:fldChar w:fldCharType="separate"/>
      </w:r>
      <w:r>
        <w:rPr>
          <w:rFonts w:hint="eastAsia" w:ascii="楷体_GB2312" w:hAnsi="楷体_GB2312" w:eastAsia="楷体_GB2312" w:cs="楷体_GB2312"/>
          <w:szCs w:val="32"/>
        </w:rPr>
        <w:t>附件6：供应商资格证明文件</w:t>
      </w:r>
      <w:r>
        <w:tab/>
      </w:r>
      <w:r>
        <w:fldChar w:fldCharType="begin"/>
      </w:r>
      <w:r>
        <w:instrText xml:space="preserve"> PAGEREF _Toc8053 \h </w:instrText>
      </w:r>
      <w:r>
        <w:fldChar w:fldCharType="separate"/>
      </w:r>
      <w:r>
        <w:t>31</w:t>
      </w:r>
      <w:r>
        <w:fldChar w:fldCharType="end"/>
      </w:r>
      <w:r>
        <w:fldChar w:fldCharType="end"/>
      </w:r>
    </w:p>
    <w:p w14:paraId="6E91C413">
      <w:pPr>
        <w:pStyle w:val="14"/>
        <w:tabs>
          <w:tab w:val="right" w:leader="dot" w:pos="8958"/>
        </w:tabs>
        <w:spacing w:line="380" w:lineRule="exact"/>
      </w:pPr>
      <w:r>
        <w:fldChar w:fldCharType="begin"/>
      </w:r>
      <w:r>
        <w:instrText xml:space="preserve"> HYPERLINK \l "_Toc21305" </w:instrText>
      </w:r>
      <w:r>
        <w:fldChar w:fldCharType="separate"/>
      </w:r>
      <w:r>
        <w:rPr>
          <w:rFonts w:hint="eastAsia" w:ascii="楷体_GB2312" w:hAnsi="楷体_GB2312" w:eastAsia="楷体_GB2312" w:cs="楷体_GB2312"/>
          <w:szCs w:val="32"/>
        </w:rPr>
        <w:t>附件7：财务状况、缴纳税收和社会保障资金证明</w:t>
      </w:r>
      <w:r>
        <w:tab/>
      </w:r>
      <w:r>
        <w:fldChar w:fldCharType="begin"/>
      </w:r>
      <w:r>
        <w:instrText xml:space="preserve"> PAGEREF _Toc21305 \h </w:instrText>
      </w:r>
      <w:r>
        <w:fldChar w:fldCharType="separate"/>
      </w:r>
      <w:r>
        <w:t>32</w:t>
      </w:r>
      <w:r>
        <w:fldChar w:fldCharType="end"/>
      </w:r>
      <w:r>
        <w:fldChar w:fldCharType="end"/>
      </w:r>
    </w:p>
    <w:p w14:paraId="07038987">
      <w:pPr>
        <w:pStyle w:val="14"/>
        <w:tabs>
          <w:tab w:val="right" w:leader="dot" w:pos="8958"/>
        </w:tabs>
        <w:spacing w:line="380" w:lineRule="exact"/>
      </w:pPr>
      <w:r>
        <w:fldChar w:fldCharType="begin"/>
      </w:r>
      <w:r>
        <w:instrText xml:space="preserve"> HYPERLINK \l "_Toc16678" </w:instrText>
      </w:r>
      <w:r>
        <w:fldChar w:fldCharType="separate"/>
      </w:r>
      <w:r>
        <w:rPr>
          <w:rFonts w:hint="eastAsia" w:ascii="楷体_GB2312" w:hAnsi="楷体_GB2312" w:eastAsia="楷体_GB2312" w:cs="楷体_GB2312"/>
          <w:szCs w:val="32"/>
        </w:rPr>
        <w:t>附件8：无重大违法记录声明</w:t>
      </w:r>
      <w:r>
        <w:tab/>
      </w:r>
      <w:r>
        <w:fldChar w:fldCharType="begin"/>
      </w:r>
      <w:r>
        <w:instrText xml:space="preserve"> PAGEREF _Toc16678 \h </w:instrText>
      </w:r>
      <w:r>
        <w:fldChar w:fldCharType="separate"/>
      </w:r>
      <w:r>
        <w:t>33</w:t>
      </w:r>
      <w:r>
        <w:fldChar w:fldCharType="end"/>
      </w:r>
      <w:r>
        <w:fldChar w:fldCharType="end"/>
      </w:r>
    </w:p>
    <w:p w14:paraId="5A0B037C">
      <w:pPr>
        <w:pStyle w:val="13"/>
        <w:tabs>
          <w:tab w:val="right" w:leader="dot" w:pos="8958"/>
        </w:tabs>
        <w:spacing w:line="380" w:lineRule="exact"/>
      </w:pPr>
      <w:r>
        <w:fldChar w:fldCharType="begin"/>
      </w:r>
      <w:r>
        <w:instrText xml:space="preserve"> HYPERLINK \l "_Toc17316" </w:instrText>
      </w:r>
      <w:r>
        <w:fldChar w:fldCharType="separate"/>
      </w:r>
      <w:r>
        <w:rPr>
          <w:rFonts w:hint="eastAsia" w:ascii="楷体_GB2312" w:hAnsi="楷体_GB2312" w:eastAsia="楷体_GB2312" w:cs="楷体_GB2312"/>
        </w:rPr>
        <w:t>附件9：谈判</w:t>
      </w:r>
      <w:r>
        <w:rPr>
          <w:rFonts w:hint="eastAsia" w:ascii="楷体_GB2312" w:hAnsi="楷体_GB2312" w:eastAsia="楷体_GB2312" w:cs="楷体_GB2312"/>
          <w:lang w:val="zh-CN"/>
        </w:rPr>
        <w:t>保证金证明</w:t>
      </w:r>
      <w:r>
        <w:tab/>
      </w:r>
      <w:r>
        <w:fldChar w:fldCharType="begin"/>
      </w:r>
      <w:r>
        <w:instrText xml:space="preserve"> PAGEREF _Toc17316 \h </w:instrText>
      </w:r>
      <w:r>
        <w:fldChar w:fldCharType="separate"/>
      </w:r>
      <w:r>
        <w:t>34</w:t>
      </w:r>
      <w:r>
        <w:fldChar w:fldCharType="end"/>
      </w:r>
      <w:r>
        <w:fldChar w:fldCharType="end"/>
      </w:r>
    </w:p>
    <w:p w14:paraId="16CCD3FF">
      <w:pPr>
        <w:pStyle w:val="14"/>
        <w:tabs>
          <w:tab w:val="right" w:leader="dot" w:pos="8958"/>
        </w:tabs>
        <w:spacing w:line="380" w:lineRule="exact"/>
      </w:pPr>
      <w:r>
        <w:fldChar w:fldCharType="begin"/>
      </w:r>
      <w:r>
        <w:instrText xml:space="preserve"> HYPERLINK \l "_Toc24461" </w:instrText>
      </w:r>
      <w:r>
        <w:fldChar w:fldCharType="separate"/>
      </w:r>
      <w:r>
        <w:rPr>
          <w:rFonts w:hint="eastAsia" w:ascii="楷体_GB2312" w:hAnsi="楷体_GB2312" w:eastAsia="楷体_GB2312" w:cs="楷体_GB2312"/>
          <w:szCs w:val="32"/>
        </w:rPr>
        <w:t>附件10：谈判首次报价表</w:t>
      </w:r>
      <w:r>
        <w:tab/>
      </w:r>
      <w:r>
        <w:fldChar w:fldCharType="begin"/>
      </w:r>
      <w:r>
        <w:instrText xml:space="preserve"> PAGEREF _Toc24461 \h </w:instrText>
      </w:r>
      <w:r>
        <w:fldChar w:fldCharType="separate"/>
      </w:r>
      <w:r>
        <w:t>36</w:t>
      </w:r>
      <w:r>
        <w:fldChar w:fldCharType="end"/>
      </w:r>
      <w:r>
        <w:fldChar w:fldCharType="end"/>
      </w:r>
    </w:p>
    <w:p w14:paraId="26796C9F">
      <w:pPr>
        <w:pStyle w:val="14"/>
        <w:tabs>
          <w:tab w:val="right" w:leader="dot" w:pos="8958"/>
        </w:tabs>
        <w:spacing w:line="380" w:lineRule="exact"/>
      </w:pPr>
      <w:r>
        <w:fldChar w:fldCharType="begin"/>
      </w:r>
      <w:r>
        <w:instrText xml:space="preserve"> HYPERLINK \l "_Toc18712" </w:instrText>
      </w:r>
      <w:r>
        <w:fldChar w:fldCharType="separate"/>
      </w:r>
      <w:r>
        <w:rPr>
          <w:rFonts w:hint="eastAsia" w:ascii="楷体_GB2312" w:hAnsi="楷体_GB2312" w:eastAsia="楷体_GB2312" w:cs="楷体_GB2312"/>
          <w:szCs w:val="32"/>
        </w:rPr>
        <w:t>附件11：分项报价表</w:t>
      </w:r>
      <w:r>
        <w:tab/>
      </w:r>
      <w:r>
        <w:fldChar w:fldCharType="begin"/>
      </w:r>
      <w:r>
        <w:instrText xml:space="preserve"> PAGEREF _Toc18712 \h </w:instrText>
      </w:r>
      <w:r>
        <w:fldChar w:fldCharType="separate"/>
      </w:r>
      <w:r>
        <w:t>37</w:t>
      </w:r>
      <w:r>
        <w:fldChar w:fldCharType="end"/>
      </w:r>
      <w:r>
        <w:fldChar w:fldCharType="end"/>
      </w:r>
    </w:p>
    <w:p w14:paraId="4E021820">
      <w:pPr>
        <w:pStyle w:val="14"/>
        <w:tabs>
          <w:tab w:val="right" w:leader="dot" w:pos="8958"/>
        </w:tabs>
        <w:spacing w:line="380" w:lineRule="exact"/>
      </w:pPr>
      <w:r>
        <w:fldChar w:fldCharType="begin"/>
      </w:r>
      <w:r>
        <w:instrText xml:space="preserve"> HYPERLINK \l "_Toc7764" </w:instrText>
      </w:r>
      <w:r>
        <w:fldChar w:fldCharType="separate"/>
      </w:r>
      <w:r>
        <w:rPr>
          <w:rFonts w:hint="eastAsia" w:ascii="楷体_GB2312" w:hAnsi="楷体_GB2312" w:eastAsia="楷体_GB2312" w:cs="楷体_GB2312"/>
          <w:szCs w:val="32"/>
        </w:rPr>
        <w:t>附件12：</w:t>
      </w:r>
      <w:r>
        <w:rPr>
          <w:rFonts w:hint="eastAsia" w:ascii="楷体_GB2312" w:hAnsi="楷体_GB2312" w:eastAsia="楷体_GB2312" w:cs="楷体_GB2312"/>
          <w:szCs w:val="32"/>
          <w:lang w:val="zh-CN"/>
        </w:rPr>
        <w:t>具备履行合同所必须的设备和专业技术能力证明</w:t>
      </w:r>
      <w:r>
        <w:tab/>
      </w:r>
      <w:r>
        <w:fldChar w:fldCharType="begin"/>
      </w:r>
      <w:r>
        <w:instrText xml:space="preserve"> PAGEREF _Toc7764 \h </w:instrText>
      </w:r>
      <w:r>
        <w:fldChar w:fldCharType="separate"/>
      </w:r>
      <w:r>
        <w:t>38</w:t>
      </w:r>
      <w:r>
        <w:fldChar w:fldCharType="end"/>
      </w:r>
      <w:r>
        <w:fldChar w:fldCharType="end"/>
      </w:r>
    </w:p>
    <w:p w14:paraId="7201AB33">
      <w:pPr>
        <w:pStyle w:val="14"/>
        <w:tabs>
          <w:tab w:val="right" w:leader="dot" w:pos="8958"/>
        </w:tabs>
        <w:spacing w:line="380" w:lineRule="exact"/>
      </w:pPr>
      <w:r>
        <w:fldChar w:fldCharType="begin"/>
      </w:r>
      <w:r>
        <w:instrText xml:space="preserve"> HYPERLINK \l "_Toc19450" </w:instrText>
      </w:r>
      <w:r>
        <w:fldChar w:fldCharType="separate"/>
      </w:r>
      <w:r>
        <w:rPr>
          <w:rFonts w:hint="eastAsia" w:ascii="楷体_GB2312" w:hAnsi="楷体_GB2312" w:eastAsia="楷体_GB2312" w:cs="楷体_GB2312"/>
          <w:szCs w:val="32"/>
        </w:rPr>
        <w:t>附件13：享受政府采购政策优惠的证明资料</w:t>
      </w:r>
      <w:r>
        <w:tab/>
      </w:r>
      <w:r>
        <w:fldChar w:fldCharType="begin"/>
      </w:r>
      <w:r>
        <w:instrText xml:space="preserve"> PAGEREF _Toc19450 \h </w:instrText>
      </w:r>
      <w:r>
        <w:fldChar w:fldCharType="separate"/>
      </w:r>
      <w:r>
        <w:t>39</w:t>
      </w:r>
      <w:r>
        <w:fldChar w:fldCharType="end"/>
      </w:r>
      <w:r>
        <w:fldChar w:fldCharType="end"/>
      </w:r>
    </w:p>
    <w:p w14:paraId="5C813DE4">
      <w:pPr>
        <w:pStyle w:val="14"/>
        <w:tabs>
          <w:tab w:val="right" w:leader="dot" w:pos="8958"/>
        </w:tabs>
        <w:spacing w:line="380" w:lineRule="exact"/>
      </w:pPr>
      <w:r>
        <w:fldChar w:fldCharType="begin"/>
      </w:r>
      <w:r>
        <w:instrText xml:space="preserve"> HYPERLINK \l "_Toc21028" </w:instrText>
      </w:r>
      <w:r>
        <w:fldChar w:fldCharType="separate"/>
      </w:r>
      <w:r>
        <w:rPr>
          <w:rFonts w:hint="eastAsia" w:ascii="楷体_GB2312" w:hAnsi="楷体_GB2312" w:eastAsia="楷体_GB2312" w:cs="楷体_GB2312"/>
          <w:szCs w:val="32"/>
        </w:rPr>
        <w:t>附件14：</w:t>
      </w:r>
      <w:r>
        <w:rPr>
          <w:rFonts w:hint="eastAsia" w:ascii="楷体_GB2312" w:hAnsi="楷体_GB2312" w:eastAsia="楷体_GB2312" w:cs="楷体_GB2312"/>
          <w:szCs w:val="32"/>
          <w:lang w:val="zh-CN"/>
        </w:rPr>
        <w:t>供应商认为在其他方面有必要说明的事项（格式自定）</w:t>
      </w:r>
      <w:r>
        <w:tab/>
      </w:r>
      <w:r>
        <w:fldChar w:fldCharType="begin"/>
      </w:r>
      <w:r>
        <w:instrText xml:space="preserve"> PAGEREF _Toc21028 \h </w:instrText>
      </w:r>
      <w:r>
        <w:fldChar w:fldCharType="separate"/>
      </w:r>
      <w:r>
        <w:t>42</w:t>
      </w:r>
      <w:r>
        <w:fldChar w:fldCharType="end"/>
      </w:r>
      <w:r>
        <w:fldChar w:fldCharType="end"/>
      </w:r>
    </w:p>
    <w:p w14:paraId="7E3BB32D">
      <w:pPr>
        <w:pStyle w:val="14"/>
        <w:tabs>
          <w:tab w:val="right" w:leader="dot" w:pos="8958"/>
        </w:tabs>
        <w:spacing w:line="380" w:lineRule="exact"/>
      </w:pPr>
      <w:r>
        <w:fldChar w:fldCharType="begin"/>
      </w:r>
      <w:r>
        <w:instrText xml:space="preserve"> HYPERLINK \l "_Toc3267" </w:instrText>
      </w:r>
      <w:r>
        <w:fldChar w:fldCharType="separate"/>
      </w:r>
      <w:r>
        <w:rPr>
          <w:rFonts w:hint="eastAsia" w:ascii="楷体_GB2312" w:hAnsi="楷体_GB2312" w:eastAsia="楷体_GB2312" w:cs="楷体_GB2312"/>
          <w:szCs w:val="32"/>
        </w:rPr>
        <w:t>附件15：最后报价表</w:t>
      </w:r>
      <w:r>
        <w:tab/>
      </w:r>
      <w:r>
        <w:fldChar w:fldCharType="begin"/>
      </w:r>
      <w:r>
        <w:instrText xml:space="preserve"> PAGEREF _Toc3267 \h </w:instrText>
      </w:r>
      <w:r>
        <w:fldChar w:fldCharType="separate"/>
      </w:r>
      <w:r>
        <w:t>43</w:t>
      </w:r>
      <w:r>
        <w:fldChar w:fldCharType="end"/>
      </w:r>
      <w:r>
        <w:fldChar w:fldCharType="end"/>
      </w:r>
    </w:p>
    <w:p w14:paraId="4E457363">
      <w:pPr>
        <w:pStyle w:val="13"/>
        <w:tabs>
          <w:tab w:val="right" w:leader="dot" w:pos="8958"/>
        </w:tabs>
        <w:spacing w:line="380" w:lineRule="exact"/>
        <w:rPr>
          <w:szCs w:val="24"/>
        </w:rPr>
      </w:pPr>
      <w:r>
        <w:fldChar w:fldCharType="begin"/>
      </w:r>
      <w:r>
        <w:instrText xml:space="preserve"> HYPERLINK \l "_Toc17985" </w:instrText>
      </w:r>
      <w:r>
        <w:fldChar w:fldCharType="separate"/>
      </w:r>
      <w:r>
        <w:rPr>
          <w:rFonts w:hint="eastAsia" w:ascii="华文中宋" w:hAnsi="华文中宋" w:eastAsia="华文中宋" w:cs="华文中宋"/>
          <w:szCs w:val="44"/>
        </w:rPr>
        <w:t>第五部分</w:t>
      </w:r>
      <w:r>
        <w:rPr>
          <w:rFonts w:hint="eastAsia" w:ascii="华文中宋" w:hAnsi="华文中宋" w:eastAsia="华文中宋" w:cs="华文中宋"/>
          <w:szCs w:val="44"/>
          <w:lang w:val="en-US" w:eastAsia="zh-CN"/>
        </w:rPr>
        <w:t xml:space="preserve"> </w:t>
      </w:r>
      <w:r>
        <w:rPr>
          <w:rFonts w:hint="eastAsia" w:ascii="华文中宋" w:hAnsi="华文中宋" w:eastAsia="华文中宋" w:cs="华文中宋"/>
          <w:szCs w:val="44"/>
        </w:rPr>
        <w:t>青海省政府采购项目合同书范本</w:t>
      </w:r>
      <w:r>
        <w:tab/>
      </w:r>
      <w:r>
        <w:fldChar w:fldCharType="begin"/>
      </w:r>
      <w:r>
        <w:instrText xml:space="preserve"> PAGEREF _Toc17985 \h </w:instrText>
      </w:r>
      <w:r>
        <w:fldChar w:fldCharType="separate"/>
      </w:r>
      <w:r>
        <w:t>44</w:t>
      </w:r>
      <w:r>
        <w:fldChar w:fldCharType="end"/>
      </w:r>
      <w:r>
        <w:fldChar w:fldCharType="end"/>
      </w:r>
      <w:r>
        <w:rPr>
          <w:szCs w:val="24"/>
        </w:rPr>
        <w:fldChar w:fldCharType="end"/>
      </w:r>
      <w:bookmarkStart w:id="0" w:name="_Toc27521"/>
    </w:p>
    <w:p w14:paraId="425EAE18">
      <w:pPr>
        <w:rPr>
          <w:rFonts w:hint="eastAsia"/>
          <w:lang w:val="en-US" w:eastAsia="zh-CN"/>
        </w:rPr>
      </w:pPr>
    </w:p>
    <w:p w14:paraId="3218C7A1">
      <w:pPr>
        <w:pStyle w:val="2"/>
        <w:keepNext/>
        <w:keepLines w:val="0"/>
        <w:pageBreakBefore w:val="0"/>
        <w:widowControl w:val="0"/>
        <w:numPr>
          <w:ilvl w:val="0"/>
          <w:numId w:val="0"/>
        </w:numPr>
        <w:kinsoku/>
        <w:wordWrap/>
        <w:overflowPunct/>
        <w:topLinePunct w:val="0"/>
        <w:autoSpaceDE/>
        <w:autoSpaceDN/>
        <w:bidi w:val="0"/>
        <w:adjustRightInd w:val="0"/>
        <w:snapToGrid w:val="0"/>
        <w:spacing w:before="156" w:beforeLines="50" w:line="500" w:lineRule="exact"/>
        <w:textAlignment w:val="auto"/>
        <w:rPr>
          <w:rFonts w:hint="eastAsia" w:ascii="华文中宋" w:hAnsi="华文中宋" w:eastAsia="华文中宋" w:cs="华文中宋"/>
          <w:b w:val="0"/>
          <w:bCs w:val="0"/>
          <w:sz w:val="36"/>
          <w:szCs w:val="36"/>
        </w:rPr>
        <w:sectPr>
          <w:pgSz w:w="11906" w:h="16838"/>
          <w:pgMar w:top="1984" w:right="1474" w:bottom="1871" w:left="1474" w:header="851" w:footer="992" w:gutter="0"/>
          <w:pgNumType w:fmt="decimal" w:start="1"/>
          <w:cols w:space="720" w:num="1"/>
          <w:docGrid w:type="lines" w:linePitch="312" w:charSpace="0"/>
        </w:sectPr>
      </w:pPr>
    </w:p>
    <w:p w14:paraId="03B03838">
      <w:pPr>
        <w:pStyle w:val="2"/>
        <w:keepNext/>
        <w:keepLines w:val="0"/>
        <w:pageBreakBefore w:val="0"/>
        <w:widowControl w:val="0"/>
        <w:numPr>
          <w:ilvl w:val="0"/>
          <w:numId w:val="0"/>
        </w:numPr>
        <w:kinsoku/>
        <w:wordWrap/>
        <w:overflowPunct/>
        <w:topLinePunct w:val="0"/>
        <w:autoSpaceDE/>
        <w:autoSpaceDN/>
        <w:bidi w:val="0"/>
        <w:adjustRightInd w:val="0"/>
        <w:snapToGrid w:val="0"/>
        <w:spacing w:before="156" w:beforeLines="50" w:line="500" w:lineRule="exact"/>
        <w:textAlignment w:val="auto"/>
        <w:rPr>
          <w:rFonts w:ascii="华文中宋" w:hAnsi="华文中宋" w:eastAsia="华文中宋" w:cs="仿宋_GB2312"/>
          <w:b w:val="0"/>
          <w:sz w:val="44"/>
          <w:szCs w:val="44"/>
        </w:rPr>
      </w:pPr>
      <w:r>
        <w:rPr>
          <w:rFonts w:hint="eastAsia" w:ascii="华文中宋" w:hAnsi="华文中宋" w:eastAsia="华文中宋" w:cs="华文中宋"/>
          <w:b w:val="0"/>
          <w:bCs w:val="0"/>
          <w:sz w:val="36"/>
          <w:szCs w:val="36"/>
        </w:rPr>
        <w:t>第</w:t>
      </w:r>
      <w:r>
        <w:rPr>
          <w:rFonts w:hint="eastAsia" w:ascii="华文中宋" w:hAnsi="华文中宋" w:eastAsia="华文中宋" w:cs="华文中宋"/>
          <w:b w:val="0"/>
          <w:bCs w:val="0"/>
          <w:sz w:val="36"/>
          <w:szCs w:val="36"/>
          <w:lang w:val="en-US" w:eastAsia="zh-CN"/>
        </w:rPr>
        <w:t>一</w:t>
      </w:r>
      <w:r>
        <w:rPr>
          <w:rFonts w:hint="eastAsia" w:ascii="华文中宋" w:hAnsi="华文中宋" w:eastAsia="华文中宋" w:cs="华文中宋"/>
          <w:b w:val="0"/>
          <w:bCs w:val="0"/>
          <w:sz w:val="36"/>
          <w:szCs w:val="36"/>
        </w:rPr>
        <w:t>部分  谈判邀请</w:t>
      </w:r>
      <w:bookmarkEnd w:id="0"/>
    </w:p>
    <w:p w14:paraId="6F75D064">
      <w:pPr>
        <w:jc w:val="center"/>
      </w:pPr>
    </w:p>
    <w:p w14:paraId="43F393B6">
      <w:pPr>
        <w:spacing w:line="590" w:lineRule="exact"/>
        <w:jc w:val="center"/>
        <w:rPr>
          <w:rFonts w:ascii="黑体" w:hAnsi="黑体" w:eastAsia="黑体"/>
          <w:color w:val="000000"/>
          <w:sz w:val="30"/>
          <w:szCs w:val="30"/>
        </w:rPr>
      </w:pPr>
      <w:r>
        <w:rPr>
          <w:rFonts w:hint="eastAsia" w:ascii="黑体" w:hAnsi="黑体" w:eastAsia="黑体"/>
          <w:color w:val="000000"/>
          <w:sz w:val="30"/>
          <w:szCs w:val="30"/>
        </w:rPr>
        <w:t>玉树市214国道沿线（新寨村至勒巴沟）生态环境综合整治项目</w:t>
      </w:r>
    </w:p>
    <w:p w14:paraId="1C9B8984">
      <w:pPr>
        <w:spacing w:line="460" w:lineRule="exact"/>
        <w:jc w:val="center"/>
        <w:rPr>
          <w:rFonts w:ascii="黑体" w:hAnsi="黑体" w:eastAsia="黑体"/>
          <w:color w:val="000000"/>
          <w:sz w:val="30"/>
          <w:szCs w:val="30"/>
        </w:rPr>
      </w:pPr>
      <w:r>
        <w:rPr>
          <w:rFonts w:hint="eastAsia" w:ascii="黑体" w:hAnsi="黑体" w:eastAsia="黑体"/>
          <w:color w:val="000000"/>
          <w:sz w:val="30"/>
          <w:szCs w:val="30"/>
        </w:rPr>
        <w:t>竞争性</w:t>
      </w:r>
      <w:r>
        <w:rPr>
          <w:rFonts w:hint="eastAsia" w:ascii="黑体" w:hAnsi="黑体" w:eastAsia="黑体"/>
          <w:color w:val="000000"/>
          <w:sz w:val="30"/>
          <w:szCs w:val="30"/>
          <w:lang w:val="en-US" w:eastAsia="zh-CN"/>
        </w:rPr>
        <w:t>谈判</w:t>
      </w:r>
      <w:r>
        <w:rPr>
          <w:rFonts w:hint="eastAsia" w:ascii="黑体" w:hAnsi="黑体" w:eastAsia="黑体"/>
          <w:color w:val="000000"/>
          <w:sz w:val="30"/>
          <w:szCs w:val="30"/>
        </w:rPr>
        <w:t>公告</w:t>
      </w:r>
    </w:p>
    <w:p w14:paraId="5CB1C322">
      <w:pPr>
        <w:jc w:val="left"/>
        <w:rPr>
          <w:rFonts w:ascii="黑体" w:hAnsi="黑体" w:eastAsia="黑体"/>
          <w:color w:val="000000"/>
          <w:sz w:val="32"/>
          <w:szCs w:val="32"/>
        </w:rPr>
      </w:pPr>
    </w:p>
    <w:p w14:paraId="54CF4376">
      <w:pPr>
        <w:spacing w:line="560" w:lineRule="exact"/>
        <w:rPr>
          <w:rFonts w:ascii="黑体" w:hAnsi="黑体" w:eastAsia="黑体"/>
          <w:color w:val="000000"/>
          <w:sz w:val="30"/>
          <w:szCs w:val="30"/>
        </w:rPr>
      </w:pPr>
      <w:r>
        <w:rPr>
          <w:rFonts w:hint="eastAsia" w:ascii="黑体" w:hAnsi="黑体" w:eastAsia="黑体"/>
          <w:color w:val="000000"/>
          <w:sz w:val="30"/>
          <w:szCs w:val="30"/>
        </w:rPr>
        <w:t>项目概况</w:t>
      </w:r>
    </w:p>
    <w:p w14:paraId="400EC0B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玉树市214国道沿线（新寨村至勒巴沟）生态环境综合整治项目的潜在供应商应通过政采云平台（https://www.zcygov.cn/）线上获取采购文件，并于</w:t>
      </w:r>
      <w:r>
        <w:rPr>
          <w:rFonts w:hint="eastAsia" w:ascii="宋体" w:hAnsi="宋体" w:eastAsia="宋体"/>
          <w:color w:val="000000"/>
          <w:sz w:val="24"/>
          <w:szCs w:val="24"/>
          <w:highlight w:val="none"/>
        </w:rPr>
        <w:t>202</w:t>
      </w:r>
      <w:r>
        <w:rPr>
          <w:rFonts w:hint="eastAsia" w:ascii="宋体" w:hAnsi="宋体" w:eastAsia="宋体"/>
          <w:color w:val="000000"/>
          <w:sz w:val="24"/>
          <w:szCs w:val="24"/>
          <w:highlight w:val="none"/>
          <w:lang w:val="en-US" w:eastAsia="zh-CN"/>
        </w:rPr>
        <w:t>4</w:t>
      </w:r>
      <w:r>
        <w:rPr>
          <w:rFonts w:hint="eastAsia" w:ascii="宋体" w:hAnsi="宋体" w:eastAsia="宋体"/>
          <w:color w:val="000000"/>
          <w:sz w:val="24"/>
          <w:szCs w:val="24"/>
          <w:highlight w:val="none"/>
        </w:rPr>
        <w:t>年0</w:t>
      </w:r>
      <w:r>
        <w:rPr>
          <w:rFonts w:hint="eastAsia" w:ascii="宋体" w:hAnsi="宋体" w:eastAsia="宋体"/>
          <w:color w:val="000000"/>
          <w:sz w:val="24"/>
          <w:szCs w:val="24"/>
          <w:highlight w:val="none"/>
          <w:lang w:val="en-US" w:eastAsia="zh-CN"/>
        </w:rPr>
        <w:t>8</w:t>
      </w:r>
      <w:r>
        <w:rPr>
          <w:rFonts w:hint="eastAsia" w:ascii="宋体" w:hAnsi="宋体" w:eastAsia="宋体"/>
          <w:color w:val="000000"/>
          <w:sz w:val="24"/>
          <w:szCs w:val="24"/>
          <w:highlight w:val="none"/>
        </w:rPr>
        <w:t>月</w:t>
      </w:r>
      <w:r>
        <w:rPr>
          <w:rFonts w:hint="eastAsia" w:ascii="宋体" w:hAnsi="宋体"/>
          <w:color w:val="000000"/>
          <w:sz w:val="24"/>
          <w:szCs w:val="24"/>
          <w:highlight w:val="none"/>
          <w:lang w:val="en-US" w:eastAsia="zh-CN"/>
        </w:rPr>
        <w:t>29</w:t>
      </w:r>
      <w:r>
        <w:rPr>
          <w:rFonts w:hint="eastAsia" w:ascii="宋体" w:hAnsi="宋体" w:eastAsia="宋体"/>
          <w:color w:val="000000"/>
          <w:sz w:val="24"/>
          <w:szCs w:val="24"/>
          <w:highlight w:val="none"/>
        </w:rPr>
        <w:t>日10:00</w:t>
      </w:r>
      <w:r>
        <w:rPr>
          <w:rFonts w:hint="eastAsia" w:ascii="宋体" w:hAnsi="宋体" w:eastAsia="宋体"/>
          <w:color w:val="000000"/>
          <w:sz w:val="24"/>
          <w:szCs w:val="24"/>
        </w:rPr>
        <w:t>（北京时间）前递交响应文件。</w:t>
      </w:r>
    </w:p>
    <w:p w14:paraId="370B5F23">
      <w:pPr>
        <w:spacing w:line="560" w:lineRule="exact"/>
        <w:rPr>
          <w:rFonts w:ascii="宋体" w:hAnsi="宋体" w:eastAsia="宋体"/>
          <w:b/>
          <w:color w:val="000000"/>
          <w:sz w:val="24"/>
          <w:szCs w:val="24"/>
        </w:rPr>
      </w:pPr>
      <w:r>
        <w:rPr>
          <w:rFonts w:hint="eastAsia" w:ascii="宋体" w:hAnsi="宋体" w:eastAsia="宋体"/>
          <w:b/>
          <w:color w:val="000000"/>
          <w:sz w:val="24"/>
          <w:szCs w:val="24"/>
        </w:rPr>
        <w:t>一、项目基本情况</w:t>
      </w:r>
    </w:p>
    <w:p w14:paraId="3625A0DA">
      <w:pPr>
        <w:spacing w:line="560" w:lineRule="exact"/>
        <w:ind w:firstLine="480" w:firstLineChars="200"/>
        <w:rPr>
          <w:rFonts w:hint="default" w:ascii="宋体" w:hAnsi="宋体" w:eastAsia="宋体"/>
          <w:color w:val="000000"/>
          <w:sz w:val="24"/>
          <w:szCs w:val="24"/>
          <w:lang w:val="en-US" w:eastAsia="zh-CN"/>
        </w:rPr>
      </w:pPr>
      <w:r>
        <w:rPr>
          <w:rFonts w:hint="eastAsia" w:ascii="宋体" w:hAnsi="宋体" w:eastAsia="宋体"/>
          <w:color w:val="000000"/>
          <w:sz w:val="24"/>
          <w:szCs w:val="24"/>
        </w:rPr>
        <w:t>项目编号：青海聚鑫竞谈（服务）2024-029</w:t>
      </w:r>
    </w:p>
    <w:p w14:paraId="64F9F0B9">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项目名称：玉树市214国道沿线（新寨村至勒巴沟）生态环境综合整治项目</w:t>
      </w:r>
    </w:p>
    <w:p w14:paraId="5EF9F9DD">
      <w:pPr>
        <w:spacing w:line="560" w:lineRule="exact"/>
        <w:ind w:firstLine="480" w:firstLineChars="200"/>
        <w:rPr>
          <w:rFonts w:hint="default" w:ascii="宋体" w:hAnsi="宋体" w:eastAsia="宋体"/>
          <w:color w:val="000000"/>
          <w:sz w:val="24"/>
          <w:szCs w:val="24"/>
          <w:lang w:val="en-US" w:eastAsia="zh-CN"/>
        </w:rPr>
      </w:pPr>
      <w:r>
        <w:rPr>
          <w:rFonts w:hint="eastAsia" w:ascii="宋体" w:hAnsi="宋体" w:eastAsia="宋体"/>
          <w:color w:val="000000"/>
          <w:sz w:val="24"/>
          <w:szCs w:val="24"/>
        </w:rPr>
        <w:t>预算金额（元）：</w:t>
      </w:r>
      <w:r>
        <w:rPr>
          <w:rFonts w:hint="eastAsia" w:ascii="宋体" w:hAnsi="宋体" w:eastAsia="宋体"/>
          <w:color w:val="000000"/>
          <w:sz w:val="24"/>
          <w:szCs w:val="24"/>
          <w:lang w:val="en-US" w:eastAsia="zh-CN"/>
        </w:rPr>
        <w:t>980000.00</w:t>
      </w:r>
    </w:p>
    <w:p w14:paraId="23704153">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最高限价（元）：979976.71</w:t>
      </w:r>
    </w:p>
    <w:p w14:paraId="0E8271AA">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采购需求：</w:t>
      </w:r>
    </w:p>
    <w:p w14:paraId="1565956A">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标项名称：玉树市214国道沿线（新寨村至勒巴沟）生态环境综合整治项目</w:t>
      </w:r>
    </w:p>
    <w:p w14:paraId="3C026EC7">
      <w:pPr>
        <w:spacing w:line="560" w:lineRule="exact"/>
        <w:ind w:firstLine="480" w:firstLineChars="200"/>
        <w:rPr>
          <w:rFonts w:ascii="宋体" w:hAnsi="宋体" w:eastAsia="宋体"/>
          <w:color w:val="000000"/>
          <w:sz w:val="24"/>
          <w:szCs w:val="24"/>
        </w:rPr>
      </w:pPr>
      <w:r>
        <w:rPr>
          <w:rFonts w:ascii="宋体" w:hAnsi="宋体" w:eastAsia="宋体"/>
          <w:color w:val="000000"/>
          <w:sz w:val="24"/>
          <w:szCs w:val="24"/>
        </w:rPr>
        <w:t>简要规格描述：</w:t>
      </w:r>
      <w:r>
        <w:rPr>
          <w:rFonts w:hint="eastAsia" w:ascii="宋体" w:hAnsi="宋体" w:eastAsia="宋体"/>
          <w:color w:val="000000"/>
          <w:sz w:val="24"/>
          <w:szCs w:val="24"/>
          <w:lang w:val="en-US" w:eastAsia="zh-CN"/>
        </w:rPr>
        <w:t>工程机械租赁</w:t>
      </w:r>
      <w:r>
        <w:rPr>
          <w:rFonts w:hint="eastAsia" w:ascii="宋体" w:hAnsi="宋体" w:eastAsia="宋体"/>
          <w:color w:val="000000"/>
          <w:sz w:val="24"/>
          <w:szCs w:val="24"/>
        </w:rPr>
        <w:t>。</w:t>
      </w:r>
      <w:r>
        <w:rPr>
          <w:rFonts w:ascii="宋体" w:hAnsi="宋体" w:eastAsia="宋体"/>
          <w:color w:val="000000"/>
          <w:sz w:val="24"/>
          <w:szCs w:val="24"/>
        </w:rPr>
        <w:t> </w:t>
      </w:r>
    </w:p>
    <w:p w14:paraId="214E5DB6">
      <w:pPr>
        <w:spacing w:line="560" w:lineRule="exact"/>
        <w:ind w:firstLine="480" w:firstLineChars="200"/>
        <w:rPr>
          <w:rFonts w:hint="default" w:ascii="宋体" w:hAnsi="宋体"/>
          <w:color w:val="000000"/>
          <w:sz w:val="24"/>
          <w:szCs w:val="24"/>
          <w:highlight w:val="yellow"/>
          <w:lang w:val="en-US" w:eastAsia="zh-CN"/>
        </w:rPr>
      </w:pPr>
      <w:r>
        <w:rPr>
          <w:rFonts w:hint="eastAsia" w:ascii="宋体" w:hAnsi="宋体" w:eastAsia="宋体"/>
          <w:color w:val="000000"/>
          <w:sz w:val="24"/>
          <w:szCs w:val="24"/>
        </w:rPr>
        <w:t>合同</w:t>
      </w:r>
      <w:r>
        <w:rPr>
          <w:rFonts w:hint="eastAsia" w:ascii="宋体" w:hAnsi="宋体" w:eastAsia="宋体"/>
          <w:color w:val="000000"/>
          <w:sz w:val="24"/>
          <w:szCs w:val="24"/>
          <w:highlight w:val="none"/>
        </w:rPr>
        <w:t>履约期限：</w:t>
      </w:r>
      <w:r>
        <w:rPr>
          <w:rFonts w:hint="eastAsia" w:ascii="宋体" w:hAnsi="宋体"/>
          <w:color w:val="000000"/>
          <w:sz w:val="24"/>
          <w:szCs w:val="24"/>
          <w:highlight w:val="none"/>
          <w:lang w:val="en-US" w:eastAsia="zh-CN"/>
        </w:rPr>
        <w:t>3个月。</w:t>
      </w:r>
    </w:p>
    <w:p w14:paraId="1DE0A20B">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本项目（否）接收联合体投标</w:t>
      </w:r>
    </w:p>
    <w:p w14:paraId="5B4FC51D">
      <w:pPr>
        <w:spacing w:line="560" w:lineRule="exact"/>
        <w:rPr>
          <w:rFonts w:ascii="宋体" w:hAnsi="宋体" w:eastAsia="宋体"/>
          <w:b/>
          <w:color w:val="000000"/>
          <w:sz w:val="24"/>
          <w:szCs w:val="24"/>
        </w:rPr>
      </w:pPr>
      <w:r>
        <w:rPr>
          <w:rFonts w:hint="eastAsia" w:ascii="宋体" w:hAnsi="宋体" w:eastAsia="宋体"/>
          <w:b/>
          <w:color w:val="000000"/>
          <w:sz w:val="24"/>
          <w:szCs w:val="24"/>
        </w:rPr>
        <w:t>二、申请人的资格要求</w:t>
      </w:r>
    </w:p>
    <w:p w14:paraId="0CB27F8F">
      <w:pPr>
        <w:spacing w:line="56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本项目的特定资格要求：</w:t>
      </w:r>
    </w:p>
    <w:p w14:paraId="415C1480">
      <w:pPr>
        <w:spacing w:line="560" w:lineRule="exact"/>
        <w:ind w:firstLine="480" w:firstLineChars="200"/>
        <w:rPr>
          <w:rFonts w:ascii="宋体" w:hAnsi="宋体" w:eastAsia="宋体"/>
          <w:sz w:val="24"/>
          <w:szCs w:val="24"/>
        </w:rPr>
      </w:pPr>
      <w:r>
        <w:rPr>
          <w:rFonts w:hint="eastAsia" w:ascii="宋体" w:hAnsi="宋体" w:eastAsia="宋体"/>
          <w:sz w:val="24"/>
          <w:szCs w:val="24"/>
        </w:rPr>
        <w:t>（1）符合《政府采购法》第22条规定，并提供下列材料：</w:t>
      </w:r>
    </w:p>
    <w:p w14:paraId="7FADF8C7">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1）供应商的营业执照等证明文件，自然人的身份证明。</w:t>
      </w:r>
    </w:p>
    <w:p w14:paraId="5A7D6C09">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2）财务状况报告，依法缴纳税收和社会保障资金的相关材料。</w:t>
      </w:r>
    </w:p>
    <w:p w14:paraId="4C74ED0F">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3）具备履行合同所必需的设备和专业技术能力的证明材料。</w:t>
      </w:r>
    </w:p>
    <w:p w14:paraId="10F8B25C">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4）参加政府采购活动前3年内在经营活动中没有重大违法记录的书面声明。</w:t>
      </w:r>
    </w:p>
    <w:p w14:paraId="3B31F6B8">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5）具备法律、行政法规规定的其他条件的证明材料。</w:t>
      </w:r>
    </w:p>
    <w:p w14:paraId="0380BD38">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（2）单位负责人为同一人或者存在直接控股、管理关系的不同供应商，不得参加同一合同项下的政府采购活动。否则，皆取消投标资格。</w:t>
      </w:r>
      <w:r>
        <w:rPr>
          <w:rFonts w:ascii="宋体" w:hAnsi="宋体" w:eastAsia="宋体"/>
          <w:color w:val="000000"/>
          <w:sz w:val="24"/>
          <w:szCs w:val="24"/>
        </w:rPr>
        <w:t> </w:t>
      </w:r>
    </w:p>
    <w:p w14:paraId="71FC62AF">
      <w:pPr>
        <w:spacing w:line="56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3</w:t>
      </w:r>
      <w:r>
        <w:rPr>
          <w:rFonts w:hint="eastAsia" w:ascii="宋体" w:hAnsi="宋体" w:eastAsia="宋体"/>
          <w:color w:val="000000"/>
          <w:sz w:val="24"/>
          <w:szCs w:val="24"/>
          <w:lang w:eastAsia="zh-CN"/>
        </w:rPr>
        <w:t>）为本采购项目提供整体设计、规范编制或者项目管理、监理、检测等服务的投标人，不得再参加该采购项目的其他采购活动。</w:t>
      </w:r>
    </w:p>
    <w:p w14:paraId="39DDB710">
      <w:pPr>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4</w:t>
      </w:r>
      <w:r>
        <w:rPr>
          <w:rFonts w:hint="eastAsia" w:ascii="宋体" w:hAnsi="宋体" w:eastAsia="宋体"/>
          <w:color w:val="000000"/>
          <w:sz w:val="24"/>
          <w:szCs w:val="24"/>
          <w:lang w:eastAsia="zh-CN"/>
        </w:rPr>
        <w:t>）</w:t>
      </w:r>
      <w:r>
        <w:rPr>
          <w:rFonts w:hint="eastAsia" w:ascii="宋体" w:hAnsi="宋体" w:eastAsia="宋体"/>
          <w:color w:val="000000"/>
          <w:sz w:val="24"/>
          <w:szCs w:val="24"/>
        </w:rPr>
        <w:t>经信用中国（www.creditchina.gov.cn）、中国政府采购网（www.ccgp.gov.cn）渠道查询后，列入失信被执行人、重大税收违法失信主体、政府采购严重违法失信行为记录名单的，取消投标资格。（提供“信用中国”、《中国政府采购网》网站查询截图，时间为递交响应文件截止时间前20天内）。</w:t>
      </w:r>
    </w:p>
    <w:p w14:paraId="30CA401D">
      <w:pPr>
        <w:spacing w:line="560" w:lineRule="exact"/>
        <w:ind w:firstLine="480" w:firstLineChars="200"/>
        <w:rPr>
          <w:rFonts w:hint="default" w:ascii="宋体" w:hAnsi="宋体" w:eastAsia="宋体"/>
          <w:color w:val="000000"/>
          <w:sz w:val="24"/>
          <w:szCs w:val="24"/>
          <w:lang w:val="en-US" w:eastAsia="zh-CN"/>
        </w:rPr>
      </w:pPr>
      <w:r>
        <w:rPr>
          <w:rFonts w:hint="eastAsia" w:ascii="宋体" w:hAnsi="宋体"/>
          <w:color w:val="000000"/>
          <w:sz w:val="24"/>
          <w:szCs w:val="24"/>
          <w:lang w:eastAsia="zh-CN"/>
        </w:rPr>
        <w:t>（</w:t>
      </w:r>
      <w:r>
        <w:rPr>
          <w:rFonts w:hint="eastAsia" w:ascii="宋体" w:hAnsi="宋体"/>
          <w:color w:val="000000"/>
          <w:sz w:val="24"/>
          <w:szCs w:val="24"/>
          <w:lang w:val="en-US" w:eastAsia="zh-CN"/>
        </w:rPr>
        <w:t>5</w:t>
      </w:r>
      <w:r>
        <w:rPr>
          <w:rFonts w:hint="eastAsia" w:ascii="宋体" w:hAnsi="宋体"/>
          <w:color w:val="000000"/>
          <w:sz w:val="24"/>
          <w:szCs w:val="24"/>
          <w:lang w:eastAsia="zh-CN"/>
        </w:rPr>
        <w:t>）</w:t>
      </w:r>
      <w:r>
        <w:rPr>
          <w:rFonts w:hint="eastAsia" w:ascii="宋体" w:hAnsi="宋体"/>
          <w:color w:val="000000"/>
          <w:sz w:val="24"/>
          <w:szCs w:val="24"/>
          <w:lang w:val="en-US" w:eastAsia="zh-CN"/>
        </w:rPr>
        <w:t>本项目全部面向中小企业采购。</w:t>
      </w:r>
    </w:p>
    <w:p w14:paraId="26AA8642">
      <w:pPr>
        <w:spacing w:line="560" w:lineRule="exact"/>
        <w:rPr>
          <w:rFonts w:ascii="宋体" w:hAnsi="宋体" w:eastAsia="宋体"/>
          <w:b/>
          <w:color w:val="000000"/>
          <w:sz w:val="24"/>
          <w:szCs w:val="24"/>
        </w:rPr>
      </w:pPr>
      <w:r>
        <w:rPr>
          <w:rFonts w:hint="eastAsia" w:ascii="宋体" w:hAnsi="宋体" w:eastAsia="宋体"/>
          <w:b/>
          <w:bCs/>
          <w:color w:val="000000"/>
          <w:sz w:val="24"/>
          <w:szCs w:val="24"/>
        </w:rPr>
        <w:t>三</w:t>
      </w:r>
      <w:r>
        <w:rPr>
          <w:rFonts w:ascii="宋体" w:hAnsi="宋体" w:eastAsia="宋体"/>
          <w:b/>
          <w:bCs/>
          <w:color w:val="000000"/>
          <w:sz w:val="24"/>
          <w:szCs w:val="24"/>
        </w:rPr>
        <w:t>、</w:t>
      </w:r>
      <w:r>
        <w:rPr>
          <w:rFonts w:hint="eastAsia" w:ascii="宋体" w:hAnsi="宋体" w:eastAsia="宋体"/>
          <w:b/>
          <w:bCs/>
          <w:color w:val="000000"/>
          <w:sz w:val="24"/>
          <w:szCs w:val="24"/>
        </w:rPr>
        <w:t>获取采购文件</w:t>
      </w:r>
    </w:p>
    <w:p w14:paraId="2FBDEF15">
      <w:pPr>
        <w:spacing w:line="560" w:lineRule="exact"/>
        <w:ind w:firstLine="480" w:firstLineChars="200"/>
        <w:rPr>
          <w:rFonts w:ascii="宋体" w:hAnsi="宋体" w:eastAsia="宋体"/>
          <w:color w:val="000000"/>
          <w:sz w:val="24"/>
          <w:szCs w:val="24"/>
        </w:rPr>
      </w:pPr>
      <w:r>
        <w:rPr>
          <w:rFonts w:ascii="宋体" w:hAnsi="宋体" w:eastAsia="宋体"/>
          <w:color w:val="000000"/>
          <w:sz w:val="24"/>
          <w:szCs w:val="24"/>
        </w:rPr>
        <w:t>时间：</w:t>
      </w:r>
      <w:r>
        <w:rPr>
          <w:rFonts w:hint="eastAsia" w:ascii="宋体" w:hAnsi="宋体" w:eastAsia="宋体" w:cs="宋体"/>
          <w:color w:val="000000"/>
          <w:kern w:val="0"/>
          <w:sz w:val="24"/>
          <w:szCs w:val="24"/>
          <w:lang w:val="en-US" w:eastAsia="zh-CN" w:bidi="ar"/>
        </w:rPr>
        <w:t>2024年</w:t>
      </w:r>
      <w:r>
        <w:rPr>
          <w:rFonts w:hint="eastAsia" w:ascii="宋体" w:hAnsi="宋体" w:eastAsia="宋体"/>
          <w:color w:val="000000"/>
          <w:sz w:val="24"/>
          <w:szCs w:val="24"/>
          <w:lang w:val="en-US" w:eastAsia="zh-CN"/>
        </w:rPr>
        <w:t>08月2</w:t>
      </w:r>
      <w:r>
        <w:rPr>
          <w:rFonts w:hint="eastAsia" w:ascii="宋体" w:hAnsi="宋体"/>
          <w:color w:val="000000"/>
          <w:sz w:val="24"/>
          <w:szCs w:val="24"/>
          <w:lang w:val="en-US" w:eastAsia="zh-CN"/>
        </w:rPr>
        <w:t>6</w:t>
      </w:r>
      <w:r>
        <w:rPr>
          <w:rFonts w:hint="eastAsia" w:ascii="宋体" w:hAnsi="宋体" w:eastAsia="宋体"/>
          <w:color w:val="000000"/>
          <w:sz w:val="24"/>
          <w:szCs w:val="24"/>
          <w:lang w:val="en-US" w:eastAsia="zh-CN"/>
        </w:rPr>
        <w:t>日00:00</w:t>
      </w:r>
      <w:r>
        <w:rPr>
          <w:rFonts w:hint="eastAsia" w:ascii="宋体" w:hAnsi="宋体" w:eastAsia="宋体" w:cs="宋体"/>
          <w:color w:val="000000"/>
          <w:kern w:val="0"/>
          <w:sz w:val="24"/>
          <w:szCs w:val="24"/>
          <w:lang w:val="en-US" w:eastAsia="zh-CN" w:bidi="ar"/>
        </w:rPr>
        <w:t>至2024年08月2</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日23:59</w:t>
      </w:r>
    </w:p>
    <w:p w14:paraId="0817E518">
      <w:pPr>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地点：供应商登录政采云平台（https://www.zcygov.cn/）在线获取。</w:t>
      </w:r>
    </w:p>
    <w:p w14:paraId="24633A36">
      <w:pPr>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方式：供应商登录政采云平台（https://www.zcygov.cn/）在线获取。</w:t>
      </w:r>
    </w:p>
    <w:p w14:paraId="0954D712">
      <w:pPr>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售价（元）：0元</w:t>
      </w:r>
    </w:p>
    <w:p w14:paraId="4F74399A">
      <w:pPr>
        <w:spacing w:line="560" w:lineRule="exact"/>
        <w:rPr>
          <w:rFonts w:ascii="宋体" w:hAnsi="宋体" w:eastAsia="宋体"/>
          <w:b/>
          <w:color w:val="000000"/>
          <w:sz w:val="24"/>
          <w:szCs w:val="24"/>
        </w:rPr>
      </w:pPr>
      <w:r>
        <w:rPr>
          <w:rFonts w:hint="eastAsia" w:ascii="宋体" w:hAnsi="宋体" w:eastAsia="宋体"/>
          <w:b/>
          <w:color w:val="000000"/>
          <w:sz w:val="24"/>
          <w:szCs w:val="24"/>
        </w:rPr>
        <w:t>四、响应文件提交</w:t>
      </w:r>
    </w:p>
    <w:p w14:paraId="77EEDD52">
      <w:pPr>
        <w:spacing w:line="560" w:lineRule="exact"/>
        <w:ind w:firstLine="480" w:firstLineChars="200"/>
        <w:rPr>
          <w:rFonts w:ascii="宋体" w:hAnsi="宋体" w:eastAsia="宋体"/>
          <w:color w:val="000000"/>
          <w:sz w:val="24"/>
          <w:szCs w:val="24"/>
          <w:highlight w:val="none"/>
        </w:rPr>
      </w:pPr>
      <w:r>
        <w:rPr>
          <w:rFonts w:hint="eastAsia" w:ascii="宋体" w:hAnsi="宋体" w:eastAsia="宋体"/>
          <w:color w:val="000000"/>
          <w:sz w:val="24"/>
          <w:szCs w:val="24"/>
          <w:highlight w:val="none"/>
        </w:rPr>
        <w:t>截止时间：202</w:t>
      </w:r>
      <w:r>
        <w:rPr>
          <w:rFonts w:hint="eastAsia" w:ascii="宋体" w:hAnsi="宋体" w:eastAsia="宋体"/>
          <w:color w:val="000000"/>
          <w:sz w:val="24"/>
          <w:szCs w:val="24"/>
          <w:highlight w:val="none"/>
          <w:lang w:val="en-US" w:eastAsia="zh-CN"/>
        </w:rPr>
        <w:t>4</w:t>
      </w:r>
      <w:r>
        <w:rPr>
          <w:rFonts w:hint="eastAsia" w:ascii="宋体" w:hAnsi="宋体" w:eastAsia="宋体"/>
          <w:color w:val="000000"/>
          <w:sz w:val="24"/>
          <w:szCs w:val="24"/>
          <w:highlight w:val="none"/>
        </w:rPr>
        <w:t>年0</w:t>
      </w:r>
      <w:r>
        <w:rPr>
          <w:rFonts w:hint="eastAsia" w:ascii="宋体" w:hAnsi="宋体" w:eastAsia="宋体"/>
          <w:color w:val="000000"/>
          <w:sz w:val="24"/>
          <w:szCs w:val="24"/>
          <w:highlight w:val="none"/>
          <w:lang w:val="en-US" w:eastAsia="zh-CN"/>
        </w:rPr>
        <w:t>8</w:t>
      </w:r>
      <w:r>
        <w:rPr>
          <w:rFonts w:hint="eastAsia" w:ascii="宋体" w:hAnsi="宋体" w:eastAsia="宋体"/>
          <w:color w:val="000000"/>
          <w:sz w:val="24"/>
          <w:szCs w:val="24"/>
          <w:highlight w:val="none"/>
        </w:rPr>
        <w:t>月</w:t>
      </w:r>
      <w:r>
        <w:rPr>
          <w:rFonts w:hint="eastAsia" w:ascii="宋体" w:hAnsi="宋体"/>
          <w:color w:val="000000"/>
          <w:sz w:val="24"/>
          <w:szCs w:val="24"/>
          <w:highlight w:val="none"/>
          <w:lang w:val="en-US" w:eastAsia="zh-CN"/>
        </w:rPr>
        <w:t>29</w:t>
      </w:r>
      <w:r>
        <w:rPr>
          <w:rFonts w:hint="eastAsia" w:ascii="宋体" w:hAnsi="宋体" w:eastAsia="宋体"/>
          <w:color w:val="000000"/>
          <w:sz w:val="24"/>
          <w:szCs w:val="24"/>
          <w:highlight w:val="none"/>
        </w:rPr>
        <w:t>日 10:00（北京时间）</w:t>
      </w:r>
    </w:p>
    <w:p w14:paraId="28DDD80E">
      <w:pPr>
        <w:spacing w:line="560" w:lineRule="exact"/>
        <w:ind w:firstLine="480" w:firstLineChars="200"/>
        <w:rPr>
          <w:rFonts w:ascii="宋体" w:hAnsi="宋体" w:eastAsia="宋体"/>
          <w:color w:val="000000"/>
          <w:sz w:val="24"/>
          <w:szCs w:val="24"/>
          <w:highlight w:val="none"/>
        </w:rPr>
      </w:pPr>
      <w:r>
        <w:rPr>
          <w:rFonts w:hint="eastAsia" w:ascii="宋体" w:hAnsi="宋体" w:eastAsia="宋体"/>
          <w:color w:val="000000"/>
          <w:sz w:val="24"/>
          <w:szCs w:val="24"/>
          <w:highlight w:val="none"/>
        </w:rPr>
        <w:t>地点：供应商应在投标截止时间前按磋商文件要求使用政采云电子投标客户端制作上传电子磋商响应文件。</w:t>
      </w:r>
    </w:p>
    <w:p w14:paraId="55BE8140">
      <w:pPr>
        <w:spacing w:line="560" w:lineRule="exact"/>
        <w:rPr>
          <w:rFonts w:ascii="宋体" w:hAnsi="宋体" w:eastAsia="宋体"/>
          <w:b/>
          <w:color w:val="000000"/>
          <w:sz w:val="24"/>
          <w:szCs w:val="24"/>
          <w:highlight w:val="none"/>
        </w:rPr>
      </w:pPr>
      <w:r>
        <w:rPr>
          <w:rFonts w:hint="eastAsia" w:ascii="宋体" w:hAnsi="宋体" w:eastAsia="宋体"/>
          <w:b/>
          <w:color w:val="000000"/>
          <w:sz w:val="24"/>
          <w:szCs w:val="24"/>
          <w:highlight w:val="none"/>
        </w:rPr>
        <w:t>五、响应文件开启</w:t>
      </w:r>
    </w:p>
    <w:p w14:paraId="2B5C82E8">
      <w:pPr>
        <w:spacing w:line="560" w:lineRule="exact"/>
        <w:ind w:firstLine="480" w:firstLineChars="200"/>
        <w:rPr>
          <w:rFonts w:ascii="宋体" w:hAnsi="宋体" w:eastAsia="宋体"/>
          <w:color w:val="000000"/>
          <w:sz w:val="24"/>
          <w:szCs w:val="24"/>
          <w:highlight w:val="none"/>
        </w:rPr>
      </w:pPr>
      <w:r>
        <w:rPr>
          <w:rFonts w:hint="eastAsia" w:ascii="宋体" w:hAnsi="宋体" w:eastAsia="宋体"/>
          <w:color w:val="000000"/>
          <w:sz w:val="24"/>
          <w:szCs w:val="24"/>
          <w:highlight w:val="none"/>
        </w:rPr>
        <w:t>开启时间：202</w:t>
      </w:r>
      <w:r>
        <w:rPr>
          <w:rFonts w:hint="eastAsia" w:ascii="宋体" w:hAnsi="宋体" w:eastAsia="宋体"/>
          <w:color w:val="000000"/>
          <w:sz w:val="24"/>
          <w:szCs w:val="24"/>
          <w:highlight w:val="none"/>
          <w:lang w:val="en-US" w:eastAsia="zh-CN"/>
        </w:rPr>
        <w:t>4</w:t>
      </w:r>
      <w:r>
        <w:rPr>
          <w:rFonts w:hint="eastAsia" w:ascii="宋体" w:hAnsi="宋体" w:eastAsia="宋体"/>
          <w:color w:val="000000"/>
          <w:sz w:val="24"/>
          <w:szCs w:val="24"/>
          <w:highlight w:val="none"/>
        </w:rPr>
        <w:t>年0</w:t>
      </w:r>
      <w:r>
        <w:rPr>
          <w:rFonts w:hint="eastAsia" w:ascii="宋体" w:hAnsi="宋体" w:eastAsia="宋体"/>
          <w:color w:val="000000"/>
          <w:sz w:val="24"/>
          <w:szCs w:val="24"/>
          <w:highlight w:val="none"/>
          <w:lang w:val="en-US" w:eastAsia="zh-CN"/>
        </w:rPr>
        <w:t>8</w:t>
      </w:r>
      <w:r>
        <w:rPr>
          <w:rFonts w:hint="eastAsia" w:ascii="宋体" w:hAnsi="宋体" w:eastAsia="宋体"/>
          <w:color w:val="000000"/>
          <w:sz w:val="24"/>
          <w:szCs w:val="24"/>
          <w:highlight w:val="none"/>
        </w:rPr>
        <w:t>月</w:t>
      </w:r>
      <w:r>
        <w:rPr>
          <w:rFonts w:hint="eastAsia" w:ascii="宋体" w:hAnsi="宋体"/>
          <w:color w:val="000000"/>
          <w:sz w:val="24"/>
          <w:szCs w:val="24"/>
          <w:highlight w:val="none"/>
          <w:lang w:val="en-US" w:eastAsia="zh-CN"/>
        </w:rPr>
        <w:t>29</w:t>
      </w:r>
      <w:r>
        <w:rPr>
          <w:rFonts w:hint="eastAsia" w:ascii="宋体" w:hAnsi="宋体" w:eastAsia="宋体"/>
          <w:color w:val="000000"/>
          <w:sz w:val="24"/>
          <w:szCs w:val="24"/>
          <w:highlight w:val="none"/>
        </w:rPr>
        <w:t>日 10:00（北京时间）</w:t>
      </w:r>
    </w:p>
    <w:p w14:paraId="6AA0B3DF">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地点：</w:t>
      </w:r>
      <w:r>
        <w:rPr>
          <w:rFonts w:hint="eastAsia" w:ascii="宋体" w:hAnsi="宋体" w:eastAsia="宋体"/>
          <w:color w:val="000000"/>
          <w:sz w:val="24"/>
          <w:szCs w:val="24"/>
          <w:lang w:val="en-US" w:eastAsia="zh-CN"/>
        </w:rPr>
        <w:t>供应商</w:t>
      </w:r>
      <w:r>
        <w:rPr>
          <w:rFonts w:hint="eastAsia" w:ascii="宋体" w:hAnsi="宋体" w:eastAsia="宋体"/>
          <w:color w:val="000000"/>
          <w:sz w:val="24"/>
          <w:szCs w:val="24"/>
        </w:rPr>
        <w:t>应在投标截止时间前按磋商文件要求使用政采云电子投标客户端制作加密上传电子投标文件，并在开标后 30 分钟内远程解密投标文件。</w:t>
      </w:r>
    </w:p>
    <w:p w14:paraId="48616740">
      <w:pPr>
        <w:spacing w:line="560" w:lineRule="exact"/>
        <w:rPr>
          <w:rFonts w:ascii="宋体" w:hAnsi="宋体" w:eastAsia="宋体"/>
          <w:b/>
          <w:color w:val="000000"/>
          <w:sz w:val="24"/>
          <w:szCs w:val="24"/>
        </w:rPr>
      </w:pPr>
      <w:r>
        <w:rPr>
          <w:rFonts w:hint="eastAsia" w:ascii="宋体" w:hAnsi="宋体" w:eastAsia="宋体"/>
          <w:b/>
          <w:color w:val="000000"/>
          <w:sz w:val="24"/>
          <w:szCs w:val="24"/>
        </w:rPr>
        <w:t>六、公告期限</w:t>
      </w:r>
    </w:p>
    <w:p w14:paraId="603792A5">
      <w:pPr>
        <w:spacing w:line="560" w:lineRule="exact"/>
        <w:ind w:firstLine="480" w:firstLineChars="200"/>
        <w:rPr>
          <w:rFonts w:ascii="宋体" w:hAnsi="宋体" w:eastAsia="宋体"/>
          <w:bCs/>
          <w:color w:val="000000"/>
          <w:sz w:val="24"/>
          <w:szCs w:val="24"/>
        </w:rPr>
      </w:pPr>
      <w:r>
        <w:rPr>
          <w:rFonts w:hint="eastAsia" w:ascii="宋体" w:hAnsi="宋体" w:eastAsia="宋体"/>
          <w:bCs/>
          <w:color w:val="000000"/>
          <w:sz w:val="24"/>
          <w:szCs w:val="24"/>
        </w:rPr>
        <w:t>自本公告发布次日起</w:t>
      </w:r>
      <w:r>
        <w:rPr>
          <w:rFonts w:hint="eastAsia" w:ascii="宋体" w:hAnsi="宋体" w:eastAsia="宋体"/>
          <w:bCs/>
          <w:color w:val="000000"/>
          <w:sz w:val="24"/>
          <w:szCs w:val="24"/>
          <w:lang w:val="en-US" w:eastAsia="zh-CN"/>
        </w:rPr>
        <w:t>3</w:t>
      </w:r>
      <w:r>
        <w:rPr>
          <w:rFonts w:hint="eastAsia" w:ascii="宋体" w:hAnsi="宋体" w:eastAsia="宋体"/>
          <w:bCs/>
          <w:color w:val="000000"/>
          <w:sz w:val="24"/>
          <w:szCs w:val="24"/>
        </w:rPr>
        <w:t>个工作日</w:t>
      </w:r>
    </w:p>
    <w:p w14:paraId="3E292E55">
      <w:pPr>
        <w:spacing w:line="560" w:lineRule="exact"/>
        <w:rPr>
          <w:rFonts w:ascii="宋体" w:hAnsi="宋体" w:eastAsia="宋体"/>
          <w:b/>
          <w:color w:val="000000"/>
          <w:sz w:val="24"/>
          <w:szCs w:val="24"/>
        </w:rPr>
      </w:pPr>
      <w:r>
        <w:rPr>
          <w:rFonts w:hint="eastAsia" w:ascii="宋体" w:hAnsi="宋体" w:eastAsia="宋体"/>
          <w:b/>
          <w:color w:val="000000"/>
          <w:sz w:val="24"/>
          <w:szCs w:val="24"/>
        </w:rPr>
        <w:t>七、其他补充事宜</w:t>
      </w:r>
    </w:p>
    <w:p w14:paraId="05F0699D">
      <w:pPr>
        <w:spacing w:line="560" w:lineRule="exact"/>
        <w:ind w:firstLine="480" w:firstLineChars="200"/>
        <w:rPr>
          <w:rFonts w:ascii="宋体" w:hAnsi="宋体" w:eastAsia="宋体"/>
          <w:color w:val="000000"/>
          <w:sz w:val="24"/>
          <w:szCs w:val="24"/>
        </w:rPr>
      </w:pPr>
      <w:r>
        <w:rPr>
          <w:rFonts w:ascii="宋体" w:hAnsi="宋体" w:eastAsia="宋体"/>
          <w:color w:val="000000"/>
          <w:sz w:val="24"/>
          <w:szCs w:val="24"/>
        </w:rPr>
        <w:t>（1）本公告在《中国招标投标公共服务平台》、《青海政府采购网》、《青海省电子招标投标公共服务平台》同时发布。  </w:t>
      </w:r>
    </w:p>
    <w:p w14:paraId="4212829D">
      <w:pPr>
        <w:spacing w:line="560" w:lineRule="exact"/>
        <w:ind w:firstLine="480" w:firstLineChars="200"/>
        <w:rPr>
          <w:rFonts w:ascii="宋体" w:hAnsi="宋体" w:eastAsia="宋体"/>
          <w:color w:val="000000"/>
          <w:sz w:val="24"/>
          <w:szCs w:val="24"/>
        </w:rPr>
      </w:pPr>
      <w:r>
        <w:rPr>
          <w:rFonts w:ascii="宋体" w:hAnsi="宋体" w:eastAsia="宋体"/>
          <w:color w:val="000000"/>
          <w:sz w:val="24"/>
          <w:szCs w:val="24"/>
        </w:rPr>
        <w:t>（</w:t>
      </w:r>
      <w:r>
        <w:rPr>
          <w:rFonts w:hint="eastAsia" w:ascii="宋体" w:hAnsi="宋体" w:eastAsia="宋体"/>
          <w:color w:val="000000"/>
          <w:sz w:val="24"/>
          <w:szCs w:val="24"/>
        </w:rPr>
        <w:t>2</w:t>
      </w:r>
      <w:r>
        <w:rPr>
          <w:rFonts w:ascii="宋体" w:hAnsi="宋体" w:eastAsia="宋体"/>
          <w:color w:val="000000"/>
          <w:sz w:val="24"/>
          <w:szCs w:val="24"/>
        </w:rPr>
        <w:t>）公告内容以青海政府采购网发布的为准。</w:t>
      </w:r>
    </w:p>
    <w:p w14:paraId="2EEFDA59">
      <w:pPr>
        <w:spacing w:line="560" w:lineRule="exact"/>
        <w:rPr>
          <w:rFonts w:ascii="宋体" w:hAnsi="宋体" w:eastAsia="宋体"/>
          <w:b/>
          <w:color w:val="000000"/>
          <w:sz w:val="24"/>
          <w:szCs w:val="24"/>
        </w:rPr>
      </w:pPr>
      <w:r>
        <w:rPr>
          <w:rFonts w:hint="eastAsia" w:ascii="宋体" w:hAnsi="宋体" w:eastAsia="宋体"/>
          <w:b/>
          <w:color w:val="000000"/>
          <w:sz w:val="24"/>
          <w:szCs w:val="24"/>
        </w:rPr>
        <w:t>八、对本次采购提出询问，请按以下方式联系</w:t>
      </w:r>
    </w:p>
    <w:p w14:paraId="39A10480">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1、采购人信息</w:t>
      </w:r>
    </w:p>
    <w:p w14:paraId="2A3A2D83">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名称：</w:t>
      </w:r>
      <w:r>
        <w:rPr>
          <w:rFonts w:hint="eastAsia" w:ascii="宋体" w:hAnsi="宋体" w:eastAsia="宋体"/>
          <w:color w:val="000000"/>
          <w:sz w:val="24"/>
          <w:lang w:val="en-US" w:eastAsia="zh-CN"/>
        </w:rPr>
        <w:t>玉树市综合执法局</w:t>
      </w:r>
    </w:p>
    <w:p w14:paraId="78062D26">
      <w:pPr>
        <w:spacing w:line="560" w:lineRule="exact"/>
        <w:ind w:left="479" w:leftChars="228" w:firstLine="0" w:firstLineChars="0"/>
        <w:rPr>
          <w:rFonts w:hint="eastAsia" w:ascii="宋体" w:hAnsi="宋体" w:eastAsia="宋体"/>
          <w:color w:val="000000"/>
          <w:sz w:val="24"/>
          <w:lang w:val="en-US" w:eastAsia="zh-CN"/>
        </w:rPr>
      </w:pPr>
      <w:r>
        <w:rPr>
          <w:rFonts w:hint="eastAsia" w:ascii="宋体" w:hAnsi="宋体" w:eastAsia="宋体"/>
          <w:color w:val="000000"/>
          <w:sz w:val="24"/>
          <w:lang w:val="en-US" w:eastAsia="zh-CN"/>
        </w:rPr>
        <w:t>地址：玉树市格萨都然巷39号</w:t>
      </w:r>
    </w:p>
    <w:p w14:paraId="40FD7979">
      <w:pPr>
        <w:spacing w:line="560" w:lineRule="exact"/>
        <w:ind w:left="479" w:leftChars="228" w:firstLine="0" w:firstLineChars="0"/>
        <w:rPr>
          <w:rFonts w:hint="eastAsia" w:ascii="宋体" w:hAnsi="宋体" w:eastAsia="宋体"/>
          <w:color w:val="000000"/>
          <w:sz w:val="24"/>
          <w:lang w:val="en-US" w:eastAsia="zh-CN"/>
        </w:rPr>
      </w:pPr>
      <w:r>
        <w:rPr>
          <w:rFonts w:hint="eastAsia" w:ascii="宋体" w:hAnsi="宋体" w:eastAsia="宋体"/>
          <w:color w:val="000000"/>
          <w:sz w:val="24"/>
          <w:lang w:val="en-US" w:eastAsia="zh-CN"/>
        </w:rPr>
        <w:t>项目联系人：江先生</w:t>
      </w:r>
    </w:p>
    <w:p w14:paraId="110DB341">
      <w:pPr>
        <w:spacing w:line="560" w:lineRule="exact"/>
        <w:ind w:left="479" w:leftChars="228" w:firstLine="0" w:firstLineChars="0"/>
        <w:rPr>
          <w:rFonts w:ascii="宋体" w:hAnsi="宋体" w:eastAsia="宋体"/>
          <w:color w:val="000000"/>
          <w:sz w:val="24"/>
          <w:szCs w:val="24"/>
        </w:rPr>
      </w:pPr>
      <w:r>
        <w:rPr>
          <w:rFonts w:hint="eastAsia" w:ascii="宋体" w:hAnsi="宋体" w:eastAsia="宋体"/>
          <w:color w:val="000000"/>
          <w:sz w:val="24"/>
          <w:lang w:val="en-US" w:eastAsia="zh-CN"/>
        </w:rPr>
        <w:t>项目联系电话：0976-8822125</w:t>
      </w:r>
    </w:p>
    <w:p w14:paraId="0BD8E716">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2、采购代理机构信息</w:t>
      </w:r>
    </w:p>
    <w:p w14:paraId="2DBCF914">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名称：青海聚鑫工程管理有限公司</w:t>
      </w:r>
    </w:p>
    <w:p w14:paraId="1D992DDB">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地址：青海生物科技产业园纬</w:t>
      </w:r>
      <w:r>
        <w:rPr>
          <w:rFonts w:hint="eastAsia" w:ascii="宋体" w:hAnsi="宋体" w:eastAsia="宋体"/>
          <w:color w:val="000000"/>
          <w:sz w:val="24"/>
          <w:szCs w:val="24"/>
          <w:lang w:val="en-US" w:eastAsia="zh-CN"/>
        </w:rPr>
        <w:t>一</w:t>
      </w:r>
      <w:r>
        <w:rPr>
          <w:rFonts w:hint="eastAsia" w:ascii="宋体" w:hAnsi="宋体" w:eastAsia="宋体"/>
          <w:color w:val="000000"/>
          <w:sz w:val="24"/>
          <w:szCs w:val="24"/>
        </w:rPr>
        <w:t>路</w:t>
      </w:r>
      <w:r>
        <w:rPr>
          <w:rFonts w:hint="eastAsia" w:ascii="宋体" w:hAnsi="宋体" w:eastAsia="宋体"/>
          <w:color w:val="000000"/>
          <w:sz w:val="24"/>
          <w:szCs w:val="24"/>
          <w:lang w:val="en-US" w:eastAsia="zh-CN"/>
        </w:rPr>
        <w:t>24</w:t>
      </w:r>
      <w:r>
        <w:rPr>
          <w:rFonts w:hint="eastAsia" w:ascii="宋体" w:hAnsi="宋体" w:eastAsia="宋体"/>
          <w:color w:val="000000"/>
          <w:sz w:val="24"/>
          <w:szCs w:val="24"/>
        </w:rPr>
        <w:t>号</w:t>
      </w:r>
      <w:r>
        <w:rPr>
          <w:rFonts w:hint="eastAsia" w:ascii="宋体" w:hAnsi="宋体" w:eastAsia="宋体"/>
          <w:color w:val="000000"/>
          <w:sz w:val="24"/>
          <w:szCs w:val="24"/>
          <w:lang w:val="en-US" w:eastAsia="zh-CN"/>
        </w:rPr>
        <w:t>8号</w:t>
      </w:r>
      <w:r>
        <w:rPr>
          <w:rFonts w:hint="eastAsia" w:ascii="宋体" w:hAnsi="宋体" w:eastAsia="宋体"/>
          <w:color w:val="000000"/>
          <w:sz w:val="24"/>
          <w:szCs w:val="24"/>
        </w:rPr>
        <w:t>大楼1</w:t>
      </w:r>
      <w:r>
        <w:rPr>
          <w:rFonts w:hint="eastAsia" w:ascii="宋体" w:hAnsi="宋体" w:eastAsia="宋体"/>
          <w:color w:val="000000"/>
          <w:sz w:val="24"/>
          <w:szCs w:val="24"/>
          <w:lang w:val="en-US" w:eastAsia="zh-CN"/>
        </w:rPr>
        <w:t>1层1101</w:t>
      </w:r>
      <w:r>
        <w:rPr>
          <w:rFonts w:hint="eastAsia" w:ascii="宋体" w:hAnsi="宋体" w:eastAsia="宋体"/>
          <w:color w:val="000000"/>
          <w:sz w:val="24"/>
          <w:szCs w:val="24"/>
        </w:rPr>
        <w:t>室</w:t>
      </w:r>
    </w:p>
    <w:p w14:paraId="7D34B0B2">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项目联系人：马先生</w:t>
      </w:r>
    </w:p>
    <w:p w14:paraId="785B8126">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项目联系方式：</w:t>
      </w:r>
      <w:r>
        <w:rPr>
          <w:rFonts w:ascii="宋体" w:hAnsi="宋体" w:eastAsia="宋体"/>
          <w:color w:val="000000"/>
          <w:sz w:val="24"/>
          <w:szCs w:val="24"/>
        </w:rPr>
        <w:t>0971-8266981</w:t>
      </w:r>
    </w:p>
    <w:p w14:paraId="04D34D12">
      <w:pPr>
        <w:spacing w:line="460" w:lineRule="exact"/>
        <w:ind w:firstLine="480" w:firstLineChars="200"/>
        <w:jc w:val="left"/>
        <w:rPr>
          <w:rFonts w:ascii="宋体" w:hAnsi="宋体" w:eastAsia="宋体"/>
          <w:color w:val="000000"/>
          <w:sz w:val="24"/>
          <w:szCs w:val="24"/>
        </w:rPr>
      </w:pPr>
    </w:p>
    <w:p w14:paraId="636234F8">
      <w:pPr>
        <w:spacing w:line="460" w:lineRule="exact"/>
        <w:ind w:firstLine="480" w:firstLineChars="200"/>
        <w:jc w:val="center"/>
        <w:rPr>
          <w:rFonts w:ascii="宋体" w:hAnsi="宋体" w:eastAsia="宋体"/>
          <w:color w:val="000000"/>
          <w:sz w:val="24"/>
          <w:szCs w:val="24"/>
        </w:rPr>
      </w:pPr>
    </w:p>
    <w:p w14:paraId="7F92B491">
      <w:pPr>
        <w:keepNext w:val="0"/>
        <w:keepLines w:val="0"/>
        <w:widowControl w:val="0"/>
        <w:suppressLineNumbers w:val="0"/>
        <w:spacing w:before="0" w:beforeAutospacing="0" w:after="0" w:afterAutospacing="0" w:line="460" w:lineRule="exact"/>
        <w:ind w:left="0" w:right="0" w:firstLine="480" w:firstLineChars="200"/>
        <w:jc w:val="center"/>
        <w:rPr>
          <w:rFonts w:hint="eastAsia" w:ascii="宋体" w:hAnsi="宋体" w:eastAsia="宋体" w:cs="Times New Roman"/>
          <w:color w:val="000000"/>
          <w:kern w:val="2"/>
          <w:sz w:val="24"/>
          <w:szCs w:val="24"/>
        </w:rPr>
      </w:pP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20</w:t>
      </w:r>
      <w:r>
        <w:rPr>
          <w:rFonts w:hint="eastAsia" w:ascii="宋体" w:hAnsi="宋体" w:eastAsia="宋体"/>
          <w:color w:val="000000"/>
          <w:sz w:val="24"/>
          <w:szCs w:val="24"/>
        </w:rPr>
        <w:t>2</w:t>
      </w:r>
      <w:r>
        <w:rPr>
          <w:rFonts w:hint="eastAsia" w:ascii="宋体" w:hAnsi="宋体" w:eastAsia="宋体"/>
          <w:color w:val="000000"/>
          <w:sz w:val="24"/>
          <w:szCs w:val="24"/>
          <w:lang w:val="en-US" w:eastAsia="zh-CN"/>
        </w:rPr>
        <w:t>4</w:t>
      </w:r>
      <w:r>
        <w:rPr>
          <w:rFonts w:hint="eastAsia" w:ascii="宋体" w:hAnsi="宋体" w:eastAsia="宋体"/>
          <w:color w:val="000000"/>
          <w:sz w:val="24"/>
          <w:szCs w:val="24"/>
        </w:rPr>
        <w:t>年0</w:t>
      </w:r>
      <w:r>
        <w:rPr>
          <w:rFonts w:hint="eastAsia" w:ascii="宋体" w:hAnsi="宋体" w:eastAsia="宋体"/>
          <w:color w:val="000000"/>
          <w:sz w:val="24"/>
          <w:szCs w:val="24"/>
          <w:lang w:val="en-US" w:eastAsia="zh-CN"/>
        </w:rPr>
        <w:t>8</w:t>
      </w:r>
      <w:r>
        <w:rPr>
          <w:rFonts w:hint="eastAsia" w:ascii="宋体" w:hAnsi="宋体" w:eastAsia="宋体"/>
          <w:color w:val="000000"/>
          <w:sz w:val="24"/>
          <w:szCs w:val="24"/>
        </w:rPr>
        <w:t>月</w:t>
      </w:r>
      <w:r>
        <w:rPr>
          <w:rFonts w:hint="eastAsia" w:ascii="宋体" w:hAnsi="宋体"/>
          <w:color w:val="000000"/>
          <w:sz w:val="24"/>
          <w:szCs w:val="24"/>
          <w:lang w:val="en-US" w:eastAsia="zh-CN"/>
        </w:rPr>
        <w:t>24</w:t>
      </w:r>
      <w:r>
        <w:rPr>
          <w:rFonts w:hint="eastAsia" w:ascii="宋体" w:hAnsi="宋体" w:eastAsia="宋体"/>
          <w:color w:val="000000"/>
          <w:sz w:val="24"/>
          <w:szCs w:val="24"/>
        </w:rPr>
        <w:t>日</w:t>
      </w:r>
    </w:p>
    <w:p w14:paraId="1678C21A">
      <w:pPr>
        <w:jc w:val="center"/>
      </w:pPr>
    </w:p>
    <w:p w14:paraId="2B691993">
      <w:pPr>
        <w:jc w:val="center"/>
        <w:rPr>
          <w:rFonts w:hint="eastAsia" w:ascii="华文中宋" w:hAnsi="华文中宋" w:eastAsia="华文中宋" w:cs="华文中宋"/>
          <w:b w:val="0"/>
          <w:bCs w:val="0"/>
          <w:sz w:val="44"/>
          <w:szCs w:val="44"/>
        </w:rPr>
      </w:pPr>
      <w:bookmarkStart w:id="1" w:name="_Toc68"/>
      <w:bookmarkStart w:id="2" w:name="_Toc13430_WPSOffice_Level1"/>
      <w:bookmarkStart w:id="3" w:name="_Toc29348_WPSOffice_Level1"/>
      <w:bookmarkStart w:id="4" w:name="_Toc25918_WPSOffice_Level1"/>
      <w:bookmarkStart w:id="5" w:name="_Toc7063_WPSOffice_Level1"/>
      <w:bookmarkStart w:id="6" w:name="_Toc26774_WPSOffice_Level1"/>
      <w:bookmarkStart w:id="7" w:name="_Toc17554"/>
      <w:bookmarkStart w:id="8" w:name="_Toc19849"/>
      <w:bookmarkStart w:id="9" w:name="_Toc29806_WPSOffice_Level1"/>
      <w:r>
        <w:rPr>
          <w:rFonts w:hint="eastAsia" w:ascii="华文中宋" w:hAnsi="华文中宋" w:eastAsia="华文中宋" w:cs="华文中宋"/>
          <w:sz w:val="44"/>
          <w:szCs w:val="44"/>
        </w:rPr>
        <w:br w:type="page"/>
      </w:r>
      <w:bookmarkStart w:id="10" w:name="_Toc25367"/>
      <w:r>
        <w:rPr>
          <w:rFonts w:hint="eastAsia" w:ascii="华文中宋" w:hAnsi="华文中宋" w:eastAsia="华文中宋" w:cs="华文中宋"/>
          <w:b w:val="0"/>
          <w:bCs w:val="0"/>
          <w:sz w:val="36"/>
          <w:szCs w:val="36"/>
        </w:rPr>
        <w:t>第二部分  谈判须知</w:t>
      </w:r>
      <w:bookmarkEnd w:id="1"/>
      <w:bookmarkEnd w:id="2"/>
      <w:bookmarkEnd w:id="3"/>
      <w:bookmarkEnd w:id="4"/>
      <w:bookmarkEnd w:id="5"/>
      <w:bookmarkEnd w:id="6"/>
      <w:bookmarkEnd w:id="7"/>
      <w:bookmarkEnd w:id="8"/>
      <w:bookmarkEnd w:id="9"/>
      <w:r>
        <w:rPr>
          <w:rFonts w:hint="eastAsia" w:ascii="华文中宋" w:hAnsi="华文中宋" w:eastAsia="华文中宋" w:cs="华文中宋"/>
          <w:b w:val="0"/>
          <w:bCs w:val="0"/>
          <w:sz w:val="36"/>
          <w:szCs w:val="36"/>
        </w:rPr>
        <w:t>前附表及说明</w:t>
      </w:r>
      <w:bookmarkEnd w:id="10"/>
    </w:p>
    <w:p w14:paraId="3BAF74F8"/>
    <w:tbl>
      <w:tblPr>
        <w:tblStyle w:val="18"/>
        <w:tblW w:w="921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54"/>
        <w:gridCol w:w="6858"/>
      </w:tblGrid>
      <w:tr w14:paraId="66FB7D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2354" w:type="dxa"/>
            <w:tcBorders>
              <w:tl2br w:val="nil"/>
              <w:tr2bl w:val="nil"/>
            </w:tcBorders>
            <w:vAlign w:val="center"/>
          </w:tcPr>
          <w:p w14:paraId="6C46513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bookmarkStart w:id="11" w:name="_Toc7063_WPSOffice_Level2"/>
            <w:bookmarkStart w:id="12" w:name="_Toc9336"/>
            <w:bookmarkStart w:id="13" w:name="_Toc16562"/>
            <w:bookmarkStart w:id="14" w:name="_Toc34637765"/>
            <w:bookmarkStart w:id="15" w:name="_Toc29348_WPSOffice_Level2"/>
            <w:bookmarkStart w:id="16" w:name="_Toc27795"/>
            <w:bookmarkStart w:id="17" w:name="_Toc17019_WPSOffice_Level2"/>
            <w:r>
              <w:rPr>
                <w:rFonts w:hint="eastAsia" w:ascii="仿宋_GB2312" w:hAnsi="仿宋_GB2312" w:eastAsia="仿宋_GB2312" w:cs="仿宋_GB2312"/>
                <w:sz w:val="24"/>
                <w:szCs w:val="24"/>
              </w:rPr>
              <w:t>采购项目名称</w:t>
            </w:r>
          </w:p>
        </w:tc>
        <w:tc>
          <w:tcPr>
            <w:tcW w:w="6858" w:type="dxa"/>
            <w:tcBorders>
              <w:tl2br w:val="nil"/>
              <w:tr2bl w:val="nil"/>
            </w:tcBorders>
            <w:vAlign w:val="center"/>
          </w:tcPr>
          <w:p w14:paraId="21D6AF85">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玉树市214国道沿线（新寨村至勒巴沟）生态环境综合整治项目</w:t>
            </w:r>
          </w:p>
        </w:tc>
      </w:tr>
      <w:tr w14:paraId="7D04FB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4A156963">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采购项目编号</w:t>
            </w:r>
          </w:p>
        </w:tc>
        <w:tc>
          <w:tcPr>
            <w:tcW w:w="6858" w:type="dxa"/>
            <w:tcBorders>
              <w:tl2br w:val="nil"/>
              <w:tr2bl w:val="nil"/>
            </w:tcBorders>
          </w:tcPr>
          <w:p w14:paraId="3C07A3AA">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青海聚鑫竞谈（服务）2024-029</w:t>
            </w:r>
          </w:p>
        </w:tc>
      </w:tr>
      <w:tr w14:paraId="30AB9A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1E8110FE">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采购方式</w:t>
            </w:r>
          </w:p>
        </w:tc>
        <w:tc>
          <w:tcPr>
            <w:tcW w:w="6858" w:type="dxa"/>
            <w:tcBorders>
              <w:tl2br w:val="nil"/>
              <w:tr2bl w:val="nil"/>
            </w:tcBorders>
          </w:tcPr>
          <w:p w14:paraId="45B01D88">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竞争性谈判</w:t>
            </w:r>
          </w:p>
        </w:tc>
      </w:tr>
      <w:tr w14:paraId="79F73F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19F9D566">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采购预算额度</w:t>
            </w:r>
          </w:p>
        </w:tc>
        <w:tc>
          <w:tcPr>
            <w:tcW w:w="6858" w:type="dxa"/>
            <w:tcBorders>
              <w:tl2br w:val="nil"/>
              <w:tr2bl w:val="nil"/>
            </w:tcBorders>
          </w:tcPr>
          <w:p w14:paraId="7B93EB07">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98</w:t>
            </w:r>
            <w:r>
              <w:rPr>
                <w:rFonts w:hint="eastAsia" w:ascii="仿宋_GB2312" w:hAnsi="仿宋_GB2312" w:eastAsia="仿宋_GB2312" w:cs="仿宋_GB2312"/>
                <w:sz w:val="24"/>
                <w:szCs w:val="24"/>
              </w:rPr>
              <w:t>万元</w:t>
            </w:r>
          </w:p>
        </w:tc>
      </w:tr>
      <w:tr w14:paraId="0C009C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65251BA0">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最高限价</w:t>
            </w:r>
          </w:p>
        </w:tc>
        <w:tc>
          <w:tcPr>
            <w:tcW w:w="6858" w:type="dxa"/>
            <w:tcBorders>
              <w:tl2br w:val="nil"/>
              <w:tr2bl w:val="nil"/>
            </w:tcBorders>
          </w:tcPr>
          <w:p w14:paraId="260A6D8D">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97</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997671</w:t>
            </w:r>
            <w:r>
              <w:rPr>
                <w:rFonts w:hint="eastAsia" w:ascii="仿宋_GB2312" w:hAnsi="仿宋_GB2312" w:eastAsia="仿宋_GB2312" w:cs="仿宋_GB2312"/>
                <w:sz w:val="24"/>
                <w:szCs w:val="24"/>
                <w:lang w:val="en-US" w:eastAsia="zh-CN"/>
              </w:rPr>
              <w:t>万元</w:t>
            </w:r>
          </w:p>
        </w:tc>
      </w:tr>
      <w:tr w14:paraId="062D3C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41BB952F">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项目分包个数</w:t>
            </w:r>
          </w:p>
        </w:tc>
        <w:tc>
          <w:tcPr>
            <w:tcW w:w="6858" w:type="dxa"/>
            <w:tcBorders>
              <w:tl2br w:val="nil"/>
              <w:tr2bl w:val="nil"/>
            </w:tcBorders>
          </w:tcPr>
          <w:p w14:paraId="30C8642C">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无分包</w:t>
            </w:r>
          </w:p>
        </w:tc>
      </w:tr>
      <w:tr w14:paraId="37C2B8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60F779ED">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bCs/>
                <w:sz w:val="24"/>
                <w:szCs w:val="24"/>
              </w:rPr>
              <w:t>供应商</w:t>
            </w:r>
            <w:r>
              <w:rPr>
                <w:rFonts w:hint="eastAsia" w:ascii="仿宋_GB2312" w:hAnsi="仿宋_GB2312" w:eastAsia="仿宋_GB2312" w:cs="仿宋_GB2312"/>
                <w:sz w:val="24"/>
                <w:szCs w:val="24"/>
              </w:rPr>
              <w:t>资格条件</w:t>
            </w:r>
          </w:p>
        </w:tc>
        <w:tc>
          <w:tcPr>
            <w:tcW w:w="6858" w:type="dxa"/>
            <w:tcBorders>
              <w:tl2br w:val="nil"/>
              <w:tr2bl w:val="nil"/>
            </w:tcBorders>
          </w:tcPr>
          <w:p w14:paraId="63BD3A48">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（1）符合《政府采购法》第22条规定，并提供下列材料：</w:t>
            </w:r>
          </w:p>
          <w:p w14:paraId="1C7C4AD7">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1）供应商的营业执照等证明文件，自然人的身份证明。</w:t>
            </w:r>
          </w:p>
          <w:p w14:paraId="5DFA8467">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2）财务状况报告，依法缴纳税收和社会保障资金的相关材料。</w:t>
            </w:r>
          </w:p>
          <w:p w14:paraId="5056812D">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3）具备履行合同所必需的设备和专业技术能力的证明材料。</w:t>
            </w:r>
          </w:p>
          <w:p w14:paraId="41CAF703">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4）参加政府采购活动前3年内在经营活动中没有重大违法记录的书面声明。</w:t>
            </w:r>
          </w:p>
          <w:p w14:paraId="7B38A0B0">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5）具备法律、行政法规规定的其他条件的证明材料。</w:t>
            </w:r>
          </w:p>
          <w:p w14:paraId="26D69DA5">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（2）单位负责人为同一人或者存在直接控股、管理关系的不同供应商，不得参加同一合同项下的政府采购活动。否则，皆取消投标资格。 </w:t>
            </w:r>
          </w:p>
          <w:p w14:paraId="48593DD3">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（3）为本采购项目提供整体设计、规范编制或者项目管理、监理、检测等服务的投标人，不得再参加该采购项目的其他采购活动。</w:t>
            </w:r>
          </w:p>
          <w:p w14:paraId="0AD563FF">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经信用中国（www.creditchina.gov.cn）、中国政府采购网（www.ccgp.gov.cn）渠道查询后，列入失信被执行人、重大税收违法失信主体、政府采购严重违法失信行为记录名单的，取消投标资格。（提供“信用中国”、《中国政府采购网》网站查询截图，时间为递交响应文件截止时间前20天内）。</w:t>
            </w:r>
          </w:p>
          <w:p w14:paraId="1DA3F716">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5</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本项目全部面向中小企业采购。</w:t>
            </w:r>
          </w:p>
        </w:tc>
      </w:tr>
      <w:tr w14:paraId="1A1B09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tcPr>
          <w:p w14:paraId="4C3B8DC2">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bCs/>
                <w:sz w:val="24"/>
                <w:szCs w:val="24"/>
              </w:rPr>
            </w:pPr>
            <w:r>
              <w:rPr>
                <w:rFonts w:hint="eastAsia" w:ascii="仿宋_GB2312" w:hAnsi="仿宋_GB2312" w:eastAsia="仿宋_GB2312" w:cs="仿宋_GB2312"/>
                <w:sz w:val="24"/>
                <w:szCs w:val="24"/>
              </w:rPr>
              <w:t>是否接收联合体形式</w:t>
            </w:r>
          </w:p>
        </w:tc>
        <w:tc>
          <w:tcPr>
            <w:tcW w:w="6858" w:type="dxa"/>
            <w:tcBorders>
              <w:tl2br w:val="nil"/>
              <w:tr2bl w:val="nil"/>
            </w:tcBorders>
          </w:tcPr>
          <w:p w14:paraId="7AD818C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本项目</w:t>
            </w:r>
            <w:r>
              <w:rPr>
                <w:rFonts w:hint="eastAsia" w:ascii="仿宋_GB2312" w:hAnsi="仿宋_GB2312" w:eastAsia="仿宋_GB2312" w:cs="仿宋_GB2312"/>
                <w:color w:val="000000"/>
                <w:kern w:val="0"/>
                <w:sz w:val="24"/>
                <w:szCs w:val="24"/>
                <w:u w:val="single"/>
              </w:rPr>
              <w:t>不接受</w:t>
            </w:r>
            <w:r>
              <w:rPr>
                <w:rFonts w:hint="eastAsia" w:ascii="仿宋_GB2312" w:hAnsi="仿宋_GB2312" w:eastAsia="仿宋_GB2312" w:cs="仿宋_GB2312"/>
                <w:color w:val="000000"/>
                <w:kern w:val="0"/>
                <w:sz w:val="24"/>
                <w:szCs w:val="24"/>
                <w:lang w:val="zh-CN"/>
              </w:rPr>
              <w:t>供应商以联合体方式进行谈判；</w:t>
            </w:r>
          </w:p>
          <w:p w14:paraId="41FAB132">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zh-CN"/>
              </w:rPr>
              <w:t>接受联合体形式的，联合体应当具备下列条件：/。</w:t>
            </w:r>
          </w:p>
        </w:tc>
      </w:tr>
      <w:tr w14:paraId="209017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6A9081B0">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进口产品（本项目不适用）</w:t>
            </w:r>
          </w:p>
        </w:tc>
        <w:tc>
          <w:tcPr>
            <w:tcW w:w="6858" w:type="dxa"/>
            <w:tcBorders>
              <w:tl2br w:val="nil"/>
              <w:tr2bl w:val="nil"/>
            </w:tcBorders>
            <w:vAlign w:val="center"/>
          </w:tcPr>
          <w:p w14:paraId="5A810C8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bCs/>
                <w:sz w:val="24"/>
                <w:szCs w:val="24"/>
              </w:rPr>
              <w:t>本项目（接受/拒绝）进</w:t>
            </w:r>
            <w:r>
              <w:rPr>
                <w:rFonts w:hint="eastAsia" w:ascii="仿宋_GB2312" w:hAnsi="仿宋_GB2312" w:eastAsia="仿宋_GB2312" w:cs="仿宋_GB2312"/>
                <w:sz w:val="24"/>
                <w:szCs w:val="24"/>
              </w:rPr>
              <w:t>口产品参加谈判采购。</w:t>
            </w:r>
          </w:p>
        </w:tc>
      </w:tr>
      <w:tr w14:paraId="1E2876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3DC23583">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谈判文件的实质性变动内容</w:t>
            </w:r>
          </w:p>
        </w:tc>
        <w:tc>
          <w:tcPr>
            <w:tcW w:w="6858" w:type="dxa"/>
            <w:tcBorders>
              <w:tl2br w:val="nil"/>
              <w:tr2bl w:val="nil"/>
            </w:tcBorders>
            <w:vAlign w:val="center"/>
          </w:tcPr>
          <w:p w14:paraId="719C14C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不允许。</w:t>
            </w:r>
          </w:p>
        </w:tc>
      </w:tr>
      <w:tr w14:paraId="661A28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4C6C2516">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公告发布时间</w:t>
            </w:r>
          </w:p>
        </w:tc>
        <w:tc>
          <w:tcPr>
            <w:tcW w:w="6858" w:type="dxa"/>
            <w:tcBorders>
              <w:tl2br w:val="nil"/>
              <w:tr2bl w:val="nil"/>
            </w:tcBorders>
          </w:tcPr>
          <w:p w14:paraId="31D52A1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rPr>
              <w:t>2024</w:t>
            </w:r>
            <w:r>
              <w:rPr>
                <w:rFonts w:hint="eastAsia" w:ascii="仿宋_GB2312" w:hAnsi="仿宋_GB2312" w:eastAsia="仿宋_GB2312" w:cs="仿宋_GB2312"/>
                <w:color w:val="000000"/>
                <w:kern w:val="0"/>
                <w:sz w:val="24"/>
                <w:szCs w:val="24"/>
              </w:rPr>
              <w:t>年0</w:t>
            </w: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rPr>
              <w:t>月</w:t>
            </w:r>
            <w:r>
              <w:rPr>
                <w:rFonts w:hint="eastAsia" w:ascii="仿宋_GB2312" w:hAnsi="仿宋_GB2312" w:eastAsia="仿宋_GB2312" w:cs="仿宋_GB2312"/>
                <w:color w:val="000000"/>
                <w:kern w:val="0"/>
                <w:sz w:val="24"/>
                <w:szCs w:val="24"/>
                <w:lang w:val="en-US" w:eastAsia="zh-CN"/>
              </w:rPr>
              <w:t>24</w:t>
            </w:r>
            <w:r>
              <w:rPr>
                <w:rFonts w:hint="eastAsia" w:ascii="仿宋_GB2312" w:hAnsi="仿宋_GB2312" w:eastAsia="仿宋_GB2312" w:cs="仿宋_GB2312"/>
                <w:color w:val="000000"/>
                <w:kern w:val="0"/>
                <w:sz w:val="24"/>
                <w:szCs w:val="24"/>
              </w:rPr>
              <w:t>日（北京时间）</w:t>
            </w:r>
          </w:p>
        </w:tc>
      </w:tr>
      <w:tr w14:paraId="2147B1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42DFD0A0">
            <w:pPr>
              <w:keepNext w:val="0"/>
              <w:keepLines w:val="0"/>
              <w:pageBreakBefore w:val="0"/>
              <w:widowControl w:val="0"/>
              <w:kinsoku/>
              <w:wordWrap/>
              <w:overflowPunct/>
              <w:topLinePunct w:val="0"/>
              <w:autoSpaceDE/>
              <w:autoSpaceDN/>
              <w:bidi w:val="0"/>
              <w:spacing w:line="500" w:lineRule="exact"/>
              <w:jc w:val="center"/>
              <w:textAlignment w:val="auto"/>
              <w:rPr>
                <w:rFonts w:ascii="仿宋_GB2312" w:hAnsi="仿宋_GB2312" w:eastAsia="仿宋_GB2312" w:cs="仿宋_GB2312"/>
                <w:bCs/>
                <w:sz w:val="24"/>
                <w:szCs w:val="24"/>
              </w:rPr>
            </w:pPr>
            <w:r>
              <w:rPr>
                <w:rFonts w:hint="eastAsia" w:ascii="仿宋_GB2312" w:hAnsi="仿宋_GB2312" w:eastAsia="仿宋_GB2312" w:cs="仿宋_GB2312"/>
                <w:sz w:val="24"/>
                <w:szCs w:val="24"/>
              </w:rPr>
              <w:t>文件</w:t>
            </w:r>
            <w:r>
              <w:rPr>
                <w:rFonts w:hint="eastAsia" w:ascii="仿宋_GB2312" w:hAnsi="仿宋_GB2312" w:eastAsia="仿宋_GB2312" w:cs="仿宋_GB2312"/>
                <w:sz w:val="24"/>
                <w:szCs w:val="24"/>
                <w:lang w:val="en-US" w:eastAsia="zh-CN"/>
              </w:rPr>
              <w:t>获取</w:t>
            </w:r>
            <w:r>
              <w:rPr>
                <w:rFonts w:hint="eastAsia" w:ascii="仿宋_GB2312" w:hAnsi="仿宋_GB2312" w:eastAsia="仿宋_GB2312" w:cs="仿宋_GB2312"/>
                <w:sz w:val="24"/>
                <w:szCs w:val="24"/>
              </w:rPr>
              <w:t>起止时间</w:t>
            </w:r>
          </w:p>
        </w:tc>
        <w:tc>
          <w:tcPr>
            <w:tcW w:w="6858" w:type="dxa"/>
            <w:tcBorders>
              <w:tl2br w:val="nil"/>
              <w:tr2bl w:val="nil"/>
            </w:tcBorders>
          </w:tcPr>
          <w:p w14:paraId="466DD5CC">
            <w:pPr>
              <w:keepNext w:val="0"/>
              <w:keepLines w:val="0"/>
              <w:pageBreakBefore w:val="0"/>
              <w:widowControl w:val="0"/>
              <w:tabs>
                <w:tab w:val="left" w:pos="320"/>
              </w:tabs>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2024年08月26日00:00至2024年08月28日23:59</w:t>
            </w:r>
          </w:p>
        </w:tc>
      </w:tr>
      <w:tr w14:paraId="5337A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77A6772B">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获取方式</w:t>
            </w:r>
          </w:p>
        </w:tc>
        <w:tc>
          <w:tcPr>
            <w:tcW w:w="6858" w:type="dxa"/>
            <w:tcBorders>
              <w:tl2br w:val="nil"/>
              <w:tr2bl w:val="nil"/>
            </w:tcBorders>
            <w:vAlign w:val="center"/>
          </w:tcPr>
          <w:p w14:paraId="1F7CCA0B">
            <w:pPr>
              <w:keepNext w:val="0"/>
              <w:keepLines w:val="0"/>
              <w:pageBreakBefore w:val="0"/>
              <w:widowControl w:val="0"/>
              <w:tabs>
                <w:tab w:val="left" w:pos="320"/>
              </w:tabs>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登录政采云平台 https://www.zcygov.cn/在线申请获取采购</w:t>
            </w:r>
          </w:p>
          <w:p w14:paraId="1F4F3990">
            <w:pPr>
              <w:keepNext w:val="0"/>
              <w:keepLines w:val="0"/>
              <w:pageBreakBefore w:val="0"/>
              <w:widowControl w:val="0"/>
              <w:tabs>
                <w:tab w:val="left" w:pos="320"/>
              </w:tabs>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文件（进入“项目采购”应用，在获取采购文件菜单中选择项</w:t>
            </w:r>
          </w:p>
          <w:p w14:paraId="696F2F54">
            <w:pPr>
              <w:keepNext w:val="0"/>
              <w:keepLines w:val="0"/>
              <w:pageBreakBefore w:val="0"/>
              <w:widowControl w:val="0"/>
              <w:tabs>
                <w:tab w:val="left" w:pos="320"/>
              </w:tabs>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目，申请获取采购文件）。</w:t>
            </w:r>
          </w:p>
        </w:tc>
      </w:tr>
      <w:tr w14:paraId="4A3F09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3864865D">
            <w:pPr>
              <w:keepNext w:val="0"/>
              <w:keepLines w:val="0"/>
              <w:pageBreakBefore w:val="0"/>
              <w:widowControl w:val="0"/>
              <w:kinsoku/>
              <w:wordWrap/>
              <w:overflowPunct/>
              <w:topLinePunct w:val="0"/>
              <w:autoSpaceDE/>
              <w:autoSpaceDN/>
              <w:bidi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文件</w:t>
            </w:r>
            <w:r>
              <w:rPr>
                <w:rFonts w:hint="eastAsia" w:ascii="仿宋_GB2312" w:hAnsi="仿宋_GB2312" w:eastAsia="仿宋_GB2312" w:cs="仿宋_GB2312"/>
                <w:sz w:val="24"/>
                <w:szCs w:val="24"/>
                <w:lang w:val="en-US" w:eastAsia="zh-CN"/>
              </w:rPr>
              <w:t>获取</w:t>
            </w:r>
            <w:r>
              <w:rPr>
                <w:rFonts w:hint="eastAsia" w:ascii="仿宋_GB2312" w:hAnsi="仿宋_GB2312" w:eastAsia="仿宋_GB2312" w:cs="仿宋_GB2312"/>
                <w:sz w:val="24"/>
                <w:szCs w:val="24"/>
              </w:rPr>
              <w:t>地点</w:t>
            </w:r>
          </w:p>
        </w:tc>
        <w:tc>
          <w:tcPr>
            <w:tcW w:w="6858" w:type="dxa"/>
            <w:tcBorders>
              <w:tl2br w:val="nil"/>
              <w:tr2bl w:val="nil"/>
            </w:tcBorders>
            <w:vAlign w:val="center"/>
          </w:tcPr>
          <w:p w14:paraId="6A8FD132">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登录政采云平台 https://www.zcygov.cn/在线申请获取采购</w:t>
            </w:r>
          </w:p>
          <w:p w14:paraId="29F8D25A">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文件</w:t>
            </w:r>
            <w:r>
              <w:rPr>
                <w:rFonts w:hint="eastAsia" w:ascii="仿宋_GB2312" w:hAnsi="仿宋_GB2312" w:eastAsia="仿宋_GB2312" w:cs="仿宋_GB2312"/>
                <w:sz w:val="24"/>
                <w:szCs w:val="24"/>
                <w:lang w:eastAsia="zh-CN"/>
              </w:rPr>
              <w:t>。</w:t>
            </w:r>
          </w:p>
        </w:tc>
      </w:tr>
      <w:tr w14:paraId="4F94C7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722E48FF">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获取</w:t>
            </w:r>
            <w:r>
              <w:rPr>
                <w:rFonts w:hint="eastAsia" w:ascii="仿宋_GB2312" w:hAnsi="仿宋_GB2312" w:eastAsia="仿宋_GB2312" w:cs="仿宋_GB2312"/>
                <w:sz w:val="24"/>
                <w:szCs w:val="24"/>
              </w:rPr>
              <w:t>谈判文件时应提供的材料</w:t>
            </w:r>
          </w:p>
        </w:tc>
        <w:tc>
          <w:tcPr>
            <w:tcW w:w="6858" w:type="dxa"/>
            <w:tcBorders>
              <w:tl2br w:val="nil"/>
              <w:tr2bl w:val="nil"/>
            </w:tcBorders>
            <w:vAlign w:val="center"/>
          </w:tcPr>
          <w:p w14:paraId="3D9C6E3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营业执照复印件加盖公章</w:t>
            </w:r>
          </w:p>
        </w:tc>
      </w:tr>
      <w:tr w14:paraId="78A278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tcPr>
          <w:p w14:paraId="3E01895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p>
          <w:p w14:paraId="2B7040D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采购人名称、地址、电话、联系人</w:t>
            </w:r>
          </w:p>
        </w:tc>
        <w:tc>
          <w:tcPr>
            <w:tcW w:w="6858" w:type="dxa"/>
            <w:tcBorders>
              <w:tl2br w:val="nil"/>
              <w:tr2bl w:val="nil"/>
            </w:tcBorders>
          </w:tcPr>
          <w:p w14:paraId="5E2F446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名称：玉树市综合执法局</w:t>
            </w:r>
          </w:p>
          <w:p w14:paraId="3EC13AC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地址：玉树市格萨都然巷39号</w:t>
            </w:r>
          </w:p>
          <w:p w14:paraId="36B492A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项目联系人：江先生</w:t>
            </w:r>
          </w:p>
          <w:p w14:paraId="2C1CD6F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项目联系电话：0976-8822125</w:t>
            </w:r>
          </w:p>
        </w:tc>
      </w:tr>
      <w:tr w14:paraId="34B098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tcPr>
          <w:p w14:paraId="74B95789">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_GB2312" w:hAnsi="仿宋_GB2312" w:eastAsia="仿宋_GB2312" w:cs="仿宋_GB2312"/>
                <w:sz w:val="24"/>
                <w:szCs w:val="24"/>
              </w:rPr>
            </w:pPr>
          </w:p>
          <w:p w14:paraId="42DDF43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采购代理机构及联系人电话</w:t>
            </w:r>
          </w:p>
        </w:tc>
        <w:tc>
          <w:tcPr>
            <w:tcW w:w="6858" w:type="dxa"/>
            <w:tcBorders>
              <w:tl2br w:val="nil"/>
              <w:tr2bl w:val="nil"/>
            </w:tcBorders>
          </w:tcPr>
          <w:p w14:paraId="58679810">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名称：青海聚鑫工程管理有限公司</w:t>
            </w:r>
          </w:p>
          <w:p w14:paraId="60DEF4FD">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地址：青海生物科技产业园纬一路24号8号大楼11层1101室</w:t>
            </w:r>
          </w:p>
          <w:p w14:paraId="2D4DB5A9">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项目联系人：马先生</w:t>
            </w:r>
          </w:p>
          <w:p w14:paraId="345282DD">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项目联系方式：0971-8266981</w:t>
            </w:r>
          </w:p>
        </w:tc>
      </w:tr>
      <w:tr w14:paraId="3530BD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0020F919">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保证金</w:t>
            </w:r>
          </w:p>
        </w:tc>
        <w:tc>
          <w:tcPr>
            <w:tcW w:w="6858" w:type="dxa"/>
            <w:tcBorders>
              <w:tl2br w:val="nil"/>
              <w:tr2bl w:val="nil"/>
            </w:tcBorders>
            <w:vAlign w:val="center"/>
          </w:tcPr>
          <w:p w14:paraId="3A1B1143">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金额：</w:t>
            </w:r>
            <w:r>
              <w:rPr>
                <w:rFonts w:hint="eastAsia" w:ascii="仿宋_GB2312" w:hAnsi="仿宋_GB2312" w:eastAsia="仿宋_GB2312" w:cs="仿宋_GB2312"/>
                <w:sz w:val="24"/>
                <w:szCs w:val="24"/>
                <w:lang w:val="en-US" w:eastAsia="zh-CN"/>
              </w:rPr>
              <w:t>壹万伍仟</w:t>
            </w:r>
            <w:r>
              <w:rPr>
                <w:rFonts w:hint="eastAsia" w:ascii="仿宋_GB2312" w:hAnsi="仿宋_GB2312" w:eastAsia="仿宋_GB2312" w:cs="仿宋_GB2312"/>
                <w:sz w:val="24"/>
                <w:szCs w:val="24"/>
              </w:rPr>
              <w:t>元整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¥15000.00</w:t>
            </w:r>
            <w:r>
              <w:rPr>
                <w:rFonts w:hint="eastAsia" w:ascii="仿宋_GB2312" w:hAnsi="仿宋_GB2312" w:eastAsia="仿宋_GB2312" w:cs="仿宋_GB2312"/>
                <w:sz w:val="24"/>
                <w:szCs w:val="24"/>
                <w:lang w:eastAsia="zh-CN"/>
              </w:rPr>
              <w:t>）</w:t>
            </w:r>
          </w:p>
          <w:p w14:paraId="0C54B47D">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开户银行：中国工商银行股份有限公司西宁城北支行</w:t>
            </w:r>
          </w:p>
          <w:p w14:paraId="2F8B8E02">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收款账号：2806046809000016675</w:t>
            </w:r>
          </w:p>
          <w:p w14:paraId="796EFCE9">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收款单位：青海聚鑫工程管理有限公司</w:t>
            </w:r>
          </w:p>
          <w:p w14:paraId="74E5469D">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缴费方式：</w:t>
            </w:r>
            <w:r>
              <w:rPr>
                <w:rFonts w:hint="eastAsia" w:ascii="仿宋_GB2312" w:hAnsi="仿宋_GB2312" w:eastAsia="仿宋_GB2312" w:cs="仿宋_GB2312"/>
                <w:sz w:val="24"/>
                <w:szCs w:val="24"/>
                <w:lang w:val="en-US" w:eastAsia="zh-CN"/>
              </w:rPr>
              <w:t>谈判</w:t>
            </w:r>
            <w:r>
              <w:rPr>
                <w:rFonts w:hint="eastAsia" w:ascii="仿宋_GB2312" w:hAnsi="仿宋_GB2312" w:eastAsia="仿宋_GB2312" w:cs="仿宋_GB2312"/>
                <w:sz w:val="24"/>
                <w:szCs w:val="24"/>
              </w:rPr>
              <w:t>保证金应当以电汇、转账、支票、汇票、本票或者金融机构、担保机构出具的保函等非现金形式提交。通过银行转账的，必须由供应商从其基本账户汇（转）入采购代理机构指定账户。</w:t>
            </w:r>
          </w:p>
          <w:p w14:paraId="05B23E91">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户名：青海聚鑫工程管理有限公司</w:t>
            </w:r>
          </w:p>
          <w:p w14:paraId="438DBAE2">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开户行：中国工商银行股份有限公司西宁城北支行</w:t>
            </w:r>
          </w:p>
          <w:p w14:paraId="57C0E27D">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账号：2806046809000016675</w:t>
            </w:r>
          </w:p>
          <w:p w14:paraId="0A3D17B0">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供应商在递交响应文件截止时间前（202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年0</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日10:00以前），以银行到账时间为准。</w:t>
            </w:r>
          </w:p>
          <w:p w14:paraId="60E8EDB7">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供应商未按照磋商文件要求提交磋商保证金的，投标无效。</w:t>
            </w:r>
          </w:p>
        </w:tc>
      </w:tr>
      <w:tr w14:paraId="58203E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792F4C4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bCs/>
                <w:sz w:val="24"/>
                <w:szCs w:val="24"/>
              </w:rPr>
              <w:t>响应文件有效期</w:t>
            </w:r>
          </w:p>
        </w:tc>
        <w:tc>
          <w:tcPr>
            <w:tcW w:w="6858" w:type="dxa"/>
            <w:tcBorders>
              <w:tl2br w:val="nil"/>
              <w:tr2bl w:val="nil"/>
            </w:tcBorders>
            <w:vAlign w:val="center"/>
          </w:tcPr>
          <w:p w14:paraId="3748C7F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自谈判提交响应文件截止之日起不少于60天</w:t>
            </w:r>
          </w:p>
        </w:tc>
      </w:tr>
      <w:tr w14:paraId="5B528B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1D780FAB">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bCs/>
                <w:sz w:val="24"/>
                <w:szCs w:val="24"/>
              </w:rPr>
            </w:pPr>
            <w:r>
              <w:rPr>
                <w:rFonts w:hint="eastAsia" w:ascii="仿宋_GB2312" w:hAnsi="仿宋_GB2312" w:eastAsia="仿宋_GB2312" w:cs="仿宋_GB2312"/>
                <w:sz w:val="24"/>
                <w:szCs w:val="24"/>
              </w:rPr>
              <w:t>响应文件的递交截止时间</w:t>
            </w:r>
          </w:p>
        </w:tc>
        <w:tc>
          <w:tcPr>
            <w:tcW w:w="6858" w:type="dxa"/>
            <w:tcBorders>
              <w:tl2br w:val="nil"/>
              <w:tr2bl w:val="nil"/>
            </w:tcBorders>
            <w:vAlign w:val="center"/>
          </w:tcPr>
          <w:p w14:paraId="628343D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年0</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日10时00分</w:t>
            </w:r>
            <w:r>
              <w:rPr>
                <w:rFonts w:hint="eastAsia" w:ascii="仿宋_GB2312" w:hAnsi="仿宋_GB2312" w:eastAsia="仿宋_GB2312" w:cs="仿宋_GB2312"/>
                <w:color w:val="000000"/>
                <w:kern w:val="0"/>
                <w:sz w:val="24"/>
                <w:szCs w:val="24"/>
                <w:lang w:val="zh-CN"/>
              </w:rPr>
              <w:t>（采用北京时间</w:t>
            </w:r>
            <w:r>
              <w:rPr>
                <w:rFonts w:hint="eastAsia" w:ascii="仿宋_GB2312" w:hAnsi="仿宋_GB2312" w:eastAsia="仿宋_GB2312" w:cs="仿宋_GB2312"/>
                <w:color w:val="000000"/>
                <w:kern w:val="0"/>
                <w:sz w:val="24"/>
                <w:szCs w:val="24"/>
              </w:rPr>
              <w:t>24小时制</w:t>
            </w:r>
            <w:r>
              <w:rPr>
                <w:rFonts w:hint="eastAsia" w:ascii="仿宋_GB2312" w:hAnsi="仿宋_GB2312" w:eastAsia="仿宋_GB2312" w:cs="仿宋_GB2312"/>
                <w:color w:val="000000"/>
                <w:kern w:val="0"/>
                <w:sz w:val="24"/>
                <w:szCs w:val="24"/>
                <w:lang w:val="zh-CN"/>
              </w:rPr>
              <w:t>）</w:t>
            </w:r>
          </w:p>
        </w:tc>
      </w:tr>
      <w:tr w14:paraId="69DB69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2354" w:type="dxa"/>
            <w:tcBorders>
              <w:tl2br w:val="nil"/>
              <w:tr2bl w:val="nil"/>
            </w:tcBorders>
            <w:vAlign w:val="center"/>
          </w:tcPr>
          <w:p w14:paraId="1163FFEA">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递交响应文件地点</w:t>
            </w:r>
          </w:p>
        </w:tc>
        <w:tc>
          <w:tcPr>
            <w:tcW w:w="6858" w:type="dxa"/>
            <w:tcBorders>
              <w:tl2br w:val="nil"/>
              <w:tr2bl w:val="nil"/>
            </w:tcBorders>
            <w:vAlign w:val="center"/>
          </w:tcPr>
          <w:p w14:paraId="076CA92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供应商应在投标截止时间前按谈判文件要求使用政采云电子</w:t>
            </w:r>
          </w:p>
          <w:p w14:paraId="628A70DF">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投标客户端制作上传电子投标文件，并在开标后 30 分钟内远</w:t>
            </w:r>
          </w:p>
          <w:p w14:paraId="0F3C114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程解密投标文件。</w:t>
            </w:r>
          </w:p>
        </w:tc>
      </w:tr>
      <w:tr w14:paraId="433B37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3B618C35">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财政部门指定的媒体</w:t>
            </w:r>
          </w:p>
        </w:tc>
        <w:tc>
          <w:tcPr>
            <w:tcW w:w="6858" w:type="dxa"/>
            <w:tcBorders>
              <w:tl2br w:val="nil"/>
              <w:tr2bl w:val="nil"/>
            </w:tcBorders>
            <w:vAlign w:val="center"/>
          </w:tcPr>
          <w:p w14:paraId="47E2C65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青海政府采购网</w:t>
            </w:r>
          </w:p>
        </w:tc>
      </w:tr>
      <w:tr w14:paraId="7E383D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2354" w:type="dxa"/>
            <w:tcBorders>
              <w:tl2br w:val="nil"/>
              <w:tr2bl w:val="nil"/>
            </w:tcBorders>
          </w:tcPr>
          <w:p w14:paraId="5262BBE8">
            <w:pPr>
              <w:keepNext w:val="0"/>
              <w:keepLines w:val="0"/>
              <w:pageBreakBefore w:val="0"/>
              <w:widowControl w:val="0"/>
              <w:kinsoku/>
              <w:wordWrap/>
              <w:overflowPunct/>
              <w:topLinePunct w:val="0"/>
              <w:autoSpaceDE/>
              <w:autoSpaceDN/>
              <w:bidi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政策功能</w:t>
            </w:r>
          </w:p>
        </w:tc>
        <w:tc>
          <w:tcPr>
            <w:tcW w:w="6858" w:type="dxa"/>
            <w:tcBorders>
              <w:tl2br w:val="nil"/>
              <w:tr2bl w:val="nil"/>
            </w:tcBorders>
            <w:vAlign w:val="center"/>
          </w:tcPr>
          <w:p w14:paraId="554F8E5F">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本项目全部面向中小企业采购</w:t>
            </w:r>
          </w:p>
        </w:tc>
      </w:tr>
      <w:tr w14:paraId="03E55B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0C50F479">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代理服务费</w:t>
            </w:r>
          </w:p>
        </w:tc>
        <w:tc>
          <w:tcPr>
            <w:tcW w:w="6858" w:type="dxa"/>
            <w:tcBorders>
              <w:tl2br w:val="nil"/>
              <w:tr2bl w:val="nil"/>
            </w:tcBorders>
            <w:vAlign w:val="center"/>
          </w:tcPr>
          <w:p w14:paraId="6676BCF5">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金额：</w:t>
            </w:r>
            <w:r>
              <w:rPr>
                <w:rFonts w:hint="eastAsia" w:ascii="仿宋_GB2312" w:hAnsi="仿宋_GB2312" w:eastAsia="仿宋_GB2312" w:cs="仿宋_GB2312"/>
                <w:b/>
                <w:bCs/>
                <w:sz w:val="24"/>
                <w:szCs w:val="24"/>
                <w:lang w:val="en-US" w:eastAsia="zh-CN"/>
              </w:rPr>
              <w:t>壹万伍仟</w:t>
            </w:r>
            <w:r>
              <w:rPr>
                <w:rFonts w:hint="eastAsia" w:ascii="仿宋_GB2312" w:hAnsi="仿宋_GB2312" w:eastAsia="仿宋_GB2312" w:cs="仿宋_GB2312"/>
                <w:b/>
                <w:bCs/>
                <w:sz w:val="24"/>
                <w:szCs w:val="24"/>
              </w:rPr>
              <w:t>元整</w:t>
            </w:r>
          </w:p>
          <w:p w14:paraId="34AF3F1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收取对象：成交供应商</w:t>
            </w:r>
          </w:p>
        </w:tc>
      </w:tr>
      <w:tr w14:paraId="6392A7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2354" w:type="dxa"/>
            <w:tcBorders>
              <w:tl2br w:val="nil"/>
              <w:tr2bl w:val="nil"/>
            </w:tcBorders>
            <w:vAlign w:val="center"/>
          </w:tcPr>
          <w:p w14:paraId="183125F2">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其他规定</w:t>
            </w:r>
          </w:p>
        </w:tc>
        <w:tc>
          <w:tcPr>
            <w:tcW w:w="6858" w:type="dxa"/>
            <w:tcBorders>
              <w:tl2br w:val="nil"/>
              <w:tr2bl w:val="nil"/>
            </w:tcBorders>
            <w:vAlign w:val="center"/>
          </w:tcPr>
          <w:p w14:paraId="7605E152">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1、本公告在《青海政府采购网》、《青海省电子招标投标公共服务平台》同时发布。公告内容以青海政府采购网发布的为准。</w:t>
            </w:r>
          </w:p>
          <w:p w14:paraId="02BF9A6B">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2、本次</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采用线上提交投标文件的方式进行采购，线上投</w:t>
            </w:r>
          </w:p>
          <w:p w14:paraId="17877DDF">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标文件必须在投标截止时间前上传平台。</w:t>
            </w:r>
          </w:p>
          <w:p w14:paraId="3CBF000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3、若对项目采购电子交易系统操作有疑问，可登录政采云</w:t>
            </w:r>
          </w:p>
          <w:p w14:paraId="3D495224">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（https://www.zcygov.cn/），点击右侧咨询小采，获取采小</w:t>
            </w:r>
          </w:p>
          <w:p w14:paraId="0258C45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蜜智能服务管家帮助</w:t>
            </w:r>
            <w:r>
              <w:rPr>
                <w:rFonts w:hint="eastAsia" w:ascii="仿宋_GB2312" w:hAnsi="仿宋_GB2312" w:eastAsia="仿宋_GB2312" w:cs="仿宋_GB2312"/>
                <w:sz w:val="24"/>
                <w:szCs w:val="24"/>
                <w:lang w:val="en-US" w:eastAsia="zh-CN"/>
              </w:rPr>
              <w:t>（或致电咨询95763）</w:t>
            </w:r>
            <w:r>
              <w:rPr>
                <w:rFonts w:hint="eastAsia" w:ascii="仿宋_GB2312" w:hAnsi="仿宋_GB2312" w:eastAsia="仿宋_GB2312" w:cs="仿宋_GB2312"/>
                <w:sz w:val="24"/>
                <w:szCs w:val="24"/>
              </w:rPr>
              <w:t xml:space="preserve">。 </w:t>
            </w:r>
          </w:p>
        </w:tc>
      </w:tr>
      <w:tr w14:paraId="3C2FC3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3FF1F0EC">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财政监管部门及电话</w:t>
            </w:r>
          </w:p>
        </w:tc>
        <w:tc>
          <w:tcPr>
            <w:tcW w:w="6858" w:type="dxa"/>
            <w:tcBorders>
              <w:tl2br w:val="nil"/>
              <w:tr2bl w:val="nil"/>
            </w:tcBorders>
            <w:vAlign w:val="center"/>
          </w:tcPr>
          <w:p w14:paraId="0A0350F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监督单位：</w:t>
            </w:r>
            <w:r>
              <w:rPr>
                <w:rFonts w:hint="eastAsia" w:ascii="仿宋_GB2312" w:hAnsi="仿宋_GB2312" w:eastAsia="仿宋_GB2312" w:cs="仿宋_GB2312"/>
                <w:sz w:val="24"/>
                <w:szCs w:val="24"/>
                <w:lang w:val="en-US" w:eastAsia="zh-CN"/>
              </w:rPr>
              <w:t>玉树市财政局</w:t>
            </w:r>
          </w:p>
          <w:p w14:paraId="4E940BB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联系电话：097</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8824177</w:t>
            </w:r>
          </w:p>
        </w:tc>
      </w:tr>
    </w:tbl>
    <w:p w14:paraId="5F3FFB9E">
      <w:pPr>
        <w:adjustRightInd w:val="0"/>
        <w:snapToGrid w:val="0"/>
        <w:spacing w:before="156" w:beforeLines="50" w:line="560" w:lineRule="exact"/>
        <w:jc w:val="center"/>
        <w:outlineLvl w:val="1"/>
        <w:rPr>
          <w:rFonts w:ascii="黑体" w:hAnsi="黑体" w:eastAsia="黑体" w:cs="黑体"/>
          <w:sz w:val="32"/>
          <w:szCs w:val="32"/>
        </w:rPr>
      </w:pPr>
    </w:p>
    <w:p w14:paraId="08E94749">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18" w:name="_Toc31127"/>
    </w:p>
    <w:p w14:paraId="45EB65BC">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p>
    <w:p w14:paraId="0B9BD213">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p>
    <w:p w14:paraId="1C9FA7D9">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p>
    <w:p w14:paraId="24D31AF0">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p>
    <w:p w14:paraId="12F49300">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p>
    <w:p w14:paraId="16990E71">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p>
    <w:p w14:paraId="22B511A4">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p>
    <w:p w14:paraId="17701763">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p>
    <w:p w14:paraId="1F6C079D">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r>
        <w:rPr>
          <w:rFonts w:hint="eastAsia" w:ascii="黑体" w:hAnsi="黑体" w:eastAsia="黑体" w:cs="黑体"/>
          <w:sz w:val="30"/>
          <w:szCs w:val="30"/>
        </w:rPr>
        <w:t>一、说明</w:t>
      </w:r>
      <w:bookmarkEnd w:id="11"/>
      <w:bookmarkEnd w:id="12"/>
      <w:bookmarkEnd w:id="13"/>
      <w:bookmarkEnd w:id="14"/>
      <w:bookmarkEnd w:id="15"/>
      <w:bookmarkEnd w:id="16"/>
      <w:bookmarkEnd w:id="17"/>
      <w:bookmarkEnd w:id="18"/>
    </w:p>
    <w:p w14:paraId="544F347A">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9" w:name="_Toc29026"/>
      <w:bookmarkStart w:id="20" w:name="_Toc11775_WPSOffice_Level3"/>
      <w:bookmarkStart w:id="21" w:name="_Toc13645"/>
      <w:bookmarkStart w:id="22" w:name="_Toc22017"/>
      <w:bookmarkStart w:id="23" w:name="_Toc7063_WPSOffice_Level3"/>
      <w:r>
        <w:rPr>
          <w:rFonts w:hint="eastAsia" w:ascii="楷体_GB2312" w:hAnsi="楷体_GB2312" w:eastAsia="楷体_GB2312" w:cs="楷体_GB2312"/>
          <w:sz w:val="24"/>
          <w:szCs w:val="24"/>
        </w:rPr>
        <w:t>1.适用范围</w:t>
      </w:r>
      <w:bookmarkEnd w:id="19"/>
      <w:bookmarkEnd w:id="20"/>
      <w:bookmarkEnd w:id="21"/>
      <w:bookmarkEnd w:id="22"/>
      <w:bookmarkEnd w:id="23"/>
    </w:p>
    <w:p w14:paraId="333EFB4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1.1本竞争性谈判文件仅适用于前述</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谈判须知前附表</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中所叙述的采购项目。</w:t>
      </w:r>
    </w:p>
    <w:p w14:paraId="26298905">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4" w:name="_Toc2404_WPSOffice_Level3"/>
      <w:bookmarkStart w:id="25" w:name="_Toc23029"/>
      <w:bookmarkStart w:id="26" w:name="_Toc1646"/>
      <w:bookmarkStart w:id="27" w:name="_Toc15754_WPSOffice_Level3"/>
      <w:bookmarkStart w:id="28" w:name="_Toc12080"/>
      <w:r>
        <w:rPr>
          <w:rFonts w:hint="eastAsia" w:ascii="楷体_GB2312" w:hAnsi="楷体_GB2312" w:eastAsia="楷体_GB2312" w:cs="楷体_GB2312"/>
          <w:sz w:val="24"/>
          <w:szCs w:val="24"/>
        </w:rPr>
        <w:t>2.采购人及代理机构</w:t>
      </w:r>
      <w:bookmarkEnd w:id="24"/>
      <w:bookmarkEnd w:id="25"/>
      <w:bookmarkEnd w:id="26"/>
      <w:bookmarkEnd w:id="27"/>
      <w:bookmarkEnd w:id="28"/>
    </w:p>
    <w:p w14:paraId="1C8DD0E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2.2采购人名称、地址、电话、联系人见【谈判须知前附表】。</w:t>
      </w:r>
    </w:p>
    <w:p w14:paraId="77EBB28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2.3采购代理机构名称、地址、电话、联系人、邮箱见【谈判须知前附表】。</w:t>
      </w:r>
    </w:p>
    <w:p w14:paraId="4CDDBA0D">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9" w:name="_Toc31395"/>
      <w:bookmarkStart w:id="30" w:name="_Toc955_WPSOffice_Level3"/>
      <w:bookmarkStart w:id="31" w:name="_Toc8089_WPSOffice_Level3"/>
      <w:bookmarkStart w:id="32" w:name="_Toc22448"/>
      <w:bookmarkStart w:id="33" w:name="_Toc21695"/>
      <w:r>
        <w:rPr>
          <w:rFonts w:hint="eastAsia" w:ascii="楷体_GB2312" w:hAnsi="楷体_GB2312" w:eastAsia="楷体_GB2312" w:cs="楷体_GB2312"/>
          <w:sz w:val="24"/>
          <w:szCs w:val="24"/>
        </w:rPr>
        <w:t>3.供应商的资格要求</w:t>
      </w:r>
      <w:bookmarkEnd w:id="29"/>
      <w:bookmarkEnd w:id="30"/>
      <w:bookmarkEnd w:id="31"/>
      <w:bookmarkEnd w:id="32"/>
      <w:bookmarkEnd w:id="33"/>
    </w:p>
    <w:p w14:paraId="675844E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3.1供应商是指响应谈判文件要求、参加竞争性谈判采购的法人、其他组织或者自然人。</w:t>
      </w:r>
    </w:p>
    <w:p w14:paraId="35642F1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3.2供应商应当符合【谈判须知前附表】规定的供应商资格条件。</w:t>
      </w:r>
    </w:p>
    <w:p w14:paraId="7FAAC61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3.3【谈判须知前附表】规定接受联合体形式的，供应商除应符合上述资格条件的规定外，还应遵守以下规定： </w:t>
      </w:r>
    </w:p>
    <w:p w14:paraId="5D66D85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（l）联合体中有同类资质的供应商按照联合体分工承担相同工作的，应当按照资质等级较低的供应商确定资质等级。</w:t>
      </w:r>
    </w:p>
    <w:p w14:paraId="48D927B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（2）联合体各方应按谈判文件提供的格式签订联合体协议书，明确联合体牵头人和各方的权利义务、合同工作量比例；</w:t>
      </w:r>
    </w:p>
    <w:p w14:paraId="12CF635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（3）联合体各方签订联合体协议书后，</w:t>
      </w:r>
      <w:r>
        <w:rPr>
          <w:rFonts w:hint="eastAsia" w:ascii="仿宋_GB2312" w:hAnsi="仿宋_GB2312" w:eastAsia="仿宋_GB2312" w:cs="仿宋_GB2312"/>
          <w:sz w:val="24"/>
          <w:szCs w:val="24"/>
          <w:lang w:val="zh-CN"/>
        </w:rPr>
        <w:t>不得再单独参加或者与其他供应商组成新的联合体参加同一合同项下的采购活动。</w:t>
      </w:r>
    </w:p>
    <w:p w14:paraId="34909A32">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34" w:name="_Toc15386"/>
      <w:bookmarkStart w:id="35" w:name="_Toc29322_WPSOffice_Level3"/>
      <w:bookmarkStart w:id="36" w:name="_Toc24112_WPSOffice_Level3"/>
      <w:bookmarkStart w:id="37" w:name="_Toc18921"/>
      <w:bookmarkStart w:id="38" w:name="_Toc558"/>
      <w:r>
        <w:rPr>
          <w:rFonts w:hint="eastAsia" w:ascii="楷体_GB2312" w:hAnsi="楷体_GB2312" w:eastAsia="楷体_GB2312" w:cs="楷体_GB2312"/>
          <w:sz w:val="24"/>
          <w:szCs w:val="24"/>
        </w:rPr>
        <w:t>4.谈判费用</w:t>
      </w:r>
      <w:bookmarkEnd w:id="34"/>
      <w:bookmarkEnd w:id="35"/>
      <w:bookmarkEnd w:id="36"/>
      <w:bookmarkEnd w:id="37"/>
      <w:bookmarkEnd w:id="38"/>
    </w:p>
    <w:p w14:paraId="3262D9D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无论谈判的结果如何，供应商应自行承担所有与竞争性谈判采购活动有关的全部费用。</w:t>
      </w:r>
    </w:p>
    <w:p w14:paraId="25E0623B">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39" w:name="_Toc24356"/>
      <w:bookmarkStart w:id="40" w:name="_Toc5717"/>
      <w:bookmarkStart w:id="41" w:name="_Toc24182"/>
      <w:bookmarkStart w:id="42" w:name="_Toc2404_WPSOffice_Level2"/>
      <w:bookmarkStart w:id="43" w:name="_Toc4912_WPSOffice_Level2"/>
      <w:bookmarkStart w:id="44" w:name="_Toc34637766"/>
      <w:bookmarkStart w:id="45" w:name="_Toc19663_WPSOffice_Level2"/>
      <w:bookmarkStart w:id="46" w:name="_Toc28758"/>
      <w:r>
        <w:rPr>
          <w:rFonts w:hint="eastAsia" w:ascii="黑体" w:hAnsi="黑体" w:eastAsia="黑体" w:cs="黑体"/>
          <w:sz w:val="30"/>
          <w:szCs w:val="30"/>
        </w:rPr>
        <w:t>二、谈判文件</w:t>
      </w:r>
      <w:bookmarkEnd w:id="39"/>
      <w:bookmarkEnd w:id="40"/>
      <w:bookmarkEnd w:id="41"/>
      <w:bookmarkEnd w:id="42"/>
      <w:bookmarkEnd w:id="43"/>
      <w:bookmarkEnd w:id="44"/>
      <w:bookmarkEnd w:id="45"/>
      <w:bookmarkEnd w:id="46"/>
    </w:p>
    <w:p w14:paraId="59E29F91">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47" w:name="_Toc14464"/>
      <w:bookmarkStart w:id="48" w:name="_Toc1826"/>
      <w:bookmarkStart w:id="49" w:name="_Toc25326"/>
      <w:bookmarkStart w:id="50" w:name="_Toc29785_WPSOffice_Level3"/>
      <w:bookmarkStart w:id="51" w:name="_Toc18786_WPSOffice_Level3"/>
      <w:r>
        <w:rPr>
          <w:rFonts w:hint="eastAsia" w:ascii="楷体_GB2312" w:hAnsi="楷体_GB2312" w:eastAsia="楷体_GB2312" w:cs="楷体_GB2312"/>
          <w:sz w:val="24"/>
          <w:szCs w:val="24"/>
        </w:rPr>
        <w:t>5.谈判文件的组成</w:t>
      </w:r>
      <w:bookmarkEnd w:id="47"/>
      <w:bookmarkEnd w:id="48"/>
      <w:bookmarkEnd w:id="49"/>
      <w:bookmarkEnd w:id="50"/>
      <w:bookmarkEnd w:id="51"/>
    </w:p>
    <w:p w14:paraId="06B2A0F8">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5.1谈判文件由下列文件组成：</w:t>
      </w:r>
    </w:p>
    <w:p w14:paraId="00BBF996">
      <w:pPr>
        <w:pStyle w:val="9"/>
        <w:pageBreakBefore w:val="0"/>
        <w:widowControl w:val="0"/>
        <w:numPr>
          <w:ilvl w:val="0"/>
          <w:numId w:val="1"/>
        </w:numPr>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谈判邀请</w:t>
      </w:r>
    </w:p>
    <w:p w14:paraId="0AE54599">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（2）谈判须知</w:t>
      </w:r>
    </w:p>
    <w:p w14:paraId="5A7D495A">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（3）采购需求</w:t>
      </w:r>
    </w:p>
    <w:p w14:paraId="23A5F239">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（4）谈判响应文件格式</w:t>
      </w:r>
    </w:p>
    <w:p w14:paraId="6F9FD9D2">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（5）政府采购项目合同书范本</w:t>
      </w:r>
    </w:p>
    <w:p w14:paraId="392F6D5F">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5.2采购人、采购代理机构或者谈判小组在提交首次响应文件截止之日前对已发出的谈判文件进行的澄清或者修改，构成谈判文件的组成部分。</w:t>
      </w:r>
    </w:p>
    <w:p w14:paraId="0DD42770">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5.3谈判文件中，谈判小组根据与供应商谈判情况可能实质性变动的内容见【谈判须知前附表】。对谈判文件作出的实质性变动是谈判文件的有效组成部分。</w:t>
      </w:r>
    </w:p>
    <w:p w14:paraId="06B9C868">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52" w:name="_Toc18056"/>
      <w:bookmarkStart w:id="53" w:name="_Toc31604_WPSOffice_Level3"/>
      <w:bookmarkStart w:id="54" w:name="_Toc25455_WPSOffice_Level3"/>
      <w:bookmarkStart w:id="55" w:name="_Toc1317"/>
      <w:bookmarkStart w:id="56" w:name="_Toc22054"/>
      <w:r>
        <w:rPr>
          <w:rFonts w:hint="eastAsia" w:ascii="楷体_GB2312" w:hAnsi="楷体_GB2312" w:eastAsia="楷体_GB2312" w:cs="楷体_GB2312"/>
          <w:sz w:val="24"/>
          <w:szCs w:val="24"/>
        </w:rPr>
        <w:t>6.谈判文件的澄清</w:t>
      </w:r>
      <w:r>
        <w:rPr>
          <w:rFonts w:hint="eastAsia" w:ascii="楷体_GB2312" w:hAnsi="楷体_GB2312" w:eastAsia="楷体_GB2312" w:cs="楷体_GB2312"/>
          <w:sz w:val="24"/>
          <w:szCs w:val="24"/>
          <w:lang w:val="zh-CN"/>
        </w:rPr>
        <w:t>或者</w:t>
      </w:r>
      <w:r>
        <w:rPr>
          <w:rFonts w:hint="eastAsia" w:ascii="楷体_GB2312" w:hAnsi="楷体_GB2312" w:eastAsia="楷体_GB2312" w:cs="楷体_GB2312"/>
          <w:sz w:val="24"/>
          <w:szCs w:val="24"/>
        </w:rPr>
        <w:t>修改</w:t>
      </w:r>
      <w:bookmarkEnd w:id="52"/>
      <w:bookmarkEnd w:id="53"/>
      <w:bookmarkEnd w:id="54"/>
      <w:bookmarkEnd w:id="55"/>
      <w:bookmarkEnd w:id="56"/>
    </w:p>
    <w:p w14:paraId="529505F1">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6.1在提交首次响应文件截止之3个工作日前，采购人、采购代理机构或者谈判小组可以对已发出的谈判文件进行必要的澄清或者修改。</w:t>
      </w:r>
    </w:p>
    <w:p w14:paraId="250E952A">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6.2澄清或者修改的内容可能影响响应文件编制的，采购人、采购代理机构或者谈判小组应当在提交首次响应文件截止之日3个工作日前，</w:t>
      </w:r>
      <w:r>
        <w:rPr>
          <w:rFonts w:hint="eastAsia" w:ascii="仿宋_GB2312" w:hAnsi="仿宋_GB2312" w:eastAsia="仿宋_GB2312" w:cs="仿宋_GB2312"/>
          <w:sz w:val="24"/>
          <w:szCs w:val="24"/>
          <w:lang w:val="en-US" w:eastAsia="zh-CN"/>
        </w:rPr>
        <w:t>通过政采云平台</w:t>
      </w:r>
      <w:r>
        <w:rPr>
          <w:rFonts w:hint="eastAsia" w:ascii="仿宋_GB2312" w:hAnsi="仿宋_GB2312" w:eastAsia="仿宋_GB2312" w:cs="仿宋_GB2312"/>
          <w:sz w:val="24"/>
          <w:szCs w:val="24"/>
        </w:rPr>
        <w:t>通知所有接收谈判文件的供应商，不足3个工作日的，顺延供应商提交首次响应文件截止时间。</w:t>
      </w:r>
    </w:p>
    <w:p w14:paraId="0A41088F">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57" w:name="_Toc6866_WPSOffice_Level3"/>
      <w:bookmarkStart w:id="58" w:name="_Toc25126"/>
      <w:bookmarkStart w:id="59" w:name="_Toc30"/>
      <w:bookmarkStart w:id="60" w:name="_Toc4138_WPSOffice_Level3"/>
      <w:bookmarkStart w:id="61" w:name="_Toc27004"/>
      <w:bookmarkStart w:id="62" w:name="_Toc21736"/>
      <w:bookmarkStart w:id="63" w:name="_Toc34637767"/>
      <w:r>
        <w:rPr>
          <w:rFonts w:hint="eastAsia" w:ascii="楷体_GB2312" w:hAnsi="楷体_GB2312" w:eastAsia="楷体_GB2312" w:cs="楷体_GB2312"/>
          <w:sz w:val="24"/>
          <w:szCs w:val="24"/>
        </w:rPr>
        <w:t>7.谈判文件的询问或质疑</w:t>
      </w:r>
      <w:bookmarkEnd w:id="57"/>
      <w:bookmarkEnd w:id="58"/>
      <w:bookmarkEnd w:id="59"/>
      <w:bookmarkEnd w:id="60"/>
      <w:bookmarkEnd w:id="61"/>
      <w:bookmarkEnd w:id="62"/>
    </w:p>
    <w:p w14:paraId="4955D2C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7.1供应商对谈判文件有疑问的，可以向采购人、采购代理机构提出询问。</w:t>
      </w:r>
    </w:p>
    <w:p w14:paraId="348A96D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519FA66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7.3供应商认为谈判文件使自己的权益受到损害的，应以书面形式提出质疑（不接受匿名质疑），供应商须在法定质疑期内一次性提出针对同一采购程序环节的质疑。</w:t>
      </w:r>
    </w:p>
    <w:p w14:paraId="39199EFC">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64" w:name="_Toc23235_WPSOffice_Level2"/>
      <w:bookmarkStart w:id="65" w:name="_Toc25876"/>
      <w:bookmarkStart w:id="66" w:name="_Toc28815"/>
      <w:bookmarkStart w:id="67" w:name="_Toc5732_WPSOffice_Level2"/>
      <w:bookmarkStart w:id="68" w:name="_Toc16902"/>
      <w:bookmarkStart w:id="69" w:name="_Toc955_WPSOffice_Level2"/>
      <w:r>
        <w:rPr>
          <w:rFonts w:hint="eastAsia" w:ascii="黑体" w:hAnsi="黑体" w:eastAsia="黑体" w:cs="黑体"/>
          <w:sz w:val="30"/>
          <w:szCs w:val="30"/>
        </w:rPr>
        <w:t>三、响应文件</w:t>
      </w:r>
      <w:bookmarkEnd w:id="63"/>
      <w:bookmarkEnd w:id="64"/>
      <w:bookmarkEnd w:id="65"/>
      <w:bookmarkEnd w:id="66"/>
      <w:bookmarkEnd w:id="67"/>
      <w:bookmarkEnd w:id="68"/>
      <w:bookmarkEnd w:id="69"/>
    </w:p>
    <w:p w14:paraId="64978226">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70" w:name="_Toc17983"/>
      <w:bookmarkStart w:id="71" w:name="_Toc22063"/>
      <w:bookmarkStart w:id="72" w:name="_Toc2475"/>
      <w:bookmarkStart w:id="73" w:name="_Toc1096_WPSOffice_Level3"/>
      <w:bookmarkStart w:id="74" w:name="_Toc10843_WPSOffice_Level3"/>
      <w:bookmarkStart w:id="75" w:name="_Toc3622"/>
      <w:r>
        <w:rPr>
          <w:rFonts w:hint="eastAsia" w:ascii="楷体_GB2312" w:hAnsi="楷体_GB2312" w:eastAsia="楷体_GB2312" w:cs="楷体_GB2312"/>
          <w:sz w:val="24"/>
          <w:szCs w:val="24"/>
        </w:rPr>
        <w:t>8.一般要求</w:t>
      </w:r>
      <w:bookmarkEnd w:id="70"/>
      <w:bookmarkEnd w:id="71"/>
      <w:bookmarkEnd w:id="72"/>
      <w:bookmarkEnd w:id="73"/>
      <w:bookmarkEnd w:id="74"/>
      <w:bookmarkEnd w:id="75"/>
    </w:p>
    <w:p w14:paraId="6D686E2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5578BE4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09FD6E4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8.3除谈判文件中另有规定外，谈判响应文件所使用的度量衡单位，均须采用国家法定计量单位。未列明时应默认为我国法定计量单位。</w:t>
      </w:r>
    </w:p>
    <w:p w14:paraId="66C67EB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8.4响应文件应采用书面形式，电报、传真、电子邮件形式的响应文件概不接受。</w:t>
      </w:r>
    </w:p>
    <w:p w14:paraId="1D07AFE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8.5供应商应按谈判文件中提供的响应文件格式进行填写。</w:t>
      </w:r>
    </w:p>
    <w:p w14:paraId="52B98399">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76" w:name="_Toc14527_WPSOffice_Level3"/>
      <w:bookmarkStart w:id="77" w:name="_Toc18780"/>
      <w:bookmarkStart w:id="78" w:name="_Toc16030"/>
      <w:bookmarkStart w:id="79" w:name="_Toc20423_WPSOffice_Level3"/>
      <w:bookmarkStart w:id="80" w:name="_Toc12007"/>
      <w:r>
        <w:rPr>
          <w:rFonts w:hint="eastAsia" w:ascii="楷体_GB2312" w:hAnsi="楷体_GB2312" w:eastAsia="楷体_GB2312" w:cs="楷体_GB2312"/>
          <w:sz w:val="24"/>
          <w:szCs w:val="24"/>
        </w:rPr>
        <w:t>9.报价要求</w:t>
      </w:r>
      <w:bookmarkEnd w:id="76"/>
      <w:bookmarkEnd w:id="77"/>
      <w:bookmarkEnd w:id="78"/>
      <w:bookmarkEnd w:id="79"/>
      <w:bookmarkEnd w:id="80"/>
    </w:p>
    <w:p w14:paraId="0AEA4CB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9.1供应商应当根据谈判文件“分项报价表”逐一报价；</w:t>
      </w:r>
    </w:p>
    <w:p w14:paraId="07691BB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9.2在首次报价表、分项报价表、最后报价表填写报价时应注意下列要求：</w:t>
      </w:r>
    </w:p>
    <w:p w14:paraId="202DD3A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（1）采购需求要求的服务费用。</w:t>
      </w:r>
    </w:p>
    <w:p w14:paraId="62BF66F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（2）所有根据合同或其它原因应由供应商交纳和支付的税款和费用。</w:t>
      </w:r>
    </w:p>
    <w:p w14:paraId="0896DC2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（3）供应商报价应为完成本竞争性谈判文件中所要求的服务所应包括内容的所有价格。</w:t>
      </w:r>
    </w:p>
    <w:p w14:paraId="615AC0D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9.3</w:t>
      </w:r>
      <w:r>
        <w:rPr>
          <w:rFonts w:hint="eastAsia" w:ascii="仿宋_GB2312" w:hAnsi="仿宋_GB2312" w:eastAsia="仿宋_GB2312" w:cs="仿宋_GB2312"/>
          <w:sz w:val="24"/>
          <w:szCs w:val="24"/>
          <w:lang w:val="zh-CN"/>
        </w:rPr>
        <w:t>供应商</w:t>
      </w:r>
      <w:r>
        <w:rPr>
          <w:rFonts w:hint="eastAsia" w:ascii="仿宋_GB2312" w:hAnsi="仿宋_GB2312" w:eastAsia="仿宋_GB2312" w:cs="仿宋_GB2312"/>
          <w:sz w:val="24"/>
          <w:szCs w:val="24"/>
        </w:rPr>
        <w:t>的每次报价均不得超过采购项目预算，否则视为无效响应。采购项目预算见【谈判须知前附表】。</w:t>
      </w:r>
    </w:p>
    <w:p w14:paraId="6D52A84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9.4供应商提交的最后报价在合同执行过程中是固定不变的，不得以任何理由予以变更。以可变动价格提交的报价将被认为是非实质响应而被拒绝。</w:t>
      </w:r>
    </w:p>
    <w:p w14:paraId="5003F2C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9.5谈判报价为总价。供应商须按要求填写谈判总报价，最后报价不得出现两个或两个以上的报价方案。 </w:t>
      </w:r>
    </w:p>
    <w:p w14:paraId="1BF85AE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9.6报价币种为人民币。</w:t>
      </w:r>
    </w:p>
    <w:p w14:paraId="6A04902E">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81" w:name="_Toc19609_WPSOffice_Level3"/>
      <w:bookmarkStart w:id="82" w:name="_Toc30481"/>
      <w:bookmarkStart w:id="83" w:name="_Toc24956_WPSOffice_Level3"/>
      <w:bookmarkStart w:id="84" w:name="_Toc30839"/>
      <w:bookmarkStart w:id="85" w:name="_Toc27369"/>
      <w:r>
        <w:rPr>
          <w:rFonts w:hint="eastAsia" w:ascii="楷体_GB2312" w:hAnsi="楷体_GB2312" w:eastAsia="楷体_GB2312" w:cs="楷体_GB2312"/>
          <w:sz w:val="24"/>
          <w:szCs w:val="24"/>
        </w:rPr>
        <w:t>10.保证金</w:t>
      </w:r>
      <w:bookmarkEnd w:id="81"/>
      <w:bookmarkEnd w:id="82"/>
      <w:bookmarkEnd w:id="83"/>
      <w:bookmarkEnd w:id="84"/>
      <w:bookmarkEnd w:id="85"/>
    </w:p>
    <w:p w14:paraId="39E432C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1FFB3ED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10.2</w:t>
      </w:r>
      <w:r>
        <w:rPr>
          <w:rFonts w:hint="eastAsia" w:ascii="仿宋_GB2312" w:hAnsi="仿宋_GB2312" w:eastAsia="仿宋_GB2312" w:cs="仿宋_GB2312"/>
          <w:sz w:val="24"/>
          <w:szCs w:val="24"/>
          <w:lang w:val="zh-CN"/>
        </w:rPr>
        <w:t>供应商为联合体的，可以由联合体中的一方或者共同交纳保证金，其交纳的保证金，对联合体各方均具有约束力。</w:t>
      </w:r>
    </w:p>
    <w:p w14:paraId="4F55F0B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10.3保证金的退还按以下规定办理：</w:t>
      </w:r>
    </w:p>
    <w:p w14:paraId="5EACFBC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（1）成交供应商的保证金，在政府采购合同签订后5个工作日内退还，但因供应商自身原因导致无法退还的除外。</w:t>
      </w:r>
    </w:p>
    <w:p w14:paraId="551C9F2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（2）未成交供应商的保证金，在成交通知书发出后5个工作日内退还。</w:t>
      </w:r>
    </w:p>
    <w:p w14:paraId="278C488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（3）终止竞争性谈判采购活动的，在发布项目终止公告后5个工作日内退还。</w:t>
      </w:r>
    </w:p>
    <w:p w14:paraId="15C606E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10.4有下列情形之一的，保证金不予退还，并上缴同级财政国库：</w:t>
      </w:r>
    </w:p>
    <w:p w14:paraId="33E9B05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（1）供应商在提交响应文件截止时间后撤回响应文件的；</w:t>
      </w:r>
    </w:p>
    <w:p w14:paraId="10A6F69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（2）供应商在响应文件中提供虚假材料的；</w:t>
      </w:r>
    </w:p>
    <w:p w14:paraId="53D6DF8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（3）除因不可抗力或谈判文件认可的情形以外，成交供应商不与采购人签订合同的； </w:t>
      </w:r>
    </w:p>
    <w:p w14:paraId="46E6549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（4）供应商与采购人、其他供应商或者采购代理机构恶意串通的； </w:t>
      </w:r>
    </w:p>
    <w:p w14:paraId="64C4EED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（5）谈判文件规定的其他情形。</w:t>
      </w:r>
    </w:p>
    <w:p w14:paraId="7C8B2209">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86" w:name="_Toc26981"/>
      <w:bookmarkStart w:id="87" w:name="_Toc14144"/>
      <w:bookmarkStart w:id="88" w:name="_Toc5897"/>
      <w:bookmarkStart w:id="89" w:name="_Toc18765_WPSOffice_Level3"/>
      <w:bookmarkStart w:id="90" w:name="_Toc4945_WPSOffice_Level3"/>
      <w:r>
        <w:rPr>
          <w:rFonts w:hint="eastAsia" w:ascii="楷体_GB2312" w:hAnsi="楷体_GB2312" w:eastAsia="楷体_GB2312" w:cs="楷体_GB2312"/>
          <w:sz w:val="24"/>
          <w:szCs w:val="24"/>
        </w:rPr>
        <w:t>11.响应文件的组成</w:t>
      </w:r>
      <w:bookmarkEnd w:id="86"/>
      <w:bookmarkEnd w:id="87"/>
      <w:bookmarkEnd w:id="88"/>
      <w:bookmarkEnd w:id="89"/>
      <w:bookmarkEnd w:id="90"/>
    </w:p>
    <w:p w14:paraId="21E903C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11.1响应文件包括下列内容： </w:t>
      </w:r>
    </w:p>
    <w:p w14:paraId="7685A0D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供应商应提交相关证明材料，作为其参加谈判和成交后有能力履行合同的证明。编写的谈判响应文件须包括以下内容（格式详见谈判文件第四部分内容）：</w:t>
      </w:r>
    </w:p>
    <w:p w14:paraId="033D937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11.1.1</w:t>
      </w:r>
      <w:r>
        <w:rPr>
          <w:rFonts w:hint="eastAsia" w:ascii="仿宋_GB2312" w:hAnsi="仿宋_GB2312" w:eastAsia="仿宋_GB2312" w:cs="仿宋_GB2312"/>
          <w:sz w:val="24"/>
          <w:szCs w:val="24"/>
          <w:lang w:val="zh-CN"/>
        </w:rPr>
        <w:t>资格审查部分</w:t>
      </w:r>
    </w:p>
    <w:p w14:paraId="2F28265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1、响应函</w:t>
      </w:r>
    </w:p>
    <w:p w14:paraId="5FC94D4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2、法定代表人证明书</w:t>
      </w:r>
    </w:p>
    <w:p w14:paraId="4E3263C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3、法定代表人授权书</w:t>
      </w:r>
    </w:p>
    <w:p w14:paraId="71FEB50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4、供应商承诺函</w:t>
      </w:r>
    </w:p>
    <w:p w14:paraId="61964EA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5、供应商诚信承诺书</w:t>
      </w:r>
    </w:p>
    <w:p w14:paraId="0669A61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6、供应商资格证明文件</w:t>
      </w:r>
    </w:p>
    <w:p w14:paraId="5057BCD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7、财务状况、缴纳税收和社会保障资金证明</w:t>
      </w:r>
    </w:p>
    <w:p w14:paraId="2279AC8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8、无重大违法记录声明</w:t>
      </w:r>
    </w:p>
    <w:p w14:paraId="3B5232E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9、谈判保证金证明</w:t>
      </w:r>
    </w:p>
    <w:p w14:paraId="411AD3F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11.1.2有效性、完整性、响应程度审查</w:t>
      </w:r>
      <w:r>
        <w:rPr>
          <w:rFonts w:hint="eastAsia" w:ascii="仿宋_GB2312" w:hAnsi="仿宋_GB2312" w:eastAsia="仿宋_GB2312" w:cs="仿宋_GB2312"/>
          <w:sz w:val="24"/>
          <w:szCs w:val="24"/>
          <w:lang w:val="zh-CN"/>
        </w:rPr>
        <w:t>部分</w:t>
      </w:r>
    </w:p>
    <w:p w14:paraId="40D5C1B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1、谈判首次报价表</w:t>
      </w:r>
    </w:p>
    <w:p w14:paraId="324D92A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zh-CN"/>
        </w:rPr>
        <w:t>2、</w:t>
      </w:r>
      <w:r>
        <w:rPr>
          <w:rFonts w:hint="eastAsia" w:ascii="仿宋_GB2312" w:hAnsi="仿宋_GB2312" w:eastAsia="仿宋_GB2312" w:cs="仿宋_GB2312"/>
          <w:sz w:val="24"/>
          <w:szCs w:val="24"/>
          <w:lang w:val="en-US" w:eastAsia="zh-CN"/>
        </w:rPr>
        <w:t>已标价工程量清单</w:t>
      </w:r>
    </w:p>
    <w:p w14:paraId="2E94DEF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3、具备履行合同所必须的设备和专业技术能力证明</w:t>
      </w:r>
    </w:p>
    <w:p w14:paraId="3DA301C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zh-CN"/>
        </w:rPr>
        <w:t>、供应商认为在其他方面有必要说明的事项</w:t>
      </w:r>
    </w:p>
    <w:p w14:paraId="5BCA241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zh-CN"/>
        </w:rPr>
        <w:t>、享受政府采购政策优惠的证明资料</w:t>
      </w:r>
    </w:p>
    <w:p w14:paraId="4F59323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6、谈判最后报价表</w:t>
      </w:r>
    </w:p>
    <w:p w14:paraId="168D339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zh-CN"/>
        </w:rPr>
        <w:t>、其他证明材料</w:t>
      </w:r>
    </w:p>
    <w:p w14:paraId="36BF76C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供应商须按上述内容、顺序和格式编制响应文件，并按要求编制目录、页码，并保证所提供的全部资料真实可信，自愿承担相应责任。</w:t>
      </w:r>
    </w:p>
    <w:p w14:paraId="49FB621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11.2在谈判过程中，供应商根据谈判小组书面形式要求提交的最后报价是响应文件的有效组成部分。</w:t>
      </w:r>
    </w:p>
    <w:p w14:paraId="694DF4BC">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91" w:name="_Toc11674"/>
      <w:bookmarkStart w:id="92" w:name="_Toc26621"/>
      <w:bookmarkStart w:id="93" w:name="_Toc28283"/>
      <w:bookmarkStart w:id="94" w:name="_Toc3694_WPSOffice_Level3"/>
      <w:bookmarkStart w:id="95" w:name="_Toc14930_WPSOffice_Level3"/>
      <w:r>
        <w:rPr>
          <w:rFonts w:hint="eastAsia" w:ascii="楷体_GB2312" w:hAnsi="楷体_GB2312" w:eastAsia="楷体_GB2312" w:cs="楷体_GB2312"/>
          <w:sz w:val="24"/>
          <w:szCs w:val="24"/>
        </w:rPr>
        <w:t>12.响应文件有效期</w:t>
      </w:r>
      <w:bookmarkEnd w:id="91"/>
      <w:bookmarkEnd w:id="92"/>
      <w:bookmarkEnd w:id="93"/>
      <w:bookmarkEnd w:id="94"/>
      <w:bookmarkEnd w:id="95"/>
    </w:p>
    <w:p w14:paraId="14EFC08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响应文件有效期见【谈判须知前附表】，在此期间响应文件对供应商具有法律约束力，从提交首次响应文件截止时间之日起计算。响应文件有效期不足的将被视为无效响应。</w:t>
      </w:r>
    </w:p>
    <w:p w14:paraId="34F00472">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96" w:name="_Toc8507_WPSOffice_Level3"/>
      <w:bookmarkStart w:id="97" w:name="_Toc21033"/>
      <w:bookmarkStart w:id="98" w:name="_Toc20265"/>
      <w:bookmarkStart w:id="99" w:name="_Toc31682_WPSOffice_Level3"/>
      <w:bookmarkStart w:id="100" w:name="_Toc8136"/>
      <w:r>
        <w:rPr>
          <w:rFonts w:hint="eastAsia" w:ascii="楷体_GB2312" w:hAnsi="楷体_GB2312" w:eastAsia="楷体_GB2312" w:cs="楷体_GB2312"/>
          <w:sz w:val="24"/>
          <w:szCs w:val="24"/>
        </w:rPr>
        <w:t>13.响应文件的签署及规定</w:t>
      </w:r>
      <w:bookmarkEnd w:id="96"/>
      <w:bookmarkEnd w:id="97"/>
      <w:bookmarkEnd w:id="98"/>
      <w:bookmarkEnd w:id="99"/>
      <w:bookmarkEnd w:id="100"/>
    </w:p>
    <w:p w14:paraId="6BC2CB3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11E709C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 xml:space="preserve">13.2 </w:t>
      </w:r>
      <w:r>
        <w:rPr>
          <w:rFonts w:hint="eastAsia" w:ascii="仿宋_GB2312" w:hAnsi="仿宋_GB2312" w:eastAsia="仿宋_GB2312" w:cs="仿宋_GB2312"/>
          <w:sz w:val="24"/>
          <w:szCs w:val="24"/>
          <w:lang w:val="zh-CN"/>
        </w:rPr>
        <w:t>供应商应按照谈判文件所提供的文件格式，分别填写谈判文件第四部分的内容，应分别注明所提供服务的名称、要求、和价格等内容；谈判文件要求签字、盖章的地方必须由供应商的法定代表人或委托代理人签字、盖章。</w:t>
      </w:r>
    </w:p>
    <w:p w14:paraId="3EBE070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 响应文件不得行间插字，若有修改错漏处，应由供应商法定代表人或者其委托代理人签字、加盖公章。否则，将导致响应文件无效。</w:t>
      </w:r>
    </w:p>
    <w:p w14:paraId="0697B34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在谈判过程中，供应商按谈判文件规定和谈判小组</w:t>
      </w:r>
      <w:r>
        <w:rPr>
          <w:rFonts w:hint="eastAsia" w:ascii="仿宋_GB2312" w:hAnsi="仿宋_GB2312" w:eastAsia="仿宋_GB2312" w:cs="仿宋_GB2312"/>
          <w:sz w:val="24"/>
          <w:szCs w:val="24"/>
          <w:lang w:val="en-US" w:eastAsia="zh-CN"/>
        </w:rPr>
        <w:t>通过政采云平台发起的报价</w:t>
      </w:r>
      <w:r>
        <w:rPr>
          <w:rFonts w:hint="eastAsia" w:ascii="仿宋_GB2312" w:hAnsi="仿宋_GB2312" w:eastAsia="仿宋_GB2312" w:cs="仿宋_GB2312"/>
          <w:sz w:val="24"/>
          <w:szCs w:val="24"/>
        </w:rPr>
        <w:t>要求提交的最后报价(或者重新提交的响应文件和最后报价)。</w:t>
      </w:r>
    </w:p>
    <w:p w14:paraId="68CD6972">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101" w:name="_Toc32627_WPSOffice_Level2"/>
      <w:bookmarkStart w:id="102" w:name="_Toc25869"/>
      <w:bookmarkStart w:id="103" w:name="_Toc17315"/>
      <w:bookmarkStart w:id="104" w:name="_Toc24112_WPSOffice_Level2"/>
      <w:bookmarkStart w:id="105" w:name="_Toc30575"/>
      <w:bookmarkStart w:id="106" w:name="_Toc34637768"/>
      <w:bookmarkStart w:id="107" w:name="_Toc8361"/>
      <w:bookmarkStart w:id="108" w:name="_Toc31349_WPSOffice_Level2"/>
      <w:r>
        <w:rPr>
          <w:rFonts w:hint="eastAsia" w:ascii="黑体" w:hAnsi="黑体" w:eastAsia="黑体" w:cs="黑体"/>
          <w:sz w:val="30"/>
          <w:szCs w:val="30"/>
        </w:rPr>
        <w:t>四、响应文件的递交</w:t>
      </w:r>
      <w:bookmarkEnd w:id="101"/>
      <w:bookmarkEnd w:id="102"/>
      <w:bookmarkEnd w:id="103"/>
      <w:bookmarkEnd w:id="104"/>
      <w:bookmarkEnd w:id="105"/>
      <w:bookmarkEnd w:id="106"/>
      <w:bookmarkEnd w:id="107"/>
      <w:bookmarkEnd w:id="108"/>
    </w:p>
    <w:p w14:paraId="6C196D8D">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09" w:name="_Toc13231_WPSOffice_Level3"/>
      <w:bookmarkStart w:id="110" w:name="_Toc1241"/>
      <w:bookmarkStart w:id="111" w:name="_Toc405"/>
      <w:bookmarkStart w:id="112" w:name="_Toc7845_WPSOffice_Level3"/>
      <w:bookmarkStart w:id="113" w:name="_Toc18048"/>
      <w:r>
        <w:rPr>
          <w:rFonts w:hint="eastAsia" w:ascii="楷体_GB2312" w:hAnsi="楷体_GB2312" w:eastAsia="楷体_GB2312" w:cs="楷体_GB2312"/>
          <w:sz w:val="24"/>
          <w:szCs w:val="24"/>
        </w:rPr>
        <w:t>1</w:t>
      </w:r>
      <w:r>
        <w:rPr>
          <w:rFonts w:hint="eastAsia" w:ascii="楷体_GB2312" w:hAnsi="楷体_GB2312" w:eastAsia="楷体_GB2312" w:cs="楷体_GB2312"/>
          <w:sz w:val="24"/>
          <w:szCs w:val="24"/>
          <w:lang w:val="en-US" w:eastAsia="zh-CN"/>
        </w:rPr>
        <w:t>4</w:t>
      </w:r>
      <w:r>
        <w:rPr>
          <w:rFonts w:hint="eastAsia" w:ascii="楷体_GB2312" w:hAnsi="楷体_GB2312" w:eastAsia="楷体_GB2312" w:cs="楷体_GB2312"/>
          <w:sz w:val="24"/>
          <w:szCs w:val="24"/>
        </w:rPr>
        <w:t>.响应文件的递交</w:t>
      </w:r>
      <w:bookmarkEnd w:id="109"/>
      <w:bookmarkEnd w:id="110"/>
      <w:bookmarkEnd w:id="111"/>
      <w:bookmarkEnd w:id="112"/>
      <w:bookmarkEnd w:id="113"/>
    </w:p>
    <w:p w14:paraId="3F5E54B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供应商应在【谈判须知前附表】规定的时间和地点提交响应文件。将投标文件上传指定平台，任何单位和个人不得在开标前开启响应文件。</w:t>
      </w:r>
    </w:p>
    <w:p w14:paraId="041C95CE">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14" w:name="_Toc31959"/>
      <w:bookmarkStart w:id="115" w:name="_Toc19521_WPSOffice_Level3"/>
      <w:bookmarkStart w:id="116" w:name="_Toc5063_WPSOffice_Level3"/>
      <w:bookmarkStart w:id="117" w:name="_Toc17912"/>
      <w:bookmarkStart w:id="118" w:name="_Toc15490"/>
      <w:r>
        <w:rPr>
          <w:rFonts w:hint="eastAsia" w:ascii="楷体_GB2312" w:hAnsi="楷体_GB2312" w:eastAsia="楷体_GB2312" w:cs="楷体_GB2312"/>
          <w:sz w:val="24"/>
          <w:szCs w:val="24"/>
        </w:rPr>
        <w:t>1</w:t>
      </w:r>
      <w:r>
        <w:rPr>
          <w:rFonts w:hint="eastAsia" w:ascii="楷体_GB2312" w:hAnsi="楷体_GB2312" w:eastAsia="楷体_GB2312" w:cs="楷体_GB2312"/>
          <w:sz w:val="24"/>
          <w:szCs w:val="24"/>
          <w:lang w:val="en-US" w:eastAsia="zh-CN"/>
        </w:rPr>
        <w:t>5</w:t>
      </w:r>
      <w:r>
        <w:rPr>
          <w:rFonts w:hint="eastAsia" w:ascii="楷体_GB2312" w:hAnsi="楷体_GB2312" w:eastAsia="楷体_GB2312" w:cs="楷体_GB2312"/>
          <w:sz w:val="24"/>
          <w:szCs w:val="24"/>
        </w:rPr>
        <w:t>.响应文件的</w:t>
      </w:r>
      <w:r>
        <w:rPr>
          <w:rFonts w:hint="eastAsia" w:ascii="楷体_GB2312" w:hAnsi="楷体_GB2312" w:eastAsia="楷体_GB2312" w:cs="楷体_GB2312"/>
          <w:sz w:val="24"/>
          <w:szCs w:val="24"/>
          <w:lang w:val="zh-CN"/>
        </w:rPr>
        <w:t>补充、修改或者撤回</w:t>
      </w:r>
      <w:bookmarkEnd w:id="114"/>
      <w:bookmarkEnd w:id="115"/>
      <w:bookmarkEnd w:id="116"/>
      <w:bookmarkEnd w:id="117"/>
      <w:bookmarkEnd w:id="118"/>
    </w:p>
    <w:p w14:paraId="1363791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bookmarkStart w:id="119" w:name="_Toc32435"/>
      <w:bookmarkStart w:id="120" w:name="_Toc34637769"/>
      <w:r>
        <w:rPr>
          <w:rFonts w:hint="eastAsia" w:ascii="仿宋_GB2312" w:hAnsi="仿宋_GB2312" w:eastAsia="仿宋_GB2312" w:cs="仿宋_GB2312"/>
          <w:sz w:val="24"/>
          <w:szCs w:val="24"/>
        </w:rPr>
        <w:t>供应商在谈判截止时间前，可以对所递交的响应文件进行补充、修改或者撤回，并通知采购人或者采购代理机构。补充、修改的内容作为响应文件的组成部分，补充、修改的内容与响应文件不一致的，以补充、修改的内容为准。</w:t>
      </w:r>
      <w:bookmarkEnd w:id="119"/>
    </w:p>
    <w:p w14:paraId="04D365BC">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121" w:name="_Toc18610_WPSOffice_Level2"/>
      <w:bookmarkStart w:id="122" w:name="_Toc31993"/>
      <w:bookmarkStart w:id="123" w:name="_Toc24988"/>
      <w:bookmarkStart w:id="124" w:name="_Toc25721_WPSOffice_Level2"/>
      <w:bookmarkStart w:id="125" w:name="_Toc10968"/>
      <w:bookmarkStart w:id="126" w:name="_Toc29785_WPSOffice_Level2"/>
      <w:bookmarkStart w:id="127" w:name="_Toc12974"/>
      <w:r>
        <w:rPr>
          <w:rFonts w:hint="eastAsia" w:ascii="黑体" w:hAnsi="黑体" w:eastAsia="黑体" w:cs="黑体"/>
          <w:sz w:val="30"/>
          <w:szCs w:val="30"/>
        </w:rPr>
        <w:t>五、响应文件的评审与谈判</w:t>
      </w:r>
      <w:bookmarkEnd w:id="120"/>
      <w:bookmarkEnd w:id="121"/>
      <w:bookmarkEnd w:id="122"/>
      <w:bookmarkEnd w:id="123"/>
      <w:bookmarkEnd w:id="124"/>
      <w:bookmarkEnd w:id="125"/>
      <w:bookmarkEnd w:id="126"/>
      <w:bookmarkEnd w:id="127"/>
    </w:p>
    <w:p w14:paraId="69D460D6">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28" w:name="_Toc174"/>
      <w:bookmarkStart w:id="129" w:name="_Toc19596_WPSOffice_Level3"/>
      <w:bookmarkStart w:id="130" w:name="_Toc27488"/>
      <w:bookmarkStart w:id="131" w:name="_Toc26446"/>
      <w:bookmarkStart w:id="132" w:name="_Toc18713_WPSOffice_Level3"/>
      <w:r>
        <w:rPr>
          <w:rFonts w:hint="eastAsia" w:ascii="楷体_GB2312" w:hAnsi="楷体_GB2312" w:eastAsia="楷体_GB2312" w:cs="楷体_GB2312"/>
          <w:sz w:val="24"/>
          <w:szCs w:val="24"/>
        </w:rPr>
        <w:t>1</w:t>
      </w:r>
      <w:r>
        <w:rPr>
          <w:rFonts w:hint="eastAsia" w:ascii="楷体_GB2312" w:hAnsi="楷体_GB2312" w:eastAsia="楷体_GB2312" w:cs="楷体_GB2312"/>
          <w:sz w:val="24"/>
          <w:szCs w:val="24"/>
          <w:lang w:val="en-US" w:eastAsia="zh-CN"/>
        </w:rPr>
        <w:t>6</w:t>
      </w:r>
      <w:r>
        <w:rPr>
          <w:rFonts w:hint="eastAsia" w:ascii="楷体_GB2312" w:hAnsi="楷体_GB2312" w:eastAsia="楷体_GB2312" w:cs="楷体_GB2312"/>
          <w:sz w:val="24"/>
          <w:szCs w:val="24"/>
        </w:rPr>
        <w:t>.谈判小组</w:t>
      </w:r>
      <w:bookmarkEnd w:id="128"/>
      <w:bookmarkEnd w:id="129"/>
      <w:bookmarkEnd w:id="130"/>
      <w:bookmarkEnd w:id="131"/>
      <w:bookmarkEnd w:id="132"/>
    </w:p>
    <w:p w14:paraId="300C173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1竞争性谈判小组由采购人代表和评审专家共人组成（3人以上单数组成），其中评审专家名（评审专家人数不得少于竞争性谈判小组成员总数的2/3）。采购人不得以评审专家身份参加本采购项目的评审。谈判小组评审专家从政府采购评审专家库内相关专业的专家名单中随机抽取。</w:t>
      </w:r>
    </w:p>
    <w:p w14:paraId="37247A6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.2谈判由采购代理机构负责组织，具体谈判事务由依法组建的谈判小组负责，并独立履行下列职责：</w:t>
      </w:r>
    </w:p>
    <w:p w14:paraId="6485939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（1）确认谈判文件；</w:t>
      </w:r>
    </w:p>
    <w:p w14:paraId="76E9DAA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（2）审查供应商的响应文件并作出评价；</w:t>
      </w:r>
    </w:p>
    <w:p w14:paraId="1FF3331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（3）要求供应商对谈判文件有关事项作出澄清或者说明；</w:t>
      </w:r>
    </w:p>
    <w:p w14:paraId="511454F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（4）编写评审报告；</w:t>
      </w:r>
    </w:p>
    <w:p w14:paraId="1A78CDA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（5）确定成交候选人名单，以及根据采购人委托直接确定成交供应商；</w:t>
      </w:r>
    </w:p>
    <w:p w14:paraId="496BEDB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（6）告知采购人、采购代理机构在评审过程中发现的供应商的违法违规行为。</w:t>
      </w:r>
    </w:p>
    <w:p w14:paraId="767DA08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.3谈判小组应遵守并履行下列义务：</w:t>
      </w:r>
    </w:p>
    <w:p w14:paraId="504B9C0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（1）遵纪守法，客观、公正、廉洁地履行职责；</w:t>
      </w:r>
    </w:p>
    <w:p w14:paraId="4D1EF04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（2）按照谈判文件规定的成交方法评审，对评审意见承担谈判小组成员责任；</w:t>
      </w:r>
    </w:p>
    <w:p w14:paraId="7B159C3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（3）对谈判响应文件、谈判情况和谈判中获悉的国家秘密、商业秘密保密；</w:t>
      </w:r>
    </w:p>
    <w:p w14:paraId="6E07425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（4）参与评审报告的起草；</w:t>
      </w:r>
    </w:p>
    <w:p w14:paraId="536CD04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（5）配合采购人、采购代理机构答复供应商提出的质疑；</w:t>
      </w:r>
    </w:p>
    <w:p w14:paraId="7228BB5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（6）配合财政部门的投诉处理和监督检查工作。</w:t>
      </w:r>
    </w:p>
    <w:p w14:paraId="25AF349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.4谈判小组成员有下列情形之一的，应当回避：</w:t>
      </w:r>
    </w:p>
    <w:p w14:paraId="027E85D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（1）参加采购活动前 3 年内与供应商存在劳动关系；</w:t>
      </w:r>
    </w:p>
    <w:p w14:paraId="2B86DD0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（2）参加采购活动前 3 年内担任供应商的董事、监事；</w:t>
      </w:r>
    </w:p>
    <w:p w14:paraId="035D529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（3）参加采购活动前 3 年内是供应商的控股股东或者实际控制人；</w:t>
      </w:r>
    </w:p>
    <w:p w14:paraId="7CF5507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（4）与供应商的法定代表人或者负责人有夫妻、直系血亲、三代以内旁系血亲或者近姻亲关系；</w:t>
      </w:r>
    </w:p>
    <w:p w14:paraId="76AA5FF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（5）与供应商有其他可能影响政府采购活动公平、公正进行的关系。</w:t>
      </w:r>
      <w:bookmarkStart w:id="133" w:name="_Toc19122"/>
      <w:bookmarkStart w:id="134" w:name="_Toc16350_WPSOffice_Level3"/>
    </w:p>
    <w:p w14:paraId="118DA4CB">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35" w:name="_Toc13002"/>
      <w:bookmarkStart w:id="136" w:name="_Toc22044_WPSOffice_Level3"/>
      <w:r>
        <w:rPr>
          <w:rFonts w:hint="eastAsia" w:ascii="楷体_GB2312" w:hAnsi="楷体_GB2312" w:eastAsia="楷体_GB2312" w:cs="楷体_GB2312"/>
          <w:sz w:val="24"/>
          <w:szCs w:val="24"/>
        </w:rPr>
        <w:t>1</w:t>
      </w:r>
      <w:r>
        <w:rPr>
          <w:rFonts w:hint="eastAsia" w:ascii="楷体_GB2312" w:hAnsi="楷体_GB2312" w:eastAsia="楷体_GB2312" w:cs="楷体_GB2312"/>
          <w:sz w:val="24"/>
          <w:szCs w:val="24"/>
          <w:lang w:val="en-US" w:eastAsia="zh-CN"/>
        </w:rPr>
        <w:t>7</w:t>
      </w:r>
      <w:r>
        <w:rPr>
          <w:rFonts w:hint="eastAsia" w:ascii="楷体_GB2312" w:hAnsi="楷体_GB2312" w:eastAsia="楷体_GB2312" w:cs="楷体_GB2312"/>
          <w:sz w:val="24"/>
          <w:szCs w:val="24"/>
        </w:rPr>
        <w:t>.响应文件审查</w:t>
      </w:r>
      <w:bookmarkEnd w:id="133"/>
      <w:bookmarkEnd w:id="134"/>
      <w:bookmarkEnd w:id="135"/>
      <w:bookmarkEnd w:id="136"/>
    </w:p>
    <w:p w14:paraId="41E22C4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18.1谈判小组应当对响应文件进行评审，并根据谈判文件规定的程序、评定成交的标准等事项与实质性响应谈判文件要求的供应商进行谈判。</w:t>
      </w:r>
    </w:p>
    <w:p w14:paraId="12FD72E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18.2在对供应商进行审查时，存在下列情况之一的，按无效处理：</w:t>
      </w:r>
    </w:p>
    <w:p w14:paraId="3845CA5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（1）不符合谈判文件第一部分谈判须知前附表“供应商资格条件”的；</w:t>
      </w:r>
    </w:p>
    <w:p w14:paraId="71C89CF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（2）未按第11.1.1款“</w:t>
      </w:r>
      <w:r>
        <w:rPr>
          <w:rFonts w:hint="eastAsia" w:ascii="仿宋_GB2312" w:hAnsi="仿宋_GB2312" w:eastAsia="仿宋_GB2312" w:cs="仿宋_GB2312"/>
          <w:sz w:val="24"/>
          <w:szCs w:val="24"/>
          <w:lang w:val="zh-CN"/>
        </w:rPr>
        <w:t>资格审查部分</w:t>
      </w:r>
      <w:r>
        <w:rPr>
          <w:rFonts w:hint="eastAsia" w:ascii="仿宋_GB2312" w:hAnsi="仿宋_GB2312" w:eastAsia="仿宋_GB2312" w:cs="仿宋_GB2312"/>
          <w:sz w:val="24"/>
          <w:szCs w:val="24"/>
        </w:rPr>
        <w:t>”要求提供相关资料的；</w:t>
      </w:r>
    </w:p>
    <w:p w14:paraId="1683EEA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（3）响应文件没有按谈判文件规定和要求签字、盖章的；</w:t>
      </w:r>
    </w:p>
    <w:p w14:paraId="5532E8F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（4）谈判有效期不能满足谈判文件要求的；</w:t>
      </w:r>
    </w:p>
    <w:p w14:paraId="56B7B8F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（5）谈判报价超过谈判文件规定的采购预算额度的；</w:t>
      </w:r>
    </w:p>
    <w:p w14:paraId="171EBDB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（6）所提供服务不符合采购项目要求的；</w:t>
      </w:r>
    </w:p>
    <w:p w14:paraId="43692C8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（7）谈判响应文件含有采购人不能接受的附加条件的；</w:t>
      </w:r>
    </w:p>
    <w:p w14:paraId="39B3C16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（8）响应文件不满足谈判文件实质性要求和条件的；</w:t>
      </w:r>
    </w:p>
    <w:p w14:paraId="269D63F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（9）谈判小组认为应按无效谈判处理的其他情况；</w:t>
      </w:r>
    </w:p>
    <w:p w14:paraId="00EDE60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（10）法律、法规规定的其他情形。</w:t>
      </w:r>
    </w:p>
    <w:p w14:paraId="79C7BF32">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37" w:name="_Toc32410"/>
      <w:bookmarkStart w:id="138" w:name="_Toc11154"/>
      <w:bookmarkStart w:id="139" w:name="_Toc1673_WPSOffice_Level3"/>
      <w:bookmarkStart w:id="140" w:name="_Toc17197"/>
      <w:bookmarkStart w:id="141" w:name="_Toc17887_WPSOffice_Level3"/>
      <w:r>
        <w:rPr>
          <w:rFonts w:hint="eastAsia" w:ascii="楷体_GB2312" w:hAnsi="楷体_GB2312" w:eastAsia="楷体_GB2312" w:cs="楷体_GB2312"/>
          <w:sz w:val="24"/>
          <w:szCs w:val="24"/>
        </w:rPr>
        <w:t>1</w:t>
      </w:r>
      <w:r>
        <w:rPr>
          <w:rFonts w:hint="eastAsia" w:ascii="楷体_GB2312" w:hAnsi="楷体_GB2312" w:eastAsia="楷体_GB2312" w:cs="楷体_GB2312"/>
          <w:sz w:val="24"/>
          <w:szCs w:val="24"/>
          <w:lang w:val="en-US" w:eastAsia="zh-CN"/>
        </w:rPr>
        <w:t>8</w:t>
      </w:r>
      <w:r>
        <w:rPr>
          <w:rFonts w:hint="eastAsia" w:ascii="楷体_GB2312" w:hAnsi="楷体_GB2312" w:eastAsia="楷体_GB2312" w:cs="楷体_GB2312"/>
          <w:sz w:val="24"/>
          <w:szCs w:val="24"/>
        </w:rPr>
        <w:t>.谈判程序</w:t>
      </w:r>
      <w:bookmarkEnd w:id="137"/>
      <w:bookmarkEnd w:id="138"/>
      <w:bookmarkEnd w:id="139"/>
      <w:bookmarkEnd w:id="140"/>
      <w:bookmarkEnd w:id="141"/>
    </w:p>
    <w:p w14:paraId="72C195A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7FDA574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.2在谈判过程中，</w:t>
      </w:r>
      <w:r>
        <w:rPr>
          <w:rFonts w:hint="eastAsia" w:ascii="仿宋_GB2312" w:hAnsi="仿宋_GB2312" w:eastAsia="仿宋_GB2312" w:cs="仿宋_GB2312"/>
          <w:sz w:val="24"/>
          <w:szCs w:val="24"/>
          <w:u w:val="single"/>
        </w:rPr>
        <w:t>谈判小组可以根据谈判文件和谈判情况实质性变动技术标准及要求中的技术、服务要求以及合同草案条款，但不得变动谈判文件中的其他内容</w:t>
      </w:r>
      <w:r>
        <w:rPr>
          <w:rFonts w:hint="eastAsia" w:ascii="仿宋_GB2312" w:hAnsi="仿宋_GB2312" w:eastAsia="仿宋_GB2312" w:cs="仿宋_GB2312"/>
          <w:sz w:val="24"/>
          <w:szCs w:val="24"/>
        </w:rPr>
        <w:t>。实质性变动的内容，须经采购人代表确认，谈判小组将以书面形式将修改内容同时通知所有参加谈判的供应商。</w:t>
      </w:r>
    </w:p>
    <w:p w14:paraId="6093361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u w:val="singl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6CE757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.4响应文件中首次报价表内的报价为首次报价，根据技术、服务等满足谈判文件要求的情况，供应商可进行二次报价。</w:t>
      </w:r>
    </w:p>
    <w:p w14:paraId="20C9604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u w:val="single"/>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208A07C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.6谈判工作在有关部门的监督下依法开展，任何单位和个人不得非法干预、影响谈判工作和谈判结果。</w:t>
      </w:r>
    </w:p>
    <w:p w14:paraId="3A383AE0">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42" w:name="_Toc24288_WPSOffice_Level3"/>
      <w:bookmarkStart w:id="143" w:name="_Toc14903"/>
      <w:bookmarkStart w:id="144" w:name="_Toc1137"/>
      <w:bookmarkStart w:id="145" w:name="_Toc25644_WPSOffice_Level3"/>
      <w:bookmarkStart w:id="146" w:name="_Toc2176"/>
      <w:r>
        <w:rPr>
          <w:rFonts w:hint="eastAsia" w:ascii="楷体_GB2312" w:hAnsi="楷体_GB2312" w:eastAsia="楷体_GB2312" w:cs="楷体_GB2312"/>
          <w:sz w:val="24"/>
          <w:szCs w:val="24"/>
          <w:lang w:val="en-US" w:eastAsia="zh-CN"/>
        </w:rPr>
        <w:t>19</w:t>
      </w:r>
      <w:r>
        <w:rPr>
          <w:rFonts w:hint="eastAsia" w:ascii="楷体_GB2312" w:hAnsi="楷体_GB2312" w:eastAsia="楷体_GB2312" w:cs="楷体_GB2312"/>
          <w:sz w:val="24"/>
          <w:szCs w:val="24"/>
        </w:rPr>
        <w:t>.澄清</w:t>
      </w:r>
      <w:bookmarkEnd w:id="142"/>
      <w:bookmarkEnd w:id="143"/>
      <w:bookmarkEnd w:id="144"/>
      <w:bookmarkEnd w:id="145"/>
      <w:bookmarkEnd w:id="146"/>
    </w:p>
    <w:p w14:paraId="154CB25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307DDF1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15A9D43B">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47" w:name="_Toc2242"/>
      <w:bookmarkStart w:id="148" w:name="_Toc6898_WPSOffice_Level3"/>
      <w:bookmarkStart w:id="149" w:name="_Toc4997"/>
      <w:bookmarkStart w:id="150" w:name="_Toc8374"/>
      <w:bookmarkStart w:id="151" w:name="_Toc13262_WPSOffice_Level3"/>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0</w:t>
      </w:r>
      <w:r>
        <w:rPr>
          <w:rFonts w:hint="eastAsia" w:ascii="楷体_GB2312" w:hAnsi="楷体_GB2312" w:eastAsia="楷体_GB2312" w:cs="楷体_GB2312"/>
          <w:sz w:val="24"/>
          <w:szCs w:val="24"/>
        </w:rPr>
        <w:t>.退出谈判</w:t>
      </w:r>
      <w:bookmarkEnd w:id="147"/>
      <w:bookmarkEnd w:id="148"/>
      <w:bookmarkEnd w:id="149"/>
      <w:bookmarkEnd w:id="150"/>
      <w:bookmarkEnd w:id="151"/>
    </w:p>
    <w:p w14:paraId="011A422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23F7937C">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52" w:name="_Toc5048_WPSOffice_Level3"/>
      <w:bookmarkStart w:id="153" w:name="_Toc32003"/>
      <w:bookmarkStart w:id="154" w:name="_Toc14748"/>
      <w:bookmarkStart w:id="155" w:name="_Toc18169_WPSOffice_Level3"/>
      <w:bookmarkStart w:id="156" w:name="_Toc1342"/>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1</w:t>
      </w:r>
      <w:r>
        <w:rPr>
          <w:rFonts w:hint="eastAsia" w:ascii="楷体_GB2312" w:hAnsi="楷体_GB2312" w:eastAsia="楷体_GB2312" w:cs="楷体_GB2312"/>
          <w:sz w:val="24"/>
          <w:szCs w:val="24"/>
        </w:rPr>
        <w:t>.最后报价</w:t>
      </w:r>
      <w:bookmarkEnd w:id="152"/>
      <w:bookmarkEnd w:id="153"/>
      <w:bookmarkEnd w:id="154"/>
      <w:bookmarkEnd w:id="155"/>
      <w:bookmarkEnd w:id="156"/>
    </w:p>
    <w:p w14:paraId="691FAD6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6CD9604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u w:val="single"/>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69394F4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.3最后报价的评审</w:t>
      </w:r>
    </w:p>
    <w:p w14:paraId="62FE340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（1）最后报价出现大写金额和小写金额不一致的，以大写金额为准。</w:t>
      </w:r>
    </w:p>
    <w:p w14:paraId="15E355B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（2）需落实政府采购政策的，按相关规定进行价格扣除。</w:t>
      </w:r>
    </w:p>
    <w:p w14:paraId="515D8B1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u w:val="single"/>
        </w:rPr>
        <w:t>最后报价如果高于其响应文件中的首次报价的，以最后报价为准。</w:t>
      </w:r>
    </w:p>
    <w:p w14:paraId="52EA016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.5采购人、采购代理机构在按规定公布供应商的最后报价前，不得公开供应商的技术资料、价格和其他信息。</w:t>
      </w:r>
    </w:p>
    <w:p w14:paraId="6FD885F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u w:val="single"/>
        </w:rPr>
        <w:t>若最后报价时出现最低价相同的情形，谈判小组应召集报价相同的供应商进行再次报价（或直接提出成交候选人）</w:t>
      </w:r>
      <w:r>
        <w:rPr>
          <w:rFonts w:hint="eastAsia" w:ascii="仿宋_GB2312" w:hAnsi="仿宋_GB2312" w:eastAsia="仿宋_GB2312" w:cs="仿宋_GB2312"/>
          <w:sz w:val="24"/>
          <w:szCs w:val="24"/>
        </w:rPr>
        <w:t>（由采购人、代理机构自主选择）。</w:t>
      </w:r>
    </w:p>
    <w:p w14:paraId="45ACA2E4">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57" w:name="_Toc16084_WPSOffice_Level3"/>
      <w:bookmarkStart w:id="158" w:name="_Toc8242_WPSOffice_Level3"/>
      <w:bookmarkStart w:id="159" w:name="_Toc1797"/>
      <w:bookmarkStart w:id="160" w:name="_Toc7275"/>
      <w:bookmarkStart w:id="161" w:name="_Toc21167"/>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2</w:t>
      </w:r>
      <w:r>
        <w:rPr>
          <w:rFonts w:hint="eastAsia" w:ascii="楷体_GB2312" w:hAnsi="楷体_GB2312" w:eastAsia="楷体_GB2312" w:cs="楷体_GB2312"/>
          <w:sz w:val="24"/>
          <w:szCs w:val="24"/>
        </w:rPr>
        <w:t>.确定成交供应商</w:t>
      </w:r>
      <w:bookmarkEnd w:id="157"/>
      <w:bookmarkEnd w:id="158"/>
      <w:bookmarkEnd w:id="159"/>
      <w:bookmarkEnd w:id="160"/>
      <w:bookmarkEnd w:id="161"/>
    </w:p>
    <w:p w14:paraId="5FD9999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14:paraId="41FE4BB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DF0408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.3采购代理机构应当在评审结束后2个工作日内将评审报告送采购人确认。</w:t>
      </w:r>
    </w:p>
    <w:p w14:paraId="6F1F3F0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64F7617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.5采购人逾期未确定成交供应商且不提出异议的，视为确定评审报告提出的最后报价最低的供应商为成交供应商。</w:t>
      </w:r>
    </w:p>
    <w:p w14:paraId="202C0347">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62" w:name="_Toc10295"/>
      <w:bookmarkStart w:id="163" w:name="_Toc17639_WPSOffice_Level3"/>
      <w:bookmarkStart w:id="164" w:name="_Toc24684"/>
      <w:bookmarkStart w:id="165" w:name="_Toc20869_WPSOffice_Level3"/>
      <w:bookmarkStart w:id="166" w:name="_Toc17436"/>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3</w:t>
      </w:r>
      <w:r>
        <w:rPr>
          <w:rFonts w:hint="eastAsia" w:ascii="楷体_GB2312" w:hAnsi="楷体_GB2312" w:eastAsia="楷体_GB2312" w:cs="楷体_GB2312"/>
          <w:sz w:val="24"/>
          <w:szCs w:val="24"/>
        </w:rPr>
        <w:t>.重新评审</w:t>
      </w:r>
      <w:bookmarkEnd w:id="162"/>
      <w:bookmarkEnd w:id="163"/>
      <w:bookmarkEnd w:id="164"/>
      <w:bookmarkEnd w:id="165"/>
      <w:bookmarkEnd w:id="166"/>
    </w:p>
    <w:p w14:paraId="3EC5F86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.1除资格审查认定错误和价格计算错误外，采购人、采购代理机构不以任何理由组织重新评审。</w:t>
      </w:r>
    </w:p>
    <w:p w14:paraId="3E8089B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.2采购人、采购代理机构发现谈判小组未按照谈判文件规定的评定成交标准进行评审的，应当重新开展采购活动，并同时书面报告同级财政部门。</w:t>
      </w:r>
    </w:p>
    <w:p w14:paraId="4500D972">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67" w:name="_Toc26374_WPSOffice_Level3"/>
      <w:bookmarkStart w:id="168" w:name="_Toc1388_WPSOffice_Level3"/>
      <w:bookmarkStart w:id="169" w:name="_Toc12673"/>
      <w:bookmarkStart w:id="170" w:name="_Toc15179"/>
      <w:bookmarkStart w:id="171" w:name="_Toc3509"/>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4</w:t>
      </w:r>
      <w:r>
        <w:rPr>
          <w:rFonts w:hint="eastAsia" w:ascii="楷体_GB2312" w:hAnsi="楷体_GB2312" w:eastAsia="楷体_GB2312" w:cs="楷体_GB2312"/>
          <w:sz w:val="24"/>
          <w:szCs w:val="24"/>
        </w:rPr>
        <w:t>.谈判终止</w:t>
      </w:r>
      <w:bookmarkEnd w:id="167"/>
      <w:bookmarkEnd w:id="168"/>
      <w:bookmarkEnd w:id="169"/>
      <w:bookmarkEnd w:id="170"/>
      <w:bookmarkEnd w:id="171"/>
    </w:p>
    <w:p w14:paraId="3A55E23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 xml:space="preserve">.1出现下列情形之一的，采购人、采购代理机构应当终止竞争性谈判采购活动，在指定的媒体上发布项目终止公告并说明原因，重新开展采购活动： </w:t>
      </w:r>
    </w:p>
    <w:p w14:paraId="3B49B96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（1）因情况变化，不再符合规定的竞争性谈判采购方式适用情形的；</w:t>
      </w:r>
    </w:p>
    <w:p w14:paraId="0F2985B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（2）出现影响采购公正的违法、违规行为的；</w:t>
      </w:r>
    </w:p>
    <w:p w14:paraId="370A120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（3）在采购过程中符合谈判要求的供应商或者报价未超过采购预算的供应商不足3家的，或者提交最后报价的供应商少于3家的；</w:t>
      </w:r>
    </w:p>
    <w:p w14:paraId="7E741C7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（4）因重大变故，采购任务取消的。</w:t>
      </w:r>
    </w:p>
    <w:p w14:paraId="370983B5">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72" w:name="_Toc11721"/>
      <w:bookmarkStart w:id="173" w:name="_Toc18635_WPSOffice_Level3"/>
      <w:bookmarkStart w:id="174" w:name="_Toc20688_WPSOffice_Level3"/>
      <w:bookmarkStart w:id="175" w:name="_Toc10575"/>
      <w:bookmarkStart w:id="176" w:name="_Toc32730"/>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5</w:t>
      </w:r>
      <w:r>
        <w:rPr>
          <w:rFonts w:hint="eastAsia" w:ascii="楷体_GB2312" w:hAnsi="楷体_GB2312" w:eastAsia="楷体_GB2312" w:cs="楷体_GB2312"/>
          <w:sz w:val="24"/>
          <w:szCs w:val="24"/>
        </w:rPr>
        <w:t>.串通情形认定及处理</w:t>
      </w:r>
      <w:bookmarkEnd w:id="172"/>
      <w:bookmarkEnd w:id="173"/>
      <w:bookmarkEnd w:id="174"/>
      <w:bookmarkEnd w:id="175"/>
      <w:bookmarkEnd w:id="176"/>
    </w:p>
    <w:p w14:paraId="08D56314">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仿宋" w:hAnsi="仿宋" w:eastAsia="仿宋" w:cs="仿宋"/>
          <w:sz w:val="24"/>
          <w:szCs w:val="24"/>
        </w:rPr>
        <w:t>采购工作。</w:t>
      </w:r>
    </w:p>
    <w:p w14:paraId="7C6AB648">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.2有下列情形之一的，成交无效，对供应商</w:t>
      </w:r>
      <w:r>
        <w:rPr>
          <w:rFonts w:hint="eastAsia" w:ascii="仿宋" w:hAnsi="仿宋" w:eastAsia="仿宋" w:cs="仿宋"/>
          <w:sz w:val="24"/>
          <w:szCs w:val="24"/>
          <w:lang w:val="zh-CN"/>
        </w:rPr>
        <w:t>依照《政府采购法》第七十七条的规定追究法律责任：</w:t>
      </w:r>
    </w:p>
    <w:p w14:paraId="63657B56">
      <w:pPr>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4"/>
          <w:szCs w:val="24"/>
          <w:lang w:eastAsia="zh-CN"/>
        </w:rPr>
      </w:pPr>
      <w:bookmarkStart w:id="177" w:name="_Toc22761"/>
      <w:bookmarkStart w:id="178" w:name="_Toc34637770"/>
      <w:r>
        <w:rPr>
          <w:rFonts w:hint="eastAsia" w:ascii="仿宋" w:hAnsi="仿宋" w:eastAsia="仿宋" w:cs="仿宋"/>
          <w:sz w:val="24"/>
          <w:szCs w:val="24"/>
        </w:rPr>
        <w:t xml:space="preserve">   （1）供应商直接或者间接从采购人或者采购代理机构处获得其他供应商的相关情况并修改其响应文件；</w:t>
      </w:r>
    </w:p>
    <w:p w14:paraId="178DBEE7">
      <w:pPr>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（2）供应商按照采购人或者采购代理机构的授意撤换、修改响应文件；</w:t>
      </w:r>
    </w:p>
    <w:p w14:paraId="3F24E1A4">
      <w:pPr>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（3）供应商之间协商报价、技术方案等响应文件的实质性内容；</w:t>
      </w:r>
    </w:p>
    <w:p w14:paraId="491E587F">
      <w:pPr>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（4）属于同一集团、协会、商会等组织成员的供应商按照该组织要求协同参加政府采购活动；</w:t>
      </w:r>
    </w:p>
    <w:p w14:paraId="14694EBA">
      <w:pPr>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（5）供应商之间事先约定由某一特定供应商成交；</w:t>
      </w:r>
    </w:p>
    <w:p w14:paraId="46C73C42">
      <w:pPr>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（6）供应商之间商定部分供应商放弃参加政府采购活动或者放弃成交；</w:t>
      </w:r>
    </w:p>
    <w:p w14:paraId="49422710">
      <w:pPr>
        <w:pageBreakBefore w:val="0"/>
        <w:widowControl w:val="0"/>
        <w:kinsoku/>
        <w:wordWrap/>
        <w:overflowPunct/>
        <w:topLinePunct w:val="0"/>
        <w:autoSpaceDE/>
        <w:autoSpaceDN/>
        <w:bidi w:val="0"/>
        <w:spacing w:line="500" w:lineRule="exact"/>
        <w:textAlignment w:val="auto"/>
        <w:rPr>
          <w:rFonts w:ascii="仿宋" w:hAnsi="仿宋" w:eastAsia="仿宋" w:cs="仿宋"/>
          <w:sz w:val="24"/>
          <w:szCs w:val="24"/>
        </w:rPr>
      </w:pPr>
      <w:r>
        <w:rPr>
          <w:rFonts w:hint="eastAsia" w:ascii="仿宋" w:hAnsi="仿宋" w:eastAsia="仿宋" w:cs="仿宋"/>
          <w:sz w:val="24"/>
          <w:szCs w:val="24"/>
        </w:rPr>
        <w:t xml:space="preserve">   （7）供应商与采购人或者采购代理机构之间、供应商相互之间，为谋求特定供应商成交或者排斥其他供应商的其他串通行为。</w:t>
      </w:r>
    </w:p>
    <w:p w14:paraId="361899A7">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26.3 有下列情形之一的，视为供应商串通，其响应无效：</w:t>
      </w:r>
    </w:p>
    <w:p w14:paraId="688017C7">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（1）不同供应商的响应文件由同一单位或者个人编制；</w:t>
      </w:r>
    </w:p>
    <w:p w14:paraId="16ED90A9">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（2）不同供应商委托同一单位或者个人办理谈判事宜；</w:t>
      </w:r>
    </w:p>
    <w:p w14:paraId="72658B0A">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（3）不同供应商的响应文件载明的项目管理成员或者联系人员为同一人；</w:t>
      </w:r>
    </w:p>
    <w:p w14:paraId="731DBAC3">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（4）不同供应商的响应文件异常一致或者报价呈规律性差异；</w:t>
      </w:r>
    </w:p>
    <w:p w14:paraId="74410C8A">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（5）不同供应商的响应文件相互混装；</w:t>
      </w:r>
    </w:p>
    <w:p w14:paraId="0060E40F">
      <w:pPr>
        <w:pageBreakBefore w:val="0"/>
        <w:widowControl w:val="0"/>
        <w:kinsoku/>
        <w:wordWrap/>
        <w:overflowPunct/>
        <w:topLinePunct w:val="0"/>
        <w:autoSpaceDE/>
        <w:autoSpaceDN/>
        <w:bidi w:val="0"/>
        <w:spacing w:line="5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（6）不同供应商的保证金从同一单位或者个人的账户转出。</w:t>
      </w:r>
    </w:p>
    <w:p w14:paraId="075839EB">
      <w:pPr>
        <w:pageBreakBefore w:val="0"/>
        <w:widowControl w:val="0"/>
        <w:kinsoku/>
        <w:wordWrap/>
        <w:overflowPunct/>
        <w:topLinePunct w:val="0"/>
        <w:autoSpaceDE/>
        <w:autoSpaceDN/>
        <w:bidi w:val="0"/>
        <w:spacing w:line="500" w:lineRule="exact"/>
        <w:jc w:val="both"/>
        <w:textAlignment w:val="auto"/>
        <w:rPr>
          <w:rFonts w:hint="eastAsia" w:ascii="黑体" w:hAnsi="黑体" w:eastAsia="黑体" w:cs="黑体"/>
          <w:sz w:val="30"/>
          <w:szCs w:val="30"/>
        </w:rPr>
      </w:pPr>
    </w:p>
    <w:p w14:paraId="331FCB3B">
      <w:pPr>
        <w:pageBreakBefore w:val="0"/>
        <w:widowControl w:val="0"/>
        <w:kinsoku/>
        <w:wordWrap/>
        <w:overflowPunct/>
        <w:topLinePunct w:val="0"/>
        <w:autoSpaceDE/>
        <w:autoSpaceDN/>
        <w:bidi w:val="0"/>
        <w:spacing w:line="500" w:lineRule="exact"/>
        <w:jc w:val="center"/>
        <w:textAlignment w:val="auto"/>
        <w:rPr>
          <w:rFonts w:ascii="黑体" w:hAnsi="黑体" w:eastAsia="黑体" w:cs="黑体"/>
          <w:sz w:val="24"/>
          <w:szCs w:val="24"/>
        </w:rPr>
      </w:pPr>
      <w:r>
        <w:rPr>
          <w:rFonts w:hint="eastAsia" w:ascii="黑体" w:hAnsi="黑体" w:eastAsia="黑体" w:cs="黑体"/>
          <w:sz w:val="30"/>
          <w:szCs w:val="30"/>
        </w:rPr>
        <w:t>六、成交结果信息公布与授予合同</w:t>
      </w:r>
      <w:bookmarkEnd w:id="177"/>
      <w:bookmarkEnd w:id="178"/>
    </w:p>
    <w:p w14:paraId="386E00B9">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仿宋_GB2312" w:hAnsi="仿宋_GB2312" w:eastAsia="仿宋_GB2312" w:cs="仿宋_GB2312"/>
          <w:sz w:val="24"/>
          <w:szCs w:val="24"/>
        </w:rPr>
      </w:pPr>
      <w:bookmarkStart w:id="179" w:name="_Toc8339_WPSOffice_Level3"/>
      <w:bookmarkStart w:id="180" w:name="_Toc23126"/>
      <w:bookmarkStart w:id="181" w:name="_Toc30784_WPSOffice_Level3"/>
      <w:bookmarkStart w:id="182" w:name="_Toc947"/>
      <w:bookmarkStart w:id="183" w:name="_Toc701"/>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6</w:t>
      </w:r>
      <w:r>
        <w:rPr>
          <w:rFonts w:hint="eastAsia" w:ascii="楷体_GB2312" w:hAnsi="楷体_GB2312" w:eastAsia="楷体_GB2312" w:cs="楷体_GB2312"/>
          <w:sz w:val="24"/>
          <w:szCs w:val="24"/>
        </w:rPr>
        <w:t>.成交信息的公布与通知</w:t>
      </w:r>
      <w:bookmarkEnd w:id="179"/>
      <w:bookmarkEnd w:id="180"/>
      <w:bookmarkEnd w:id="181"/>
      <w:bookmarkEnd w:id="182"/>
      <w:bookmarkEnd w:id="183"/>
    </w:p>
    <w:p w14:paraId="2351137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.1代理机构应自确定成交供应商之日起2个工作日内在青海政府采购信息网上公告成交结果，同时向成交供应商发出《成交通知书》。成交通知书对采购人和成交供应商具有同等法律效力。</w:t>
      </w:r>
    </w:p>
    <w:p w14:paraId="4204D59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.2成交结果公告应当包括以下内容：</w:t>
      </w:r>
    </w:p>
    <w:p w14:paraId="241684C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（1）采购人和采购代理机构的名称、地址和联系方式；</w:t>
      </w:r>
    </w:p>
    <w:p w14:paraId="34337D4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（2）项目名称和项目编号；</w:t>
      </w:r>
    </w:p>
    <w:p w14:paraId="74E4F63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（3）成交供应商名称、地址和成交金额；</w:t>
      </w:r>
    </w:p>
    <w:p w14:paraId="77C24D4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（4）主要成交标的的名称、服务要求；</w:t>
      </w:r>
    </w:p>
    <w:p w14:paraId="4BBC972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（5）谈判小组成员名单。</w:t>
      </w:r>
    </w:p>
    <w:p w14:paraId="7FE7068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.3《成交通知书》发出后，采购人不得违法改变采购结果，成交供应商无正当理由不得放弃。</w:t>
      </w:r>
    </w:p>
    <w:p w14:paraId="42CBAD81">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84" w:name="_Toc13860_WPSOffice_Level3"/>
      <w:bookmarkStart w:id="185" w:name="_Toc20586"/>
      <w:bookmarkStart w:id="186" w:name="_Toc29441"/>
      <w:bookmarkStart w:id="187" w:name="_Toc5068_WPSOffice_Level3"/>
      <w:bookmarkStart w:id="188" w:name="_Toc29042"/>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7</w:t>
      </w:r>
      <w:r>
        <w:rPr>
          <w:rFonts w:hint="eastAsia" w:ascii="楷体_GB2312" w:hAnsi="楷体_GB2312" w:eastAsia="楷体_GB2312" w:cs="楷体_GB2312"/>
          <w:sz w:val="24"/>
          <w:szCs w:val="24"/>
        </w:rPr>
        <w:t>.授予合同</w:t>
      </w:r>
      <w:bookmarkEnd w:id="184"/>
      <w:bookmarkEnd w:id="185"/>
      <w:bookmarkEnd w:id="186"/>
      <w:bookmarkEnd w:id="187"/>
      <w:bookmarkEnd w:id="188"/>
    </w:p>
    <w:p w14:paraId="2807140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.1谈判文件、成交供应商的响应文件及其补充的响应文件、成交通知书等均为签订政府采购合同的依据。</w:t>
      </w:r>
    </w:p>
    <w:p w14:paraId="444DC98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.2采购人与成交供应商双方应当自《成交通知书》发出之日起30日内，按照谈判文件确定的合同文本以及采购标的、规格型号、采购金额、采购数量、技术和服务要求等事项签订政府采购合同。</w:t>
      </w:r>
    </w:p>
    <w:p w14:paraId="2C192CA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73B927C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bookmarkStart w:id="189" w:name="_Toc325726030"/>
      <w:bookmarkStart w:id="190" w:name="_Toc376936761"/>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.4采购人或采购代理机构应当自采购合同签订之日起2个工作日内，将采购合同在青海政府采购信息网上公告，但政府采购合同中涉及国家秘密、商业秘密的内容除外。</w:t>
      </w:r>
    </w:p>
    <w:p w14:paraId="2B1D2FF8">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91" w:name="_Toc8740_WPSOffice_Level3"/>
      <w:bookmarkStart w:id="192" w:name="_Toc16374"/>
      <w:bookmarkStart w:id="193" w:name="_Toc16258_WPSOffice_Level3"/>
      <w:bookmarkStart w:id="194" w:name="_Toc17412"/>
      <w:bookmarkStart w:id="195" w:name="_Toc32538"/>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8</w:t>
      </w:r>
      <w:r>
        <w:rPr>
          <w:rFonts w:hint="eastAsia" w:ascii="楷体_GB2312" w:hAnsi="楷体_GB2312" w:eastAsia="楷体_GB2312" w:cs="楷体_GB2312"/>
          <w:sz w:val="24"/>
          <w:szCs w:val="24"/>
        </w:rPr>
        <w:t>.履约验收</w:t>
      </w:r>
      <w:bookmarkEnd w:id="191"/>
      <w:bookmarkEnd w:id="192"/>
      <w:bookmarkEnd w:id="193"/>
      <w:bookmarkEnd w:id="194"/>
      <w:bookmarkEnd w:id="195"/>
    </w:p>
    <w:p w14:paraId="27CD316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.1履约保证金：</w:t>
      </w:r>
      <w:r>
        <w:rPr>
          <w:rFonts w:hint="eastAsia" w:ascii="仿宋_GB2312" w:hAnsi="仿宋_GB2312" w:eastAsia="仿宋_GB2312" w:cs="仿宋_GB2312"/>
          <w:sz w:val="24"/>
          <w:szCs w:val="24"/>
          <w:lang w:val="en-US" w:eastAsia="zh-CN"/>
        </w:rPr>
        <w:t>合同签订时约定</w:t>
      </w:r>
      <w:r>
        <w:rPr>
          <w:rFonts w:hint="eastAsia" w:ascii="仿宋_GB2312" w:hAnsi="仿宋_GB2312" w:eastAsia="仿宋_GB2312" w:cs="仿宋_GB2312"/>
          <w:sz w:val="24"/>
          <w:szCs w:val="24"/>
        </w:rPr>
        <w:t>。</w:t>
      </w:r>
    </w:p>
    <w:p w14:paraId="5620C14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.2采购人或者采购代理机构应当按照政府采购合同规定的技术、服务、安全标准组织对供应商履约情况进行验收，并出具验收书。验收书应当包括每一项技术、服务、安全标准的履约情况。</w:t>
      </w:r>
    </w:p>
    <w:p w14:paraId="2700F73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.3采购人可以邀请参加本项目的其他供应商或者第三方机构参与验收。参与验收的供应商或者第三方机构的意见作为验收书的参考资料一并存档。</w:t>
      </w:r>
    </w:p>
    <w:p w14:paraId="1FBC888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.4采购人应当加强履约管理，并按照采购合同约定，及时向成交供应商支付采购资金。对于成交供应商违反采购合同约定的行为，采购人应当及时处理，依法追究其违约责任。</w:t>
      </w:r>
    </w:p>
    <w:p w14:paraId="64C1C44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.5采购人、采购代理机构应当建立真实完整的谈判档案，妥善保存谈判的相关资料。</w:t>
      </w:r>
    </w:p>
    <w:p w14:paraId="70F3E0C4">
      <w:pPr>
        <w:keepNext w:val="0"/>
        <w:keepLines w:val="0"/>
        <w:pageBreakBefore w:val="0"/>
        <w:widowControl w:val="0"/>
        <w:kinsoku/>
        <w:wordWrap/>
        <w:overflowPunct/>
        <w:topLinePunct w:val="0"/>
        <w:autoSpaceDE/>
        <w:autoSpaceDN/>
        <w:bidi w:val="0"/>
        <w:adjustRightInd w:val="0"/>
        <w:snapToGrid w:val="0"/>
        <w:spacing w:before="157" w:beforeLines="50" w:line="500" w:lineRule="exact"/>
        <w:jc w:val="center"/>
        <w:textAlignment w:val="auto"/>
        <w:outlineLvl w:val="1"/>
        <w:rPr>
          <w:rFonts w:ascii="黑体" w:hAnsi="黑体" w:eastAsia="黑体" w:cs="黑体"/>
          <w:sz w:val="30"/>
          <w:szCs w:val="30"/>
        </w:rPr>
      </w:pPr>
      <w:bookmarkStart w:id="196" w:name="_Toc32362"/>
      <w:bookmarkStart w:id="197" w:name="_Toc31604_WPSOffice_Level2"/>
      <w:bookmarkStart w:id="198" w:name="_Toc304"/>
      <w:bookmarkStart w:id="199" w:name="_Toc3517_WPSOffice_Level2"/>
      <w:bookmarkStart w:id="200" w:name="_Toc4328"/>
      <w:bookmarkStart w:id="201" w:name="_Toc6881"/>
      <w:bookmarkStart w:id="202" w:name="_Toc2658_WPSOffice_Level2"/>
      <w:r>
        <w:rPr>
          <w:rFonts w:hint="eastAsia" w:ascii="黑体" w:hAnsi="黑体" w:eastAsia="黑体" w:cs="黑体"/>
          <w:sz w:val="30"/>
          <w:szCs w:val="30"/>
        </w:rPr>
        <w:t>七、询问与质疑</w:t>
      </w:r>
      <w:bookmarkEnd w:id="189"/>
      <w:bookmarkEnd w:id="190"/>
      <w:bookmarkEnd w:id="196"/>
      <w:bookmarkEnd w:id="197"/>
      <w:bookmarkEnd w:id="198"/>
      <w:bookmarkEnd w:id="199"/>
      <w:bookmarkEnd w:id="200"/>
      <w:bookmarkEnd w:id="201"/>
      <w:bookmarkEnd w:id="202"/>
    </w:p>
    <w:p w14:paraId="3528E8F2">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03" w:name="_Toc29785"/>
      <w:bookmarkStart w:id="204" w:name="_Toc21641"/>
      <w:bookmarkStart w:id="205" w:name="_Toc14391"/>
      <w:bookmarkStart w:id="206" w:name="_Toc25982_WPSOffice_Level3"/>
      <w:bookmarkStart w:id="207" w:name="_Toc23314_WPSOffice_Level3"/>
      <w:r>
        <w:rPr>
          <w:rFonts w:hint="eastAsia" w:ascii="楷体_GB2312" w:hAnsi="楷体_GB2312" w:eastAsia="楷体_GB2312" w:cs="楷体_GB2312"/>
          <w:sz w:val="24"/>
          <w:szCs w:val="24"/>
          <w:lang w:val="en-US" w:eastAsia="zh-CN"/>
        </w:rPr>
        <w:t>29</w:t>
      </w:r>
      <w:r>
        <w:rPr>
          <w:rFonts w:hint="eastAsia" w:ascii="楷体_GB2312" w:hAnsi="楷体_GB2312" w:eastAsia="楷体_GB2312" w:cs="楷体_GB2312"/>
          <w:sz w:val="24"/>
          <w:szCs w:val="24"/>
        </w:rPr>
        <w:t>.对采购过程、结果的询问及质疑</w:t>
      </w:r>
      <w:bookmarkEnd w:id="203"/>
      <w:bookmarkEnd w:id="204"/>
      <w:bookmarkEnd w:id="205"/>
      <w:bookmarkEnd w:id="206"/>
      <w:bookmarkEnd w:id="207"/>
    </w:p>
    <w:p w14:paraId="4B36954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.1供应商对政府采购过程、结果有疑问的，可以向采购人、采购代理机构提出询问。</w:t>
      </w:r>
    </w:p>
    <w:p w14:paraId="2DE59BE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.2参与所质疑项目的供应商认为采购过程、成交结果使自己的权益受到损害的，可以在知道或者应知其权益受到损害之日起7个工作日内，以书面形式向采购人、采购代理机构提出质疑。</w:t>
      </w:r>
    </w:p>
    <w:p w14:paraId="1AAC254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.3供应商应在法定质疑期内一次性提出针对同一采购程序环节的质疑。</w:t>
      </w:r>
    </w:p>
    <w:p w14:paraId="69402E73">
      <w:pPr>
        <w:keepNext w:val="0"/>
        <w:keepLines w:val="0"/>
        <w:pageBreakBefore w:val="0"/>
        <w:widowControl w:val="0"/>
        <w:kinsoku/>
        <w:wordWrap/>
        <w:overflowPunct/>
        <w:topLinePunct w:val="0"/>
        <w:autoSpaceDE/>
        <w:autoSpaceDN/>
        <w:bidi w:val="0"/>
        <w:adjustRightInd w:val="0"/>
        <w:snapToGrid w:val="0"/>
        <w:spacing w:before="157" w:beforeLines="50" w:line="500" w:lineRule="exact"/>
        <w:jc w:val="center"/>
        <w:textAlignment w:val="auto"/>
        <w:outlineLvl w:val="1"/>
        <w:rPr>
          <w:rFonts w:hint="eastAsia" w:ascii="黑体" w:hAnsi="黑体" w:eastAsia="黑体" w:cs="黑体"/>
          <w:sz w:val="30"/>
          <w:szCs w:val="30"/>
        </w:rPr>
      </w:pPr>
      <w:bookmarkStart w:id="208" w:name="_Toc4534"/>
      <w:bookmarkStart w:id="209" w:name="_Toc21832"/>
      <w:bookmarkStart w:id="210" w:name="_Toc11509_WPSOffice_Level2"/>
      <w:bookmarkStart w:id="211" w:name="_Toc22889"/>
      <w:bookmarkStart w:id="212" w:name="_Toc22201076"/>
      <w:bookmarkStart w:id="213" w:name="_Toc24559"/>
      <w:bookmarkStart w:id="214" w:name="_Toc34637771"/>
      <w:bookmarkStart w:id="215" w:name="_Toc9701_WPSOffice_Level2"/>
      <w:bookmarkStart w:id="216" w:name="_Toc6866_WPSOffice_Level2"/>
      <w:r>
        <w:rPr>
          <w:rFonts w:hint="eastAsia" w:ascii="黑体" w:hAnsi="黑体" w:eastAsia="黑体" w:cs="黑体"/>
          <w:sz w:val="30"/>
          <w:szCs w:val="30"/>
        </w:rPr>
        <w:t>八、政府采购政策</w:t>
      </w:r>
      <w:bookmarkEnd w:id="208"/>
      <w:bookmarkEnd w:id="209"/>
      <w:bookmarkEnd w:id="210"/>
      <w:bookmarkEnd w:id="211"/>
      <w:bookmarkEnd w:id="212"/>
      <w:bookmarkEnd w:id="213"/>
      <w:bookmarkEnd w:id="214"/>
      <w:bookmarkEnd w:id="215"/>
      <w:bookmarkEnd w:id="216"/>
    </w:p>
    <w:p w14:paraId="6A105356">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17" w:name="_Toc30988"/>
      <w:bookmarkStart w:id="218" w:name="_Toc17253_WPSOffice_Level3"/>
      <w:bookmarkStart w:id="219" w:name="_Toc16893"/>
      <w:bookmarkStart w:id="220" w:name="_Toc27584"/>
      <w:bookmarkStart w:id="221" w:name="_Toc19360_WPSOffice_Level3"/>
      <w:r>
        <w:rPr>
          <w:rFonts w:hint="eastAsia" w:ascii="楷体_GB2312" w:hAnsi="楷体_GB2312" w:eastAsia="楷体_GB2312" w:cs="楷体_GB2312"/>
          <w:sz w:val="24"/>
          <w:szCs w:val="24"/>
        </w:rPr>
        <w:t>3</w:t>
      </w:r>
      <w:r>
        <w:rPr>
          <w:rFonts w:hint="eastAsia" w:ascii="楷体_GB2312" w:hAnsi="楷体_GB2312" w:eastAsia="楷体_GB2312" w:cs="楷体_GB2312"/>
          <w:sz w:val="24"/>
          <w:szCs w:val="24"/>
          <w:lang w:val="en-US" w:eastAsia="zh-CN"/>
        </w:rPr>
        <w:t>0</w:t>
      </w:r>
      <w:r>
        <w:rPr>
          <w:rFonts w:hint="eastAsia" w:ascii="楷体_GB2312" w:hAnsi="楷体_GB2312" w:eastAsia="楷体_GB2312" w:cs="楷体_GB2312"/>
          <w:sz w:val="24"/>
          <w:szCs w:val="24"/>
        </w:rPr>
        <w:t>.政府采购政策</w:t>
      </w:r>
      <w:bookmarkEnd w:id="217"/>
      <w:bookmarkEnd w:id="218"/>
      <w:bookmarkEnd w:id="219"/>
      <w:bookmarkEnd w:id="220"/>
      <w:bookmarkEnd w:id="221"/>
    </w:p>
    <w:p w14:paraId="3E817B2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.1节能产品、环境标志产品的采购：</w:t>
      </w:r>
    </w:p>
    <w:p w14:paraId="3CDE512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121FC3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.2价格评审优惠：</w:t>
      </w:r>
    </w:p>
    <w:p w14:paraId="6AC44A4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（1）本项目全部面向中小企业采购。 </w:t>
      </w:r>
    </w:p>
    <w:p w14:paraId="4E5DAF5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 xml:space="preserve">）监狱企业、残疾人福利性单位视同小型、微型企业。 </w:t>
      </w:r>
    </w:p>
    <w:p w14:paraId="104B6E4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.3供应商同时符合小型、微型企业及监狱企业、残疾人福利性单位要求的，评审时只有一种类型享受价格评审优惠政策；</w:t>
      </w:r>
    </w:p>
    <w:p w14:paraId="3A5AE65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.4响应文件符合本章前款规定的，供应商应提供相关证明资料，且所提供资料必须真实可信。如有虚假，将依法承担相应责任。</w:t>
      </w:r>
    </w:p>
    <w:p w14:paraId="1F005F7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38302EAC">
      <w:pPr>
        <w:keepNext w:val="0"/>
        <w:keepLines w:val="0"/>
        <w:pageBreakBefore w:val="0"/>
        <w:widowControl w:val="0"/>
        <w:kinsoku/>
        <w:wordWrap/>
        <w:overflowPunct/>
        <w:topLinePunct w:val="0"/>
        <w:autoSpaceDE/>
        <w:autoSpaceDN/>
        <w:bidi w:val="0"/>
        <w:adjustRightInd w:val="0"/>
        <w:snapToGrid w:val="0"/>
        <w:spacing w:before="157" w:beforeLines="50" w:line="500" w:lineRule="exact"/>
        <w:jc w:val="center"/>
        <w:textAlignment w:val="auto"/>
        <w:outlineLvl w:val="1"/>
        <w:rPr>
          <w:rFonts w:hint="eastAsia" w:ascii="黑体" w:hAnsi="黑体" w:eastAsia="黑体" w:cs="黑体"/>
          <w:sz w:val="30"/>
          <w:szCs w:val="30"/>
        </w:rPr>
      </w:pPr>
      <w:bookmarkStart w:id="222" w:name="_Toc30960"/>
      <w:bookmarkStart w:id="223" w:name="_Toc15805"/>
      <w:bookmarkStart w:id="224" w:name="_Toc22739"/>
      <w:bookmarkStart w:id="225" w:name="_Toc15316"/>
      <w:bookmarkStart w:id="226" w:name="_Toc28078_WPSOffice_Level2"/>
      <w:bookmarkStart w:id="227" w:name="_Toc34637772"/>
      <w:bookmarkStart w:id="228" w:name="_Toc3719_WPSOffice_Level2"/>
      <w:bookmarkStart w:id="229" w:name="_Toc10843_WPSOffice_Level2"/>
      <w:r>
        <w:rPr>
          <w:rFonts w:hint="eastAsia" w:ascii="黑体" w:hAnsi="黑体" w:eastAsia="黑体" w:cs="黑体"/>
          <w:sz w:val="30"/>
          <w:szCs w:val="30"/>
        </w:rPr>
        <w:t>九、其他规定</w:t>
      </w:r>
      <w:bookmarkEnd w:id="222"/>
      <w:bookmarkEnd w:id="223"/>
      <w:bookmarkEnd w:id="224"/>
      <w:bookmarkEnd w:id="225"/>
      <w:bookmarkEnd w:id="226"/>
      <w:bookmarkEnd w:id="227"/>
      <w:bookmarkEnd w:id="228"/>
      <w:bookmarkEnd w:id="229"/>
    </w:p>
    <w:p w14:paraId="0D79E2AC">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30" w:name="_Toc12390_WPSOffice_Level3"/>
      <w:bookmarkStart w:id="231" w:name="_Toc25686"/>
      <w:bookmarkStart w:id="232" w:name="_Toc10855"/>
      <w:bookmarkStart w:id="233" w:name="_Toc10247"/>
      <w:bookmarkStart w:id="234" w:name="_Toc22185_WPSOffice_Level3"/>
      <w:r>
        <w:rPr>
          <w:rFonts w:hint="eastAsia" w:ascii="楷体_GB2312" w:hAnsi="楷体_GB2312" w:eastAsia="楷体_GB2312" w:cs="楷体_GB2312"/>
          <w:sz w:val="24"/>
          <w:szCs w:val="24"/>
        </w:rPr>
        <w:t>3</w:t>
      </w:r>
      <w:r>
        <w:rPr>
          <w:rFonts w:hint="eastAsia" w:ascii="楷体_GB2312" w:hAnsi="楷体_GB2312" w:eastAsia="楷体_GB2312" w:cs="楷体_GB2312"/>
          <w:sz w:val="24"/>
          <w:szCs w:val="24"/>
          <w:lang w:val="en-US" w:eastAsia="zh-CN"/>
        </w:rPr>
        <w:t>1</w:t>
      </w:r>
      <w:r>
        <w:rPr>
          <w:rFonts w:hint="eastAsia" w:ascii="楷体_GB2312" w:hAnsi="楷体_GB2312" w:eastAsia="楷体_GB2312" w:cs="楷体_GB2312"/>
          <w:sz w:val="24"/>
          <w:szCs w:val="24"/>
        </w:rPr>
        <w:t>.代理服务费</w:t>
      </w:r>
      <w:bookmarkEnd w:id="230"/>
      <w:bookmarkEnd w:id="231"/>
      <w:bookmarkEnd w:id="232"/>
      <w:bookmarkEnd w:id="233"/>
      <w:bookmarkEnd w:id="234"/>
    </w:p>
    <w:p w14:paraId="2C9FBD6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采购代理服务费由成交供应商支付的，供应商应按【谈判须知前附表】规定向采购代理机构交纳代理服务费。</w:t>
      </w:r>
    </w:p>
    <w:p w14:paraId="4D1A886A">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35" w:name="_Toc14580"/>
      <w:bookmarkStart w:id="236" w:name="_Toc1461_WPSOffice_Level3"/>
      <w:bookmarkStart w:id="237" w:name="_Toc18975"/>
      <w:bookmarkStart w:id="238" w:name="_Toc27699_WPSOffice_Level3"/>
      <w:bookmarkStart w:id="239" w:name="_Toc31926"/>
      <w:r>
        <w:rPr>
          <w:rFonts w:hint="eastAsia" w:ascii="楷体_GB2312" w:hAnsi="楷体_GB2312" w:eastAsia="楷体_GB2312" w:cs="楷体_GB2312"/>
          <w:sz w:val="24"/>
          <w:szCs w:val="24"/>
        </w:rPr>
        <w:t>3</w:t>
      </w:r>
      <w:r>
        <w:rPr>
          <w:rFonts w:hint="eastAsia" w:ascii="楷体_GB2312" w:hAnsi="楷体_GB2312" w:eastAsia="楷体_GB2312" w:cs="楷体_GB2312"/>
          <w:sz w:val="24"/>
          <w:szCs w:val="24"/>
          <w:lang w:val="en-US" w:eastAsia="zh-CN"/>
        </w:rPr>
        <w:t>2</w:t>
      </w:r>
      <w:r>
        <w:rPr>
          <w:rFonts w:hint="eastAsia" w:ascii="楷体_GB2312" w:hAnsi="楷体_GB2312" w:eastAsia="楷体_GB2312" w:cs="楷体_GB2312"/>
          <w:sz w:val="24"/>
          <w:szCs w:val="24"/>
        </w:rPr>
        <w:t>.其他规定</w:t>
      </w:r>
      <w:bookmarkEnd w:id="235"/>
      <w:bookmarkEnd w:id="236"/>
      <w:bookmarkEnd w:id="237"/>
      <w:bookmarkEnd w:id="238"/>
      <w:bookmarkEnd w:id="239"/>
    </w:p>
    <w:p w14:paraId="4FBC2CE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sz w:val="24"/>
          <w:szCs w:val="24"/>
        </w:rPr>
      </w:pPr>
      <w:r>
        <w:rPr>
          <w:rFonts w:hint="eastAsia" w:ascii="仿宋_GB2312" w:hAnsi="仿宋_GB2312" w:eastAsia="仿宋_GB2312" w:cs="仿宋_GB2312"/>
          <w:sz w:val="24"/>
          <w:szCs w:val="24"/>
        </w:rPr>
        <w:t>谈判文件的其他规定见【谈判须知前附表】。</w:t>
      </w:r>
    </w:p>
    <w:p w14:paraId="6C98D7BC">
      <w:pPr>
        <w:pStyle w:val="2"/>
        <w:adjustRightInd w:val="0"/>
        <w:snapToGrid w:val="0"/>
        <w:spacing w:before="156" w:beforeLines="50" w:line="560" w:lineRule="exact"/>
        <w:rPr>
          <w:rFonts w:ascii="华文中宋" w:hAnsi="华文中宋" w:eastAsia="华文中宋" w:cs="华文中宋"/>
          <w:b w:val="0"/>
          <w:bCs w:val="0"/>
          <w:sz w:val="44"/>
          <w:szCs w:val="44"/>
        </w:rPr>
      </w:pPr>
      <w:bookmarkStart w:id="240" w:name="_Toc20750"/>
      <w:bookmarkStart w:id="241" w:name="_Toc34637773"/>
      <w:bookmarkStart w:id="242" w:name="_Toc29561_WPSOffice_Level1"/>
      <w:bookmarkStart w:id="243" w:name="_Toc7780_WPSOffice_Level1"/>
      <w:bookmarkStart w:id="244" w:name="_Toc31765_WPSOffice_Level1"/>
      <w:bookmarkStart w:id="245" w:name="_Toc13204"/>
      <w:bookmarkStart w:id="246" w:name="_Toc2404_WPSOffice_Level1"/>
      <w:bookmarkStart w:id="247" w:name="_Toc18130_WPSOffice_Level1"/>
      <w:bookmarkStart w:id="248" w:name="_Toc4912_WPSOffice_Level1"/>
      <w:bookmarkStart w:id="249" w:name="_Toc7566"/>
      <w:r>
        <w:rPr>
          <w:rFonts w:hint="eastAsia" w:ascii="华文中宋" w:hAnsi="华文中宋" w:eastAsia="华文中宋" w:cs="华文中宋"/>
          <w:b w:val="0"/>
          <w:bCs w:val="0"/>
          <w:sz w:val="44"/>
          <w:szCs w:val="44"/>
        </w:rPr>
        <w:br w:type="page"/>
      </w:r>
      <w:bookmarkStart w:id="250" w:name="_Toc4238"/>
      <w:r>
        <w:rPr>
          <w:rFonts w:hint="eastAsia" w:ascii="华文中宋" w:hAnsi="华文中宋" w:eastAsia="华文中宋" w:cs="华文中宋"/>
          <w:b w:val="0"/>
          <w:bCs w:val="0"/>
          <w:sz w:val="36"/>
          <w:szCs w:val="36"/>
        </w:rPr>
        <w:t xml:space="preserve">第三部分 </w:t>
      </w:r>
      <w:r>
        <w:rPr>
          <w:rFonts w:hint="eastAsia" w:ascii="华文中宋" w:hAnsi="华文中宋" w:eastAsia="华文中宋" w:cs="华文中宋"/>
          <w:b w:val="0"/>
          <w:bCs w:val="0"/>
          <w:sz w:val="36"/>
          <w:szCs w:val="36"/>
          <w:lang w:val="en-US" w:eastAsia="zh-CN"/>
        </w:rPr>
        <w:t xml:space="preserve"> </w:t>
      </w:r>
      <w:r>
        <w:rPr>
          <w:rFonts w:hint="eastAsia" w:ascii="华文中宋" w:hAnsi="华文中宋" w:eastAsia="华文中宋" w:cs="华文中宋"/>
          <w:b w:val="0"/>
          <w:bCs w:val="0"/>
          <w:sz w:val="36"/>
          <w:szCs w:val="36"/>
        </w:rPr>
        <w:t>采购需求</w:t>
      </w:r>
      <w:bookmarkEnd w:id="240"/>
      <w:bookmarkEnd w:id="241"/>
      <w:bookmarkEnd w:id="242"/>
      <w:bookmarkEnd w:id="243"/>
      <w:bookmarkEnd w:id="244"/>
      <w:bookmarkEnd w:id="245"/>
      <w:bookmarkEnd w:id="246"/>
      <w:bookmarkEnd w:id="247"/>
      <w:bookmarkEnd w:id="248"/>
      <w:bookmarkEnd w:id="249"/>
      <w:bookmarkEnd w:id="250"/>
    </w:p>
    <w:p w14:paraId="2DEA405E">
      <w:pPr>
        <w:spacing w:line="400" w:lineRule="exact"/>
        <w:ind w:firstLine="720" w:firstLineChars="300"/>
        <w:rPr>
          <w:rFonts w:hint="eastAsia" w:ascii="宋体" w:hAnsi="宋体"/>
          <w:sz w:val="24"/>
          <w:lang w:val="en-US" w:eastAsia="zh-CN"/>
        </w:rPr>
      </w:pPr>
    </w:p>
    <w:p w14:paraId="1A6F6505">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1、采购内容</w:t>
      </w:r>
      <w:r>
        <w:rPr>
          <w:rFonts w:hint="eastAsia" w:ascii="仿宋" w:hAnsi="仿宋" w:eastAsia="仿宋" w:cs="仿宋"/>
          <w:sz w:val="24"/>
          <w:lang w:val="en-US" w:eastAsia="zh-CN"/>
        </w:rPr>
        <w:t>：玉树市214国道沿线（新寨村至勒巴沟）生态环境综合整治项目</w:t>
      </w:r>
    </w:p>
    <w:p w14:paraId="198CCB1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的工程机械租赁。</w:t>
      </w:r>
    </w:p>
    <w:p w14:paraId="6395D3DF">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2、服务地点</w:t>
      </w:r>
      <w:r>
        <w:rPr>
          <w:rFonts w:hint="eastAsia" w:ascii="仿宋" w:hAnsi="仿宋" w:eastAsia="仿宋" w:cs="仿宋"/>
          <w:sz w:val="24"/>
          <w:lang w:val="en-US" w:eastAsia="zh-CN"/>
        </w:rPr>
        <w:t>：玉树市</w:t>
      </w:r>
    </w:p>
    <w:p w14:paraId="43D02104">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仿宋" w:hAnsi="仿宋" w:eastAsia="仿宋" w:cs="仿宋"/>
          <w:sz w:val="24"/>
          <w:lang w:val="en-US" w:eastAsia="zh-CN"/>
        </w:rPr>
      </w:pPr>
      <w:r>
        <w:rPr>
          <w:rFonts w:hint="eastAsia" w:ascii="仿宋" w:hAnsi="仿宋" w:eastAsia="仿宋" w:cs="仿宋"/>
          <w:b/>
          <w:bCs/>
          <w:sz w:val="24"/>
          <w:lang w:val="en-US" w:eastAsia="zh-CN"/>
        </w:rPr>
        <w:t>3、</w:t>
      </w:r>
      <w:r>
        <w:rPr>
          <w:rFonts w:hint="eastAsia" w:ascii="仿宋" w:hAnsi="仿宋" w:eastAsia="仿宋" w:cs="仿宋"/>
          <w:b/>
          <w:bCs/>
          <w:sz w:val="24"/>
          <w:lang w:val="zh-CN" w:eastAsia="zh-CN"/>
        </w:rPr>
        <w:t>服务期限</w:t>
      </w:r>
      <w:r>
        <w:rPr>
          <w:rFonts w:hint="eastAsia" w:ascii="仿宋" w:hAnsi="仿宋" w:eastAsia="仿宋" w:cs="仿宋"/>
          <w:sz w:val="24"/>
          <w:lang w:val="zh-CN" w:eastAsia="zh-CN"/>
        </w:rPr>
        <w:t>：</w:t>
      </w:r>
      <w:r>
        <w:rPr>
          <w:rFonts w:hint="eastAsia" w:ascii="仿宋" w:hAnsi="仿宋" w:eastAsia="仿宋" w:cs="仿宋"/>
          <w:sz w:val="24"/>
          <w:lang w:val="en-US" w:eastAsia="zh-CN"/>
        </w:rPr>
        <w:t>3个月</w:t>
      </w:r>
    </w:p>
    <w:p w14:paraId="20760912">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4、租赁设备要求：详见清单附件</w:t>
      </w:r>
    </w:p>
    <w:p w14:paraId="6BDBB992">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rPr>
        <w:t>驾驶员的要求</w:t>
      </w:r>
    </w:p>
    <w:p w14:paraId="36F9777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驾驶员身体健康</w:t>
      </w:r>
      <w:r>
        <w:rPr>
          <w:rFonts w:hint="eastAsia" w:ascii="仿宋" w:hAnsi="仿宋" w:eastAsia="仿宋" w:cs="仿宋"/>
          <w:sz w:val="24"/>
          <w:lang w:eastAsia="zh-CN"/>
        </w:rPr>
        <w:t>，</w:t>
      </w:r>
      <w:r>
        <w:rPr>
          <w:rFonts w:hint="eastAsia" w:ascii="仿宋" w:hAnsi="仿宋" w:eastAsia="仿宋" w:cs="仿宋"/>
          <w:sz w:val="24"/>
          <w:lang w:val="en-US" w:eastAsia="zh-CN"/>
        </w:rPr>
        <w:t>适合在高原</w:t>
      </w:r>
      <w:r>
        <w:rPr>
          <w:rFonts w:hint="eastAsia" w:ascii="仿宋" w:hAnsi="仿宋" w:eastAsia="仿宋" w:cs="仿宋"/>
          <w:sz w:val="24"/>
        </w:rPr>
        <w:t>的地区工作。</w:t>
      </w:r>
    </w:p>
    <w:p w14:paraId="2F40EF2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lang w:val="en-US" w:eastAsia="zh-CN"/>
        </w:rPr>
      </w:pPr>
      <w:r>
        <w:rPr>
          <w:rFonts w:hint="eastAsia" w:ascii="仿宋" w:hAnsi="仿宋" w:eastAsia="仿宋" w:cs="仿宋"/>
          <w:sz w:val="24"/>
          <w:lang w:val="en-US" w:eastAsia="zh-CN"/>
        </w:rPr>
        <w:t>（2）</w:t>
      </w:r>
      <w:r>
        <w:rPr>
          <w:rFonts w:hint="eastAsia" w:ascii="仿宋" w:hAnsi="仿宋" w:eastAsia="仿宋" w:cs="仿宋"/>
          <w:sz w:val="24"/>
        </w:rPr>
        <w:t>服从管理，严格遵租赁方单位的规章制度，如果有两次违反者，则要求出租方换人</w:t>
      </w:r>
      <w:r>
        <w:rPr>
          <w:rFonts w:hint="eastAsia" w:ascii="仿宋" w:hAnsi="仿宋" w:eastAsia="仿宋" w:cs="仿宋"/>
          <w:sz w:val="24"/>
          <w:lang w:eastAsia="zh-CN"/>
        </w:rPr>
        <w:t>。</w:t>
      </w:r>
    </w:p>
    <w:p w14:paraId="63D30D45">
      <w:pPr>
        <w:rPr>
          <w:rFonts w:hint="eastAsia" w:ascii="华文中宋" w:hAnsi="华文中宋" w:eastAsia="华文中宋" w:cs="华文中宋"/>
          <w:sz w:val="44"/>
          <w:szCs w:val="44"/>
        </w:rPr>
      </w:pPr>
      <w:bookmarkStart w:id="251" w:name="_Toc31138"/>
      <w:bookmarkStart w:id="252" w:name="_Toc18208_WPSOffice_Level1"/>
      <w:bookmarkStart w:id="253" w:name="_Toc955_WPSOffice_Level1"/>
      <w:bookmarkStart w:id="254" w:name="_Toc6923_WPSOffice_Level1"/>
      <w:bookmarkStart w:id="255" w:name="_Toc15487_WPSOffice_Level1"/>
      <w:bookmarkStart w:id="256" w:name="_Toc5732_WPSOffice_Level1"/>
      <w:bookmarkStart w:id="257" w:name="_Toc18643_WPSOffice_Level1"/>
      <w:bookmarkStart w:id="258" w:name="_Toc22544"/>
    </w:p>
    <w:p w14:paraId="448BC394">
      <w:pPr>
        <w:rPr>
          <w:rFonts w:hint="eastAsia" w:ascii="华文中宋" w:hAnsi="华文中宋" w:eastAsia="华文中宋" w:cs="华文中宋"/>
          <w:sz w:val="44"/>
          <w:szCs w:val="44"/>
        </w:rPr>
      </w:pPr>
    </w:p>
    <w:p w14:paraId="5C77124A">
      <w:pPr>
        <w:rPr>
          <w:rFonts w:hint="eastAsia" w:ascii="华文中宋" w:hAnsi="华文中宋" w:eastAsia="华文中宋" w:cs="华文中宋"/>
          <w:sz w:val="44"/>
          <w:szCs w:val="44"/>
        </w:rPr>
      </w:pPr>
    </w:p>
    <w:p w14:paraId="06DE0FAE">
      <w:pPr>
        <w:rPr>
          <w:rFonts w:hint="eastAsia" w:ascii="华文中宋" w:hAnsi="华文中宋" w:eastAsia="华文中宋" w:cs="华文中宋"/>
          <w:sz w:val="44"/>
          <w:szCs w:val="44"/>
        </w:rPr>
      </w:pPr>
    </w:p>
    <w:p w14:paraId="70FD928C">
      <w:pPr>
        <w:rPr>
          <w:rFonts w:hint="eastAsia" w:ascii="华文中宋" w:hAnsi="华文中宋" w:eastAsia="华文中宋" w:cs="华文中宋"/>
          <w:sz w:val="44"/>
          <w:szCs w:val="44"/>
        </w:rPr>
      </w:pPr>
    </w:p>
    <w:p w14:paraId="7D890C83">
      <w:pPr>
        <w:rPr>
          <w:rFonts w:hint="eastAsia" w:ascii="华文中宋" w:hAnsi="华文中宋" w:eastAsia="华文中宋" w:cs="华文中宋"/>
          <w:sz w:val="44"/>
          <w:szCs w:val="44"/>
        </w:rPr>
      </w:pPr>
    </w:p>
    <w:p w14:paraId="4A3CBDF9">
      <w:pPr>
        <w:rPr>
          <w:rFonts w:hint="eastAsia" w:ascii="华文中宋" w:hAnsi="华文中宋" w:eastAsia="华文中宋" w:cs="华文中宋"/>
          <w:sz w:val="44"/>
          <w:szCs w:val="44"/>
        </w:rPr>
      </w:pPr>
    </w:p>
    <w:p w14:paraId="196BF1C9">
      <w:pPr>
        <w:jc w:val="center"/>
        <w:rPr>
          <w:rFonts w:ascii="宋体"/>
          <w:b/>
          <w:color w:val="000000"/>
          <w:sz w:val="44"/>
          <w:szCs w:val="44"/>
        </w:rPr>
      </w:pPr>
      <w:r>
        <w:rPr>
          <w:rFonts w:hint="eastAsia" w:ascii="华文中宋" w:hAnsi="华文中宋" w:eastAsia="华文中宋" w:cs="华文中宋"/>
          <w:sz w:val="36"/>
          <w:szCs w:val="36"/>
        </w:rPr>
        <w:t>第四部分</w:t>
      </w:r>
      <w:r>
        <w:rPr>
          <w:rFonts w:hint="eastAsia" w:ascii="华文中宋" w:hAnsi="华文中宋" w:eastAsia="华文中宋" w:cs="华文中宋"/>
          <w:sz w:val="36"/>
          <w:szCs w:val="36"/>
          <w:lang w:val="en-US" w:eastAsia="zh-CN"/>
        </w:rPr>
        <w:t xml:space="preserve">  </w:t>
      </w:r>
      <w:r>
        <w:rPr>
          <w:rFonts w:hint="eastAsia" w:ascii="华文中宋" w:hAnsi="华文中宋" w:eastAsia="华文中宋" w:cs="华文中宋"/>
          <w:sz w:val="36"/>
          <w:szCs w:val="36"/>
        </w:rPr>
        <w:t>谈判响应文件格式</w:t>
      </w:r>
      <w:bookmarkEnd w:id="251"/>
      <w:bookmarkEnd w:id="252"/>
      <w:bookmarkEnd w:id="253"/>
      <w:bookmarkEnd w:id="254"/>
      <w:bookmarkEnd w:id="255"/>
      <w:bookmarkEnd w:id="256"/>
      <w:bookmarkEnd w:id="257"/>
      <w:bookmarkEnd w:id="258"/>
    </w:p>
    <w:p w14:paraId="2C021F9B">
      <w:pPr>
        <w:adjustRightInd w:val="0"/>
        <w:snapToGrid w:val="0"/>
        <w:spacing w:line="560" w:lineRule="exact"/>
        <w:jc w:val="center"/>
        <w:outlineLvl w:val="1"/>
        <w:rPr>
          <w:rFonts w:ascii="黑体" w:hAnsi="黑体" w:eastAsia="黑体" w:cs="黑体"/>
          <w:sz w:val="32"/>
          <w:szCs w:val="32"/>
        </w:rPr>
      </w:pPr>
      <w:bookmarkStart w:id="259" w:name="_Toc20166_WPSOffice_Level2"/>
      <w:bookmarkStart w:id="260" w:name="_Toc21773"/>
      <w:bookmarkStart w:id="261" w:name="_Toc4945_WPSOffice_Level2"/>
      <w:bookmarkStart w:id="262" w:name="_Toc11968"/>
      <w:bookmarkStart w:id="263" w:name="_Toc12691_WPSOffice_Level2"/>
      <w:r>
        <w:rPr>
          <w:rFonts w:hint="eastAsia" w:ascii="黑体" w:hAnsi="黑体" w:eastAsia="黑体" w:cs="黑体"/>
          <w:sz w:val="30"/>
          <w:szCs w:val="30"/>
        </w:rPr>
        <w:t>十、谈判响应文件的组成</w:t>
      </w:r>
      <w:bookmarkEnd w:id="259"/>
      <w:bookmarkEnd w:id="260"/>
      <w:bookmarkEnd w:id="261"/>
      <w:bookmarkEnd w:id="262"/>
      <w:bookmarkEnd w:id="263"/>
    </w:p>
    <w:p w14:paraId="2FDB5F85">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2"/>
        <w:rPr>
          <w:rFonts w:ascii="楷体_GB2312" w:hAnsi="楷体_GB2312" w:eastAsia="楷体_GB2312" w:cs="楷体_GB2312"/>
          <w:b/>
          <w:bCs/>
          <w:sz w:val="24"/>
          <w:szCs w:val="24"/>
          <w:lang w:val="zh-CN"/>
        </w:rPr>
      </w:pPr>
      <w:bookmarkStart w:id="264" w:name="_Toc31451_WPSOffice_Level3"/>
      <w:bookmarkStart w:id="265" w:name="_Toc688"/>
      <w:bookmarkStart w:id="266" w:name="_Toc22172"/>
      <w:bookmarkStart w:id="267" w:name="_Toc185_WPSOffice_Level2"/>
      <w:r>
        <w:rPr>
          <w:rFonts w:hint="eastAsia" w:ascii="楷体_GB2312" w:hAnsi="楷体_GB2312" w:eastAsia="楷体_GB2312" w:cs="楷体_GB2312"/>
          <w:b/>
          <w:bCs/>
          <w:sz w:val="24"/>
          <w:szCs w:val="24"/>
          <w:lang w:val="zh-CN"/>
        </w:rPr>
        <w:t>（一）资格审查部分</w:t>
      </w:r>
      <w:bookmarkEnd w:id="264"/>
      <w:bookmarkEnd w:id="265"/>
      <w:bookmarkEnd w:id="266"/>
      <w:bookmarkEnd w:id="267"/>
    </w:p>
    <w:p w14:paraId="7E2216E3">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68" w:name="_Toc19260_WPSOffice_Level3"/>
      <w:r>
        <w:rPr>
          <w:rFonts w:hint="eastAsia" w:ascii="仿宋_GB2312" w:hAnsi="仿宋_GB2312" w:eastAsia="仿宋_GB2312" w:cs="仿宋_GB2312"/>
          <w:sz w:val="24"/>
          <w:szCs w:val="24"/>
          <w:lang w:val="zh-CN"/>
        </w:rPr>
        <w:t>1、响应函（见附件1）</w:t>
      </w:r>
      <w:bookmarkEnd w:id="268"/>
    </w:p>
    <w:p w14:paraId="09BC86B6">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69" w:name="_Toc13122_WPSOffice_Level3"/>
      <w:r>
        <w:rPr>
          <w:rFonts w:hint="eastAsia" w:ascii="仿宋_GB2312" w:hAnsi="仿宋_GB2312" w:eastAsia="仿宋_GB2312" w:cs="仿宋_GB2312"/>
          <w:sz w:val="24"/>
          <w:szCs w:val="24"/>
          <w:lang w:val="zh-CN"/>
        </w:rPr>
        <w:t>2、法定代表人证明书（见附件2）</w:t>
      </w:r>
      <w:bookmarkEnd w:id="269"/>
    </w:p>
    <w:p w14:paraId="1742D991">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70" w:name="_Toc5677_WPSOffice_Level3"/>
      <w:r>
        <w:rPr>
          <w:rFonts w:hint="eastAsia" w:ascii="仿宋_GB2312" w:hAnsi="仿宋_GB2312" w:eastAsia="仿宋_GB2312" w:cs="仿宋_GB2312"/>
          <w:sz w:val="24"/>
          <w:szCs w:val="24"/>
          <w:lang w:val="zh-CN"/>
        </w:rPr>
        <w:t>3、法定代表人授权书（见附件3）</w:t>
      </w:r>
      <w:bookmarkEnd w:id="270"/>
    </w:p>
    <w:p w14:paraId="055A6A56">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71" w:name="_Toc1890_WPSOffice_Level3"/>
      <w:r>
        <w:rPr>
          <w:rFonts w:hint="eastAsia" w:ascii="仿宋_GB2312" w:hAnsi="仿宋_GB2312" w:eastAsia="仿宋_GB2312" w:cs="仿宋_GB2312"/>
          <w:sz w:val="24"/>
          <w:szCs w:val="24"/>
          <w:lang w:val="zh-CN"/>
        </w:rPr>
        <w:t>4、供应商承诺函（见附件4）</w:t>
      </w:r>
      <w:bookmarkEnd w:id="271"/>
    </w:p>
    <w:p w14:paraId="6C5121F9">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72" w:name="_Toc25873_WPSOffice_Level3"/>
      <w:r>
        <w:rPr>
          <w:rFonts w:hint="eastAsia" w:ascii="仿宋_GB2312" w:hAnsi="仿宋_GB2312" w:eastAsia="仿宋_GB2312" w:cs="仿宋_GB2312"/>
          <w:sz w:val="24"/>
          <w:szCs w:val="24"/>
          <w:lang w:val="zh-CN"/>
        </w:rPr>
        <w:t>5、供应商诚信承诺书（见附件5）</w:t>
      </w:r>
      <w:bookmarkEnd w:id="272"/>
    </w:p>
    <w:p w14:paraId="462B6C49">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73" w:name="_Toc31370_WPSOffice_Level3"/>
      <w:r>
        <w:rPr>
          <w:rFonts w:hint="eastAsia" w:ascii="仿宋_GB2312" w:hAnsi="仿宋_GB2312" w:eastAsia="仿宋_GB2312" w:cs="仿宋_GB2312"/>
          <w:sz w:val="24"/>
          <w:szCs w:val="24"/>
          <w:lang w:val="zh-CN"/>
        </w:rPr>
        <w:t>6、供应商资格证明文件（见附件6）</w:t>
      </w:r>
      <w:bookmarkEnd w:id="273"/>
    </w:p>
    <w:p w14:paraId="2F2AE10E">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74" w:name="_Toc10045_WPSOffice_Level3"/>
      <w:r>
        <w:rPr>
          <w:rFonts w:hint="eastAsia" w:ascii="仿宋_GB2312" w:hAnsi="仿宋_GB2312" w:eastAsia="仿宋_GB2312" w:cs="仿宋_GB2312"/>
          <w:sz w:val="24"/>
          <w:szCs w:val="24"/>
          <w:lang w:val="zh-CN"/>
        </w:rPr>
        <w:t>7、财务状况、缴纳税收和社会保障资金证明（见附件7）</w:t>
      </w:r>
      <w:bookmarkEnd w:id="274"/>
    </w:p>
    <w:p w14:paraId="1318AD11">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75" w:name="_Toc12223_WPSOffice_Level3"/>
      <w:r>
        <w:rPr>
          <w:rFonts w:hint="eastAsia" w:ascii="仿宋_GB2312" w:hAnsi="仿宋_GB2312" w:eastAsia="仿宋_GB2312" w:cs="仿宋_GB2312"/>
          <w:sz w:val="24"/>
          <w:szCs w:val="24"/>
          <w:lang w:val="zh-CN"/>
        </w:rPr>
        <w:t>8、无重大违法记录声明（见附件</w:t>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zh-CN"/>
        </w:rPr>
        <w:t>）</w:t>
      </w:r>
      <w:bookmarkEnd w:id="275"/>
    </w:p>
    <w:p w14:paraId="4C6ED6D6">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bookmarkStart w:id="276" w:name="_Toc10394_WPSOffice_Level3"/>
      <w:r>
        <w:rPr>
          <w:rFonts w:hint="eastAsia" w:ascii="仿宋_GB2312" w:hAnsi="仿宋_GB2312" w:eastAsia="仿宋_GB2312" w:cs="仿宋_GB2312"/>
          <w:sz w:val="24"/>
          <w:szCs w:val="24"/>
        </w:rPr>
        <w:t>9、谈判保证金证明（见附件9）</w:t>
      </w:r>
      <w:bookmarkEnd w:id="276"/>
    </w:p>
    <w:p w14:paraId="59682C02">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2"/>
        <w:rPr>
          <w:rFonts w:ascii="楷体_GB2312" w:hAnsi="楷体_GB2312" w:eastAsia="楷体_GB2312" w:cs="楷体_GB2312"/>
          <w:b/>
          <w:bCs/>
          <w:sz w:val="24"/>
          <w:szCs w:val="24"/>
          <w:lang w:val="zh-CN"/>
        </w:rPr>
      </w:pPr>
      <w:bookmarkStart w:id="277" w:name="_Toc3154_WPSOffice_Level2"/>
      <w:bookmarkStart w:id="278" w:name="_Toc22228"/>
      <w:bookmarkStart w:id="279" w:name="_Toc18301_WPSOffice_Level3"/>
      <w:bookmarkStart w:id="280" w:name="_Toc21135"/>
      <w:r>
        <w:rPr>
          <w:rFonts w:hint="eastAsia" w:ascii="楷体_GB2312" w:hAnsi="楷体_GB2312" w:eastAsia="楷体_GB2312" w:cs="楷体_GB2312"/>
          <w:b/>
          <w:bCs/>
          <w:sz w:val="24"/>
          <w:szCs w:val="24"/>
          <w:lang w:val="zh-CN"/>
        </w:rPr>
        <w:t>（二）有效性、完整性、响应程度审查部分</w:t>
      </w:r>
      <w:bookmarkEnd w:id="277"/>
      <w:bookmarkEnd w:id="278"/>
      <w:bookmarkEnd w:id="279"/>
      <w:bookmarkEnd w:id="280"/>
    </w:p>
    <w:p w14:paraId="2785F361">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1" w:name="_Toc9730_WPSOffice_Level3"/>
      <w:r>
        <w:rPr>
          <w:rFonts w:hint="eastAsia" w:ascii="仿宋_GB2312" w:hAnsi="仿宋_GB2312" w:eastAsia="仿宋_GB2312" w:cs="仿宋_GB2312"/>
          <w:sz w:val="24"/>
          <w:szCs w:val="24"/>
          <w:lang w:val="zh-CN"/>
        </w:rPr>
        <w:t>1、谈判首次报价表（见附件</w:t>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zh-CN"/>
        </w:rPr>
        <w:t>）</w:t>
      </w:r>
      <w:bookmarkEnd w:id="281"/>
    </w:p>
    <w:p w14:paraId="003AFBB1">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2" w:name="_Toc15196_WPSOffice_Level3"/>
      <w:r>
        <w:rPr>
          <w:rFonts w:hint="eastAsia" w:ascii="仿宋_GB2312" w:hAnsi="仿宋_GB2312" w:eastAsia="仿宋_GB2312" w:cs="仿宋_GB2312"/>
          <w:sz w:val="24"/>
          <w:szCs w:val="24"/>
          <w:lang w:val="zh-CN"/>
        </w:rPr>
        <w:t>2、</w:t>
      </w:r>
      <w:r>
        <w:rPr>
          <w:rFonts w:hint="eastAsia" w:ascii="仿宋_GB2312" w:hAnsi="仿宋_GB2312" w:eastAsia="仿宋_GB2312" w:cs="仿宋_GB2312"/>
          <w:sz w:val="24"/>
          <w:szCs w:val="24"/>
          <w:lang w:val="en-US" w:eastAsia="zh-CN"/>
        </w:rPr>
        <w:t>已标价工程量清单</w:t>
      </w:r>
      <w:r>
        <w:rPr>
          <w:rFonts w:hint="eastAsia" w:ascii="仿宋_GB2312" w:hAnsi="仿宋_GB2312" w:eastAsia="仿宋_GB2312" w:cs="仿宋_GB2312"/>
          <w:sz w:val="24"/>
          <w:szCs w:val="24"/>
          <w:lang w:val="zh-CN"/>
        </w:rPr>
        <w:t>（见附件1</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w:t>
      </w:r>
      <w:bookmarkEnd w:id="282"/>
    </w:p>
    <w:p w14:paraId="66DBA1A0">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3" w:name="_Toc22060_WPSOffice_Level3"/>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zh-CN"/>
        </w:rPr>
        <w:t>、具备履行合同所必须的设备和专业技术能力证明（附件1</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zh-CN"/>
        </w:rPr>
        <w:t>）</w:t>
      </w:r>
    </w:p>
    <w:bookmarkEnd w:id="283"/>
    <w:p w14:paraId="1BBC680B">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4" w:name="_Toc16307_WPSOffice_Level3"/>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zh-CN"/>
        </w:rPr>
        <w:t>、享受政府采购政策优惠的证明资料（见附件</w:t>
      </w: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lang w:val="zh-CN"/>
        </w:rPr>
        <w:t>）</w:t>
      </w:r>
      <w:bookmarkEnd w:id="284"/>
    </w:p>
    <w:p w14:paraId="253AA33C">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5" w:name="_Toc1748_WPSOffice_Level3"/>
      <w:r>
        <w:rPr>
          <w:rFonts w:hint="eastAsia" w:ascii="仿宋_GB2312" w:hAnsi="仿宋_GB2312" w:eastAsia="仿宋_GB2312" w:cs="仿宋_GB2312"/>
          <w:sz w:val="24"/>
          <w:szCs w:val="24"/>
        </w:rPr>
        <w:t>5、</w:t>
      </w:r>
      <w:bookmarkEnd w:id="285"/>
      <w:r>
        <w:rPr>
          <w:rFonts w:hint="eastAsia" w:ascii="仿宋_GB2312" w:hAnsi="仿宋_GB2312" w:eastAsia="仿宋_GB2312" w:cs="仿宋_GB2312"/>
          <w:sz w:val="24"/>
          <w:szCs w:val="24"/>
          <w:lang w:val="zh-CN"/>
        </w:rPr>
        <w:t>供应商认为在其他方面有必要说明的事项（格式自定）</w:t>
      </w:r>
    </w:p>
    <w:p w14:paraId="6080A960">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bookmarkStart w:id="286" w:name="_Toc30100_WPSOffice_Level3"/>
      <w:r>
        <w:rPr>
          <w:rFonts w:hint="eastAsia" w:ascii="仿宋_GB2312" w:hAnsi="仿宋_GB2312" w:eastAsia="仿宋_GB2312" w:cs="仿宋_GB2312"/>
          <w:sz w:val="24"/>
          <w:szCs w:val="24"/>
        </w:rPr>
        <w:t>6、谈判最后报价表（见附件15）</w:t>
      </w:r>
      <w:bookmarkEnd w:id="286"/>
    </w:p>
    <w:p w14:paraId="03A48297">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bookmarkStart w:id="287" w:name="_Toc5088_WPSOffice_Level3"/>
      <w:r>
        <w:rPr>
          <w:rFonts w:hint="eastAsia" w:ascii="仿宋_GB2312" w:hAnsi="仿宋_GB2312" w:eastAsia="仿宋_GB2312" w:cs="仿宋_GB2312"/>
          <w:sz w:val="24"/>
          <w:szCs w:val="24"/>
        </w:rPr>
        <w:t>7、其他证明材料（格式自定）</w:t>
      </w:r>
      <w:bookmarkEnd w:id="287"/>
    </w:p>
    <w:p w14:paraId="089639A1">
      <w:pPr>
        <w:adjustRightInd w:val="0"/>
        <w:snapToGrid w:val="0"/>
        <w:spacing w:line="560" w:lineRule="exact"/>
        <w:jc w:val="left"/>
        <w:rPr>
          <w:rFonts w:ascii="仿宋_GB2312" w:hAnsi="仿宋_GB2312" w:eastAsia="仿宋_GB2312" w:cs="仿宋_GB2312"/>
          <w:sz w:val="32"/>
          <w:szCs w:val="32"/>
        </w:rPr>
      </w:pPr>
    </w:p>
    <w:p w14:paraId="43443D1B">
      <w:pPr>
        <w:adjustRightInd w:val="0"/>
        <w:snapToGrid w:val="0"/>
        <w:spacing w:line="560" w:lineRule="exact"/>
        <w:jc w:val="left"/>
        <w:rPr>
          <w:rFonts w:ascii="仿宋_GB2312" w:hAnsi="仿宋_GB2312" w:eastAsia="仿宋_GB2312" w:cs="仿宋_GB2312"/>
          <w:sz w:val="32"/>
          <w:szCs w:val="32"/>
        </w:rPr>
      </w:pPr>
    </w:p>
    <w:p w14:paraId="07691E6C">
      <w:pPr>
        <w:adjustRightInd w:val="0"/>
        <w:snapToGrid w:val="0"/>
        <w:spacing w:line="560" w:lineRule="exact"/>
        <w:jc w:val="center"/>
        <w:outlineLvl w:val="1"/>
        <w:rPr>
          <w:rFonts w:hint="eastAsia" w:ascii="黑体" w:hAnsi="黑体" w:eastAsia="黑体" w:cs="黑体"/>
          <w:sz w:val="30"/>
          <w:szCs w:val="30"/>
        </w:rPr>
      </w:pPr>
      <w:bookmarkStart w:id="288" w:name="_Toc1684_WPSOffice_Level2"/>
      <w:bookmarkStart w:id="289" w:name="_Toc5252_WPSOffice_Level2"/>
      <w:bookmarkStart w:id="290" w:name="_Toc14930_WPSOffice_Level2"/>
      <w:bookmarkStart w:id="291" w:name="_Toc6128"/>
      <w:bookmarkStart w:id="292" w:name="_Toc11918"/>
    </w:p>
    <w:p w14:paraId="053B2E02">
      <w:pPr>
        <w:adjustRightInd w:val="0"/>
        <w:snapToGrid w:val="0"/>
        <w:spacing w:line="560" w:lineRule="exact"/>
        <w:jc w:val="center"/>
        <w:outlineLvl w:val="1"/>
        <w:rPr>
          <w:rFonts w:hint="eastAsia" w:ascii="黑体" w:hAnsi="黑体" w:eastAsia="黑体" w:cs="黑体"/>
          <w:sz w:val="30"/>
          <w:szCs w:val="30"/>
        </w:rPr>
      </w:pPr>
    </w:p>
    <w:p w14:paraId="15A2595F">
      <w:pPr>
        <w:adjustRightInd w:val="0"/>
        <w:snapToGrid w:val="0"/>
        <w:spacing w:line="560" w:lineRule="exact"/>
        <w:jc w:val="center"/>
        <w:outlineLvl w:val="1"/>
        <w:rPr>
          <w:rFonts w:ascii="黑体" w:hAnsi="黑体" w:eastAsia="黑体" w:cs="黑体"/>
          <w:sz w:val="32"/>
          <w:szCs w:val="32"/>
        </w:rPr>
      </w:pPr>
      <w:r>
        <w:rPr>
          <w:rFonts w:hint="eastAsia" w:ascii="黑体" w:hAnsi="黑体" w:eastAsia="黑体" w:cs="黑体"/>
          <w:sz w:val="30"/>
          <w:szCs w:val="30"/>
        </w:rPr>
        <w:t>十一、谈判响应文件</w:t>
      </w:r>
      <w:bookmarkEnd w:id="288"/>
      <w:bookmarkEnd w:id="289"/>
      <w:bookmarkEnd w:id="290"/>
      <w:bookmarkEnd w:id="291"/>
      <w:bookmarkEnd w:id="292"/>
    </w:p>
    <w:p w14:paraId="17FEA7C5">
      <w:pPr>
        <w:spacing w:before="156" w:beforeLines="50" w:line="560" w:lineRule="exact"/>
        <w:ind w:firstLine="1285" w:firstLineChars="400"/>
        <w:rPr>
          <w:rFonts w:ascii="仿宋_GB2312" w:hAnsi="仿宋_GB2312" w:eastAsia="仿宋_GB2312" w:cs="仿宋_GB2312"/>
          <w:b/>
          <w:color w:val="000000"/>
          <w:sz w:val="32"/>
          <w:szCs w:val="32"/>
        </w:rPr>
      </w:pPr>
      <w:bookmarkStart w:id="293" w:name="_Toc28269_WPSOffice_Level3"/>
    </w:p>
    <w:p w14:paraId="626A5B70">
      <w:pPr>
        <w:spacing w:before="156" w:beforeLines="50" w:line="560" w:lineRule="exact"/>
        <w:jc w:val="center"/>
        <w:rPr>
          <w:rFonts w:ascii="仿宋_GB2312" w:hAnsi="仿宋_GB2312" w:eastAsia="仿宋_GB2312" w:cs="仿宋_GB2312"/>
          <w:b/>
          <w:color w:val="000000"/>
          <w:sz w:val="52"/>
          <w:szCs w:val="52"/>
        </w:rPr>
      </w:pPr>
      <w:bookmarkStart w:id="294" w:name="_Toc31682_WPSOffice_Level2"/>
      <w:bookmarkStart w:id="295" w:name="_Toc10997_WPSOffice_Level2"/>
      <w:r>
        <w:rPr>
          <w:rFonts w:hint="eastAsia" w:ascii="仿宋_GB2312" w:hAnsi="仿宋_GB2312" w:eastAsia="仿宋_GB2312" w:cs="仿宋_GB2312"/>
          <w:b/>
          <w:color w:val="000000"/>
          <w:sz w:val="52"/>
          <w:szCs w:val="52"/>
        </w:rPr>
        <w:t>青海省政府采购项目</w:t>
      </w:r>
      <w:bookmarkEnd w:id="293"/>
      <w:bookmarkEnd w:id="294"/>
      <w:bookmarkEnd w:id="295"/>
    </w:p>
    <w:p w14:paraId="6ED56288">
      <w:pPr>
        <w:spacing w:before="156" w:beforeLines="50" w:line="560" w:lineRule="exact"/>
        <w:jc w:val="center"/>
        <w:rPr>
          <w:rFonts w:ascii="仿宋_GB2312" w:hAnsi="仿宋_GB2312" w:eastAsia="仿宋_GB2312" w:cs="仿宋_GB2312"/>
          <w:b/>
          <w:color w:val="000000"/>
          <w:sz w:val="52"/>
          <w:szCs w:val="52"/>
        </w:rPr>
      </w:pPr>
      <w:bookmarkStart w:id="296" w:name="_Toc25378_WPSOffice_Level2"/>
      <w:bookmarkStart w:id="297" w:name="_Toc23622_WPSOffice_Level2"/>
      <w:r>
        <w:rPr>
          <w:rFonts w:hint="eastAsia" w:ascii="仿宋_GB2312" w:hAnsi="仿宋_GB2312" w:eastAsia="仿宋_GB2312" w:cs="仿宋_GB2312"/>
          <w:b/>
          <w:color w:val="000000"/>
          <w:sz w:val="52"/>
          <w:szCs w:val="52"/>
        </w:rPr>
        <w:t>谈判响应文件</w:t>
      </w:r>
      <w:bookmarkEnd w:id="296"/>
      <w:bookmarkEnd w:id="297"/>
    </w:p>
    <w:p w14:paraId="6DBAE39B">
      <w:pPr>
        <w:adjustRightInd w:val="0"/>
        <w:spacing w:before="156" w:beforeLines="50" w:line="560" w:lineRule="exact"/>
        <w:ind w:firstLine="3052" w:firstLineChars="950"/>
        <w:textAlignment w:val="baseline"/>
        <w:rPr>
          <w:rFonts w:ascii="仿宋_GB2312" w:hAnsi="仿宋_GB2312" w:eastAsia="仿宋_GB2312" w:cs="仿宋_GB2312"/>
          <w:b/>
          <w:bCs/>
          <w:color w:val="000000"/>
          <w:sz w:val="32"/>
          <w:szCs w:val="32"/>
        </w:rPr>
      </w:pPr>
      <w:bookmarkStart w:id="298" w:name="_Toc13231_WPSOffice_Level2"/>
      <w:bookmarkStart w:id="299" w:name="_Toc28825_WPSOffice_Level2"/>
    </w:p>
    <w:p w14:paraId="2F80BE83">
      <w:pPr>
        <w:adjustRightInd w:val="0"/>
        <w:spacing w:before="156" w:beforeLines="50" w:line="560" w:lineRule="exact"/>
        <w:ind w:firstLine="3052" w:firstLineChars="950"/>
        <w:textAlignment w:val="baseline"/>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sz w:val="32"/>
          <w:szCs w:val="32"/>
        </w:rPr>
        <w:t>资格审查部分</w:t>
      </w:r>
      <w:r>
        <w:rPr>
          <w:rFonts w:hint="eastAsia" w:ascii="仿宋_GB2312" w:hAnsi="仿宋_GB2312" w:eastAsia="仿宋_GB2312" w:cs="仿宋_GB2312"/>
          <w:b/>
          <w:bCs/>
          <w:color w:val="000000"/>
          <w:sz w:val="32"/>
          <w:szCs w:val="32"/>
        </w:rPr>
        <w:t>）</w:t>
      </w:r>
      <w:bookmarkEnd w:id="298"/>
      <w:bookmarkEnd w:id="299"/>
    </w:p>
    <w:p w14:paraId="359293B8">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6D8A6A99">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449E6DBC">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3AE00446">
      <w:pPr>
        <w:adjustRightInd w:val="0"/>
        <w:spacing w:before="156" w:beforeLines="50" w:line="560" w:lineRule="exact"/>
        <w:textAlignment w:val="baseline"/>
        <w:rPr>
          <w:rFonts w:ascii="仿宋_GB2312" w:hAnsi="仿宋_GB2312" w:eastAsia="仿宋_GB2312" w:cs="仿宋_GB2312"/>
          <w:b/>
          <w:bCs/>
          <w:color w:val="000000"/>
          <w:sz w:val="32"/>
          <w:szCs w:val="32"/>
        </w:rPr>
      </w:pPr>
      <w:bookmarkStart w:id="300" w:name="_Toc29803_WPSOffice_Level2"/>
      <w:bookmarkStart w:id="301" w:name="_Toc19521_WPSOffice_Level2"/>
      <w:r>
        <w:rPr>
          <w:rFonts w:hint="eastAsia" w:ascii="仿宋_GB2312" w:hAnsi="仿宋_GB2312" w:eastAsia="仿宋_GB2312" w:cs="仿宋_GB2312"/>
          <w:b/>
          <w:bCs/>
          <w:color w:val="000000"/>
          <w:sz w:val="32"/>
          <w:szCs w:val="32"/>
        </w:rPr>
        <w:t>采购项目编号:</w:t>
      </w:r>
      <w:bookmarkEnd w:id="300"/>
      <w:bookmarkEnd w:id="301"/>
    </w:p>
    <w:p w14:paraId="7A6E5D77">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302" w:name="_Toc18713_WPSOffice_Level2"/>
      <w:bookmarkStart w:id="303" w:name="_Toc14786_WPSOffice_Level2"/>
      <w:r>
        <w:rPr>
          <w:rFonts w:hint="eastAsia" w:ascii="仿宋_GB2312" w:hAnsi="仿宋_GB2312" w:eastAsia="仿宋_GB2312" w:cs="仿宋_GB2312"/>
          <w:b/>
          <w:bCs/>
          <w:color w:val="000000"/>
          <w:sz w:val="32"/>
          <w:szCs w:val="32"/>
        </w:rPr>
        <w:t>采购项目名称:</w:t>
      </w:r>
      <w:bookmarkEnd w:id="302"/>
      <w:bookmarkEnd w:id="303"/>
    </w:p>
    <w:p w14:paraId="084BAF20">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304" w:name="_Toc14087_WPSOffice_Level2"/>
      <w:bookmarkStart w:id="305" w:name="_Toc22044_WPSOffice_Level2"/>
      <w:r>
        <w:rPr>
          <w:rFonts w:hint="eastAsia" w:ascii="仿宋_GB2312" w:hAnsi="仿宋_GB2312" w:eastAsia="仿宋_GB2312" w:cs="仿宋_GB2312"/>
          <w:b/>
          <w:bCs/>
          <w:color w:val="000000"/>
          <w:sz w:val="32"/>
          <w:szCs w:val="32"/>
        </w:rPr>
        <w:t>供应商名称：</w:t>
      </w:r>
      <w:bookmarkEnd w:id="304"/>
      <w:bookmarkEnd w:id="305"/>
    </w:p>
    <w:p w14:paraId="5949B9C3">
      <w:pPr>
        <w:spacing w:before="156" w:beforeLines="50" w:line="560" w:lineRule="exact"/>
        <w:jc w:val="center"/>
        <w:rPr>
          <w:rFonts w:ascii="仿宋_GB2312" w:hAnsi="仿宋_GB2312" w:eastAsia="仿宋_GB2312" w:cs="仿宋_GB2312"/>
          <w:b/>
          <w:bCs/>
          <w:color w:val="000000"/>
          <w:sz w:val="32"/>
          <w:szCs w:val="32"/>
        </w:rPr>
      </w:pPr>
    </w:p>
    <w:p w14:paraId="6519C1D4">
      <w:pPr>
        <w:spacing w:before="156" w:beforeLines="50" w:line="560" w:lineRule="exact"/>
        <w:jc w:val="center"/>
        <w:rPr>
          <w:rFonts w:ascii="仿宋_GB2312" w:hAnsi="仿宋_GB2312" w:eastAsia="仿宋_GB2312" w:cs="仿宋_GB2312"/>
          <w:b/>
          <w:color w:val="000000"/>
          <w:sz w:val="32"/>
          <w:szCs w:val="32"/>
        </w:rPr>
      </w:pPr>
      <w:bookmarkStart w:id="306" w:name="_Toc1142_WPSOffice_Level3"/>
      <w:r>
        <w:rPr>
          <w:rFonts w:hint="eastAsia" w:ascii="仿宋_GB2312" w:hAnsi="仿宋_GB2312" w:eastAsia="仿宋_GB2312" w:cs="仿宋_GB2312"/>
          <w:b/>
          <w:color w:val="000000"/>
          <w:sz w:val="32"/>
          <w:szCs w:val="32"/>
        </w:rPr>
        <w:t>年  月  日</w:t>
      </w:r>
      <w:bookmarkEnd w:id="306"/>
    </w:p>
    <w:p w14:paraId="46DD799A">
      <w:pPr>
        <w:widowControl/>
        <w:snapToGrid w:val="0"/>
        <w:spacing w:before="156" w:beforeLines="50" w:line="560" w:lineRule="exact"/>
        <w:jc w:val="left"/>
        <w:rPr>
          <w:rFonts w:ascii="宋体"/>
          <w:b/>
          <w:color w:val="000000"/>
          <w:sz w:val="28"/>
          <w:szCs w:val="28"/>
        </w:rPr>
      </w:pPr>
    </w:p>
    <w:p w14:paraId="6DFE05AD">
      <w:pPr>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2"/>
        <w:rPr>
          <w:rFonts w:ascii="宋体"/>
          <w:b/>
          <w:color w:val="000000"/>
          <w:sz w:val="28"/>
          <w:szCs w:val="28"/>
        </w:rPr>
      </w:pPr>
      <w:r>
        <w:rPr>
          <w:rFonts w:ascii="宋体"/>
          <w:b/>
          <w:color w:val="000000"/>
          <w:sz w:val="28"/>
          <w:szCs w:val="28"/>
        </w:rPr>
        <w:br w:type="page"/>
      </w:r>
      <w:bookmarkStart w:id="307" w:name="_Toc19203"/>
      <w:bookmarkStart w:id="308" w:name="_Toc24053"/>
      <w:bookmarkStart w:id="309" w:name="_Toc32479_WPSOffice_Level3"/>
      <w:bookmarkStart w:id="310" w:name="_Toc27597"/>
      <w:bookmarkStart w:id="311" w:name="_Toc27578"/>
      <w:r>
        <w:rPr>
          <w:rFonts w:hint="eastAsia" w:ascii="楷体_GB2312" w:hAnsi="楷体_GB2312" w:eastAsia="楷体_GB2312" w:cs="楷体_GB2312"/>
          <w:b/>
          <w:color w:val="000000"/>
          <w:sz w:val="32"/>
          <w:szCs w:val="32"/>
        </w:rPr>
        <w:t>附件1：响应函</w:t>
      </w:r>
      <w:bookmarkEnd w:id="307"/>
      <w:bookmarkEnd w:id="308"/>
      <w:bookmarkEnd w:id="309"/>
      <w:bookmarkEnd w:id="310"/>
      <w:bookmarkEnd w:id="311"/>
    </w:p>
    <w:p w14:paraId="5FB69D05">
      <w:pPr>
        <w:keepNext w:val="0"/>
        <w:keepLines w:val="0"/>
        <w:pageBreakBefore w:val="0"/>
        <w:widowControl w:val="0"/>
        <w:kinsoku/>
        <w:wordWrap/>
        <w:overflowPunct/>
        <w:topLinePunct w:val="0"/>
        <w:autoSpaceDE/>
        <w:autoSpaceDN/>
        <w:bidi w:val="0"/>
        <w:spacing w:line="500" w:lineRule="exact"/>
        <w:jc w:val="center"/>
        <w:textAlignment w:val="auto"/>
        <w:rPr>
          <w:rFonts w:ascii="仿宋_GB2312" w:hAnsi="仿宋_GB2312" w:eastAsia="仿宋_GB2312" w:cs="仿宋_GB2312"/>
          <w:b/>
          <w:color w:val="000000"/>
          <w:sz w:val="24"/>
          <w:szCs w:val="24"/>
        </w:rPr>
      </w:pPr>
      <w:bookmarkStart w:id="312" w:name="_Toc22598_WPSOffice_Level2"/>
      <w:bookmarkStart w:id="313" w:name="_Toc24288_WPSOffice_Level2"/>
      <w:r>
        <w:rPr>
          <w:rFonts w:hint="eastAsia" w:ascii="仿宋_GB2312" w:hAnsi="仿宋_GB2312" w:eastAsia="仿宋_GB2312" w:cs="仿宋_GB2312"/>
          <w:b/>
          <w:color w:val="000000"/>
          <w:sz w:val="28"/>
          <w:szCs w:val="28"/>
        </w:rPr>
        <w:t>响应函</w:t>
      </w:r>
      <w:bookmarkEnd w:id="312"/>
      <w:bookmarkEnd w:id="313"/>
    </w:p>
    <w:p w14:paraId="3778A61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color w:val="000000"/>
          <w:sz w:val="24"/>
          <w:szCs w:val="24"/>
        </w:rPr>
      </w:pPr>
      <w:bookmarkStart w:id="314" w:name="_Toc16867_WPSOffice_Level2"/>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（代理机构名称）</w:t>
      </w:r>
      <w:bookmarkEnd w:id="314"/>
    </w:p>
    <w:p w14:paraId="22B6A61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我们收到 （项目名称及编号）谈判文件，经研究，法定代表人（姓名、职务）正式授权（委托代理人姓名、职务）代表供应商（供应商名称、地址）提交谈判响应文件。    </w:t>
      </w:r>
    </w:p>
    <w:p w14:paraId="606515E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据此函，签字代表宣布同意如下：</w:t>
      </w:r>
    </w:p>
    <w:p w14:paraId="3179E67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1、我方已详阅谈判文件的全部内容，包括澄清、修改条款等有关附件，承诺对其完全理解并接受。</w:t>
      </w:r>
    </w:p>
    <w:p w14:paraId="0FA5142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2、若在响应文件发出后，我方在响应文件有效期内撤回或成交后不签约的，谈判保证金将被贵方没收。</w:t>
      </w:r>
    </w:p>
    <w:p w14:paraId="465D61B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3、我方同意按照贵方要求提供与谈判有关的一切数据或资料，理解并接受贵方制定的评标办法。</w:t>
      </w:r>
    </w:p>
    <w:p w14:paraId="7FCC947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4、与本次竞争性谈判有关的一切正式往来通讯请寄：</w:t>
      </w:r>
    </w:p>
    <w:p w14:paraId="5E4F979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地址：_______________   邮编：______________</w:t>
      </w:r>
    </w:p>
    <w:p w14:paraId="5BA59F4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电话：_______________   传真：______________</w:t>
      </w:r>
    </w:p>
    <w:p w14:paraId="646B0E4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宋体" w:eastAsia="仿宋_GB2312"/>
          <w:color w:val="000000"/>
          <w:sz w:val="24"/>
          <w:szCs w:val="24"/>
        </w:rPr>
      </w:pPr>
      <w:r>
        <w:rPr>
          <w:rFonts w:hint="eastAsia" w:ascii="仿宋_GB2312" w:hAnsi="仿宋_GB2312" w:eastAsia="仿宋_GB2312" w:cs="仿宋_GB2312"/>
          <w:sz w:val="24"/>
          <w:szCs w:val="24"/>
        </w:rPr>
        <w:t>法定代表人姓名： ___________ 职务：_________</w:t>
      </w:r>
    </w:p>
    <w:p w14:paraId="6511F606">
      <w:pPr>
        <w:keepNext w:val="0"/>
        <w:keepLines w:val="0"/>
        <w:pageBreakBefore w:val="0"/>
        <w:widowControl w:val="0"/>
        <w:kinsoku/>
        <w:wordWrap/>
        <w:overflowPunct/>
        <w:topLinePunct w:val="0"/>
        <w:autoSpaceDE/>
        <w:autoSpaceDN/>
        <w:bidi w:val="0"/>
        <w:spacing w:line="500" w:lineRule="exact"/>
        <w:ind w:firstLine="480" w:firstLineChars="200"/>
        <w:jc w:val="center"/>
        <w:textAlignment w:val="auto"/>
        <w:rPr>
          <w:rFonts w:hint="eastAsia" w:ascii="仿宋_GB2312" w:hAnsi="仿宋_GB2312" w:eastAsia="仿宋_GB2312" w:cs="仿宋_GB2312"/>
          <w:bCs/>
          <w:color w:val="000000"/>
          <w:sz w:val="24"/>
          <w:szCs w:val="24"/>
          <w:lang w:val="en-US" w:eastAsia="zh-CN"/>
        </w:rPr>
      </w:pPr>
      <w:bookmarkStart w:id="315" w:name="_Toc28112_WPSOffice_Level3"/>
      <w:bookmarkStart w:id="316" w:name="_Toc1506_WPSOffice_Level3"/>
      <w:r>
        <w:rPr>
          <w:rFonts w:hint="eastAsia" w:ascii="仿宋_GB2312" w:hAnsi="仿宋_GB2312" w:eastAsia="仿宋_GB2312" w:cs="仿宋_GB2312"/>
          <w:bCs/>
          <w:color w:val="000000"/>
          <w:sz w:val="24"/>
          <w:szCs w:val="24"/>
          <w:lang w:val="en-US" w:eastAsia="zh-CN"/>
        </w:rPr>
        <w:t xml:space="preserve">                  </w:t>
      </w:r>
    </w:p>
    <w:p w14:paraId="02A52BF2">
      <w:pPr>
        <w:keepNext w:val="0"/>
        <w:keepLines w:val="0"/>
        <w:pageBreakBefore w:val="0"/>
        <w:widowControl w:val="0"/>
        <w:kinsoku/>
        <w:wordWrap/>
        <w:overflowPunct/>
        <w:topLinePunct w:val="0"/>
        <w:autoSpaceDE/>
        <w:autoSpaceDN/>
        <w:bidi w:val="0"/>
        <w:spacing w:line="500" w:lineRule="exact"/>
        <w:ind w:firstLine="480" w:firstLineChars="2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单位名称：</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（公章）</w:t>
      </w:r>
      <w:bookmarkEnd w:id="315"/>
      <w:bookmarkEnd w:id="316"/>
    </w:p>
    <w:p w14:paraId="6B0D26CD">
      <w:pPr>
        <w:keepNext w:val="0"/>
        <w:keepLines w:val="0"/>
        <w:pageBreakBefore w:val="0"/>
        <w:widowControl w:val="0"/>
        <w:kinsoku/>
        <w:wordWrap/>
        <w:overflowPunct/>
        <w:topLinePunct w:val="0"/>
        <w:autoSpaceDE/>
        <w:autoSpaceDN/>
        <w:bidi w:val="0"/>
        <w:spacing w:line="500" w:lineRule="exact"/>
        <w:ind w:firstLine="480" w:firstLineChars="200"/>
        <w:jc w:val="center"/>
        <w:textAlignment w:val="auto"/>
        <w:rPr>
          <w:rFonts w:ascii="仿宋_GB2312" w:hAnsi="仿宋_GB2312" w:eastAsia="仿宋_GB2312" w:cs="仿宋_GB2312"/>
          <w:bCs/>
          <w:color w:val="000000"/>
          <w:sz w:val="24"/>
          <w:szCs w:val="24"/>
        </w:rPr>
      </w:pPr>
      <w:bookmarkStart w:id="317" w:name="_Toc28651_WPSOffice_Level3"/>
      <w:bookmarkStart w:id="318" w:name="_Toc6385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（签字或盖章）</w:t>
      </w:r>
      <w:bookmarkEnd w:id="317"/>
      <w:bookmarkEnd w:id="318"/>
    </w:p>
    <w:p w14:paraId="671F2297">
      <w:pPr>
        <w:keepNext w:val="0"/>
        <w:keepLines w:val="0"/>
        <w:pageBreakBefore w:val="0"/>
        <w:widowControl w:val="0"/>
        <w:kinsoku/>
        <w:wordWrap/>
        <w:overflowPunct/>
        <w:topLinePunct w:val="0"/>
        <w:autoSpaceDE/>
        <w:autoSpaceDN/>
        <w:bidi w:val="0"/>
        <w:spacing w:line="500" w:lineRule="exact"/>
        <w:ind w:firstLine="480" w:firstLineChars="200"/>
        <w:jc w:val="center"/>
        <w:textAlignment w:val="auto"/>
        <w:rPr>
          <w:rFonts w:ascii="仿宋_GB2312" w:hAnsi="仿宋_GB2312" w:eastAsia="仿宋_GB2312" w:cs="仿宋_GB2312"/>
          <w:bCs/>
          <w:color w:val="000000"/>
          <w:sz w:val="32"/>
          <w:szCs w:val="32"/>
        </w:rPr>
      </w:pPr>
      <w:bookmarkStart w:id="319" w:name="_Toc130_WPSOffice_Level3"/>
      <w:bookmarkStart w:id="320" w:name="_Toc13325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年  月  日</w:t>
      </w:r>
      <w:bookmarkEnd w:id="319"/>
      <w:bookmarkEnd w:id="320"/>
    </w:p>
    <w:p w14:paraId="35C6F4BC">
      <w:pPr>
        <w:widowControl/>
        <w:snapToGrid w:val="0"/>
        <w:spacing w:before="156" w:beforeLines="50" w:line="560" w:lineRule="exact"/>
        <w:rPr>
          <w:rFonts w:ascii="宋体"/>
          <w:b/>
          <w:color w:val="000000"/>
          <w:sz w:val="28"/>
          <w:szCs w:val="28"/>
        </w:rPr>
      </w:pPr>
    </w:p>
    <w:p w14:paraId="1D4DADC2">
      <w:pPr>
        <w:rPr>
          <w:rFonts w:hint="eastAsia" w:ascii="楷体_GB2312" w:hAnsi="楷体_GB2312" w:eastAsia="楷体_GB2312" w:cs="楷体_GB2312"/>
          <w:b/>
          <w:color w:val="000000"/>
          <w:sz w:val="32"/>
          <w:szCs w:val="32"/>
        </w:rPr>
      </w:pPr>
      <w:bookmarkStart w:id="321" w:name="_Toc16050"/>
      <w:bookmarkStart w:id="322" w:name="_Toc17887_WPSOffice_Level2"/>
      <w:bookmarkStart w:id="323" w:name="_Toc20882_WPSOffice_Level3"/>
      <w:bookmarkStart w:id="324" w:name="_Toc3082"/>
      <w:bookmarkStart w:id="325" w:name="_Toc12487"/>
      <w:bookmarkStart w:id="326" w:name="_Toc27148"/>
      <w:bookmarkStart w:id="327" w:name="_Toc26257_WPSOffice_Level2"/>
      <w:r>
        <w:rPr>
          <w:rFonts w:hint="eastAsia" w:ascii="楷体_GB2312" w:hAnsi="楷体_GB2312" w:eastAsia="楷体_GB2312" w:cs="楷体_GB2312"/>
          <w:b/>
          <w:color w:val="000000"/>
          <w:sz w:val="32"/>
          <w:szCs w:val="32"/>
        </w:rPr>
        <w:br w:type="page"/>
      </w:r>
    </w:p>
    <w:p w14:paraId="06330399">
      <w:pPr>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2"/>
        <w:rPr>
          <w:rFonts w:ascii="宋体" w:hAnsi="宋体"/>
          <w:b/>
          <w:bCs/>
          <w:color w:val="000000"/>
          <w:sz w:val="36"/>
          <w:szCs w:val="36"/>
        </w:rPr>
      </w:pPr>
      <w:r>
        <w:rPr>
          <w:rFonts w:hint="eastAsia" w:ascii="楷体_GB2312" w:hAnsi="楷体_GB2312" w:eastAsia="楷体_GB2312" w:cs="楷体_GB2312"/>
          <w:b/>
          <w:color w:val="000000"/>
          <w:sz w:val="32"/>
          <w:szCs w:val="32"/>
        </w:rPr>
        <w:t>附件2：法定代表人证明书</w:t>
      </w:r>
      <w:bookmarkEnd w:id="321"/>
      <w:bookmarkEnd w:id="322"/>
      <w:bookmarkEnd w:id="323"/>
      <w:bookmarkEnd w:id="324"/>
      <w:bookmarkEnd w:id="325"/>
      <w:bookmarkEnd w:id="326"/>
      <w:bookmarkEnd w:id="327"/>
    </w:p>
    <w:p w14:paraId="03F5A1E7">
      <w:pPr>
        <w:keepNext w:val="0"/>
        <w:keepLines w:val="0"/>
        <w:pageBreakBefore w:val="0"/>
        <w:widowControl w:val="0"/>
        <w:kinsoku/>
        <w:wordWrap/>
        <w:overflowPunct/>
        <w:topLinePunct w:val="0"/>
        <w:autoSpaceDE/>
        <w:autoSpaceDN/>
        <w:bidi w:val="0"/>
        <w:adjustRightInd/>
        <w:snapToGrid/>
        <w:spacing w:before="157" w:beforeLines="50" w:line="500" w:lineRule="exact"/>
        <w:jc w:val="center"/>
        <w:textAlignment w:val="auto"/>
        <w:rPr>
          <w:rFonts w:ascii="仿宋_GB2312" w:hAnsi="仿宋_GB2312" w:eastAsia="仿宋_GB2312" w:cs="仿宋_GB2312"/>
          <w:b/>
          <w:color w:val="000000"/>
          <w:sz w:val="24"/>
          <w:szCs w:val="24"/>
        </w:rPr>
      </w:pPr>
      <w:bookmarkStart w:id="328" w:name="_Toc32036_WPSOffice_Level1"/>
      <w:bookmarkStart w:id="329" w:name="_Toc28170_WPSOffice_Level2"/>
      <w:bookmarkStart w:id="330" w:name="_Toc6898_WPSOffice_Level2"/>
      <w:bookmarkStart w:id="331" w:name="_Toc14917_WPSOffice_Level1"/>
      <w:r>
        <w:rPr>
          <w:rFonts w:hint="eastAsia" w:ascii="仿宋_GB2312" w:hAnsi="仿宋_GB2312" w:eastAsia="仿宋_GB2312" w:cs="仿宋_GB2312"/>
          <w:b/>
          <w:color w:val="000000"/>
          <w:sz w:val="28"/>
          <w:szCs w:val="28"/>
        </w:rPr>
        <w:t>法定代表人证明书</w:t>
      </w:r>
      <w:bookmarkEnd w:id="328"/>
      <w:bookmarkEnd w:id="329"/>
      <w:bookmarkEnd w:id="330"/>
      <w:bookmarkEnd w:id="331"/>
    </w:p>
    <w:p w14:paraId="19A39D93">
      <w:pPr>
        <w:keepNext w:val="0"/>
        <w:keepLines w:val="0"/>
        <w:pageBreakBefore w:val="0"/>
        <w:widowControl w:val="0"/>
        <w:kinsoku/>
        <w:wordWrap/>
        <w:overflowPunct/>
        <w:topLinePunct w:val="0"/>
        <w:bidi w:val="0"/>
        <w:snapToGrid/>
        <w:spacing w:line="500" w:lineRule="exact"/>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（代理机构名称）</w:t>
      </w:r>
    </w:p>
    <w:p w14:paraId="72410783">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u w:val="single"/>
        </w:rPr>
        <w:t xml:space="preserve">  （法定代表人姓名）  </w:t>
      </w:r>
      <w:r>
        <w:rPr>
          <w:rFonts w:hint="eastAsia" w:ascii="仿宋_GB2312" w:hAnsi="仿宋_GB2312" w:eastAsia="仿宋_GB2312" w:cs="仿宋_GB2312"/>
          <w:color w:val="000000"/>
          <w:sz w:val="24"/>
          <w:szCs w:val="24"/>
        </w:rPr>
        <w:t>现任我单位职务，为法定代表人，特此证明。</w:t>
      </w:r>
    </w:p>
    <w:p w14:paraId="6C6CC8A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法定代表人基本情况：</w:t>
      </w:r>
    </w:p>
    <w:p w14:paraId="0A3BE62E">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性别：</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年龄：</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民族：</w:t>
      </w:r>
    </w:p>
    <w:p w14:paraId="746E339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地址：</w:t>
      </w:r>
    </w:p>
    <w:p w14:paraId="172322CB">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身份证号码：</w:t>
      </w:r>
    </w:p>
    <w:p w14:paraId="3E2B5AA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附法定代表人第二代身份证双面扫描或其他身份证明材料（复印件</w:t>
      </w:r>
      <w:r>
        <w:rPr>
          <w:rFonts w:hint="eastAsia" w:ascii="仿宋_GB2312" w:hAnsi="仿宋_GB2312" w:eastAsia="仿宋_GB2312" w:cs="仿宋_GB2312"/>
          <w:sz w:val="24"/>
          <w:szCs w:val="24"/>
        </w:rPr>
        <w:t>）</w:t>
      </w:r>
    </w:p>
    <w:p w14:paraId="3875030A">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宋体" w:hAnsi="宋体" w:cs="宋体"/>
          <w:color w:val="000000"/>
          <w:kern w:val="0"/>
          <w:sz w:val="24"/>
          <w:szCs w:val="24"/>
        </w:rPr>
      </w:pPr>
    </w:p>
    <w:p w14:paraId="3DB16C7A">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单位名称：</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（公章）</w:t>
      </w:r>
    </w:p>
    <w:p w14:paraId="10A4CABF">
      <w:pPr>
        <w:keepNext w:val="0"/>
        <w:keepLines w:val="0"/>
        <w:pageBreakBefore w:val="0"/>
        <w:widowControl w:val="0"/>
        <w:kinsoku/>
        <w:wordWrap/>
        <w:overflowPunct/>
        <w:topLinePunct w:val="0"/>
        <w:bidi w:val="0"/>
        <w:snapToGrid/>
        <w:spacing w:line="500" w:lineRule="exact"/>
        <w:ind w:firstLine="480" w:firstLineChars="2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（签字或盖章）</w:t>
      </w:r>
    </w:p>
    <w:p w14:paraId="513B3083">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仿宋_GB2312" w:hAnsi="仿宋_GB2312" w:eastAsia="仿宋_GB2312" w:cs="仿宋_GB2312"/>
          <w:color w:val="000000"/>
          <w:sz w:val="32"/>
          <w:szCs w:val="32"/>
        </w:rPr>
      </w:pPr>
      <w:bookmarkStart w:id="332" w:name="_Toc16117_WPSOffice_Level3"/>
      <w:bookmarkStart w:id="333" w:name="_Toc10597_WPSOffice_Level3"/>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年   月   日</w:t>
      </w:r>
      <w:bookmarkEnd w:id="332"/>
      <w:bookmarkEnd w:id="333"/>
    </w:p>
    <w:p w14:paraId="58972F5F">
      <w:pPr>
        <w:spacing w:before="156" w:beforeLines="50" w:line="560" w:lineRule="exact"/>
        <w:ind w:right="480"/>
        <w:jc w:val="right"/>
        <w:rPr>
          <w:rFonts w:ascii="宋体"/>
          <w:b/>
          <w:color w:val="000000"/>
          <w:sz w:val="36"/>
          <w:szCs w:val="36"/>
        </w:rPr>
      </w:pPr>
    </w:p>
    <w:p w14:paraId="58C0E14B">
      <w:pPr>
        <w:spacing w:before="156" w:beforeLines="50" w:line="560" w:lineRule="exact"/>
        <w:jc w:val="right"/>
        <w:rPr>
          <w:rFonts w:ascii="宋体"/>
          <w:b/>
          <w:color w:val="000000"/>
          <w:sz w:val="36"/>
          <w:szCs w:val="36"/>
        </w:rPr>
      </w:pPr>
    </w:p>
    <w:p w14:paraId="23278227">
      <w:pPr>
        <w:spacing w:before="156" w:beforeLines="50" w:line="560" w:lineRule="exact"/>
        <w:rPr>
          <w:rFonts w:ascii="宋体"/>
          <w:b/>
          <w:color w:val="000000"/>
          <w:sz w:val="36"/>
          <w:szCs w:val="36"/>
        </w:rPr>
      </w:pPr>
    </w:p>
    <w:p w14:paraId="37C72C59">
      <w:pPr>
        <w:rPr>
          <w:rFonts w:hint="eastAsia" w:ascii="楷体_GB2312" w:hAnsi="楷体_GB2312" w:eastAsia="楷体_GB2312" w:cs="楷体_GB2312"/>
          <w:b/>
          <w:color w:val="000000"/>
          <w:sz w:val="32"/>
          <w:szCs w:val="32"/>
        </w:rPr>
      </w:pPr>
      <w:bookmarkStart w:id="334" w:name="_Toc31941"/>
      <w:bookmarkStart w:id="335" w:name="_Toc18183"/>
      <w:bookmarkStart w:id="336" w:name="_Toc31901"/>
      <w:bookmarkStart w:id="337" w:name="_Toc21545_WPSOffice_Level3"/>
      <w:bookmarkStart w:id="338" w:name="_Toc27782"/>
      <w:bookmarkStart w:id="339" w:name="_Toc23035_WPSOffice_Level2"/>
      <w:r>
        <w:rPr>
          <w:rFonts w:hint="eastAsia" w:ascii="楷体_GB2312" w:hAnsi="楷体_GB2312" w:eastAsia="楷体_GB2312" w:cs="楷体_GB2312"/>
          <w:b/>
          <w:color w:val="000000"/>
          <w:sz w:val="32"/>
          <w:szCs w:val="32"/>
        </w:rPr>
        <w:br w:type="page"/>
      </w:r>
    </w:p>
    <w:p w14:paraId="22DC25A8">
      <w:pPr>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2"/>
        <w:rPr>
          <w:rFonts w:ascii="宋体" w:hAnsi="宋体"/>
          <w:b/>
          <w:color w:val="000000"/>
          <w:sz w:val="36"/>
          <w:szCs w:val="36"/>
        </w:rPr>
      </w:pPr>
      <w:r>
        <w:rPr>
          <w:rFonts w:hint="eastAsia" w:ascii="楷体_GB2312" w:hAnsi="楷体_GB2312" w:eastAsia="楷体_GB2312" w:cs="楷体_GB2312"/>
          <w:b/>
          <w:color w:val="000000"/>
          <w:sz w:val="32"/>
          <w:szCs w:val="32"/>
        </w:rPr>
        <w:t>附件3：法定代表人授权书</w:t>
      </w:r>
      <w:bookmarkEnd w:id="334"/>
      <w:bookmarkEnd w:id="335"/>
      <w:bookmarkEnd w:id="336"/>
      <w:bookmarkEnd w:id="337"/>
      <w:bookmarkEnd w:id="338"/>
      <w:bookmarkEnd w:id="339"/>
    </w:p>
    <w:p w14:paraId="6BEB2592">
      <w:pPr>
        <w:keepNext w:val="0"/>
        <w:keepLines w:val="0"/>
        <w:pageBreakBefore w:val="0"/>
        <w:widowControl w:val="0"/>
        <w:kinsoku/>
        <w:wordWrap/>
        <w:overflowPunct/>
        <w:topLinePunct w:val="0"/>
        <w:autoSpaceDE/>
        <w:autoSpaceDN/>
        <w:bidi w:val="0"/>
        <w:adjustRightInd/>
        <w:snapToGrid/>
        <w:spacing w:before="157" w:beforeLines="50" w:line="500" w:lineRule="exact"/>
        <w:jc w:val="center"/>
        <w:textAlignment w:val="auto"/>
        <w:rPr>
          <w:rFonts w:ascii="仿宋_GB2312" w:hAnsi="仿宋_GB2312" w:eastAsia="仿宋_GB2312" w:cs="仿宋_GB2312"/>
          <w:b/>
          <w:color w:val="000000"/>
          <w:sz w:val="24"/>
          <w:szCs w:val="24"/>
        </w:rPr>
      </w:pPr>
      <w:bookmarkStart w:id="340" w:name="_Toc5048_WPSOffice_Level2"/>
      <w:bookmarkStart w:id="341" w:name="_Toc26434_WPSOffice_Level2"/>
      <w:bookmarkStart w:id="342" w:name="_Toc1148_WPSOffice_Level3"/>
      <w:r>
        <w:rPr>
          <w:rFonts w:hint="eastAsia" w:ascii="仿宋_GB2312" w:hAnsi="仿宋_GB2312" w:eastAsia="仿宋_GB2312" w:cs="仿宋_GB2312"/>
          <w:b/>
          <w:color w:val="000000"/>
          <w:sz w:val="28"/>
          <w:szCs w:val="28"/>
        </w:rPr>
        <w:t>法定代表人授权书</w:t>
      </w:r>
      <w:bookmarkEnd w:id="340"/>
      <w:bookmarkEnd w:id="341"/>
      <w:bookmarkEnd w:id="342"/>
    </w:p>
    <w:p w14:paraId="10E0ACA9">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4"/>
          <w:szCs w:val="24"/>
          <w:u w:val="single"/>
        </w:rPr>
      </w:pPr>
      <w:bookmarkStart w:id="343" w:name="_Toc6307_WPSOffice_Level2"/>
      <w:bookmarkStart w:id="344" w:name="_Toc16084_WPSOffice_Level2"/>
      <w:bookmarkStart w:id="345" w:name="_Toc25306_WPSOffice_Level2"/>
      <w:r>
        <w:rPr>
          <w:rFonts w:hint="eastAsia" w:ascii="仿宋_GB2312" w:hAnsi="仿宋_GB2312" w:eastAsia="仿宋_GB2312" w:cs="仿宋_GB2312"/>
          <w:b/>
          <w:bCs/>
          <w:color w:val="000000"/>
          <w:sz w:val="24"/>
          <w:szCs w:val="24"/>
        </w:rPr>
        <w:t>致：</w:t>
      </w:r>
      <w:r>
        <w:rPr>
          <w:rFonts w:hint="eastAsia" w:ascii="仿宋_GB2312" w:hAnsi="仿宋_GB2312" w:eastAsia="仿宋_GB2312" w:cs="仿宋_GB2312"/>
          <w:b/>
          <w:bCs/>
          <w:color w:val="000000"/>
          <w:sz w:val="24"/>
          <w:szCs w:val="24"/>
          <w:u w:val="single"/>
        </w:rPr>
        <w:t>（代理机构名称）</w:t>
      </w:r>
      <w:bookmarkEnd w:id="343"/>
      <w:bookmarkEnd w:id="344"/>
      <w:bookmarkEnd w:id="345"/>
    </w:p>
    <w:p w14:paraId="58FBB28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u w:val="single"/>
        </w:rPr>
        <w:t xml:space="preserve">  （供应商名称）  </w:t>
      </w:r>
      <w:r>
        <w:rPr>
          <w:rFonts w:hint="eastAsia" w:ascii="仿宋_GB2312" w:hAnsi="仿宋_GB2312" w:eastAsia="仿宋_GB2312" w:cs="仿宋_GB2312"/>
          <w:color w:val="000000"/>
          <w:sz w:val="24"/>
          <w:szCs w:val="24"/>
        </w:rPr>
        <w:t>系中华人民共和国合法企业，法定地址。</w:t>
      </w:r>
    </w:p>
    <w:p w14:paraId="1432D77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u w:val="single"/>
        </w:rPr>
        <w:t xml:space="preserve">（法定代表人姓名）   </w:t>
      </w:r>
      <w:r>
        <w:rPr>
          <w:rFonts w:hint="eastAsia" w:ascii="仿宋_GB2312" w:hAnsi="仿宋_GB2312" w:eastAsia="仿宋_GB2312" w:cs="仿宋_GB2312"/>
          <w:color w:val="000000"/>
          <w:sz w:val="24"/>
          <w:szCs w:val="24"/>
        </w:rPr>
        <w:t>特授权</w:t>
      </w:r>
      <w:r>
        <w:rPr>
          <w:rFonts w:hint="eastAsia" w:ascii="仿宋_GB2312" w:hAnsi="仿宋_GB2312" w:eastAsia="仿宋_GB2312" w:cs="仿宋_GB2312"/>
          <w:color w:val="000000"/>
          <w:sz w:val="24"/>
          <w:szCs w:val="24"/>
          <w:u w:val="single"/>
        </w:rPr>
        <w:t xml:space="preserve"> （委托代理人姓名）    </w:t>
      </w:r>
      <w:r>
        <w:rPr>
          <w:rFonts w:hint="eastAsia" w:ascii="仿宋_GB2312" w:hAnsi="仿宋_GB2312" w:eastAsia="仿宋_GB2312" w:cs="仿宋_GB2312"/>
          <w:color w:val="000000"/>
          <w:sz w:val="24"/>
          <w:szCs w:val="24"/>
        </w:rPr>
        <w:t>代表我单位全权办理针对项目的谈判、答疑等具体工作，并签署全部有关的文件、资料。</w:t>
      </w:r>
    </w:p>
    <w:p w14:paraId="08CF7E6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我单位对被授权人的签名负全部责任。</w:t>
      </w:r>
    </w:p>
    <w:p w14:paraId="571072B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在撤销授权的书面通知以前，本授权书一直有效，被授权人签署的所有文件（在授权书有效期内签署的）不因授权的撤销而失效。</w:t>
      </w:r>
    </w:p>
    <w:p w14:paraId="69BDA4E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授权期限：自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日起至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日止。</w:t>
      </w:r>
    </w:p>
    <w:p w14:paraId="5A3BA7A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被授权人联系电话：</w:t>
      </w:r>
    </w:p>
    <w:p w14:paraId="597917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被授权人（委托代理人）签字或盖章：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职务：</w:t>
      </w:r>
    </w:p>
    <w:p w14:paraId="01904F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 xml:space="preserve">授权人（法定代表人）签字或盖章：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职务：</w:t>
      </w:r>
    </w:p>
    <w:p w14:paraId="251FE58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000000"/>
          <w:sz w:val="24"/>
          <w:szCs w:val="24"/>
        </w:rPr>
      </w:pPr>
      <w:r>
        <w:rPr>
          <w:rFonts w:hint="eastAsia" w:ascii="仿宋_GB2312" w:hAnsi="仿宋_GB2312" w:eastAsia="仿宋_GB2312" w:cs="仿宋_GB2312"/>
          <w:color w:val="000000"/>
          <w:kern w:val="0"/>
          <w:sz w:val="24"/>
          <w:szCs w:val="24"/>
        </w:rPr>
        <w:t>附被授权人第二代身份证双面扫描（或复印）件</w:t>
      </w:r>
    </w:p>
    <w:p w14:paraId="4C6D34EF">
      <w:pPr>
        <w:keepNext w:val="0"/>
        <w:keepLines w:val="0"/>
        <w:pageBreakBefore w:val="0"/>
        <w:widowControl w:val="0"/>
        <w:kinsoku/>
        <w:wordWrap/>
        <w:overflowPunct/>
        <w:topLinePunct w:val="0"/>
        <w:autoSpaceDE/>
        <w:autoSpaceDN/>
        <w:bidi w:val="0"/>
        <w:adjustRightInd/>
        <w:snapToGrid/>
        <w:spacing w:line="500" w:lineRule="exact"/>
        <w:ind w:firstLine="3600" w:firstLineChars="1500"/>
        <w:jc w:val="center"/>
        <w:textAlignment w:val="auto"/>
        <w:rPr>
          <w:rFonts w:hint="eastAsia" w:ascii="仿宋_GB2312" w:hAnsi="仿宋_GB2312" w:eastAsia="仿宋_GB2312" w:cs="仿宋_GB2312"/>
          <w:bCs/>
          <w:color w:val="000000"/>
          <w:sz w:val="24"/>
          <w:szCs w:val="24"/>
          <w:lang w:val="en-US" w:eastAsia="zh-CN"/>
        </w:rPr>
      </w:pPr>
      <w:bookmarkStart w:id="346" w:name="_Toc13837_WPSOffice_Level3"/>
      <w:r>
        <w:rPr>
          <w:rFonts w:hint="eastAsia" w:ascii="仿宋_GB2312" w:hAnsi="仿宋_GB2312" w:eastAsia="仿宋_GB2312" w:cs="仿宋_GB2312"/>
          <w:bCs/>
          <w:color w:val="000000"/>
          <w:sz w:val="24"/>
          <w:szCs w:val="24"/>
          <w:lang w:val="en-US" w:eastAsia="zh-CN"/>
        </w:rPr>
        <w:t xml:space="preserve">        </w:t>
      </w:r>
    </w:p>
    <w:p w14:paraId="7606DE0E">
      <w:pPr>
        <w:keepNext w:val="0"/>
        <w:keepLines w:val="0"/>
        <w:pageBreakBefore w:val="0"/>
        <w:widowControl w:val="0"/>
        <w:kinsoku/>
        <w:wordWrap/>
        <w:overflowPunct/>
        <w:topLinePunct w:val="0"/>
        <w:autoSpaceDE/>
        <w:autoSpaceDN/>
        <w:bidi w:val="0"/>
        <w:adjustRightInd/>
        <w:snapToGrid/>
        <w:spacing w:line="500" w:lineRule="exact"/>
        <w:ind w:firstLine="3600" w:firstLineChars="15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单位名称：</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（公章）</w:t>
      </w:r>
      <w:bookmarkEnd w:id="346"/>
    </w:p>
    <w:p w14:paraId="146645E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 xml:space="preserve">   法定代表人或委托代理人：</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 xml:space="preserve">（签字或盖章）                 </w:t>
      </w:r>
    </w:p>
    <w:p w14:paraId="79C00D1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 xml:space="preserve"> </w:t>
      </w:r>
      <w:bookmarkStart w:id="347" w:name="_Toc32599_WPSOffice_Level3"/>
      <w:bookmarkStart w:id="348" w:name="_Toc6591_WPSOffice_Level3"/>
      <w:r>
        <w:rPr>
          <w:rFonts w:hint="eastAsia" w:ascii="仿宋_GB2312" w:hAnsi="仿宋_GB2312" w:eastAsia="仿宋_GB2312" w:cs="仿宋_GB2312"/>
          <w:bCs/>
          <w:color w:val="000000"/>
          <w:sz w:val="24"/>
          <w:szCs w:val="24"/>
        </w:rPr>
        <w:t>年   月   日</w:t>
      </w:r>
      <w:bookmarkEnd w:id="347"/>
      <w:bookmarkEnd w:id="348"/>
    </w:p>
    <w:p w14:paraId="20AF44A4">
      <w:pPr>
        <w:spacing w:before="156" w:beforeLines="50" w:line="560" w:lineRule="exact"/>
        <w:rPr>
          <w:rFonts w:ascii="宋体" w:hAnsi="宋体"/>
          <w:b/>
          <w:bCs/>
          <w:color w:val="000000"/>
          <w:sz w:val="24"/>
        </w:rPr>
      </w:pPr>
    </w:p>
    <w:p w14:paraId="70BDC481">
      <w:pPr>
        <w:spacing w:before="156" w:beforeLines="50" w:line="560" w:lineRule="exact"/>
        <w:rPr>
          <w:rFonts w:ascii="宋体" w:hAnsi="宋体"/>
          <w:b/>
          <w:bCs/>
          <w:color w:val="000000"/>
          <w:sz w:val="24"/>
        </w:rPr>
      </w:pPr>
    </w:p>
    <w:p w14:paraId="2A95E292">
      <w:pPr>
        <w:rPr>
          <w:rFonts w:hint="eastAsia" w:ascii="楷体_GB2312" w:hAnsi="楷体_GB2312" w:eastAsia="楷体_GB2312" w:cs="楷体_GB2312"/>
          <w:b/>
          <w:color w:val="000000"/>
          <w:sz w:val="32"/>
          <w:szCs w:val="32"/>
        </w:rPr>
      </w:pPr>
      <w:bookmarkStart w:id="349" w:name="_Toc26653_WPSOffice_Level3"/>
      <w:bookmarkStart w:id="350" w:name="_Toc23618"/>
      <w:bookmarkStart w:id="351" w:name="_Toc7737_WPSOffice_Level3"/>
      <w:bookmarkStart w:id="352" w:name="_Toc30919"/>
      <w:bookmarkStart w:id="353" w:name="_Toc16704"/>
      <w:bookmarkStart w:id="354" w:name="_Toc27469"/>
      <w:r>
        <w:rPr>
          <w:rFonts w:hint="eastAsia" w:ascii="楷体_GB2312" w:hAnsi="楷体_GB2312" w:eastAsia="楷体_GB2312" w:cs="楷体_GB2312"/>
          <w:b/>
          <w:color w:val="000000"/>
          <w:sz w:val="32"/>
          <w:szCs w:val="32"/>
        </w:rPr>
        <w:br w:type="page"/>
      </w:r>
    </w:p>
    <w:p w14:paraId="32E9AF6F">
      <w:pPr>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2"/>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附件4：供应商承诺函</w:t>
      </w:r>
      <w:bookmarkEnd w:id="349"/>
      <w:bookmarkEnd w:id="350"/>
      <w:bookmarkEnd w:id="351"/>
      <w:bookmarkEnd w:id="352"/>
      <w:bookmarkEnd w:id="353"/>
      <w:bookmarkEnd w:id="354"/>
    </w:p>
    <w:p w14:paraId="245F4560">
      <w:pPr>
        <w:spacing w:before="156" w:beforeLines="50" w:line="560" w:lineRule="exact"/>
        <w:jc w:val="center"/>
        <w:rPr>
          <w:rFonts w:ascii="仿宋_GB2312" w:hAnsi="仿宋_GB2312" w:eastAsia="仿宋_GB2312" w:cs="仿宋_GB2312"/>
          <w:b/>
          <w:color w:val="000000"/>
          <w:sz w:val="24"/>
          <w:szCs w:val="24"/>
        </w:rPr>
      </w:pPr>
      <w:bookmarkStart w:id="355" w:name="_Toc17639_WPSOffice_Level2"/>
      <w:bookmarkStart w:id="356" w:name="_Toc27597_WPSOffice_Level3"/>
      <w:bookmarkStart w:id="357" w:name="_Toc2453_WPSOffice_Level2"/>
      <w:r>
        <w:rPr>
          <w:rFonts w:hint="eastAsia" w:ascii="仿宋_GB2312" w:hAnsi="仿宋_GB2312" w:eastAsia="仿宋_GB2312" w:cs="仿宋_GB2312"/>
          <w:b/>
          <w:color w:val="000000"/>
          <w:sz w:val="28"/>
          <w:szCs w:val="28"/>
        </w:rPr>
        <w:t>供应商承诺函</w:t>
      </w:r>
      <w:bookmarkEnd w:id="355"/>
      <w:bookmarkEnd w:id="356"/>
      <w:bookmarkEnd w:id="357"/>
    </w:p>
    <w:p w14:paraId="14031527">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（代理机构名称）</w:t>
      </w:r>
    </w:p>
    <w:p w14:paraId="176190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关于贵方</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年</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月</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日</w:t>
      </w:r>
      <w:r>
        <w:rPr>
          <w:rFonts w:hint="eastAsia" w:ascii="仿宋_GB2312" w:hAnsi="仿宋_GB2312" w:eastAsia="仿宋_GB2312" w:cs="仿宋_GB2312"/>
          <w:color w:val="000000"/>
          <w:sz w:val="24"/>
          <w:szCs w:val="24"/>
        </w:rPr>
        <w:t>（项目名称及编号）采购项目，本签字人愿意参加谈判，提供采购一览表中要求的所有产品，并证实提交的所有资料是准确的和真实的。同时，我代表</w:t>
      </w:r>
      <w:r>
        <w:rPr>
          <w:rFonts w:hint="eastAsia" w:ascii="仿宋_GB2312" w:hAnsi="仿宋_GB2312" w:eastAsia="仿宋_GB2312" w:cs="仿宋_GB2312"/>
          <w:color w:val="000000"/>
          <w:sz w:val="24"/>
          <w:szCs w:val="24"/>
          <w:u w:val="single"/>
        </w:rPr>
        <w:t>（供应商名称）</w:t>
      </w:r>
      <w:r>
        <w:rPr>
          <w:rFonts w:hint="eastAsia" w:ascii="仿宋_GB2312" w:hAnsi="仿宋_GB2312" w:eastAsia="仿宋_GB2312" w:cs="仿宋_GB2312"/>
          <w:color w:val="000000"/>
          <w:sz w:val="24"/>
          <w:szCs w:val="24"/>
        </w:rPr>
        <w:t>，在此作如下承诺：</w:t>
      </w:r>
    </w:p>
    <w:p w14:paraId="422CEF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1、完全理解和接受谈判文件的一切规定和要求；</w:t>
      </w:r>
    </w:p>
    <w:p w14:paraId="20B6036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若成交，我方将按照谈判文件的具体规定与采购人签订采购合同，并且严格履行合同义务，按时提供优质的服务。如果在合同执行过程中，发现质量、数量出现问题，我方一定尽快更换，并承担相应的经济责任；</w:t>
      </w:r>
    </w:p>
    <w:p w14:paraId="680959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3、我方保证甲方在使用该产品或其任何一部分时，不受第三方提出的侵犯专利权、著作权、商标权和工业设计权等知识产权的起诉，若有违反，愿承担相应的一切责任。</w:t>
      </w:r>
    </w:p>
    <w:p w14:paraId="591DD47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4、在整个谈判过程中我方若有违规行为，贵方可按谈判文件之规定给予处罚，我方完全接受。</w:t>
      </w:r>
    </w:p>
    <w:p w14:paraId="213F6C2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5、若成交，本承诺将成为合同不可分割的一部分，与合同具有同等的法律效力。</w:t>
      </w:r>
    </w:p>
    <w:p w14:paraId="5DB164F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hAnsi="仿宋_GB2312" w:eastAsia="仿宋_GB2312" w:cs="仿宋_GB2312"/>
          <w:bCs/>
          <w:color w:val="000000"/>
          <w:sz w:val="24"/>
          <w:szCs w:val="24"/>
        </w:rPr>
      </w:pPr>
      <w:bookmarkStart w:id="358" w:name="_Toc29941_WPSOffice_Level3"/>
      <w:bookmarkStart w:id="359" w:name="_Toc11979_WPSOffice_Level3"/>
    </w:p>
    <w:p w14:paraId="6428919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单位名称：</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（公章）</w:t>
      </w:r>
      <w:bookmarkEnd w:id="358"/>
      <w:bookmarkEnd w:id="359"/>
    </w:p>
    <w:p w14:paraId="19A3A0A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bookmarkStart w:id="360" w:name="_Toc22507_WPSOffice_Level3"/>
      <w:bookmarkStart w:id="361" w:name="_Toc15106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（签字或盖章）</w:t>
      </w:r>
      <w:bookmarkEnd w:id="360"/>
      <w:bookmarkEnd w:id="361"/>
    </w:p>
    <w:p w14:paraId="712B5ED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32"/>
          <w:szCs w:val="32"/>
        </w:rPr>
      </w:pPr>
      <w:bookmarkStart w:id="362" w:name="_Toc9343_WPSOffice_Level3"/>
      <w:bookmarkStart w:id="363" w:name="_Toc24254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年  月  日</w:t>
      </w:r>
      <w:bookmarkEnd w:id="362"/>
      <w:bookmarkEnd w:id="363"/>
    </w:p>
    <w:p w14:paraId="19B01B87">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宋体" w:hAnsi="宋体"/>
          <w:b/>
          <w:color w:val="000000"/>
          <w:sz w:val="36"/>
          <w:szCs w:val="36"/>
        </w:rPr>
      </w:pPr>
      <w:r>
        <w:rPr>
          <w:rFonts w:ascii="宋体"/>
          <w:b/>
          <w:color w:val="000000"/>
          <w:sz w:val="28"/>
          <w:szCs w:val="28"/>
        </w:rPr>
        <w:br w:type="page"/>
      </w:r>
      <w:bookmarkStart w:id="364" w:name="_Toc25740"/>
      <w:bookmarkStart w:id="365" w:name="_Toc2189"/>
      <w:bookmarkStart w:id="366" w:name="_Toc653_WPSOffice_Level3"/>
      <w:bookmarkStart w:id="367" w:name="_Toc6416"/>
      <w:bookmarkStart w:id="368" w:name="_Toc20884"/>
      <w:bookmarkStart w:id="369" w:name="_Toc26773_WPSOffice_Level3"/>
      <w:r>
        <w:rPr>
          <w:rFonts w:hint="eastAsia" w:ascii="楷体_GB2312" w:hAnsi="楷体_GB2312" w:eastAsia="楷体_GB2312" w:cs="楷体_GB2312"/>
          <w:b/>
          <w:color w:val="000000"/>
          <w:sz w:val="32"/>
          <w:szCs w:val="32"/>
        </w:rPr>
        <w:t>附件5：供应商诚信承诺书</w:t>
      </w:r>
      <w:bookmarkEnd w:id="364"/>
      <w:bookmarkEnd w:id="365"/>
      <w:bookmarkEnd w:id="366"/>
      <w:bookmarkEnd w:id="367"/>
      <w:bookmarkEnd w:id="368"/>
      <w:bookmarkEnd w:id="369"/>
    </w:p>
    <w:p w14:paraId="565E8E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color w:val="000000"/>
          <w:sz w:val="24"/>
          <w:szCs w:val="24"/>
        </w:rPr>
      </w:pPr>
      <w:bookmarkStart w:id="370" w:name="_Toc22989_WPSOffice_Level3"/>
      <w:bookmarkStart w:id="371" w:name="_Toc22537_WPSOffice_Level3"/>
      <w:r>
        <w:rPr>
          <w:rFonts w:hint="eastAsia" w:ascii="仿宋_GB2312" w:hAnsi="仿宋_GB2312" w:eastAsia="仿宋_GB2312" w:cs="仿宋_GB2312"/>
          <w:b/>
          <w:color w:val="000000"/>
          <w:sz w:val="28"/>
          <w:szCs w:val="28"/>
        </w:rPr>
        <w:t>供应商诚信承诺书</w:t>
      </w:r>
      <w:bookmarkEnd w:id="370"/>
      <w:bookmarkEnd w:id="371"/>
    </w:p>
    <w:p w14:paraId="30C2AD53">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（代理机构名称）</w:t>
      </w:r>
    </w:p>
    <w:p w14:paraId="7796B1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为了诚实、客观、有序地参与青海省政府采购活动，愿就以下内容作出承诺：</w:t>
      </w:r>
    </w:p>
    <w:p w14:paraId="104AC2C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1、自觉遵守各项法律、法规、规章、制度以及社会公德，维护廉洁环境，与同场竞争的供应商平等参加政府采购活动。</w:t>
      </w:r>
    </w:p>
    <w:p w14:paraId="05C967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2、参加青海省政府采购中心组织的政府采购活动时，严格按照谈判文件的规定和要求提供所需的相关材料，并对所提供的各类资料的真实性负责，不虚假响应，不虚列业绩。</w:t>
      </w:r>
    </w:p>
    <w:p w14:paraId="02B6C1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3、尊重参与政府采购活动各相关方的合法行为，接受政府采购活动依法形成的意见、结果。</w:t>
      </w:r>
    </w:p>
    <w:p w14:paraId="734284C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4、依法参加政府采购活动，不围标、串标，维护市场秩序，不提供“三无”产品、以次充好。</w:t>
      </w:r>
    </w:p>
    <w:p w14:paraId="472D314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5、积极推动政府采购活动健康开展，对采购活动有疑问、异议时，按法律规定的程序实名（加盖单位公章和法定代表人签名）反映情况，不恶意中伤、无事生非，以和谐、平等的心态参加政府采购活动。</w:t>
      </w:r>
    </w:p>
    <w:p w14:paraId="48C5187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6、认真履行成交供应商应承担的责任和义务，全面执行采购合同规定的各项内容，保质保量地按时提供采购物品。</w:t>
      </w:r>
    </w:p>
    <w:p w14:paraId="7217F9C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若本企业（单位）发生有悖于上述承诺的行为，愿意接受《中华人民共和国政府采购法》和《政府采购法实施条例》中对供应商的相关处理。</w:t>
      </w:r>
    </w:p>
    <w:p w14:paraId="4E3E08E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本承诺是采购项目谈判响应文件的组成部分。</w:t>
      </w:r>
    </w:p>
    <w:p w14:paraId="062C45E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hAnsi="仿宋_GB2312" w:eastAsia="仿宋_GB2312" w:cs="仿宋_GB2312"/>
          <w:bCs/>
          <w:color w:val="000000"/>
          <w:sz w:val="24"/>
          <w:szCs w:val="24"/>
        </w:rPr>
      </w:pPr>
      <w:bookmarkStart w:id="372" w:name="_Toc2830_WPSOffice_Level3"/>
      <w:bookmarkStart w:id="373" w:name="_Toc23784_WPSOffice_Level3"/>
    </w:p>
    <w:p w14:paraId="4120DCF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单位名称：（公章）</w:t>
      </w:r>
      <w:bookmarkEnd w:id="372"/>
      <w:bookmarkEnd w:id="373"/>
    </w:p>
    <w:p w14:paraId="2839FC4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bookmarkStart w:id="374" w:name="_Toc13573_WPSOffice_Level3"/>
      <w:bookmarkStart w:id="375" w:name="_Toc25026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法定代表人或委托代理人：（签字或盖章）</w:t>
      </w:r>
      <w:bookmarkEnd w:id="374"/>
      <w:bookmarkEnd w:id="375"/>
    </w:p>
    <w:p w14:paraId="3EACB4F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32"/>
          <w:szCs w:val="32"/>
        </w:rPr>
      </w:pPr>
      <w:bookmarkStart w:id="376" w:name="_Toc12645_WPSOffice_Level3"/>
      <w:bookmarkStart w:id="377" w:name="_Toc5564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年  月  日</w:t>
      </w:r>
      <w:bookmarkEnd w:id="376"/>
      <w:bookmarkEnd w:id="377"/>
    </w:p>
    <w:p w14:paraId="3108B362">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hint="eastAsia" w:ascii="楷体_GB2312" w:hAnsi="楷体_GB2312" w:eastAsia="楷体_GB2312" w:cs="楷体_GB2312"/>
          <w:b/>
          <w:color w:val="000000"/>
          <w:sz w:val="32"/>
          <w:szCs w:val="32"/>
        </w:rPr>
      </w:pPr>
      <w:bookmarkStart w:id="378" w:name="_Toc8053"/>
      <w:bookmarkStart w:id="379" w:name="_Toc25242"/>
      <w:bookmarkStart w:id="380" w:name="_Toc8368_WPSOffice_Level3"/>
      <w:bookmarkStart w:id="381" w:name="_Toc6033"/>
      <w:bookmarkStart w:id="382" w:name="_Toc19930_WPSOffice_Level3"/>
      <w:bookmarkStart w:id="383" w:name="_Toc16847"/>
    </w:p>
    <w:p w14:paraId="1AFAB996">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宋体" w:hAnsi="宋体"/>
          <w:b/>
          <w:color w:val="000000"/>
          <w:sz w:val="36"/>
          <w:szCs w:val="36"/>
        </w:rPr>
      </w:pPr>
      <w:r>
        <w:rPr>
          <w:rFonts w:hint="eastAsia" w:ascii="楷体_GB2312" w:hAnsi="楷体_GB2312" w:eastAsia="楷体_GB2312" w:cs="楷体_GB2312"/>
          <w:b/>
          <w:color w:val="000000"/>
          <w:sz w:val="32"/>
          <w:szCs w:val="32"/>
        </w:rPr>
        <w:t>附件6：供应商资格证明文件</w:t>
      </w:r>
      <w:bookmarkEnd w:id="378"/>
      <w:bookmarkEnd w:id="379"/>
      <w:bookmarkEnd w:id="380"/>
      <w:bookmarkEnd w:id="381"/>
      <w:bookmarkEnd w:id="382"/>
      <w:bookmarkEnd w:id="383"/>
    </w:p>
    <w:p w14:paraId="25D2DFE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olor w:val="000000"/>
          <w:sz w:val="24"/>
          <w:szCs w:val="24"/>
        </w:rPr>
      </w:pPr>
      <w:bookmarkStart w:id="384" w:name="_Toc9360_WPSOffice_Level3"/>
      <w:bookmarkStart w:id="385" w:name="_Toc23997_WPSOffice_Level3"/>
      <w:r>
        <w:rPr>
          <w:rFonts w:hint="eastAsia" w:ascii="仿宋_GB2312" w:hAnsi="仿宋_GB2312" w:eastAsia="仿宋_GB2312" w:cs="仿宋_GB2312"/>
          <w:b/>
          <w:color w:val="000000"/>
          <w:sz w:val="28"/>
          <w:szCs w:val="28"/>
        </w:rPr>
        <w:t>供应商资格证明文件</w:t>
      </w:r>
      <w:bookmarkEnd w:id="384"/>
      <w:bookmarkEnd w:id="385"/>
    </w:p>
    <w:p w14:paraId="4E31AB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资格证明材料包括：提供有效的营业执照、税务登记证、机构代码证或三证（五证）合一统一社会代码证及其他资格证明文件（扫描或复印件）。</w:t>
      </w:r>
    </w:p>
    <w:p w14:paraId="2DB1B62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8F5C45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2、根据采购项目内容，提供供应商的相关资质证书、许可证等。</w:t>
      </w:r>
    </w:p>
    <w:p w14:paraId="0DF57439">
      <w:pPr>
        <w:spacing w:line="560" w:lineRule="exact"/>
        <w:ind w:firstLine="640" w:firstLineChars="200"/>
        <w:rPr>
          <w:rFonts w:ascii="仿宋_GB2312" w:hAnsi="仿宋_GB2312" w:eastAsia="仿宋_GB2312" w:cs="仿宋_GB2312"/>
          <w:color w:val="000000"/>
          <w:sz w:val="32"/>
          <w:szCs w:val="32"/>
        </w:rPr>
      </w:pPr>
    </w:p>
    <w:p w14:paraId="7B7AB3C6">
      <w:pPr>
        <w:widowControl/>
        <w:snapToGrid w:val="0"/>
        <w:spacing w:before="156" w:beforeLines="50" w:line="560" w:lineRule="exact"/>
        <w:rPr>
          <w:rFonts w:ascii="宋体"/>
          <w:b/>
          <w:color w:val="000000"/>
          <w:sz w:val="28"/>
          <w:szCs w:val="28"/>
        </w:rPr>
      </w:pPr>
    </w:p>
    <w:p w14:paraId="5A813396">
      <w:pPr>
        <w:widowControl/>
        <w:snapToGrid w:val="0"/>
        <w:spacing w:before="156" w:beforeLines="50" w:line="560" w:lineRule="exact"/>
        <w:rPr>
          <w:rFonts w:ascii="宋体"/>
          <w:b/>
          <w:color w:val="000000"/>
          <w:sz w:val="28"/>
          <w:szCs w:val="28"/>
        </w:rPr>
      </w:pPr>
    </w:p>
    <w:p w14:paraId="28CA695C">
      <w:pPr>
        <w:widowControl/>
        <w:snapToGrid w:val="0"/>
        <w:spacing w:before="156" w:beforeLines="50" w:line="560" w:lineRule="exact"/>
        <w:rPr>
          <w:rFonts w:ascii="宋体"/>
          <w:b/>
          <w:color w:val="000000"/>
          <w:sz w:val="28"/>
          <w:szCs w:val="28"/>
        </w:rPr>
      </w:pPr>
    </w:p>
    <w:p w14:paraId="4D5B9529">
      <w:pPr>
        <w:rPr>
          <w:rFonts w:hint="eastAsia" w:ascii="楷体_GB2312" w:hAnsi="楷体_GB2312" w:eastAsia="楷体_GB2312" w:cs="楷体_GB2312"/>
          <w:b/>
          <w:color w:val="000000"/>
          <w:sz w:val="32"/>
          <w:szCs w:val="32"/>
        </w:rPr>
      </w:pPr>
      <w:bookmarkStart w:id="386" w:name="_Toc12925"/>
      <w:bookmarkStart w:id="387" w:name="_Toc5898"/>
      <w:bookmarkStart w:id="388" w:name="_Toc29082_WPSOffice_Level3"/>
      <w:bookmarkStart w:id="389" w:name="_Toc7499_WPSOffice_Level3"/>
      <w:bookmarkStart w:id="390" w:name="_Toc6573"/>
      <w:bookmarkStart w:id="391" w:name="_Toc21305"/>
      <w:r>
        <w:rPr>
          <w:rFonts w:hint="eastAsia" w:ascii="楷体_GB2312" w:hAnsi="楷体_GB2312" w:eastAsia="楷体_GB2312" w:cs="楷体_GB2312"/>
          <w:b/>
          <w:color w:val="000000"/>
          <w:sz w:val="32"/>
          <w:szCs w:val="32"/>
        </w:rPr>
        <w:br w:type="page"/>
      </w:r>
    </w:p>
    <w:p w14:paraId="00D26CC7">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宋体" w:hAnsi="宋体"/>
          <w:b/>
          <w:color w:val="000000"/>
          <w:sz w:val="36"/>
          <w:szCs w:val="36"/>
        </w:rPr>
      </w:pPr>
      <w:r>
        <w:rPr>
          <w:rFonts w:hint="eastAsia" w:ascii="楷体_GB2312" w:hAnsi="楷体_GB2312" w:eastAsia="楷体_GB2312" w:cs="楷体_GB2312"/>
          <w:b/>
          <w:color w:val="000000"/>
          <w:sz w:val="32"/>
          <w:szCs w:val="32"/>
        </w:rPr>
        <w:t>附件7：财务状况、缴纳税收和社会保障资金证明</w:t>
      </w:r>
      <w:bookmarkEnd w:id="386"/>
      <w:bookmarkEnd w:id="387"/>
      <w:bookmarkEnd w:id="388"/>
      <w:bookmarkEnd w:id="389"/>
      <w:bookmarkEnd w:id="390"/>
      <w:bookmarkEnd w:id="391"/>
    </w:p>
    <w:p w14:paraId="7024D0A6">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ascii="宋体" w:hAnsi="宋体"/>
          <w:b/>
          <w:color w:val="000000"/>
          <w:sz w:val="24"/>
          <w:szCs w:val="24"/>
        </w:rPr>
      </w:pPr>
      <w:bookmarkStart w:id="392" w:name="_Toc2355_WPSOffice_Level3"/>
      <w:bookmarkStart w:id="393" w:name="_Toc22184_WPSOffice_Level3"/>
      <w:r>
        <w:rPr>
          <w:rFonts w:hint="eastAsia" w:ascii="仿宋_GB2312" w:hAnsi="仿宋_GB2312" w:eastAsia="仿宋_GB2312" w:cs="仿宋_GB2312"/>
          <w:b/>
          <w:color w:val="000000"/>
          <w:sz w:val="28"/>
          <w:szCs w:val="28"/>
        </w:rPr>
        <w:t>财务状况、缴纳税收和社会保障资金证明</w:t>
      </w:r>
      <w:bookmarkEnd w:id="392"/>
      <w:bookmarkEnd w:id="393"/>
    </w:p>
    <w:p w14:paraId="5C0B2DBE">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按照《政府采购法》第22条规定提供以下相关材料：</w:t>
      </w:r>
    </w:p>
    <w:p w14:paraId="6C8B7B03">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1、提供2023年度经第三方审计的完整的财务报告（复印件应全面、完整、清晰）或近三个月银行出具的资信证明文件。</w:t>
      </w:r>
    </w:p>
    <w:p w14:paraId="7A309E3E">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2、近</w:t>
      </w:r>
      <w:r>
        <w:rPr>
          <w:rFonts w:hint="eastAsia" w:ascii="仿宋_GB2312" w:hAnsi="仿宋_GB2312" w:eastAsia="仿宋_GB2312" w:cs="仿宋_GB2312"/>
          <w:color w:val="000000"/>
          <w:sz w:val="24"/>
          <w:szCs w:val="24"/>
        </w:rPr>
        <w:t>半年内任意三个月</w:t>
      </w:r>
      <w:r>
        <w:rPr>
          <w:rFonts w:hint="eastAsia" w:ascii="仿宋_GB2312" w:hAnsi="仿宋_GB2312" w:eastAsia="仿宋_GB2312" w:cs="仿宋_GB2312"/>
          <w:color w:val="000000"/>
          <w:sz w:val="24"/>
          <w:szCs w:val="24"/>
          <w:lang w:val="zh-CN"/>
        </w:rPr>
        <w:t>的依法缴纳税收和社会保障资金记录的证明材料（复印件）；依法免税或不需要缴纳社会保障资金的供应商需提供相应文件证明其依法免税或不需要缴纳社会保障资金。</w:t>
      </w:r>
    </w:p>
    <w:p w14:paraId="4BF122E4">
      <w:pPr>
        <w:widowControl/>
        <w:snapToGrid w:val="0"/>
        <w:spacing w:line="560" w:lineRule="exact"/>
        <w:rPr>
          <w:rFonts w:ascii="仿宋_GB2312" w:hAnsi="仿宋_GB2312" w:eastAsia="仿宋_GB2312" w:cs="仿宋_GB2312"/>
          <w:color w:val="000000"/>
          <w:sz w:val="32"/>
          <w:szCs w:val="32"/>
        </w:rPr>
      </w:pPr>
    </w:p>
    <w:p w14:paraId="6551E4CD">
      <w:pPr>
        <w:widowControl/>
        <w:snapToGrid w:val="0"/>
        <w:spacing w:before="156" w:beforeLines="50" w:line="560" w:lineRule="exact"/>
        <w:rPr>
          <w:rFonts w:ascii="宋体" w:hAnsi="宋体"/>
          <w:color w:val="000000"/>
          <w:szCs w:val="21"/>
        </w:rPr>
      </w:pPr>
    </w:p>
    <w:p w14:paraId="52C05D16">
      <w:pPr>
        <w:tabs>
          <w:tab w:val="left" w:pos="168"/>
        </w:tabs>
        <w:adjustRightInd w:val="0"/>
        <w:spacing w:before="156" w:beforeLines="50" w:line="560" w:lineRule="exact"/>
        <w:ind w:firstLine="480" w:firstLineChars="200"/>
        <w:textAlignment w:val="baseline"/>
        <w:rPr>
          <w:rFonts w:ascii="宋体" w:hAnsi="宋体"/>
          <w:color w:val="000000"/>
          <w:sz w:val="24"/>
        </w:rPr>
      </w:pPr>
    </w:p>
    <w:p w14:paraId="2234B46D">
      <w:pPr>
        <w:widowControl/>
        <w:snapToGrid w:val="0"/>
        <w:spacing w:before="156" w:beforeLines="50" w:line="560" w:lineRule="exact"/>
        <w:outlineLvl w:val="1"/>
        <w:rPr>
          <w:rFonts w:ascii="宋体" w:hAnsi="宋体"/>
          <w:b/>
          <w:color w:val="000000"/>
          <w:sz w:val="24"/>
        </w:rPr>
      </w:pPr>
    </w:p>
    <w:p w14:paraId="68048CCF">
      <w:pPr>
        <w:spacing w:before="156" w:beforeLines="50" w:line="560" w:lineRule="exact"/>
        <w:rPr>
          <w:rFonts w:ascii="宋体" w:hAnsi="宋体"/>
          <w:b/>
          <w:bCs/>
          <w:color w:val="000000"/>
          <w:sz w:val="28"/>
          <w:szCs w:val="28"/>
        </w:rPr>
      </w:pPr>
    </w:p>
    <w:p w14:paraId="22D234A6">
      <w:pPr>
        <w:spacing w:before="156" w:beforeLines="50" w:line="560" w:lineRule="exact"/>
        <w:rPr>
          <w:rFonts w:ascii="宋体" w:hAnsi="宋体"/>
          <w:b/>
          <w:bCs/>
          <w:color w:val="000000"/>
          <w:sz w:val="28"/>
          <w:szCs w:val="28"/>
        </w:rPr>
      </w:pPr>
    </w:p>
    <w:p w14:paraId="566DDE3A">
      <w:pPr>
        <w:spacing w:before="156" w:beforeLines="50" w:line="560" w:lineRule="exact"/>
        <w:rPr>
          <w:rFonts w:ascii="宋体" w:hAnsi="宋体"/>
          <w:b/>
          <w:bCs/>
          <w:color w:val="000000"/>
          <w:sz w:val="28"/>
          <w:szCs w:val="28"/>
        </w:rPr>
      </w:pPr>
    </w:p>
    <w:p w14:paraId="0B9AFFD5">
      <w:pPr>
        <w:spacing w:before="156" w:beforeLines="50" w:line="560" w:lineRule="exact"/>
        <w:rPr>
          <w:rFonts w:ascii="宋体" w:hAnsi="宋体"/>
          <w:b/>
          <w:bCs/>
          <w:color w:val="000000"/>
          <w:sz w:val="28"/>
          <w:szCs w:val="28"/>
        </w:rPr>
      </w:pPr>
    </w:p>
    <w:p w14:paraId="5BEC2C44">
      <w:pPr>
        <w:rPr>
          <w:rFonts w:hint="eastAsia" w:ascii="楷体_GB2312" w:hAnsi="楷体_GB2312" w:eastAsia="楷体_GB2312" w:cs="楷体_GB2312"/>
          <w:b/>
          <w:color w:val="000000"/>
          <w:sz w:val="32"/>
          <w:szCs w:val="32"/>
        </w:rPr>
      </w:pPr>
      <w:bookmarkStart w:id="394" w:name="_Toc21984"/>
      <w:bookmarkStart w:id="395" w:name="_Toc16678"/>
      <w:bookmarkStart w:id="396" w:name="_Toc17387_WPSOffice_Level3"/>
      <w:bookmarkStart w:id="397" w:name="_Toc16098"/>
      <w:bookmarkStart w:id="398" w:name="_Toc22959_WPSOffice_Level3"/>
      <w:bookmarkStart w:id="399" w:name="_Toc13266"/>
      <w:r>
        <w:rPr>
          <w:rFonts w:hint="eastAsia" w:ascii="楷体_GB2312" w:hAnsi="楷体_GB2312" w:eastAsia="楷体_GB2312" w:cs="楷体_GB2312"/>
          <w:b/>
          <w:color w:val="000000"/>
          <w:sz w:val="32"/>
          <w:szCs w:val="32"/>
        </w:rPr>
        <w:br w:type="page"/>
      </w:r>
    </w:p>
    <w:p w14:paraId="6ACBBB82">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附件8：</w:t>
      </w:r>
      <w:bookmarkEnd w:id="394"/>
      <w:r>
        <w:rPr>
          <w:rFonts w:hint="eastAsia" w:ascii="楷体_GB2312" w:hAnsi="楷体_GB2312" w:eastAsia="楷体_GB2312" w:cs="楷体_GB2312"/>
          <w:b/>
          <w:color w:val="000000"/>
          <w:sz w:val="32"/>
          <w:szCs w:val="32"/>
        </w:rPr>
        <w:t>无重大违法记录声明</w:t>
      </w:r>
      <w:bookmarkEnd w:id="395"/>
      <w:bookmarkEnd w:id="396"/>
      <w:bookmarkEnd w:id="397"/>
    </w:p>
    <w:p w14:paraId="6B63D583">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ascii="宋体" w:hAnsi="宋体" w:cs="宋体"/>
          <w:b/>
          <w:bCs/>
          <w:color w:val="000000"/>
          <w:sz w:val="24"/>
          <w:szCs w:val="24"/>
        </w:rPr>
      </w:pPr>
      <w:bookmarkStart w:id="400" w:name="_Toc25610_WPSOffice_Level3"/>
      <w:r>
        <w:rPr>
          <w:rFonts w:hint="eastAsia" w:ascii="仿宋_GB2312" w:hAnsi="仿宋_GB2312" w:eastAsia="仿宋_GB2312" w:cs="仿宋_GB2312"/>
          <w:b/>
          <w:color w:val="000000"/>
          <w:sz w:val="28"/>
          <w:szCs w:val="28"/>
          <w:lang w:val="zh-CN"/>
        </w:rPr>
        <w:t>无重大违法记录声明</w:t>
      </w:r>
      <w:bookmarkEnd w:id="400"/>
    </w:p>
    <w:p w14:paraId="7A2DFECA">
      <w:pPr>
        <w:keepNext w:val="0"/>
        <w:keepLines w:val="0"/>
        <w:pageBreakBefore w:val="0"/>
        <w:widowControl w:val="0"/>
        <w:kinsoku/>
        <w:wordWrap/>
        <w:overflowPunct/>
        <w:topLinePunct w:val="0"/>
        <w:bidi w:val="0"/>
        <w:adjustRightInd/>
        <w:snapToGrid/>
        <w:spacing w:line="500" w:lineRule="exact"/>
        <w:textAlignment w:val="auto"/>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（代理机构名称）</w:t>
      </w:r>
    </w:p>
    <w:p w14:paraId="2154DB53">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rPr>
        <w:t>我单位参加本次政府采购项目活动前三年内，在经营活动中无重大违法活动记录，符合《政府采购法》规定的供应商资格条</w:t>
      </w:r>
      <w:r>
        <w:rPr>
          <w:rFonts w:hint="eastAsia" w:ascii="仿宋_GB2312" w:hAnsi="仿宋_GB2312" w:eastAsia="仿宋_GB2312" w:cs="仿宋_GB2312"/>
          <w:color w:val="000000"/>
          <w:sz w:val="24"/>
          <w:szCs w:val="24"/>
          <w:shd w:val="clear" w:color="auto" w:fill="FFFFFF"/>
        </w:rPr>
        <w:t>件。我方对此声明负全部法律责任。</w:t>
      </w:r>
    </w:p>
    <w:p w14:paraId="3DFB9F6D">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特此声明。</w:t>
      </w:r>
    </w:p>
    <w:p w14:paraId="5701BD05">
      <w:pPr>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ascii="仿宋_GB2312" w:hAnsi="仿宋_GB2312" w:eastAsia="仿宋_GB2312" w:cs="仿宋_GB2312"/>
          <w:color w:val="000000"/>
          <w:kern w:val="0"/>
          <w:sz w:val="24"/>
          <w:szCs w:val="24"/>
          <w:lang w:val="zh-CN"/>
        </w:rPr>
      </w:pPr>
    </w:p>
    <w:p w14:paraId="55AC910D">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ascii="宋体" w:hAnsi="宋体" w:cs="宋体"/>
          <w:color w:val="000000"/>
          <w:kern w:val="0"/>
          <w:sz w:val="24"/>
          <w:szCs w:val="24"/>
        </w:rPr>
      </w:pPr>
      <w:r>
        <w:rPr>
          <w:rFonts w:hint="eastAsia" w:ascii="仿宋_GB2312" w:hAnsi="仿宋_GB2312" w:eastAsia="仿宋_GB2312" w:cs="仿宋_GB2312"/>
          <w:color w:val="000000"/>
          <w:kern w:val="0"/>
          <w:sz w:val="24"/>
          <w:szCs w:val="24"/>
        </w:rPr>
        <w:t>附“信用中国”网站“下载信用信息”栏中的信用信息，时间为谈判文件响应截止时间前20天内</w:t>
      </w:r>
      <w:r>
        <w:rPr>
          <w:rFonts w:hint="eastAsia" w:ascii="仿宋_GB2312" w:hAnsi="仿宋_GB2312" w:eastAsia="仿宋_GB2312" w:cs="仿宋_GB2312"/>
          <w:color w:val="000000"/>
          <w:sz w:val="24"/>
          <w:szCs w:val="24"/>
        </w:rPr>
        <w:t>。</w:t>
      </w:r>
    </w:p>
    <w:p w14:paraId="7DE60D71">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p>
    <w:p w14:paraId="73B16D51">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p>
    <w:p w14:paraId="1A4E9B6D">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bookmarkStart w:id="401" w:name="_Toc21607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单位名称：（公章）</w:t>
      </w:r>
      <w:bookmarkEnd w:id="401"/>
    </w:p>
    <w:p w14:paraId="3B3880B9">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bookmarkStart w:id="402" w:name="_Toc14292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法定代表人或委托代理人：（签字或盖章）</w:t>
      </w:r>
      <w:bookmarkEnd w:id="402"/>
    </w:p>
    <w:p w14:paraId="71397F12">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32"/>
          <w:szCs w:val="32"/>
        </w:rPr>
      </w:pPr>
      <w:bookmarkStart w:id="403" w:name="_Toc15350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年   月  日</w:t>
      </w:r>
      <w:bookmarkEnd w:id="403"/>
    </w:p>
    <w:p w14:paraId="6B51BFFD">
      <w:pPr>
        <w:pStyle w:val="16"/>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ascii="宋体" w:hAnsi="宋体" w:cs="宋体"/>
          <w:color w:val="000000"/>
          <w:sz w:val="28"/>
          <w:szCs w:val="28"/>
          <w:lang w:val="zh-CN"/>
        </w:rPr>
      </w:pPr>
      <w:r>
        <w:rPr>
          <w:rFonts w:hint="eastAsia" w:ascii="仿宋_GB2312" w:hAnsi="仿宋_GB2312" w:eastAsia="仿宋_GB2312" w:cs="仿宋_GB2312"/>
          <w:color w:val="000000"/>
          <w:sz w:val="30"/>
          <w:szCs w:val="30"/>
        </w:rPr>
        <w:br w:type="page"/>
      </w:r>
      <w:bookmarkStart w:id="404" w:name="_Toc17316"/>
      <w:bookmarkStart w:id="405" w:name="_Toc132_WPSOffice_Level3"/>
      <w:bookmarkStart w:id="406" w:name="_Toc24810"/>
      <w:r>
        <w:rPr>
          <w:rFonts w:hint="eastAsia" w:ascii="楷体_GB2312" w:hAnsi="楷体_GB2312" w:eastAsia="楷体_GB2312" w:cs="楷体_GB2312"/>
          <w:bCs w:val="0"/>
          <w:color w:val="000000"/>
          <w:sz w:val="32"/>
        </w:rPr>
        <w:t>附件9：谈判</w:t>
      </w:r>
      <w:r>
        <w:rPr>
          <w:rFonts w:hint="eastAsia" w:ascii="楷体_GB2312" w:hAnsi="楷体_GB2312" w:eastAsia="楷体_GB2312" w:cs="楷体_GB2312"/>
          <w:bCs w:val="0"/>
          <w:color w:val="000000"/>
          <w:sz w:val="32"/>
          <w:lang w:val="zh-CN"/>
        </w:rPr>
        <w:t>保证金证明</w:t>
      </w:r>
      <w:bookmarkEnd w:id="398"/>
      <w:bookmarkEnd w:id="399"/>
      <w:bookmarkEnd w:id="404"/>
      <w:bookmarkEnd w:id="405"/>
      <w:bookmarkEnd w:id="406"/>
    </w:p>
    <w:p w14:paraId="1A0D2D3E">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仿宋_GB2312" w:hAnsi="仿宋_GB2312" w:eastAsia="仿宋_GB2312" w:cs="仿宋_GB2312"/>
          <w:b/>
          <w:color w:val="000000"/>
          <w:sz w:val="28"/>
          <w:szCs w:val="28"/>
          <w:lang w:val="zh-CN"/>
        </w:rPr>
      </w:pPr>
      <w:bookmarkStart w:id="407" w:name="_Toc27502_WPSOffice_Level3"/>
      <w:r>
        <w:rPr>
          <w:rFonts w:hint="eastAsia" w:ascii="仿宋_GB2312" w:hAnsi="仿宋_GB2312" w:eastAsia="仿宋_GB2312" w:cs="仿宋_GB2312"/>
          <w:b/>
          <w:color w:val="000000"/>
          <w:sz w:val="28"/>
          <w:szCs w:val="28"/>
          <w:lang w:val="zh-CN"/>
        </w:rPr>
        <w:t>谈判保证金证明</w:t>
      </w:r>
      <w:bookmarkEnd w:id="407"/>
    </w:p>
    <w:p w14:paraId="65E91F15">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仿宋_GB2312" w:hAnsi="仿宋_GB2312" w:eastAsia="仿宋_GB2312" w:cs="仿宋_GB2312"/>
          <w:b/>
          <w:bCs/>
          <w:color w:val="000000"/>
          <w:kern w:val="0"/>
          <w:sz w:val="24"/>
          <w:szCs w:val="24"/>
          <w:lang w:val="zh-CN"/>
        </w:rPr>
      </w:pPr>
      <w:bookmarkStart w:id="408" w:name="_Toc1388_WPSOffice_Level2"/>
      <w:bookmarkStart w:id="409" w:name="_Toc21234_WPSOffice_Level2"/>
      <w:bookmarkStart w:id="410" w:name="_Toc12243_WPSOffice_Level2"/>
      <w:r>
        <w:rPr>
          <w:rFonts w:hint="eastAsia" w:ascii="仿宋_GB2312" w:hAnsi="仿宋_GB2312" w:eastAsia="仿宋_GB2312" w:cs="仿宋_GB2312"/>
          <w:b/>
          <w:bCs/>
          <w:color w:val="000000"/>
          <w:kern w:val="0"/>
          <w:sz w:val="24"/>
          <w:szCs w:val="24"/>
          <w:lang w:val="zh-CN"/>
        </w:rPr>
        <w:t>致：</w:t>
      </w:r>
      <w:r>
        <w:rPr>
          <w:rFonts w:hint="eastAsia" w:ascii="仿宋_GB2312" w:hAnsi="仿宋_GB2312" w:eastAsia="仿宋_GB2312" w:cs="仿宋_GB2312"/>
          <w:b/>
          <w:bCs/>
          <w:color w:val="000000"/>
          <w:kern w:val="0"/>
          <w:sz w:val="24"/>
          <w:szCs w:val="24"/>
          <w:u w:val="single"/>
          <w:lang w:val="zh-CN"/>
        </w:rPr>
        <w:t>采购代理机构</w:t>
      </w:r>
      <w:bookmarkEnd w:id="408"/>
      <w:bookmarkEnd w:id="409"/>
      <w:bookmarkEnd w:id="410"/>
    </w:p>
    <w:p w14:paraId="4D520B37">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我方为（采购项目名称）项目（采购项目编号为：）递交保证金人民币</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none"/>
          <w:lang w:val="en-US" w:eastAsia="zh-CN"/>
        </w:rPr>
        <w:t>元</w:t>
      </w:r>
      <w:r>
        <w:rPr>
          <w:rFonts w:hint="eastAsia" w:ascii="仿宋_GB2312" w:hAnsi="仿宋_GB2312" w:eastAsia="仿宋_GB2312" w:cs="仿宋_GB2312"/>
          <w:color w:val="000000"/>
          <w:kern w:val="0"/>
          <w:sz w:val="24"/>
          <w:szCs w:val="24"/>
          <w:lang w:val="zh-CN"/>
        </w:rPr>
        <w:t>已于</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single"/>
          <w:lang w:val="zh-CN"/>
        </w:rPr>
        <w:t>年</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single"/>
          <w:lang w:val="zh-CN"/>
        </w:rPr>
        <w:t>月</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single"/>
          <w:lang w:val="zh-CN"/>
        </w:rPr>
        <w:t>日</w:t>
      </w:r>
      <w:r>
        <w:rPr>
          <w:rFonts w:hint="eastAsia" w:ascii="仿宋_GB2312" w:hAnsi="仿宋_GB2312" w:eastAsia="仿宋_GB2312" w:cs="仿宋_GB2312"/>
          <w:color w:val="000000"/>
          <w:kern w:val="0"/>
          <w:sz w:val="24"/>
          <w:szCs w:val="24"/>
          <w:lang w:val="zh-CN"/>
        </w:rPr>
        <w:t>以转账方式汇入你方账户。</w:t>
      </w:r>
    </w:p>
    <w:p w14:paraId="0B4BA34D">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附保证金交款证明复印件（加盖公章）</w:t>
      </w:r>
    </w:p>
    <w:p w14:paraId="1CDD02B0">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2DC70791">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户    名：</w:t>
      </w:r>
    </w:p>
    <w:p w14:paraId="03B717E2">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开户银行：</w:t>
      </w:r>
    </w:p>
    <w:p w14:paraId="0B719372">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宋体" w:hAnsi="宋体" w:cs="宋体"/>
          <w:color w:val="000000"/>
          <w:kern w:val="0"/>
          <w:sz w:val="24"/>
          <w:szCs w:val="24"/>
          <w:lang w:val="zh-CN"/>
        </w:rPr>
      </w:pPr>
      <w:r>
        <w:rPr>
          <w:rFonts w:hint="eastAsia" w:ascii="仿宋_GB2312" w:hAnsi="仿宋_GB2312" w:eastAsia="仿宋_GB2312" w:cs="仿宋_GB2312"/>
          <w:color w:val="000000"/>
          <w:kern w:val="0"/>
          <w:sz w:val="24"/>
          <w:szCs w:val="24"/>
          <w:lang w:val="zh-CN"/>
        </w:rPr>
        <w:t>开户帐号：</w:t>
      </w:r>
    </w:p>
    <w:p w14:paraId="4BFC7BB8">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hint="eastAsia" w:ascii="仿宋_GB2312" w:hAnsi="仿宋_GB2312" w:eastAsia="仿宋_GB2312" w:cs="仿宋_GB2312"/>
          <w:bCs/>
          <w:color w:val="000000"/>
          <w:sz w:val="24"/>
          <w:szCs w:val="24"/>
        </w:rPr>
      </w:pPr>
      <w:bookmarkStart w:id="411" w:name="_Toc16036_WPSOffice_Level3"/>
    </w:p>
    <w:p w14:paraId="11230710">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单位名称：（公章）</w:t>
      </w:r>
      <w:bookmarkEnd w:id="411"/>
    </w:p>
    <w:p w14:paraId="78CD33CD">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bookmarkStart w:id="412" w:name="_Toc4114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法定代表人或委托代理人：（签字或盖章）</w:t>
      </w:r>
      <w:bookmarkEnd w:id="412"/>
    </w:p>
    <w:p w14:paraId="6C764D28">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32"/>
          <w:szCs w:val="32"/>
        </w:rPr>
      </w:pPr>
      <w:bookmarkStart w:id="413" w:name="_Toc26055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年  月  日</w:t>
      </w:r>
      <w:bookmarkEnd w:id="413"/>
    </w:p>
    <w:p w14:paraId="3B473346">
      <w:pPr>
        <w:autoSpaceDE w:val="0"/>
        <w:autoSpaceDN w:val="0"/>
        <w:spacing w:before="156" w:beforeLines="50" w:line="560" w:lineRule="exact"/>
        <w:rPr>
          <w:rFonts w:ascii="宋体" w:hAnsi="宋体" w:cs="宋体"/>
          <w:b/>
          <w:bCs/>
          <w:color w:val="000000"/>
          <w:kern w:val="0"/>
          <w:lang w:val="zh-CN"/>
        </w:rPr>
      </w:pPr>
    </w:p>
    <w:p w14:paraId="715E5E62">
      <w:pPr>
        <w:spacing w:before="156" w:beforeLines="50" w:line="560" w:lineRule="exact"/>
        <w:rPr>
          <w:rFonts w:ascii="仿宋_GB2312" w:hAnsi="宋体" w:eastAsia="仿宋_GB2312"/>
          <w:b/>
          <w:color w:val="000000"/>
          <w:sz w:val="52"/>
          <w:szCs w:val="52"/>
        </w:rPr>
      </w:pPr>
      <w:r>
        <w:rPr>
          <w:rFonts w:hint="eastAsia"/>
          <w:kern w:val="0"/>
          <w:lang w:val="zh-CN"/>
        </w:rPr>
        <w:br w:type="page"/>
      </w:r>
    </w:p>
    <w:p w14:paraId="335266CC">
      <w:pPr>
        <w:spacing w:before="156" w:beforeLines="50" w:line="560" w:lineRule="exact"/>
        <w:jc w:val="center"/>
        <w:rPr>
          <w:rFonts w:ascii="仿宋_GB2312" w:hAnsi="仿宋_GB2312" w:eastAsia="仿宋_GB2312" w:cs="仿宋_GB2312"/>
          <w:b/>
          <w:color w:val="000000"/>
          <w:sz w:val="48"/>
          <w:szCs w:val="48"/>
        </w:rPr>
      </w:pPr>
      <w:bookmarkStart w:id="414" w:name="_Toc20688_WPSOffice_Level2"/>
      <w:bookmarkStart w:id="415" w:name="_Toc24560_WPSOffice_Level2"/>
      <w:r>
        <w:rPr>
          <w:rFonts w:hint="eastAsia" w:ascii="仿宋_GB2312" w:hAnsi="仿宋_GB2312" w:eastAsia="仿宋_GB2312" w:cs="仿宋_GB2312"/>
          <w:b/>
          <w:color w:val="000000"/>
          <w:sz w:val="48"/>
          <w:szCs w:val="48"/>
        </w:rPr>
        <w:t>青海省政府采购项目</w:t>
      </w:r>
      <w:bookmarkEnd w:id="414"/>
      <w:bookmarkEnd w:id="415"/>
    </w:p>
    <w:p w14:paraId="77CC512C">
      <w:pPr>
        <w:spacing w:before="156" w:beforeLines="50" w:line="560" w:lineRule="exact"/>
        <w:jc w:val="center"/>
        <w:rPr>
          <w:rFonts w:ascii="仿宋_GB2312" w:hAnsi="仿宋_GB2312" w:eastAsia="仿宋_GB2312" w:cs="仿宋_GB2312"/>
          <w:b/>
          <w:color w:val="000000"/>
          <w:sz w:val="48"/>
          <w:szCs w:val="48"/>
        </w:rPr>
      </w:pPr>
      <w:bookmarkStart w:id="416" w:name="_Toc30784_WPSOffice_Level2"/>
      <w:bookmarkStart w:id="417" w:name="_Toc1190_WPSOffice_Level2"/>
      <w:r>
        <w:rPr>
          <w:rFonts w:hint="eastAsia" w:ascii="仿宋_GB2312" w:hAnsi="仿宋_GB2312" w:eastAsia="仿宋_GB2312" w:cs="仿宋_GB2312"/>
          <w:b/>
          <w:color w:val="000000"/>
          <w:sz w:val="48"/>
          <w:szCs w:val="48"/>
        </w:rPr>
        <w:t>谈判响应文件</w:t>
      </w:r>
      <w:bookmarkEnd w:id="416"/>
      <w:bookmarkEnd w:id="417"/>
    </w:p>
    <w:p w14:paraId="5593BAE1">
      <w:pPr>
        <w:adjustRightInd w:val="0"/>
        <w:spacing w:before="156" w:beforeLines="50" w:line="560" w:lineRule="exact"/>
        <w:jc w:val="center"/>
        <w:textAlignment w:val="baseline"/>
        <w:rPr>
          <w:rFonts w:ascii="仿宋_GB2312" w:hAnsi="仿宋_GB2312" w:eastAsia="仿宋_GB2312" w:cs="仿宋_GB2312"/>
          <w:b/>
          <w:bCs/>
          <w:color w:val="000000"/>
          <w:sz w:val="32"/>
          <w:szCs w:val="32"/>
        </w:rPr>
      </w:pPr>
      <w:bookmarkStart w:id="418" w:name="_Toc24224_WPSOffice_Level2"/>
      <w:bookmarkStart w:id="419" w:name="_Toc5068_WPSOffice_Level2"/>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sz w:val="32"/>
          <w:szCs w:val="32"/>
        </w:rPr>
        <w:t>有效性、完整性、响应程度审查部分</w:t>
      </w:r>
      <w:r>
        <w:rPr>
          <w:rFonts w:hint="eastAsia" w:ascii="仿宋_GB2312" w:hAnsi="仿宋_GB2312" w:eastAsia="仿宋_GB2312" w:cs="仿宋_GB2312"/>
          <w:b/>
          <w:bCs/>
          <w:color w:val="000000"/>
          <w:sz w:val="32"/>
          <w:szCs w:val="32"/>
        </w:rPr>
        <w:t>）</w:t>
      </w:r>
      <w:bookmarkEnd w:id="418"/>
      <w:bookmarkEnd w:id="419"/>
    </w:p>
    <w:p w14:paraId="05757A64">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08D02A74">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3E1FF6D0">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31F7296E">
      <w:pPr>
        <w:adjustRightInd w:val="0"/>
        <w:spacing w:before="156" w:beforeLines="50" w:line="560" w:lineRule="exact"/>
        <w:textAlignment w:val="baseline"/>
        <w:rPr>
          <w:rFonts w:ascii="仿宋_GB2312" w:hAnsi="仿宋_GB2312" w:eastAsia="仿宋_GB2312" w:cs="仿宋_GB2312"/>
          <w:b/>
          <w:bCs/>
          <w:color w:val="000000"/>
          <w:sz w:val="32"/>
          <w:szCs w:val="32"/>
        </w:rPr>
      </w:pPr>
      <w:bookmarkStart w:id="420" w:name="_Toc14028_WPSOffice_Level2"/>
      <w:bookmarkStart w:id="421" w:name="_Toc16258_WPSOffice_Level2"/>
      <w:r>
        <w:rPr>
          <w:rFonts w:hint="eastAsia" w:ascii="仿宋_GB2312" w:hAnsi="仿宋_GB2312" w:eastAsia="仿宋_GB2312" w:cs="仿宋_GB2312"/>
          <w:b/>
          <w:bCs/>
          <w:color w:val="000000"/>
          <w:sz w:val="32"/>
          <w:szCs w:val="32"/>
        </w:rPr>
        <w:t>采购项目编号:</w:t>
      </w:r>
      <w:bookmarkEnd w:id="420"/>
      <w:bookmarkEnd w:id="421"/>
    </w:p>
    <w:p w14:paraId="6635849C">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422" w:name="_Toc25982_WPSOffice_Level2"/>
      <w:bookmarkStart w:id="423" w:name="_Toc173_WPSOffice_Level2"/>
      <w:r>
        <w:rPr>
          <w:rFonts w:hint="eastAsia" w:ascii="仿宋_GB2312" w:hAnsi="仿宋_GB2312" w:eastAsia="仿宋_GB2312" w:cs="仿宋_GB2312"/>
          <w:b/>
          <w:bCs/>
          <w:color w:val="000000"/>
          <w:sz w:val="32"/>
          <w:szCs w:val="32"/>
        </w:rPr>
        <w:t>采购项目名称:</w:t>
      </w:r>
      <w:bookmarkEnd w:id="422"/>
      <w:bookmarkEnd w:id="423"/>
    </w:p>
    <w:p w14:paraId="4D7B1168">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424" w:name="_Toc24014_WPSOffice_Level2"/>
      <w:bookmarkStart w:id="425" w:name="_Toc19360_WPSOffice_Level2"/>
      <w:r>
        <w:rPr>
          <w:rFonts w:hint="eastAsia" w:ascii="仿宋_GB2312" w:hAnsi="仿宋_GB2312" w:eastAsia="仿宋_GB2312" w:cs="仿宋_GB2312"/>
          <w:b/>
          <w:bCs/>
          <w:color w:val="000000"/>
          <w:sz w:val="32"/>
          <w:szCs w:val="32"/>
        </w:rPr>
        <w:t>供应商名称：</w:t>
      </w:r>
      <w:bookmarkEnd w:id="424"/>
      <w:bookmarkEnd w:id="425"/>
    </w:p>
    <w:p w14:paraId="44E6A516">
      <w:pPr>
        <w:spacing w:before="156" w:beforeLines="50" w:line="560" w:lineRule="exact"/>
        <w:jc w:val="center"/>
        <w:rPr>
          <w:rFonts w:ascii="仿宋_GB2312" w:hAnsi="仿宋_GB2312" w:eastAsia="仿宋_GB2312" w:cs="仿宋_GB2312"/>
          <w:b/>
          <w:bCs/>
          <w:color w:val="000000"/>
          <w:sz w:val="32"/>
          <w:szCs w:val="32"/>
        </w:rPr>
      </w:pPr>
    </w:p>
    <w:p w14:paraId="4A4E3CA3">
      <w:pPr>
        <w:spacing w:before="156" w:beforeLines="50" w:line="560" w:lineRule="exact"/>
        <w:jc w:val="center"/>
        <w:rPr>
          <w:rFonts w:ascii="仿宋_GB2312" w:hAnsi="仿宋_GB2312" w:eastAsia="仿宋_GB2312" w:cs="仿宋_GB2312"/>
          <w:b/>
          <w:color w:val="000000"/>
          <w:sz w:val="32"/>
          <w:szCs w:val="32"/>
        </w:rPr>
      </w:pPr>
      <w:bookmarkStart w:id="426" w:name="_Toc17697_WPSOffice_Level3"/>
      <w:r>
        <w:rPr>
          <w:rFonts w:hint="eastAsia" w:ascii="仿宋_GB2312" w:hAnsi="仿宋_GB2312" w:eastAsia="仿宋_GB2312" w:cs="仿宋_GB2312"/>
          <w:b/>
          <w:color w:val="000000"/>
          <w:sz w:val="32"/>
          <w:szCs w:val="32"/>
        </w:rPr>
        <w:t>年  月  日</w:t>
      </w:r>
      <w:bookmarkEnd w:id="426"/>
    </w:p>
    <w:p w14:paraId="172DAFBB">
      <w:pPr>
        <w:widowControl/>
        <w:snapToGrid w:val="0"/>
        <w:spacing w:before="156" w:beforeLines="50" w:line="560" w:lineRule="exact"/>
        <w:rPr>
          <w:rFonts w:ascii="宋体"/>
          <w:b/>
          <w:color w:val="000000"/>
          <w:sz w:val="28"/>
          <w:szCs w:val="28"/>
        </w:rPr>
      </w:pPr>
    </w:p>
    <w:p w14:paraId="63685425">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宋体"/>
          <w:b/>
          <w:color w:val="000000"/>
          <w:sz w:val="36"/>
          <w:szCs w:val="36"/>
        </w:rPr>
      </w:pPr>
      <w:r>
        <w:rPr>
          <w:rFonts w:ascii="宋体"/>
          <w:b/>
          <w:color w:val="000000"/>
          <w:sz w:val="28"/>
          <w:szCs w:val="28"/>
        </w:rPr>
        <w:br w:type="page"/>
      </w:r>
      <w:bookmarkStart w:id="427" w:name="_Toc18715"/>
      <w:bookmarkStart w:id="428" w:name="_Toc2646_WPSOffice_Level3"/>
      <w:bookmarkStart w:id="429" w:name="_Toc28116"/>
      <w:bookmarkStart w:id="430" w:name="_Toc13416_WPSOffice_Level3"/>
      <w:bookmarkStart w:id="431" w:name="_Toc3360"/>
      <w:bookmarkStart w:id="432" w:name="_Toc24461"/>
      <w:r>
        <w:rPr>
          <w:rFonts w:hint="eastAsia" w:ascii="楷体_GB2312" w:hAnsi="楷体_GB2312" w:eastAsia="楷体_GB2312" w:cs="楷体_GB2312"/>
          <w:b/>
          <w:color w:val="000000"/>
          <w:sz w:val="32"/>
          <w:szCs w:val="32"/>
        </w:rPr>
        <w:t>附件10：谈判首次报价表</w:t>
      </w:r>
      <w:bookmarkEnd w:id="427"/>
      <w:bookmarkEnd w:id="428"/>
      <w:bookmarkEnd w:id="429"/>
      <w:bookmarkEnd w:id="430"/>
      <w:bookmarkEnd w:id="431"/>
      <w:bookmarkEnd w:id="432"/>
    </w:p>
    <w:p w14:paraId="7B238150">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仿宋_GB2312" w:hAnsi="仿宋_GB2312" w:eastAsia="仿宋_GB2312" w:cs="仿宋_GB2312"/>
          <w:b/>
          <w:color w:val="000000"/>
          <w:sz w:val="28"/>
          <w:szCs w:val="28"/>
          <w:lang w:val="zh-CN"/>
        </w:rPr>
      </w:pPr>
      <w:bookmarkStart w:id="433" w:name="_Toc17115_WPSOffice_Level3"/>
      <w:bookmarkStart w:id="434" w:name="_Toc8724_WPSOffice_Level1"/>
      <w:bookmarkStart w:id="435" w:name="_Toc17322_WPSOffice_Level1"/>
      <w:r>
        <w:rPr>
          <w:rFonts w:hint="eastAsia" w:ascii="仿宋_GB2312" w:hAnsi="仿宋_GB2312" w:eastAsia="仿宋_GB2312" w:cs="仿宋_GB2312"/>
          <w:b/>
          <w:color w:val="000000"/>
          <w:sz w:val="28"/>
          <w:szCs w:val="28"/>
          <w:lang w:val="zh-CN"/>
        </w:rPr>
        <w:t>谈判首次报价表</w:t>
      </w:r>
      <w:bookmarkEnd w:id="433"/>
      <w:bookmarkEnd w:id="434"/>
      <w:bookmarkEnd w:id="435"/>
    </w:p>
    <w:p w14:paraId="5AFB01C3">
      <w:pPr>
        <w:spacing w:line="560" w:lineRule="exact"/>
        <w:rPr>
          <w:rFonts w:ascii="仿宋_GB2312" w:hAnsi="仿宋_GB2312" w:eastAsia="仿宋_GB2312" w:cs="仿宋_GB2312"/>
          <w:bCs/>
          <w:color w:val="000000"/>
          <w:sz w:val="24"/>
          <w:szCs w:val="24"/>
        </w:rPr>
      </w:pPr>
      <w:bookmarkStart w:id="436" w:name="_Toc14507_WPSOffice_Level2"/>
      <w:r>
        <w:rPr>
          <w:rFonts w:hint="eastAsia" w:ascii="仿宋_GB2312" w:hAnsi="仿宋_GB2312" w:eastAsia="仿宋_GB2312" w:cs="仿宋_GB2312"/>
          <w:bCs/>
          <w:color w:val="000000"/>
          <w:sz w:val="24"/>
          <w:szCs w:val="24"/>
        </w:rPr>
        <w:t>供应商名称：</w:t>
      </w:r>
      <w:bookmarkEnd w:id="436"/>
      <w:r>
        <w:rPr>
          <w:rFonts w:hint="eastAsia"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单位：人民币(元)</w:t>
      </w:r>
    </w:p>
    <w:tbl>
      <w:tblPr>
        <w:tblStyle w:val="17"/>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14:paraId="7554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6EE5A552">
            <w:pPr>
              <w:adjustRightInd w:val="0"/>
              <w:spacing w:line="560" w:lineRule="exact"/>
              <w:jc w:val="center"/>
              <w:textAlignment w:val="baseline"/>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项目名称</w:t>
            </w:r>
          </w:p>
        </w:tc>
        <w:tc>
          <w:tcPr>
            <w:tcW w:w="2717" w:type="dxa"/>
            <w:vAlign w:val="center"/>
          </w:tcPr>
          <w:p w14:paraId="45640438">
            <w:pPr>
              <w:adjustRightInd w:val="0"/>
              <w:spacing w:line="560" w:lineRule="exact"/>
              <w:jc w:val="center"/>
              <w:textAlignment w:val="baseline"/>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首次报价</w:t>
            </w:r>
          </w:p>
        </w:tc>
        <w:tc>
          <w:tcPr>
            <w:tcW w:w="2670" w:type="dxa"/>
            <w:vAlign w:val="center"/>
          </w:tcPr>
          <w:p w14:paraId="33C1F83C">
            <w:pPr>
              <w:adjustRightInd w:val="0"/>
              <w:spacing w:line="560" w:lineRule="exact"/>
              <w:ind w:firstLine="120" w:firstLineChars="50"/>
              <w:jc w:val="center"/>
              <w:textAlignment w:val="baseline"/>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合同履约期限</w:t>
            </w:r>
          </w:p>
        </w:tc>
        <w:tc>
          <w:tcPr>
            <w:tcW w:w="1560" w:type="dxa"/>
            <w:vAlign w:val="center"/>
          </w:tcPr>
          <w:p w14:paraId="39F439C3">
            <w:pPr>
              <w:adjustRightInd w:val="0"/>
              <w:spacing w:line="560" w:lineRule="exact"/>
              <w:ind w:left="274" w:leftChars="16" w:hanging="240" w:hangingChars="100"/>
              <w:jc w:val="center"/>
              <w:textAlignment w:val="baseline"/>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备注</w:t>
            </w:r>
          </w:p>
        </w:tc>
      </w:tr>
      <w:tr w14:paraId="7DD9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3B76EED6">
            <w:pPr>
              <w:adjustRightInd w:val="0"/>
              <w:spacing w:line="560" w:lineRule="exact"/>
              <w:ind w:firstLine="480" w:firstLineChars="200"/>
              <w:jc w:val="center"/>
              <w:textAlignment w:val="baseline"/>
              <w:rPr>
                <w:rFonts w:ascii="仿宋_GB2312" w:hAnsi="仿宋_GB2312" w:eastAsia="仿宋_GB2312" w:cs="仿宋_GB2312"/>
                <w:bCs/>
                <w:color w:val="000000"/>
                <w:sz w:val="24"/>
                <w:szCs w:val="24"/>
              </w:rPr>
            </w:pPr>
          </w:p>
        </w:tc>
        <w:tc>
          <w:tcPr>
            <w:tcW w:w="2717" w:type="dxa"/>
          </w:tcPr>
          <w:p w14:paraId="4BABDE99">
            <w:pPr>
              <w:adjustRightInd w:val="0"/>
              <w:spacing w:line="560" w:lineRule="exact"/>
              <w:jc w:val="both"/>
              <w:textAlignment w:val="baseline"/>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大写：</w:t>
            </w:r>
          </w:p>
        </w:tc>
        <w:tc>
          <w:tcPr>
            <w:tcW w:w="2670" w:type="dxa"/>
            <w:vMerge w:val="restart"/>
          </w:tcPr>
          <w:p w14:paraId="2999E620">
            <w:pPr>
              <w:adjustRightInd w:val="0"/>
              <w:spacing w:line="560" w:lineRule="exact"/>
              <w:ind w:firstLine="196" w:firstLineChars="82"/>
              <w:jc w:val="center"/>
              <w:textAlignment w:val="baseline"/>
              <w:rPr>
                <w:rFonts w:ascii="仿宋_GB2312" w:hAnsi="仿宋_GB2312" w:eastAsia="仿宋_GB2312" w:cs="仿宋_GB2312"/>
                <w:bCs/>
                <w:color w:val="000000"/>
                <w:sz w:val="24"/>
                <w:szCs w:val="24"/>
              </w:rPr>
            </w:pPr>
          </w:p>
        </w:tc>
        <w:tc>
          <w:tcPr>
            <w:tcW w:w="1560" w:type="dxa"/>
            <w:vMerge w:val="restart"/>
          </w:tcPr>
          <w:p w14:paraId="23C5547D">
            <w:pPr>
              <w:adjustRightInd w:val="0"/>
              <w:spacing w:line="560" w:lineRule="exact"/>
              <w:jc w:val="center"/>
              <w:textAlignment w:val="baseline"/>
              <w:rPr>
                <w:rFonts w:ascii="仿宋_GB2312" w:hAnsi="仿宋_GB2312" w:eastAsia="仿宋_GB2312" w:cs="仿宋_GB2312"/>
                <w:bCs/>
                <w:color w:val="000000"/>
                <w:sz w:val="24"/>
                <w:szCs w:val="24"/>
              </w:rPr>
            </w:pPr>
          </w:p>
        </w:tc>
      </w:tr>
      <w:tr w14:paraId="54DE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14:paraId="74C91A35">
            <w:pPr>
              <w:adjustRightInd w:val="0"/>
              <w:spacing w:line="560" w:lineRule="exact"/>
              <w:ind w:firstLine="480" w:firstLineChars="200"/>
              <w:jc w:val="center"/>
              <w:textAlignment w:val="baseline"/>
              <w:rPr>
                <w:rFonts w:ascii="仿宋_GB2312" w:hAnsi="仿宋_GB2312" w:eastAsia="仿宋_GB2312" w:cs="仿宋_GB2312"/>
                <w:bCs/>
                <w:color w:val="000000"/>
                <w:sz w:val="24"/>
                <w:szCs w:val="24"/>
              </w:rPr>
            </w:pPr>
          </w:p>
        </w:tc>
        <w:tc>
          <w:tcPr>
            <w:tcW w:w="2717" w:type="dxa"/>
          </w:tcPr>
          <w:p w14:paraId="5E361987">
            <w:pPr>
              <w:adjustRightInd w:val="0"/>
              <w:spacing w:line="560" w:lineRule="exact"/>
              <w:jc w:val="both"/>
              <w:textAlignment w:val="baseline"/>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小写：</w:t>
            </w:r>
          </w:p>
        </w:tc>
        <w:tc>
          <w:tcPr>
            <w:tcW w:w="2670" w:type="dxa"/>
            <w:vMerge w:val="continue"/>
          </w:tcPr>
          <w:p w14:paraId="2794CFAB">
            <w:pPr>
              <w:adjustRightInd w:val="0"/>
              <w:spacing w:line="560" w:lineRule="exact"/>
              <w:ind w:firstLine="480" w:firstLineChars="200"/>
              <w:jc w:val="center"/>
              <w:textAlignment w:val="baseline"/>
              <w:rPr>
                <w:rFonts w:ascii="仿宋_GB2312" w:hAnsi="仿宋_GB2312" w:eastAsia="仿宋_GB2312" w:cs="仿宋_GB2312"/>
                <w:bCs/>
                <w:color w:val="000000"/>
                <w:sz w:val="24"/>
                <w:szCs w:val="24"/>
              </w:rPr>
            </w:pPr>
          </w:p>
        </w:tc>
        <w:tc>
          <w:tcPr>
            <w:tcW w:w="1560" w:type="dxa"/>
            <w:vMerge w:val="continue"/>
          </w:tcPr>
          <w:p w14:paraId="74BD5FE7">
            <w:pPr>
              <w:adjustRightInd w:val="0"/>
              <w:spacing w:line="560" w:lineRule="exact"/>
              <w:jc w:val="center"/>
              <w:textAlignment w:val="baseline"/>
              <w:rPr>
                <w:rFonts w:ascii="仿宋_GB2312" w:hAnsi="仿宋_GB2312" w:eastAsia="仿宋_GB2312" w:cs="仿宋_GB2312"/>
                <w:bCs/>
                <w:color w:val="000000"/>
                <w:sz w:val="24"/>
                <w:szCs w:val="24"/>
              </w:rPr>
            </w:pPr>
          </w:p>
        </w:tc>
      </w:tr>
      <w:tr w14:paraId="0F73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14:paraId="42117604">
            <w:pPr>
              <w:adjustRightInd w:val="0"/>
              <w:spacing w:line="560" w:lineRule="exact"/>
              <w:jc w:val="both"/>
              <w:textAlignment w:val="baseline"/>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其他承诺及需要说明的事项：</w:t>
            </w:r>
          </w:p>
        </w:tc>
      </w:tr>
    </w:tbl>
    <w:p w14:paraId="697206F1">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注：1、填写此表时不得改变表格形式。</w:t>
      </w:r>
    </w:p>
    <w:p w14:paraId="563E7FE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2、响应文件报价为总价。包括</w:t>
      </w:r>
      <w:r>
        <w:rPr>
          <w:rFonts w:hint="eastAsia" w:ascii="仿宋_GB2312" w:hAnsi="仿宋_GB2312" w:eastAsia="仿宋_GB2312" w:cs="仿宋_GB2312"/>
          <w:color w:val="000000"/>
          <w:sz w:val="24"/>
          <w:szCs w:val="24"/>
          <w:u w:val="single"/>
        </w:rPr>
        <w:t>服务费、代理费、税金</w:t>
      </w:r>
      <w:r>
        <w:rPr>
          <w:rFonts w:hint="eastAsia" w:ascii="仿宋_GB2312" w:hAnsi="仿宋_GB2312" w:eastAsia="仿宋_GB2312" w:cs="仿宋_GB2312"/>
          <w:color w:val="000000"/>
          <w:sz w:val="24"/>
          <w:szCs w:val="24"/>
        </w:rPr>
        <w:t>及其他不可预见费等全部费用。</w:t>
      </w:r>
    </w:p>
    <w:p w14:paraId="3080FAA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hAnsi="仿宋_GB2312" w:eastAsia="仿宋_GB2312" w:cs="仿宋_GB2312"/>
          <w:bCs/>
          <w:color w:val="000000"/>
          <w:sz w:val="24"/>
          <w:szCs w:val="24"/>
          <w:lang w:val="en-US" w:eastAsia="zh-CN"/>
        </w:rPr>
      </w:pPr>
      <w:bookmarkStart w:id="437" w:name="_Toc27526_WPSOffice_Level3"/>
      <w:bookmarkStart w:id="438" w:name="_Toc11022_WPSOffice_Level3"/>
      <w:r>
        <w:rPr>
          <w:rFonts w:hint="eastAsia" w:ascii="仿宋_GB2312" w:hAnsi="仿宋_GB2312" w:eastAsia="仿宋_GB2312" w:cs="仿宋_GB2312"/>
          <w:bCs/>
          <w:color w:val="000000"/>
          <w:sz w:val="24"/>
          <w:szCs w:val="24"/>
          <w:lang w:val="en-US" w:eastAsia="zh-CN"/>
        </w:rPr>
        <w:t xml:space="preserve">          </w:t>
      </w:r>
    </w:p>
    <w:p w14:paraId="0D85514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单位名称：（公章）</w:t>
      </w:r>
      <w:bookmarkEnd w:id="437"/>
      <w:bookmarkEnd w:id="438"/>
    </w:p>
    <w:p w14:paraId="1794F9B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bookmarkStart w:id="439" w:name="_Toc32417_WPSOffice_Level3"/>
      <w:bookmarkStart w:id="440" w:name="_Toc23931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法定代表人或委托代理人：（签字或盖章）</w:t>
      </w:r>
      <w:bookmarkEnd w:id="439"/>
      <w:bookmarkEnd w:id="440"/>
    </w:p>
    <w:p w14:paraId="0557E65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32"/>
          <w:szCs w:val="32"/>
        </w:rPr>
      </w:pPr>
      <w:bookmarkStart w:id="441" w:name="_Toc19388_WPSOffice_Level3"/>
      <w:bookmarkStart w:id="442" w:name="_Toc23319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年  月  日</w:t>
      </w:r>
      <w:bookmarkEnd w:id="441"/>
      <w:bookmarkEnd w:id="442"/>
    </w:p>
    <w:p w14:paraId="10FD37F4">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hint="default" w:ascii="宋体" w:eastAsia="楷体_GB2312"/>
          <w:b/>
          <w:color w:val="000000"/>
          <w:sz w:val="36"/>
          <w:szCs w:val="36"/>
          <w:lang w:val="en-US" w:eastAsia="zh-CN"/>
        </w:rPr>
      </w:pPr>
      <w:r>
        <w:rPr>
          <w:rFonts w:ascii="宋体"/>
          <w:b/>
          <w:color w:val="000000"/>
          <w:sz w:val="28"/>
          <w:szCs w:val="28"/>
        </w:rPr>
        <w:br w:type="page"/>
      </w:r>
      <w:bookmarkStart w:id="443" w:name="_Toc18712"/>
      <w:bookmarkStart w:id="444" w:name="_Toc13192"/>
      <w:bookmarkStart w:id="445" w:name="_Toc31202"/>
      <w:bookmarkStart w:id="446" w:name="_Toc3352_WPSOffice_Level3"/>
      <w:bookmarkStart w:id="447" w:name="_Toc7532"/>
      <w:bookmarkStart w:id="448" w:name="_Toc18824_WPSOffice_Level3"/>
      <w:r>
        <w:rPr>
          <w:rFonts w:hint="eastAsia" w:ascii="楷体_GB2312" w:hAnsi="楷体_GB2312" w:eastAsia="楷体_GB2312" w:cs="楷体_GB2312"/>
          <w:b/>
          <w:color w:val="000000"/>
          <w:sz w:val="32"/>
          <w:szCs w:val="32"/>
        </w:rPr>
        <w:t>附件11：</w:t>
      </w:r>
      <w:bookmarkEnd w:id="443"/>
      <w:bookmarkEnd w:id="444"/>
      <w:bookmarkEnd w:id="445"/>
      <w:bookmarkEnd w:id="446"/>
      <w:bookmarkEnd w:id="447"/>
      <w:bookmarkEnd w:id="448"/>
      <w:r>
        <w:rPr>
          <w:rFonts w:hint="eastAsia" w:ascii="楷体_GB2312" w:hAnsi="楷体_GB2312" w:eastAsia="楷体_GB2312" w:cs="楷体_GB2312"/>
          <w:b/>
          <w:color w:val="000000"/>
          <w:sz w:val="32"/>
          <w:szCs w:val="32"/>
          <w:lang w:val="en-US" w:eastAsia="zh-CN"/>
        </w:rPr>
        <w:t>已标价工程量清单</w:t>
      </w:r>
    </w:p>
    <w:p w14:paraId="02570E3B">
      <w:pPr>
        <w:spacing w:line="560" w:lineRule="exact"/>
        <w:ind w:firstLine="640" w:firstLineChars="200"/>
        <w:jc w:val="center"/>
        <w:rPr>
          <w:rFonts w:ascii="仿宋_GB2312" w:hAnsi="仿宋_GB2312" w:eastAsia="仿宋_GB2312" w:cs="仿宋_GB2312"/>
          <w:bCs/>
          <w:color w:val="000000"/>
          <w:sz w:val="32"/>
          <w:szCs w:val="32"/>
        </w:rPr>
      </w:pPr>
      <w:bookmarkStart w:id="449" w:name="_Toc698"/>
    </w:p>
    <w:p w14:paraId="3F78BDBC">
      <w:pPr>
        <w:widowControl/>
        <w:snapToGrid w:val="0"/>
        <w:spacing w:before="156" w:beforeLines="50" w:line="560" w:lineRule="exact"/>
        <w:outlineLvl w:val="1"/>
        <w:rPr>
          <w:rFonts w:ascii="宋体" w:hAnsi="宋体"/>
          <w:b/>
          <w:color w:val="000000"/>
          <w:sz w:val="24"/>
        </w:rPr>
      </w:pPr>
    </w:p>
    <w:p w14:paraId="721958FE">
      <w:pPr>
        <w:widowControl/>
        <w:snapToGrid w:val="0"/>
        <w:spacing w:before="156" w:beforeLines="50" w:line="560" w:lineRule="exact"/>
        <w:outlineLvl w:val="1"/>
        <w:rPr>
          <w:rFonts w:ascii="仿宋_GB2312" w:hAnsi="仿宋_GB2312" w:eastAsia="仿宋_GB2312" w:cs="仿宋_GB2312"/>
          <w:b/>
          <w:color w:val="000000"/>
          <w:sz w:val="30"/>
          <w:szCs w:val="30"/>
        </w:rPr>
      </w:pPr>
      <w:bookmarkStart w:id="450" w:name="_Toc20734"/>
      <w:bookmarkStart w:id="451" w:name="_Toc13098_WPSOffice_Level3"/>
    </w:p>
    <w:p w14:paraId="002DEDA2">
      <w:pPr>
        <w:widowControl/>
        <w:snapToGrid w:val="0"/>
        <w:spacing w:before="156" w:beforeLines="50" w:line="560" w:lineRule="exact"/>
        <w:outlineLvl w:val="1"/>
        <w:rPr>
          <w:rFonts w:ascii="仿宋_GB2312" w:hAnsi="仿宋_GB2312" w:eastAsia="仿宋_GB2312" w:cs="仿宋_GB2312"/>
          <w:b/>
          <w:color w:val="000000"/>
          <w:sz w:val="30"/>
          <w:szCs w:val="30"/>
        </w:rPr>
      </w:pPr>
    </w:p>
    <w:p w14:paraId="23861D50">
      <w:pPr>
        <w:widowControl/>
        <w:snapToGrid w:val="0"/>
        <w:spacing w:before="156" w:beforeLines="50" w:line="560" w:lineRule="exact"/>
        <w:outlineLvl w:val="1"/>
        <w:rPr>
          <w:rFonts w:ascii="仿宋_GB2312" w:hAnsi="仿宋_GB2312" w:eastAsia="仿宋_GB2312" w:cs="仿宋_GB2312"/>
          <w:b/>
          <w:color w:val="000000"/>
          <w:sz w:val="30"/>
          <w:szCs w:val="30"/>
        </w:rPr>
      </w:pPr>
    </w:p>
    <w:p w14:paraId="7D494F10">
      <w:pPr>
        <w:widowControl/>
        <w:snapToGrid w:val="0"/>
        <w:spacing w:before="156" w:beforeLines="50" w:line="560" w:lineRule="exact"/>
        <w:outlineLvl w:val="1"/>
        <w:rPr>
          <w:rFonts w:ascii="仿宋_GB2312" w:hAnsi="仿宋_GB2312" w:eastAsia="仿宋_GB2312" w:cs="仿宋_GB2312"/>
          <w:b/>
          <w:color w:val="000000"/>
          <w:sz w:val="30"/>
          <w:szCs w:val="30"/>
        </w:rPr>
      </w:pPr>
    </w:p>
    <w:p w14:paraId="21103DA0">
      <w:pPr>
        <w:widowControl/>
        <w:snapToGrid w:val="0"/>
        <w:spacing w:before="156" w:beforeLines="50" w:line="560" w:lineRule="exact"/>
        <w:outlineLvl w:val="1"/>
        <w:rPr>
          <w:rFonts w:ascii="仿宋_GB2312" w:hAnsi="仿宋_GB2312" w:eastAsia="仿宋_GB2312" w:cs="仿宋_GB2312"/>
          <w:b/>
          <w:color w:val="000000"/>
          <w:sz w:val="30"/>
          <w:szCs w:val="30"/>
        </w:rPr>
      </w:pPr>
    </w:p>
    <w:p w14:paraId="0934435D">
      <w:pPr>
        <w:widowControl/>
        <w:snapToGrid w:val="0"/>
        <w:spacing w:before="156" w:beforeLines="50" w:line="560" w:lineRule="exact"/>
        <w:outlineLvl w:val="1"/>
        <w:rPr>
          <w:rFonts w:ascii="仿宋_GB2312" w:hAnsi="仿宋_GB2312" w:eastAsia="仿宋_GB2312" w:cs="仿宋_GB2312"/>
          <w:b/>
          <w:color w:val="000000"/>
          <w:sz w:val="30"/>
          <w:szCs w:val="30"/>
        </w:rPr>
      </w:pPr>
    </w:p>
    <w:p w14:paraId="32778112">
      <w:pPr>
        <w:widowControl/>
        <w:snapToGrid w:val="0"/>
        <w:spacing w:before="156" w:beforeLines="50" w:line="560" w:lineRule="exact"/>
        <w:outlineLvl w:val="1"/>
        <w:rPr>
          <w:rFonts w:ascii="仿宋_GB2312" w:hAnsi="仿宋_GB2312" w:eastAsia="仿宋_GB2312" w:cs="仿宋_GB2312"/>
          <w:b/>
          <w:color w:val="000000"/>
          <w:sz w:val="30"/>
          <w:szCs w:val="30"/>
        </w:rPr>
      </w:pPr>
    </w:p>
    <w:p w14:paraId="301D6BDA">
      <w:pPr>
        <w:widowControl/>
        <w:snapToGrid w:val="0"/>
        <w:spacing w:before="156" w:beforeLines="50" w:line="560" w:lineRule="exact"/>
        <w:outlineLvl w:val="1"/>
        <w:rPr>
          <w:rFonts w:ascii="仿宋_GB2312" w:hAnsi="仿宋_GB2312" w:eastAsia="仿宋_GB2312" w:cs="仿宋_GB2312"/>
          <w:b/>
          <w:color w:val="000000"/>
          <w:sz w:val="30"/>
          <w:szCs w:val="30"/>
        </w:rPr>
      </w:pPr>
    </w:p>
    <w:p w14:paraId="671AE15C">
      <w:pPr>
        <w:widowControl/>
        <w:snapToGrid w:val="0"/>
        <w:spacing w:before="156" w:beforeLines="50" w:line="560" w:lineRule="exact"/>
        <w:outlineLvl w:val="1"/>
        <w:rPr>
          <w:rFonts w:ascii="仿宋_GB2312" w:hAnsi="仿宋_GB2312" w:eastAsia="仿宋_GB2312" w:cs="仿宋_GB2312"/>
          <w:b/>
          <w:color w:val="000000"/>
          <w:sz w:val="30"/>
          <w:szCs w:val="30"/>
        </w:rPr>
      </w:pPr>
    </w:p>
    <w:p w14:paraId="36DC7723">
      <w:pPr>
        <w:widowControl/>
        <w:snapToGrid w:val="0"/>
        <w:spacing w:before="156" w:beforeLines="50" w:line="560" w:lineRule="exact"/>
        <w:outlineLvl w:val="1"/>
        <w:rPr>
          <w:rFonts w:ascii="仿宋_GB2312" w:hAnsi="仿宋_GB2312" w:eastAsia="仿宋_GB2312" w:cs="仿宋_GB2312"/>
          <w:b/>
          <w:color w:val="000000"/>
          <w:sz w:val="30"/>
          <w:szCs w:val="30"/>
        </w:rPr>
      </w:pPr>
    </w:p>
    <w:p w14:paraId="2DA4F527">
      <w:pPr>
        <w:widowControl/>
        <w:snapToGrid w:val="0"/>
        <w:spacing w:before="156" w:beforeLines="50" w:line="560" w:lineRule="exact"/>
        <w:outlineLvl w:val="1"/>
        <w:rPr>
          <w:rFonts w:ascii="仿宋_GB2312" w:hAnsi="仿宋_GB2312" w:eastAsia="仿宋_GB2312" w:cs="仿宋_GB2312"/>
          <w:b/>
          <w:color w:val="000000"/>
          <w:sz w:val="30"/>
          <w:szCs w:val="30"/>
        </w:rPr>
      </w:pPr>
    </w:p>
    <w:p w14:paraId="348F2A31">
      <w:pPr>
        <w:widowControl/>
        <w:snapToGrid w:val="0"/>
        <w:spacing w:before="156" w:beforeLines="50" w:line="560" w:lineRule="exact"/>
        <w:outlineLvl w:val="1"/>
        <w:rPr>
          <w:rFonts w:ascii="仿宋_GB2312" w:hAnsi="仿宋_GB2312" w:eastAsia="仿宋_GB2312" w:cs="仿宋_GB2312"/>
          <w:b/>
          <w:color w:val="000000"/>
          <w:sz w:val="30"/>
          <w:szCs w:val="30"/>
        </w:rPr>
      </w:pPr>
    </w:p>
    <w:p w14:paraId="5D8CA585">
      <w:pPr>
        <w:widowControl/>
        <w:snapToGrid w:val="0"/>
        <w:spacing w:before="156" w:beforeLines="50" w:line="560" w:lineRule="exact"/>
        <w:outlineLvl w:val="1"/>
        <w:rPr>
          <w:rFonts w:ascii="仿宋_GB2312" w:hAnsi="仿宋_GB2312" w:eastAsia="仿宋_GB2312" w:cs="仿宋_GB2312"/>
          <w:b/>
          <w:color w:val="000000"/>
          <w:sz w:val="30"/>
          <w:szCs w:val="30"/>
        </w:rPr>
      </w:pPr>
    </w:p>
    <w:p w14:paraId="40E44ED8">
      <w:pPr>
        <w:widowControl/>
        <w:snapToGrid w:val="0"/>
        <w:spacing w:before="156" w:beforeLines="50" w:line="560" w:lineRule="exact"/>
        <w:outlineLvl w:val="1"/>
        <w:rPr>
          <w:rFonts w:ascii="仿宋_GB2312" w:hAnsi="仿宋_GB2312" w:eastAsia="仿宋_GB2312" w:cs="仿宋_GB2312"/>
          <w:b/>
          <w:color w:val="000000"/>
          <w:sz w:val="30"/>
          <w:szCs w:val="30"/>
        </w:rPr>
      </w:pPr>
    </w:p>
    <w:p w14:paraId="100AD714">
      <w:pPr>
        <w:widowControl/>
        <w:snapToGrid w:val="0"/>
        <w:spacing w:before="156" w:beforeLines="50" w:line="560" w:lineRule="exact"/>
        <w:outlineLvl w:val="1"/>
        <w:rPr>
          <w:rFonts w:ascii="仿宋_GB2312" w:hAnsi="仿宋_GB2312" w:eastAsia="仿宋_GB2312" w:cs="仿宋_GB2312"/>
          <w:b/>
          <w:color w:val="000000"/>
          <w:sz w:val="30"/>
          <w:szCs w:val="30"/>
        </w:rPr>
      </w:pPr>
    </w:p>
    <w:p w14:paraId="5436CC3A">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hint="eastAsia" w:ascii="楷体_GB2312" w:hAnsi="楷体_GB2312" w:eastAsia="楷体_GB2312" w:cs="楷体_GB2312"/>
          <w:b/>
          <w:color w:val="000000"/>
          <w:sz w:val="32"/>
          <w:szCs w:val="32"/>
        </w:rPr>
      </w:pPr>
      <w:bookmarkStart w:id="452" w:name="_Toc7764"/>
    </w:p>
    <w:p w14:paraId="143D9D2D">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仿宋_GB2312" w:hAnsi="仿宋_GB2312" w:eastAsia="仿宋_GB2312" w:cs="仿宋_GB2312"/>
          <w:b/>
          <w:color w:val="000000"/>
          <w:sz w:val="30"/>
          <w:szCs w:val="30"/>
        </w:rPr>
      </w:pPr>
      <w:r>
        <w:rPr>
          <w:rFonts w:hint="eastAsia" w:ascii="楷体_GB2312" w:hAnsi="楷体_GB2312" w:eastAsia="楷体_GB2312" w:cs="楷体_GB2312"/>
          <w:b/>
          <w:color w:val="000000"/>
          <w:sz w:val="32"/>
          <w:szCs w:val="32"/>
        </w:rPr>
        <w:t>附件12：</w:t>
      </w:r>
      <w:r>
        <w:rPr>
          <w:rFonts w:hint="eastAsia" w:ascii="楷体_GB2312" w:hAnsi="楷体_GB2312" w:eastAsia="楷体_GB2312" w:cs="楷体_GB2312"/>
          <w:b/>
          <w:color w:val="000000"/>
          <w:sz w:val="32"/>
          <w:szCs w:val="32"/>
          <w:lang w:val="zh-CN"/>
        </w:rPr>
        <w:t>具备履行合同所必须的设备和专业技术能力证明</w:t>
      </w:r>
      <w:bookmarkEnd w:id="452"/>
    </w:p>
    <w:p w14:paraId="0C551AD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为保证本项目合同的顺利履行，供应商必须具备履行合同的设备和专业技术能力，须提供必须具备履行合同的设备和专业技术能力的承诺函（格式自拟），并提供相关人员的身份证、</w:t>
      </w:r>
      <w:r>
        <w:rPr>
          <w:rFonts w:hint="eastAsia" w:ascii="仿宋_GB2312" w:hAnsi="仿宋_GB2312" w:eastAsia="仿宋_GB2312" w:cs="仿宋_GB2312"/>
          <w:color w:val="000000"/>
          <w:sz w:val="24"/>
          <w:szCs w:val="24"/>
          <w:lang w:val="en-US" w:eastAsia="zh-CN"/>
        </w:rPr>
        <w:t>劳动合同</w:t>
      </w:r>
      <w:r>
        <w:rPr>
          <w:rFonts w:hint="eastAsia" w:ascii="仿宋_GB2312" w:hAnsi="仿宋_GB2312" w:eastAsia="仿宋_GB2312" w:cs="仿宋_GB2312"/>
          <w:color w:val="000000"/>
          <w:sz w:val="24"/>
          <w:szCs w:val="24"/>
        </w:rPr>
        <w:t>证明材料。</w:t>
      </w:r>
    </w:p>
    <w:p w14:paraId="452766B9">
      <w:pPr>
        <w:adjustRightInd w:val="0"/>
        <w:snapToGrid w:val="0"/>
        <w:spacing w:line="560" w:lineRule="exact"/>
        <w:jc w:val="left"/>
        <w:rPr>
          <w:rFonts w:ascii="仿宋_GB2312" w:hAnsi="仿宋_GB2312" w:eastAsia="仿宋_GB2312" w:cs="仿宋_GB2312"/>
          <w:color w:val="1F497D" w:themeColor="text2"/>
          <w:sz w:val="32"/>
          <w:szCs w:val="32"/>
          <w14:textFill>
            <w14:solidFill>
              <w14:schemeClr w14:val="tx2"/>
            </w14:solidFill>
          </w14:textFill>
        </w:rPr>
      </w:pPr>
    </w:p>
    <w:p w14:paraId="22DB603C">
      <w:pPr>
        <w:widowControl/>
        <w:snapToGrid w:val="0"/>
        <w:spacing w:before="156" w:beforeLines="50" w:line="560" w:lineRule="exact"/>
        <w:outlineLvl w:val="1"/>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0"/>
          <w:szCs w:val="30"/>
        </w:rPr>
        <w:br w:type="page"/>
      </w:r>
      <w:bookmarkEnd w:id="449"/>
      <w:bookmarkEnd w:id="450"/>
      <w:bookmarkEnd w:id="451"/>
    </w:p>
    <w:p w14:paraId="63D7C480">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楷体_GB2312" w:hAnsi="楷体_GB2312" w:eastAsia="楷体_GB2312" w:cs="楷体_GB2312"/>
          <w:b/>
          <w:color w:val="000000"/>
          <w:sz w:val="32"/>
          <w:szCs w:val="32"/>
        </w:rPr>
      </w:pPr>
      <w:bookmarkStart w:id="453" w:name="_Toc3146_WPSOffice_Level3"/>
      <w:bookmarkStart w:id="454" w:name="_Toc19450"/>
      <w:bookmarkStart w:id="455" w:name="_Toc31301_WPSOffice_Level3"/>
      <w:bookmarkStart w:id="456" w:name="_Toc10368"/>
      <w:bookmarkStart w:id="457" w:name="_Toc4925"/>
      <w:bookmarkStart w:id="458" w:name="_Toc11887"/>
      <w:r>
        <w:rPr>
          <w:rFonts w:hint="eastAsia" w:ascii="楷体_GB2312" w:hAnsi="楷体_GB2312" w:eastAsia="楷体_GB2312" w:cs="楷体_GB2312"/>
          <w:b/>
          <w:sz w:val="32"/>
          <w:szCs w:val="32"/>
        </w:rPr>
        <w:t>附件13：享受政府</w:t>
      </w:r>
      <w:r>
        <w:rPr>
          <w:rFonts w:hint="eastAsia" w:ascii="楷体_GB2312" w:hAnsi="楷体_GB2312" w:eastAsia="楷体_GB2312" w:cs="楷体_GB2312"/>
          <w:b/>
          <w:color w:val="000000"/>
          <w:sz w:val="32"/>
          <w:szCs w:val="32"/>
        </w:rPr>
        <w:t>采购政策优惠的证明资料</w:t>
      </w:r>
      <w:bookmarkEnd w:id="453"/>
      <w:bookmarkEnd w:id="454"/>
      <w:bookmarkEnd w:id="455"/>
      <w:bookmarkEnd w:id="456"/>
      <w:bookmarkEnd w:id="457"/>
      <w:bookmarkEnd w:id="458"/>
    </w:p>
    <w:p w14:paraId="160D6877">
      <w:pPr>
        <w:rPr>
          <w:rFonts w:ascii="宋体"/>
          <w:b/>
          <w:color w:val="000000"/>
          <w:sz w:val="28"/>
          <w:szCs w:val="28"/>
        </w:rPr>
      </w:pPr>
    </w:p>
    <w:p w14:paraId="755B08FE">
      <w:pPr>
        <w:widowControl/>
        <w:adjustRightInd w:val="0"/>
        <w:snapToGrid w:val="0"/>
        <w:spacing w:line="500" w:lineRule="exact"/>
        <w:jc w:val="center"/>
        <w:rPr>
          <w:rFonts w:ascii="仿宋_GB2312" w:hAnsi="仿宋_GB2312" w:eastAsia="仿宋_GB2312" w:cs="仿宋_GB2312"/>
          <w:b/>
          <w:spacing w:val="6"/>
          <w:kern w:val="0"/>
          <w:sz w:val="28"/>
          <w:szCs w:val="28"/>
        </w:rPr>
      </w:pPr>
      <w:bookmarkStart w:id="459" w:name="_Toc31539"/>
      <w:bookmarkStart w:id="460" w:name="_Toc6454"/>
      <w:bookmarkStart w:id="461" w:name="_Toc22784_WPSOffice_Level3"/>
      <w:r>
        <w:rPr>
          <w:rFonts w:hint="eastAsia" w:ascii="仿宋_GB2312" w:hAnsi="仿宋_GB2312" w:eastAsia="仿宋_GB2312" w:cs="仿宋_GB2312"/>
          <w:b/>
          <w:spacing w:val="6"/>
          <w:kern w:val="0"/>
          <w:sz w:val="28"/>
          <w:szCs w:val="28"/>
        </w:rPr>
        <w:t>1</w:t>
      </w:r>
      <w:r>
        <w:rPr>
          <w:rFonts w:hint="eastAsia" w:ascii="仿宋_GB2312" w:hAnsi="仿宋_GB2312" w:eastAsia="仿宋_GB2312" w:cs="仿宋_GB2312"/>
          <w:b/>
          <w:spacing w:val="6"/>
          <w:kern w:val="0"/>
          <w:sz w:val="28"/>
          <w:szCs w:val="28"/>
          <w:lang w:val="zh-CN"/>
        </w:rPr>
        <w:t>.</w:t>
      </w:r>
      <w:bookmarkEnd w:id="459"/>
      <w:bookmarkEnd w:id="460"/>
      <w:bookmarkEnd w:id="461"/>
      <w:bookmarkStart w:id="462" w:name="_Toc7913"/>
      <w:r>
        <w:rPr>
          <w:rFonts w:hint="eastAsia" w:ascii="仿宋_GB2312" w:hAnsi="仿宋_GB2312" w:eastAsia="仿宋_GB2312" w:cs="仿宋_GB2312"/>
          <w:b/>
          <w:spacing w:val="6"/>
          <w:kern w:val="0"/>
          <w:sz w:val="28"/>
          <w:szCs w:val="28"/>
          <w:lang w:val="zh-CN"/>
        </w:rPr>
        <w:t>中小企业声明函（</w:t>
      </w:r>
      <w:r>
        <w:rPr>
          <w:rFonts w:hint="eastAsia" w:ascii="仿宋_GB2312" w:hAnsi="仿宋_GB2312" w:eastAsia="仿宋_GB2312" w:cs="仿宋_GB2312"/>
          <w:b/>
          <w:spacing w:val="6"/>
          <w:kern w:val="0"/>
          <w:sz w:val="28"/>
          <w:szCs w:val="28"/>
        </w:rPr>
        <w:t>服务</w:t>
      </w:r>
      <w:r>
        <w:rPr>
          <w:rFonts w:hint="eastAsia" w:ascii="仿宋_GB2312" w:hAnsi="仿宋_GB2312" w:eastAsia="仿宋_GB2312" w:cs="仿宋_GB2312"/>
          <w:b/>
          <w:spacing w:val="6"/>
          <w:kern w:val="0"/>
          <w:sz w:val="28"/>
          <w:szCs w:val="28"/>
          <w:lang w:val="zh-CN"/>
        </w:rPr>
        <w:t>）</w:t>
      </w:r>
      <w:bookmarkEnd w:id="462"/>
    </w:p>
    <w:p w14:paraId="56384BA9">
      <w:pPr>
        <w:widowControl/>
        <w:adjustRightInd w:val="0"/>
        <w:snapToGrid w:val="0"/>
        <w:spacing w:line="500" w:lineRule="exact"/>
        <w:jc w:val="center"/>
        <w:rPr>
          <w:rFonts w:ascii="仿宋_GB2312" w:hAnsi="仿宋_GB2312" w:eastAsia="仿宋_GB2312" w:cs="仿宋_GB2312"/>
          <w:b/>
          <w:spacing w:val="6"/>
          <w:kern w:val="0"/>
          <w:sz w:val="24"/>
        </w:rPr>
      </w:pPr>
      <w:bookmarkStart w:id="463" w:name="_Toc1901_WPSOffice_Level3"/>
      <w:bookmarkStart w:id="464" w:name="_Toc3019_WPSOffice_Level3"/>
      <w:r>
        <w:rPr>
          <w:rFonts w:hint="eastAsia" w:ascii="仿宋_GB2312" w:hAnsi="仿宋_GB2312" w:eastAsia="仿宋_GB2312" w:cs="仿宋_GB2312"/>
          <w:b/>
          <w:spacing w:val="6"/>
          <w:kern w:val="0"/>
          <w:sz w:val="24"/>
        </w:rPr>
        <w:t>(不满足以下条件的无需填写)</w:t>
      </w:r>
      <w:bookmarkEnd w:id="463"/>
      <w:bookmarkEnd w:id="464"/>
    </w:p>
    <w:p w14:paraId="527FCAAE">
      <w:pPr>
        <w:autoSpaceDE w:val="0"/>
        <w:autoSpaceDN w:val="0"/>
        <w:spacing w:line="500" w:lineRule="exact"/>
        <w:rPr>
          <w:rFonts w:ascii="仿宋_GB2312" w:hAnsi="仿宋_GB2312" w:eastAsia="仿宋_GB2312" w:cs="仿宋_GB2312"/>
          <w:spacing w:val="6"/>
          <w:kern w:val="0"/>
          <w:sz w:val="24"/>
        </w:rPr>
      </w:pPr>
      <w:r>
        <w:rPr>
          <w:rFonts w:hint="eastAsia" w:ascii="仿宋_GB2312" w:hAnsi="仿宋_GB2312" w:eastAsia="仿宋_GB2312" w:cs="仿宋_GB2312"/>
          <w:b/>
          <w:bCs/>
          <w:color w:val="000000"/>
          <w:kern w:val="0"/>
          <w:sz w:val="24"/>
          <w:lang w:val="zh-CN"/>
        </w:rPr>
        <w:t>致：</w:t>
      </w:r>
      <w:r>
        <w:rPr>
          <w:rFonts w:hint="eastAsia" w:ascii="仿宋_GB2312" w:hAnsi="仿宋_GB2312" w:eastAsia="仿宋_GB2312" w:cs="仿宋_GB2312"/>
          <w:b/>
          <w:bCs/>
          <w:color w:val="000000"/>
          <w:kern w:val="0"/>
          <w:sz w:val="24"/>
          <w:u w:val="single"/>
          <w:lang w:val="zh-CN"/>
        </w:rPr>
        <w:t>（采购人或者采购代理机构）</w:t>
      </w:r>
    </w:p>
    <w:p w14:paraId="650F3B66">
      <w:pPr>
        <w:widowControl/>
        <w:adjustRightInd w:val="0"/>
        <w:snapToGrid w:val="0"/>
        <w:spacing w:line="500" w:lineRule="exact"/>
        <w:ind w:firstLine="504" w:firstLineChars="200"/>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本公司（联合体）郑重声明，根据《政府采购促进中小企业发展管理办法》（财库【2020】46号）的规定，本公司（联合体）参加</w:t>
      </w:r>
      <w:r>
        <w:rPr>
          <w:rFonts w:hint="eastAsia" w:ascii="仿宋_GB2312" w:hAnsi="仿宋_GB2312" w:eastAsia="仿宋_GB2312" w:cs="仿宋_GB2312"/>
          <w:spacing w:val="6"/>
          <w:kern w:val="0"/>
          <w:sz w:val="24"/>
          <w:u w:val="single"/>
        </w:rPr>
        <w:t>（单位名称）</w:t>
      </w:r>
      <w:r>
        <w:rPr>
          <w:rFonts w:hint="eastAsia" w:ascii="仿宋_GB2312" w:hAnsi="仿宋_GB2312" w:eastAsia="仿宋_GB2312" w:cs="仿宋_GB2312"/>
          <w:spacing w:val="6"/>
          <w:kern w:val="0"/>
          <w:sz w:val="24"/>
        </w:rPr>
        <w:t>的</w:t>
      </w:r>
      <w:r>
        <w:rPr>
          <w:rFonts w:hint="eastAsia" w:ascii="仿宋_GB2312" w:hAnsi="仿宋_GB2312" w:eastAsia="仿宋_GB2312" w:cs="仿宋_GB2312"/>
          <w:spacing w:val="6"/>
          <w:kern w:val="0"/>
          <w:sz w:val="24"/>
          <w:u w:val="single"/>
        </w:rPr>
        <w:t>（项目名称）</w:t>
      </w:r>
      <w:r>
        <w:rPr>
          <w:rFonts w:hint="eastAsia" w:ascii="仿宋_GB2312" w:hAnsi="仿宋_GB2312" w:eastAsia="仿宋_GB2312" w:cs="仿宋_GB2312"/>
          <w:spacing w:val="6"/>
          <w:kern w:val="0"/>
          <w:sz w:val="24"/>
        </w:rPr>
        <w:t>采购活动，服务全部由符合政策要求的中小企业承接，相关企业（含联合体中的中小企业、签订分包意向协议的中小企业）具体情况如下：</w:t>
      </w:r>
    </w:p>
    <w:p w14:paraId="4FC145EE">
      <w:pPr>
        <w:widowControl/>
        <w:adjustRightInd w:val="0"/>
        <w:snapToGrid w:val="0"/>
        <w:spacing w:line="500" w:lineRule="exact"/>
        <w:ind w:firstLine="504" w:firstLineChars="200"/>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1.</w:t>
      </w:r>
      <w:r>
        <w:rPr>
          <w:rFonts w:hint="eastAsia" w:ascii="仿宋_GB2312" w:hAnsi="仿宋_GB2312" w:eastAsia="仿宋_GB2312" w:cs="仿宋_GB2312"/>
          <w:spacing w:val="6"/>
          <w:kern w:val="0"/>
          <w:sz w:val="24"/>
          <w:u w:val="single"/>
        </w:rPr>
        <w:t>（标的名称）</w:t>
      </w:r>
      <w:r>
        <w:rPr>
          <w:rFonts w:hint="eastAsia" w:ascii="仿宋_GB2312" w:hAnsi="仿宋_GB2312" w:eastAsia="仿宋_GB2312" w:cs="仿宋_GB2312"/>
          <w:spacing w:val="6"/>
          <w:kern w:val="0"/>
          <w:sz w:val="24"/>
        </w:rPr>
        <w:t>，属于</w:t>
      </w:r>
      <w:r>
        <w:rPr>
          <w:rFonts w:hint="eastAsia" w:ascii="仿宋_GB2312" w:hAnsi="仿宋_GB2312" w:eastAsia="仿宋_GB2312" w:cs="仿宋_GB2312"/>
          <w:spacing w:val="6"/>
          <w:kern w:val="0"/>
          <w:sz w:val="24"/>
          <w:highlight w:val="none"/>
          <w:u w:val="single"/>
        </w:rPr>
        <w:t xml:space="preserve">   租赁和商务服务业   </w:t>
      </w:r>
      <w:r>
        <w:rPr>
          <w:rFonts w:hint="eastAsia" w:ascii="仿宋_GB2312" w:hAnsi="仿宋_GB2312" w:eastAsia="仿宋_GB2312" w:cs="仿宋_GB2312"/>
          <w:spacing w:val="6"/>
          <w:kern w:val="0"/>
          <w:sz w:val="24"/>
          <w:highlight w:val="none"/>
        </w:rPr>
        <w:t>，承接</w:t>
      </w:r>
      <w:r>
        <w:rPr>
          <w:rFonts w:hint="eastAsia" w:ascii="仿宋_GB2312" w:hAnsi="仿宋_GB2312" w:eastAsia="仿宋_GB2312" w:cs="仿宋_GB2312"/>
          <w:spacing w:val="6"/>
          <w:kern w:val="0"/>
          <w:sz w:val="24"/>
        </w:rPr>
        <w:t>企业为</w:t>
      </w:r>
      <w:r>
        <w:rPr>
          <w:rFonts w:hint="eastAsia" w:ascii="仿宋_GB2312" w:hAnsi="仿宋_GB2312" w:eastAsia="仿宋_GB2312" w:cs="仿宋_GB2312"/>
          <w:spacing w:val="6"/>
          <w:kern w:val="0"/>
          <w:sz w:val="24"/>
          <w:u w:val="single"/>
        </w:rPr>
        <w:t>（企业名称）</w:t>
      </w:r>
      <w:r>
        <w:rPr>
          <w:rFonts w:hint="eastAsia" w:ascii="仿宋_GB2312" w:hAnsi="仿宋_GB2312" w:eastAsia="仿宋_GB2312" w:cs="仿宋_GB2312"/>
          <w:spacing w:val="6"/>
          <w:kern w:val="0"/>
          <w:sz w:val="24"/>
        </w:rPr>
        <w:t>，从业人员</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人，营业收入为</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万元，资产总额为</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万元，属于</w:t>
      </w:r>
      <w:r>
        <w:rPr>
          <w:rFonts w:hint="eastAsia" w:ascii="仿宋_GB2312" w:hAnsi="仿宋_GB2312" w:eastAsia="仿宋_GB2312" w:cs="仿宋_GB2312"/>
          <w:spacing w:val="6"/>
          <w:kern w:val="0"/>
          <w:sz w:val="24"/>
          <w:u w:val="single"/>
        </w:rPr>
        <w:t>（中型企业、小型企业、微型企业）</w:t>
      </w:r>
      <w:r>
        <w:rPr>
          <w:rFonts w:hint="eastAsia" w:ascii="仿宋_GB2312" w:hAnsi="仿宋_GB2312" w:eastAsia="仿宋_GB2312" w:cs="仿宋_GB2312"/>
          <w:spacing w:val="6"/>
          <w:kern w:val="0"/>
          <w:sz w:val="24"/>
        </w:rPr>
        <w:t>。</w:t>
      </w:r>
    </w:p>
    <w:p w14:paraId="07D76CAD">
      <w:pPr>
        <w:widowControl/>
        <w:adjustRightInd w:val="0"/>
        <w:snapToGrid w:val="0"/>
        <w:spacing w:line="500" w:lineRule="exact"/>
        <w:ind w:firstLine="504" w:firstLineChars="200"/>
        <w:rPr>
          <w:rFonts w:ascii="仿宋_GB2312" w:hAnsi="仿宋_GB2312" w:eastAsia="仿宋_GB2312" w:cs="仿宋_GB2312"/>
          <w:kern w:val="0"/>
          <w:sz w:val="24"/>
        </w:rPr>
      </w:pPr>
      <w:r>
        <w:rPr>
          <w:rFonts w:hint="eastAsia" w:ascii="仿宋_GB2312" w:hAnsi="仿宋_GB2312" w:eastAsia="仿宋_GB2312" w:cs="仿宋_GB2312"/>
          <w:spacing w:val="6"/>
          <w:kern w:val="0"/>
          <w:sz w:val="24"/>
        </w:rPr>
        <w:t>2.</w:t>
      </w:r>
      <w:r>
        <w:rPr>
          <w:rFonts w:hint="eastAsia" w:ascii="仿宋_GB2312" w:hAnsi="仿宋_GB2312" w:eastAsia="仿宋_GB2312" w:cs="仿宋_GB2312"/>
          <w:spacing w:val="6"/>
          <w:kern w:val="0"/>
          <w:sz w:val="24"/>
          <w:u w:val="single"/>
        </w:rPr>
        <w:t>（标的名称）</w:t>
      </w:r>
      <w:r>
        <w:rPr>
          <w:rFonts w:hint="eastAsia" w:ascii="仿宋_GB2312" w:hAnsi="仿宋_GB2312" w:eastAsia="仿宋_GB2312" w:cs="仿宋_GB2312"/>
          <w:spacing w:val="6"/>
          <w:kern w:val="0"/>
          <w:sz w:val="24"/>
        </w:rPr>
        <w:t>，属于</w:t>
      </w:r>
      <w:r>
        <w:rPr>
          <w:rFonts w:hint="eastAsia" w:ascii="仿宋_GB2312" w:hAnsi="仿宋_GB2312" w:eastAsia="仿宋_GB2312" w:cs="仿宋_GB2312"/>
          <w:spacing w:val="6"/>
          <w:kern w:val="0"/>
          <w:sz w:val="24"/>
          <w:highlight w:val="none"/>
          <w:u w:val="single"/>
        </w:rPr>
        <w:t xml:space="preserve">   租赁和商务服务业   </w:t>
      </w:r>
      <w:r>
        <w:rPr>
          <w:rFonts w:hint="eastAsia" w:ascii="仿宋_GB2312" w:hAnsi="仿宋_GB2312" w:eastAsia="仿宋_GB2312" w:cs="仿宋_GB2312"/>
          <w:spacing w:val="6"/>
          <w:kern w:val="0"/>
          <w:sz w:val="24"/>
        </w:rPr>
        <w:t>，承接企业为</w:t>
      </w:r>
      <w:r>
        <w:rPr>
          <w:rFonts w:hint="eastAsia" w:ascii="仿宋_GB2312" w:hAnsi="仿宋_GB2312" w:eastAsia="仿宋_GB2312" w:cs="仿宋_GB2312"/>
          <w:spacing w:val="6"/>
          <w:kern w:val="0"/>
          <w:sz w:val="24"/>
          <w:u w:val="single"/>
        </w:rPr>
        <w:t>（企业名称）</w:t>
      </w:r>
      <w:r>
        <w:rPr>
          <w:rFonts w:hint="eastAsia" w:ascii="仿宋_GB2312" w:hAnsi="仿宋_GB2312" w:eastAsia="仿宋_GB2312" w:cs="仿宋_GB2312"/>
          <w:spacing w:val="6"/>
          <w:kern w:val="0"/>
          <w:sz w:val="24"/>
        </w:rPr>
        <w:t>，从业人员</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人，营业收入为</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万元，资产总额为</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万元，属于</w:t>
      </w:r>
      <w:r>
        <w:rPr>
          <w:rFonts w:hint="eastAsia" w:ascii="仿宋_GB2312" w:hAnsi="仿宋_GB2312" w:eastAsia="仿宋_GB2312" w:cs="仿宋_GB2312"/>
          <w:spacing w:val="6"/>
          <w:kern w:val="0"/>
          <w:sz w:val="24"/>
          <w:u w:val="single"/>
        </w:rPr>
        <w:t>（中型企业、小型企业、微型企业）</w:t>
      </w:r>
      <w:r>
        <w:rPr>
          <w:rFonts w:hint="eastAsia" w:ascii="仿宋_GB2312" w:hAnsi="仿宋_GB2312" w:eastAsia="仿宋_GB2312" w:cs="仿宋_GB2312"/>
          <w:spacing w:val="6"/>
          <w:kern w:val="0"/>
          <w:sz w:val="24"/>
        </w:rPr>
        <w:t>。</w:t>
      </w:r>
    </w:p>
    <w:p w14:paraId="456020D8">
      <w:pPr>
        <w:widowControl/>
        <w:adjustRightInd w:val="0"/>
        <w:snapToGrid w:val="0"/>
        <w:spacing w:line="500" w:lineRule="exact"/>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xml:space="preserve">    ……</w:t>
      </w:r>
    </w:p>
    <w:p w14:paraId="1AB1A103">
      <w:pPr>
        <w:widowControl/>
        <w:adjustRightInd w:val="0"/>
        <w:snapToGrid w:val="0"/>
        <w:spacing w:line="500" w:lineRule="exact"/>
        <w:ind w:firstLine="504" w:firstLineChars="200"/>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以上企业，不属于大企业的分支机构，不存在控股股东为大企业的情形，也不存在与大企业的负责人为同一人的情形。</w:t>
      </w:r>
    </w:p>
    <w:p w14:paraId="67F8975F">
      <w:pPr>
        <w:widowControl/>
        <w:adjustRightInd w:val="0"/>
        <w:snapToGrid w:val="0"/>
        <w:spacing w:line="500" w:lineRule="exact"/>
        <w:ind w:firstLine="504" w:firstLineChars="200"/>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本企业对上述声明的真实性负责。如有虚假，将依法承担相应责任。</w:t>
      </w:r>
    </w:p>
    <w:p w14:paraId="67563A61">
      <w:pPr>
        <w:spacing w:line="500" w:lineRule="exact"/>
        <w:ind w:firstLine="480" w:firstLineChars="200"/>
        <w:jc w:val="center"/>
        <w:rPr>
          <w:rFonts w:ascii="仿宋_GB2312" w:hAnsi="仿宋_GB2312" w:eastAsia="仿宋_GB2312" w:cs="仿宋_GB2312"/>
          <w:bCs/>
          <w:color w:val="000000"/>
          <w:sz w:val="24"/>
        </w:rPr>
      </w:pPr>
      <w:bookmarkStart w:id="465" w:name="_Toc21636_WPSOffice_Level3"/>
    </w:p>
    <w:p w14:paraId="5AE29341">
      <w:pPr>
        <w:widowControl/>
        <w:adjustRightInd w:val="0"/>
        <w:snapToGrid w:val="0"/>
        <w:spacing w:line="500" w:lineRule="exact"/>
        <w:ind w:firstLine="480" w:firstLineChars="200"/>
        <w:jc w:val="left"/>
        <w:rPr>
          <w:rFonts w:ascii="仿宋_GB2312" w:hAnsi="仿宋_GB2312" w:eastAsia="仿宋_GB2312" w:cs="仿宋_GB2312"/>
          <w:spacing w:val="6"/>
          <w:kern w:val="0"/>
          <w:sz w:val="24"/>
          <w:lang w:val="zh-CN"/>
        </w:rPr>
      </w:pPr>
      <w:r>
        <w:rPr>
          <w:rFonts w:hint="eastAsia" w:ascii="仿宋_GB2312" w:hAnsi="仿宋_GB2312" w:eastAsia="仿宋_GB2312" w:cs="仿宋_GB2312"/>
          <w:bCs/>
          <w:color w:val="000000"/>
          <w:sz w:val="24"/>
        </w:rPr>
        <w:t xml:space="preserve">             </w:t>
      </w:r>
      <w:bookmarkEnd w:id="465"/>
      <w:r>
        <w:rPr>
          <w:rFonts w:hint="eastAsia" w:ascii="仿宋_GB2312" w:hAnsi="仿宋_GB2312" w:eastAsia="仿宋_GB2312" w:cs="仿宋_GB2312"/>
          <w:bCs/>
          <w:color w:val="000000"/>
          <w:sz w:val="24"/>
        </w:rPr>
        <w:t xml:space="preserve">                               </w:t>
      </w:r>
      <w:r>
        <w:rPr>
          <w:rFonts w:hint="eastAsia" w:ascii="仿宋_GB2312" w:hAnsi="仿宋_GB2312" w:eastAsia="仿宋_GB2312" w:cs="仿宋_GB2312"/>
          <w:spacing w:val="6"/>
          <w:kern w:val="0"/>
          <w:sz w:val="24"/>
        </w:rPr>
        <w:t>企业名称</w:t>
      </w:r>
      <w:r>
        <w:rPr>
          <w:rFonts w:hint="eastAsia" w:ascii="仿宋_GB2312" w:hAnsi="仿宋_GB2312" w:eastAsia="仿宋_GB2312" w:cs="仿宋_GB2312"/>
          <w:spacing w:val="6"/>
          <w:kern w:val="0"/>
          <w:sz w:val="24"/>
          <w:lang w:val="zh-CN"/>
        </w:rPr>
        <w:t>：</w:t>
      </w:r>
      <w:r>
        <w:rPr>
          <w:rFonts w:hint="eastAsia" w:ascii="仿宋_GB2312" w:hAnsi="仿宋_GB2312" w:eastAsia="仿宋_GB2312" w:cs="仿宋_GB2312"/>
          <w:spacing w:val="6"/>
          <w:kern w:val="0"/>
          <w:sz w:val="24"/>
        </w:rPr>
        <w:t xml:space="preserve">   </w:t>
      </w:r>
      <w:r>
        <w:rPr>
          <w:rFonts w:hint="eastAsia" w:ascii="仿宋_GB2312" w:hAnsi="仿宋_GB2312" w:eastAsia="仿宋_GB2312" w:cs="仿宋_GB2312"/>
          <w:spacing w:val="6"/>
          <w:kern w:val="0"/>
          <w:sz w:val="24"/>
          <w:lang w:val="zh-CN"/>
        </w:rPr>
        <w:t>（公章）</w:t>
      </w:r>
    </w:p>
    <w:p w14:paraId="00A3009E">
      <w:pPr>
        <w:widowControl/>
        <w:adjustRightInd w:val="0"/>
        <w:snapToGrid w:val="0"/>
        <w:spacing w:line="500" w:lineRule="exact"/>
        <w:ind w:firstLine="504" w:firstLineChars="200"/>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xml:space="preserve">                                           </w:t>
      </w:r>
      <w:bookmarkStart w:id="466" w:name="_Toc31141"/>
      <w:r>
        <w:rPr>
          <w:rFonts w:hint="eastAsia" w:ascii="仿宋_GB2312" w:hAnsi="仿宋_GB2312" w:eastAsia="仿宋_GB2312" w:cs="仿宋_GB2312"/>
          <w:spacing w:val="6"/>
          <w:kern w:val="0"/>
          <w:sz w:val="24"/>
        </w:rPr>
        <w:t>日期：</w:t>
      </w:r>
      <w:bookmarkEnd w:id="466"/>
    </w:p>
    <w:p w14:paraId="305B344E">
      <w:pPr>
        <w:widowControl/>
        <w:adjustRightInd w:val="0"/>
        <w:snapToGrid w:val="0"/>
        <w:spacing w:line="560" w:lineRule="exact"/>
        <w:ind w:firstLine="664" w:firstLineChars="200"/>
        <w:jc w:val="left"/>
        <w:rPr>
          <w:rFonts w:ascii="仿宋_GB2312" w:hAnsi="仿宋_GB2312" w:eastAsia="仿宋_GB2312" w:cs="仿宋_GB2312"/>
          <w:spacing w:val="6"/>
          <w:kern w:val="0"/>
          <w:sz w:val="32"/>
          <w:szCs w:val="32"/>
        </w:rPr>
      </w:pPr>
    </w:p>
    <w:p w14:paraId="057C2462">
      <w:pPr>
        <w:widowControl/>
        <w:adjustRightInd w:val="0"/>
        <w:snapToGrid w:val="0"/>
        <w:spacing w:line="560" w:lineRule="exact"/>
        <w:ind w:firstLine="664" w:firstLineChars="200"/>
        <w:jc w:val="left"/>
        <w:rPr>
          <w:rFonts w:ascii="仿宋_GB2312" w:hAnsi="仿宋_GB2312" w:eastAsia="仿宋_GB2312" w:cs="仿宋_GB2312"/>
          <w:spacing w:val="6"/>
          <w:kern w:val="0"/>
          <w:sz w:val="32"/>
          <w:szCs w:val="32"/>
        </w:rPr>
      </w:pPr>
    </w:p>
    <w:p w14:paraId="58305D0A">
      <w:pPr>
        <w:rPr>
          <w:rFonts w:ascii="楷体" w:hAnsi="楷体" w:eastAsia="楷体" w:cs="楷体"/>
          <w:sz w:val="32"/>
          <w:szCs w:val="32"/>
        </w:rPr>
      </w:pPr>
      <w:bookmarkStart w:id="467" w:name="_Toc12160"/>
      <w:bookmarkStart w:id="468" w:name="_Toc14211_WPSOffice_Level3"/>
      <w:bookmarkStart w:id="469" w:name="_Toc11740"/>
      <w:r>
        <w:rPr>
          <w:rFonts w:hint="eastAsia" w:ascii="楷体" w:hAnsi="楷体" w:eastAsia="楷体" w:cs="楷体"/>
          <w:sz w:val="32"/>
          <w:szCs w:val="32"/>
        </w:rPr>
        <w:br w:type="page"/>
      </w:r>
    </w:p>
    <w:p w14:paraId="2D5F3D87">
      <w:pPr>
        <w:adjustRightInd w:val="0"/>
        <w:snapToGrid w:val="0"/>
        <w:spacing w:before="120" w:beforeLines="50" w:line="560" w:lineRule="exact"/>
        <w:jc w:val="center"/>
        <w:rPr>
          <w:rFonts w:ascii="楷体" w:hAnsi="楷体" w:eastAsia="楷体" w:cs="楷体"/>
          <w:sz w:val="24"/>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zh-CN"/>
        </w:rPr>
        <w:t>.残疾人福利性单位声明函</w:t>
      </w:r>
      <w:bookmarkEnd w:id="467"/>
      <w:bookmarkEnd w:id="468"/>
      <w:bookmarkEnd w:id="469"/>
    </w:p>
    <w:p w14:paraId="38FEFA22">
      <w:pPr>
        <w:adjustRightInd w:val="0"/>
        <w:snapToGrid w:val="0"/>
        <w:spacing w:line="500" w:lineRule="exact"/>
        <w:jc w:val="center"/>
        <w:rPr>
          <w:rFonts w:ascii="仿宋_GB2312" w:hAnsi="仿宋_GB2312" w:eastAsia="仿宋_GB2312" w:cs="仿宋_GB2312"/>
          <w:spacing w:val="6"/>
          <w:sz w:val="24"/>
        </w:rPr>
      </w:pPr>
      <w:bookmarkStart w:id="470" w:name="_Toc17469_WPSOffice_Level3"/>
      <w:bookmarkStart w:id="471" w:name="_Toc12079_WPSOffice_Level3"/>
      <w:r>
        <w:rPr>
          <w:rFonts w:hint="eastAsia" w:ascii="仿宋_GB2312" w:hAnsi="仿宋_GB2312" w:eastAsia="仿宋_GB2312" w:cs="仿宋_GB2312"/>
          <w:b/>
          <w:spacing w:val="6"/>
          <w:sz w:val="24"/>
        </w:rPr>
        <w:t>(不属于残疾人福利性单位的无需填写)</w:t>
      </w:r>
      <w:bookmarkEnd w:id="470"/>
      <w:bookmarkEnd w:id="471"/>
    </w:p>
    <w:p w14:paraId="5FAD96FC">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1D8BB823">
      <w:pPr>
        <w:spacing w:line="500" w:lineRule="exact"/>
        <w:ind w:firstLine="480" w:firstLineChars="200"/>
        <w:rPr>
          <w:rFonts w:ascii="仿宋_GB2312" w:hAnsi="仿宋_GB2312" w:eastAsia="仿宋_GB2312" w:cs="仿宋_GB2312"/>
          <w:spacing w:val="6"/>
          <w:sz w:val="24"/>
        </w:rPr>
      </w:pPr>
      <w:r>
        <w:rPr>
          <w:rFonts w:hint="eastAsia" w:ascii="仿宋_GB2312" w:hAnsi="仿宋_GB2312" w:eastAsia="仿宋_GB2312" w:cs="仿宋_GB2312"/>
          <w:sz w:val="24"/>
        </w:rPr>
        <w:t>本单位对上述声明的真实性负责。如有虚假，将依法承担相应责任。</w:t>
      </w:r>
    </w:p>
    <w:p w14:paraId="5D5C8E90">
      <w:pPr>
        <w:spacing w:line="500" w:lineRule="exact"/>
        <w:ind w:firstLine="480" w:firstLineChars="200"/>
        <w:jc w:val="center"/>
        <w:rPr>
          <w:rFonts w:ascii="仿宋_GB2312" w:hAnsi="仿宋_GB2312" w:eastAsia="仿宋_GB2312" w:cs="仿宋_GB2312"/>
          <w:bCs/>
          <w:color w:val="000000"/>
          <w:sz w:val="24"/>
        </w:rPr>
      </w:pPr>
      <w:bookmarkStart w:id="472" w:name="_Toc17628_WPSOffice_Level3"/>
    </w:p>
    <w:p w14:paraId="292246CD">
      <w:pPr>
        <w:spacing w:line="500" w:lineRule="exact"/>
        <w:ind w:firstLine="480" w:firstLineChars="20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                  单位名称：   （公章）</w:t>
      </w:r>
      <w:bookmarkEnd w:id="472"/>
    </w:p>
    <w:p w14:paraId="30A6F0B3">
      <w:pPr>
        <w:spacing w:line="500" w:lineRule="exact"/>
        <w:ind w:firstLine="480" w:firstLineChars="200"/>
        <w:jc w:val="center"/>
        <w:rPr>
          <w:rFonts w:ascii="仿宋_GB2312" w:hAnsi="仿宋_GB2312" w:eastAsia="仿宋_GB2312" w:cs="仿宋_GB2312"/>
          <w:bCs/>
          <w:color w:val="000000"/>
          <w:sz w:val="24"/>
        </w:rPr>
      </w:pPr>
      <w:bookmarkStart w:id="473" w:name="_Toc32124_WPSOffice_Level3"/>
      <w:r>
        <w:rPr>
          <w:rFonts w:hint="eastAsia" w:ascii="仿宋_GB2312" w:hAnsi="仿宋_GB2312" w:eastAsia="仿宋_GB2312" w:cs="仿宋_GB2312"/>
          <w:bCs/>
          <w:color w:val="000000"/>
          <w:sz w:val="24"/>
        </w:rPr>
        <w:t xml:space="preserve">                  法定代表人或委托代理人：   （签字或盖章）</w:t>
      </w:r>
      <w:bookmarkEnd w:id="473"/>
    </w:p>
    <w:p w14:paraId="15296E9D">
      <w:pPr>
        <w:spacing w:line="500" w:lineRule="exact"/>
        <w:ind w:firstLine="480" w:firstLineChars="200"/>
        <w:jc w:val="center"/>
        <w:rPr>
          <w:rFonts w:ascii="宋体" w:hAnsi="宋体"/>
          <w:spacing w:val="6"/>
        </w:rPr>
      </w:pPr>
      <w:bookmarkStart w:id="474" w:name="_Toc1871_WPSOffice_Level3"/>
      <w:r>
        <w:rPr>
          <w:rFonts w:hint="eastAsia" w:ascii="仿宋_GB2312" w:hAnsi="仿宋_GB2312" w:eastAsia="仿宋_GB2312" w:cs="仿宋_GB2312"/>
          <w:bCs/>
          <w:color w:val="000000"/>
          <w:sz w:val="24"/>
        </w:rPr>
        <w:t xml:space="preserve">            年  月  日</w:t>
      </w:r>
      <w:bookmarkEnd w:id="474"/>
    </w:p>
    <w:p w14:paraId="45160F61">
      <w:pPr>
        <w:adjustRightInd w:val="0"/>
        <w:snapToGrid w:val="0"/>
        <w:spacing w:line="560" w:lineRule="exact"/>
        <w:ind w:firstLine="664" w:firstLineChars="200"/>
        <w:rPr>
          <w:rFonts w:ascii="仿宋_GB2312" w:hAnsi="仿宋_GB2312" w:eastAsia="仿宋_GB2312" w:cs="仿宋_GB2312"/>
          <w:spacing w:val="6"/>
          <w:sz w:val="32"/>
          <w:szCs w:val="32"/>
        </w:rPr>
      </w:pPr>
    </w:p>
    <w:p w14:paraId="4E75CF82">
      <w:pPr>
        <w:adjustRightInd w:val="0"/>
        <w:snapToGrid w:val="0"/>
        <w:spacing w:line="560" w:lineRule="exact"/>
        <w:ind w:firstLine="664" w:firstLineChars="200"/>
        <w:rPr>
          <w:rFonts w:ascii="仿宋_GB2312" w:hAnsi="仿宋_GB2312" w:eastAsia="仿宋_GB2312" w:cs="仿宋_GB2312"/>
          <w:spacing w:val="6"/>
          <w:sz w:val="32"/>
          <w:szCs w:val="32"/>
        </w:rPr>
      </w:pPr>
    </w:p>
    <w:p w14:paraId="375307F3">
      <w:pPr>
        <w:adjustRightInd w:val="0"/>
        <w:snapToGrid w:val="0"/>
        <w:spacing w:before="120" w:beforeLines="50" w:line="560" w:lineRule="exact"/>
        <w:ind w:firstLine="444" w:firstLineChars="200"/>
        <w:rPr>
          <w:rFonts w:ascii="宋体" w:hAnsi="宋体"/>
          <w:spacing w:val="6"/>
          <w:szCs w:val="21"/>
        </w:rPr>
      </w:pPr>
    </w:p>
    <w:p w14:paraId="57F41D1C">
      <w:pPr>
        <w:spacing w:before="120" w:beforeLines="50" w:line="560" w:lineRule="exact"/>
        <w:rPr>
          <w:rFonts w:ascii="楷体" w:hAnsi="楷体" w:eastAsia="楷体" w:cs="楷体"/>
          <w:sz w:val="32"/>
          <w:szCs w:val="32"/>
        </w:rPr>
      </w:pPr>
    </w:p>
    <w:p w14:paraId="07A149D7">
      <w:pPr>
        <w:spacing w:before="120" w:beforeLines="50" w:line="560" w:lineRule="exact"/>
        <w:rPr>
          <w:rFonts w:ascii="楷体" w:hAnsi="楷体" w:eastAsia="楷体" w:cs="楷体"/>
          <w:sz w:val="32"/>
          <w:szCs w:val="32"/>
        </w:rPr>
      </w:pPr>
    </w:p>
    <w:p w14:paraId="6DCAB83F">
      <w:pPr>
        <w:rPr>
          <w:rFonts w:ascii="楷体" w:hAnsi="楷体" w:eastAsia="楷体" w:cs="楷体"/>
          <w:sz w:val="32"/>
          <w:szCs w:val="32"/>
        </w:rPr>
      </w:pPr>
      <w:bookmarkStart w:id="475" w:name="_Toc30801"/>
      <w:bookmarkStart w:id="476" w:name="_Toc9477"/>
      <w:r>
        <w:rPr>
          <w:rFonts w:hint="eastAsia" w:ascii="楷体" w:hAnsi="楷体" w:eastAsia="楷体" w:cs="楷体"/>
          <w:sz w:val="32"/>
          <w:szCs w:val="32"/>
        </w:rPr>
        <w:br w:type="page"/>
      </w:r>
    </w:p>
    <w:p w14:paraId="1AA080E6">
      <w:pPr>
        <w:adjustRightInd w:val="0"/>
        <w:snapToGrid w:val="0"/>
        <w:spacing w:before="120" w:beforeLines="50" w:line="560" w:lineRule="exact"/>
        <w:jc w:val="center"/>
        <w:rPr>
          <w:rFonts w:ascii="楷体" w:hAnsi="楷体" w:eastAsia="楷体" w:cs="楷体"/>
          <w:sz w:val="32"/>
          <w:szCs w:val="32"/>
        </w:rPr>
      </w:pPr>
      <w:r>
        <w:rPr>
          <w:rFonts w:hint="eastAsia" w:ascii="仿宋_GB2312" w:hAnsi="仿宋_GB2312" w:eastAsia="仿宋_GB2312" w:cs="仿宋_GB2312"/>
          <w:b/>
          <w:color w:val="000000"/>
          <w:sz w:val="28"/>
          <w:szCs w:val="28"/>
        </w:rPr>
        <w:t>3</w:t>
      </w:r>
      <w:r>
        <w:rPr>
          <w:rFonts w:hint="eastAsia" w:ascii="仿宋_GB2312" w:hAnsi="仿宋_GB2312" w:eastAsia="仿宋_GB2312" w:cs="仿宋_GB2312"/>
          <w:b/>
          <w:color w:val="000000"/>
          <w:sz w:val="28"/>
          <w:szCs w:val="28"/>
          <w:lang w:val="zh-CN"/>
        </w:rPr>
        <w:t>.监狱企业证明资料</w:t>
      </w:r>
      <w:bookmarkEnd w:id="475"/>
      <w:bookmarkEnd w:id="476"/>
    </w:p>
    <w:p w14:paraId="391D3489">
      <w:pPr>
        <w:adjustRightInd w:val="0"/>
        <w:snapToGrid w:val="0"/>
        <w:spacing w:line="500" w:lineRule="exact"/>
        <w:jc w:val="center"/>
        <w:rPr>
          <w:rFonts w:ascii="仿宋_GB2312" w:hAnsi="仿宋_GB2312" w:eastAsia="仿宋_GB2312" w:cs="仿宋_GB2312"/>
          <w:sz w:val="24"/>
        </w:rPr>
      </w:pPr>
      <w:bookmarkStart w:id="477" w:name="_Toc25903_WPSOffice_Level3"/>
      <w:bookmarkStart w:id="478" w:name="_Toc28022_WPSOffice_Level3"/>
      <w:r>
        <w:rPr>
          <w:rFonts w:hint="eastAsia" w:ascii="仿宋_GB2312" w:hAnsi="仿宋_GB2312" w:eastAsia="仿宋_GB2312" w:cs="仿宋_GB2312"/>
          <w:b/>
          <w:spacing w:val="6"/>
          <w:sz w:val="24"/>
        </w:rPr>
        <w:t>(不属于监狱企业的无需提供)</w:t>
      </w:r>
      <w:bookmarkEnd w:id="477"/>
      <w:bookmarkEnd w:id="478"/>
    </w:p>
    <w:p w14:paraId="600E44DF">
      <w:pPr>
        <w:adjustRightInd w:val="0"/>
        <w:snapToGrid w:val="0"/>
        <w:spacing w:line="500" w:lineRule="exact"/>
        <w:ind w:firstLine="504" w:firstLineChars="200"/>
        <w:rPr>
          <w:rFonts w:ascii="仿宋_GB2312" w:hAnsi="仿宋_GB2312" w:eastAsia="仿宋_GB2312" w:cs="仿宋_GB2312"/>
          <w:sz w:val="24"/>
        </w:rPr>
      </w:pPr>
      <w:r>
        <w:rPr>
          <w:rFonts w:hint="eastAsia" w:ascii="仿宋_GB2312" w:hAnsi="仿宋_GB2312" w:eastAsia="仿宋_GB2312" w:cs="仿宋_GB2312"/>
          <w:bCs/>
          <w:spacing w:val="6"/>
          <w:kern w:val="0"/>
          <w:sz w:val="24"/>
        </w:rPr>
        <w:t>备注：</w:t>
      </w:r>
      <w:r>
        <w:rPr>
          <w:rFonts w:hint="eastAsia" w:ascii="仿宋_GB2312" w:hAnsi="仿宋_GB2312" w:eastAsia="仿宋_GB2312" w:cs="仿宋_GB2312"/>
          <w:sz w:val="24"/>
        </w:rPr>
        <w:t>按</w:t>
      </w:r>
      <w:r>
        <w:rPr>
          <w:rFonts w:hint="eastAsia" w:ascii="仿宋_GB2312" w:hAnsi="仿宋_GB2312" w:eastAsia="仿宋_GB2312" w:cs="仿宋_GB2312"/>
          <w:spacing w:val="6"/>
          <w:sz w:val="24"/>
        </w:rPr>
        <w:t>《</w:t>
      </w:r>
      <w:r>
        <w:rPr>
          <w:rFonts w:hint="eastAsia" w:ascii="仿宋_GB2312" w:hAnsi="仿宋_GB2312" w:eastAsia="仿宋_GB2312" w:cs="仿宋_GB2312"/>
          <w:sz w:val="24"/>
        </w:rPr>
        <w:t>财政部 司法部关于政府采购支持监狱企业发展有关问题的通知</w:t>
      </w:r>
      <w:r>
        <w:rPr>
          <w:rFonts w:hint="eastAsia" w:ascii="仿宋_GB2312" w:hAnsi="仿宋_GB2312" w:eastAsia="仿宋_GB2312" w:cs="仿宋_GB2312"/>
          <w:spacing w:val="6"/>
          <w:sz w:val="24"/>
        </w:rPr>
        <w:t>》</w:t>
      </w:r>
      <w:r>
        <w:rPr>
          <w:rFonts w:hint="eastAsia" w:ascii="仿宋_GB2312" w:hAnsi="仿宋_GB2312" w:eastAsia="仿宋_GB2312" w:cs="仿宋_GB2312"/>
          <w:sz w:val="24"/>
        </w:rPr>
        <w:t>(财库〔2014〕68号)文件规定提供证明文件（复印件）。</w:t>
      </w:r>
    </w:p>
    <w:p w14:paraId="25E5D848">
      <w:pPr>
        <w:spacing w:line="500" w:lineRule="exact"/>
        <w:ind w:firstLine="480" w:firstLineChars="200"/>
        <w:jc w:val="center"/>
        <w:rPr>
          <w:rFonts w:ascii="仿宋_GB2312" w:hAnsi="仿宋_GB2312" w:eastAsia="仿宋_GB2312" w:cs="仿宋_GB2312"/>
          <w:bCs/>
          <w:color w:val="000000"/>
          <w:sz w:val="24"/>
        </w:rPr>
      </w:pPr>
      <w:bookmarkStart w:id="479" w:name="_Toc22071_WPSOffice_Level3"/>
    </w:p>
    <w:p w14:paraId="215B6FEF">
      <w:pPr>
        <w:spacing w:line="500" w:lineRule="exact"/>
        <w:ind w:firstLine="480" w:firstLineChars="20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               单位名称：   （公章）</w:t>
      </w:r>
      <w:bookmarkEnd w:id="479"/>
    </w:p>
    <w:p w14:paraId="0DE5AB2D">
      <w:pPr>
        <w:spacing w:line="500" w:lineRule="exact"/>
        <w:ind w:firstLine="480" w:firstLineChars="200"/>
        <w:jc w:val="center"/>
        <w:rPr>
          <w:rFonts w:ascii="仿宋_GB2312" w:hAnsi="仿宋_GB2312" w:eastAsia="仿宋_GB2312" w:cs="仿宋_GB2312"/>
          <w:bCs/>
          <w:color w:val="000000"/>
          <w:sz w:val="24"/>
        </w:rPr>
      </w:pPr>
      <w:bookmarkStart w:id="480" w:name="_Toc11539_WPSOffice_Level3"/>
      <w:r>
        <w:rPr>
          <w:rFonts w:hint="eastAsia" w:ascii="仿宋_GB2312" w:hAnsi="仿宋_GB2312" w:eastAsia="仿宋_GB2312" w:cs="仿宋_GB2312"/>
          <w:bCs/>
          <w:color w:val="000000"/>
          <w:sz w:val="24"/>
        </w:rPr>
        <w:t xml:space="preserve">                  法定代表人或委托代理人：  （签字或盖章）</w:t>
      </w:r>
      <w:bookmarkEnd w:id="480"/>
    </w:p>
    <w:p w14:paraId="08E78089">
      <w:pPr>
        <w:pStyle w:val="43"/>
        <w:rPr>
          <w:b/>
        </w:rPr>
      </w:pPr>
      <w:bookmarkStart w:id="481" w:name="_Toc3285_WPSOffice_Level3"/>
      <w:r>
        <w:rPr>
          <w:rFonts w:hint="eastAsia"/>
        </w:rPr>
        <w:t xml:space="preserve">                                              </w:t>
      </w:r>
      <w:bookmarkStart w:id="482" w:name="_Toc73107677"/>
      <w:bookmarkStart w:id="483" w:name="_Toc2119"/>
      <w:bookmarkStart w:id="484" w:name="_Toc74228766"/>
      <w:bookmarkStart w:id="485" w:name="_Toc3312"/>
      <w:bookmarkStart w:id="486" w:name="_Toc4767"/>
      <w:bookmarkStart w:id="487" w:name="_Toc3489"/>
      <w:r>
        <w:rPr>
          <w:rFonts w:hint="eastAsia"/>
        </w:rPr>
        <w:t>年  月  日</w:t>
      </w:r>
      <w:bookmarkEnd w:id="481"/>
      <w:bookmarkEnd w:id="482"/>
      <w:bookmarkEnd w:id="483"/>
      <w:bookmarkEnd w:id="484"/>
      <w:bookmarkEnd w:id="485"/>
      <w:bookmarkEnd w:id="486"/>
      <w:bookmarkEnd w:id="487"/>
    </w:p>
    <w:p w14:paraId="748E7215">
      <w:pPr>
        <w:autoSpaceDE w:val="0"/>
        <w:autoSpaceDN w:val="0"/>
        <w:adjustRightInd w:val="0"/>
        <w:spacing w:line="400" w:lineRule="exact"/>
        <w:rPr>
          <w:rFonts w:ascii="仿宋" w:hAnsi="仿宋" w:eastAsia="仿宋" w:cs="宋体"/>
          <w:kern w:val="0"/>
          <w:sz w:val="24"/>
          <w:lang w:val="zh-CN"/>
        </w:rPr>
      </w:pPr>
    </w:p>
    <w:p w14:paraId="092CBAAB">
      <w:pPr>
        <w:pStyle w:val="43"/>
      </w:pPr>
    </w:p>
    <w:p w14:paraId="30BB36E6">
      <w:pPr>
        <w:pStyle w:val="43"/>
      </w:pPr>
    </w:p>
    <w:p w14:paraId="0E70FA0C">
      <w:pPr>
        <w:rPr>
          <w:lang w:val="zh-CN"/>
        </w:rPr>
      </w:pPr>
    </w:p>
    <w:p w14:paraId="32BD9BAE">
      <w:pPr>
        <w:rPr>
          <w:lang w:val="zh-CN"/>
        </w:rPr>
      </w:pPr>
    </w:p>
    <w:p w14:paraId="245D4947">
      <w:pPr>
        <w:rPr>
          <w:lang w:val="zh-CN"/>
        </w:rPr>
      </w:pPr>
    </w:p>
    <w:p w14:paraId="15195755">
      <w:pPr>
        <w:rPr>
          <w:lang w:val="zh-CN"/>
        </w:rPr>
      </w:pPr>
    </w:p>
    <w:p w14:paraId="7E27E3A6">
      <w:pPr>
        <w:pStyle w:val="16"/>
        <w:jc w:val="left"/>
        <w:rPr>
          <w:rFonts w:ascii="宋体" w:hAnsi="宋体"/>
          <w:spacing w:val="6"/>
        </w:rPr>
      </w:pPr>
      <w:bookmarkStart w:id="488" w:name="_Toc16609"/>
      <w:bookmarkStart w:id="489" w:name="_Toc74228767"/>
      <w:bookmarkStart w:id="490" w:name="_Toc19573"/>
      <w:bookmarkStart w:id="491" w:name="_Toc10572"/>
      <w:bookmarkStart w:id="492" w:name="_Toc73107678"/>
      <w:r>
        <w:rPr>
          <w:rFonts w:hint="eastAsia"/>
          <w:sz w:val="30"/>
          <w:szCs w:val="30"/>
          <w:lang w:val="zh-CN"/>
        </w:rPr>
        <w:t>注：以上情形不得重复享受政府采购政策优惠。</w:t>
      </w:r>
      <w:bookmarkEnd w:id="488"/>
      <w:bookmarkEnd w:id="489"/>
      <w:bookmarkEnd w:id="490"/>
      <w:bookmarkEnd w:id="491"/>
      <w:bookmarkEnd w:id="492"/>
    </w:p>
    <w:p w14:paraId="3FD92635">
      <w:pPr>
        <w:adjustRightInd w:val="0"/>
        <w:snapToGrid w:val="0"/>
        <w:spacing w:line="560" w:lineRule="exact"/>
        <w:ind w:firstLine="640" w:firstLineChars="200"/>
        <w:rPr>
          <w:rFonts w:ascii="仿宋_GB2312" w:hAnsi="仿宋_GB2312" w:eastAsia="仿宋_GB2312" w:cs="仿宋_GB2312"/>
          <w:sz w:val="32"/>
          <w:szCs w:val="32"/>
        </w:rPr>
      </w:pPr>
    </w:p>
    <w:p w14:paraId="55A8D08F">
      <w:pPr>
        <w:adjustRightInd w:val="0"/>
        <w:snapToGrid w:val="0"/>
        <w:spacing w:before="156" w:beforeLines="50" w:line="560" w:lineRule="exact"/>
      </w:pPr>
    </w:p>
    <w:p w14:paraId="4C5D5040">
      <w:pPr>
        <w:adjustRightInd w:val="0"/>
        <w:snapToGrid w:val="0"/>
        <w:spacing w:before="156" w:beforeLines="50" w:line="560" w:lineRule="exact"/>
      </w:pPr>
    </w:p>
    <w:p w14:paraId="4080AB1F">
      <w:pPr>
        <w:adjustRightInd w:val="0"/>
        <w:snapToGrid w:val="0"/>
        <w:spacing w:before="156" w:beforeLines="50" w:line="560" w:lineRule="exact"/>
      </w:pPr>
    </w:p>
    <w:p w14:paraId="3406B7D7">
      <w:pPr>
        <w:adjustRightInd w:val="0"/>
        <w:snapToGrid w:val="0"/>
        <w:spacing w:before="156" w:beforeLines="50" w:line="560" w:lineRule="exact"/>
      </w:pPr>
    </w:p>
    <w:p w14:paraId="60F976BE">
      <w:pPr>
        <w:spacing w:before="156" w:beforeLines="50" w:line="560" w:lineRule="exact"/>
        <w:ind w:firstLine="482" w:firstLineChars="200"/>
        <w:jc w:val="center"/>
        <w:rPr>
          <w:rFonts w:ascii="宋体" w:hAnsi="宋体"/>
          <w:b/>
          <w:color w:val="000000"/>
          <w:sz w:val="24"/>
        </w:rPr>
      </w:pPr>
    </w:p>
    <w:p w14:paraId="15183DB3">
      <w:pPr>
        <w:spacing w:before="156" w:beforeLines="50" w:line="560" w:lineRule="exact"/>
        <w:ind w:firstLine="482" w:firstLineChars="200"/>
        <w:jc w:val="center"/>
        <w:rPr>
          <w:rFonts w:ascii="宋体" w:hAnsi="宋体"/>
          <w:b/>
          <w:color w:val="000000"/>
          <w:sz w:val="24"/>
        </w:rPr>
      </w:pPr>
    </w:p>
    <w:p w14:paraId="2CFA91FD">
      <w:pPr>
        <w:rPr>
          <w:rFonts w:hint="eastAsia" w:ascii="楷体_GB2312" w:hAnsi="楷体_GB2312" w:eastAsia="楷体_GB2312" w:cs="楷体_GB2312"/>
          <w:b/>
          <w:color w:val="000000"/>
          <w:sz w:val="32"/>
          <w:szCs w:val="32"/>
        </w:rPr>
      </w:pPr>
      <w:bookmarkStart w:id="493" w:name="_Toc21028"/>
    </w:p>
    <w:p w14:paraId="2A0BBC1B">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_GB2312" w:hAnsi="楷体_GB2312" w:eastAsia="楷体_GB2312" w:cs="楷体_GB2312"/>
          <w:b/>
          <w:color w:val="000000"/>
          <w:sz w:val="32"/>
          <w:szCs w:val="32"/>
          <w:lang w:val="zh-CN"/>
        </w:rPr>
      </w:pPr>
      <w:r>
        <w:rPr>
          <w:rFonts w:hint="eastAsia" w:ascii="楷体_GB2312" w:hAnsi="楷体_GB2312" w:eastAsia="楷体_GB2312" w:cs="楷体_GB2312"/>
          <w:b/>
          <w:color w:val="000000"/>
          <w:sz w:val="32"/>
          <w:szCs w:val="32"/>
        </w:rPr>
        <w:t>附件14：</w:t>
      </w:r>
      <w:r>
        <w:rPr>
          <w:rFonts w:hint="eastAsia" w:ascii="楷体_GB2312" w:hAnsi="楷体_GB2312" w:eastAsia="楷体_GB2312" w:cs="楷体_GB2312"/>
          <w:b/>
          <w:color w:val="000000"/>
          <w:sz w:val="32"/>
          <w:szCs w:val="32"/>
          <w:lang w:val="zh-CN"/>
        </w:rPr>
        <w:t>供应商认为在其他方面有必要说明的事项（格式自定）</w:t>
      </w:r>
      <w:bookmarkEnd w:id="493"/>
    </w:p>
    <w:p w14:paraId="3B9A16C6">
      <w:pPr>
        <w:spacing w:before="156" w:beforeLines="50" w:line="560" w:lineRule="exact"/>
        <w:ind w:firstLine="482" w:firstLineChars="200"/>
        <w:rPr>
          <w:rFonts w:ascii="宋体" w:hAnsi="宋体"/>
          <w:b/>
          <w:color w:val="000000"/>
          <w:sz w:val="24"/>
        </w:rPr>
      </w:pPr>
    </w:p>
    <w:p w14:paraId="7D74B0BF">
      <w:pPr>
        <w:spacing w:before="156" w:beforeLines="50" w:line="560" w:lineRule="exact"/>
        <w:ind w:firstLine="482" w:firstLineChars="200"/>
        <w:jc w:val="center"/>
        <w:rPr>
          <w:rFonts w:ascii="宋体" w:hAnsi="宋体"/>
          <w:b/>
          <w:color w:val="000000"/>
          <w:sz w:val="24"/>
        </w:rPr>
      </w:pPr>
    </w:p>
    <w:p w14:paraId="796B0961">
      <w:pPr>
        <w:spacing w:before="156" w:beforeLines="50" w:line="560" w:lineRule="exact"/>
        <w:ind w:firstLine="482" w:firstLineChars="200"/>
        <w:jc w:val="center"/>
        <w:rPr>
          <w:rFonts w:ascii="宋体" w:hAnsi="宋体"/>
          <w:b/>
          <w:color w:val="000000"/>
          <w:sz w:val="24"/>
        </w:rPr>
      </w:pPr>
    </w:p>
    <w:p w14:paraId="2C2C89BC">
      <w:pPr>
        <w:spacing w:before="156" w:beforeLines="50" w:line="560" w:lineRule="exact"/>
        <w:ind w:firstLine="482" w:firstLineChars="200"/>
        <w:jc w:val="center"/>
        <w:rPr>
          <w:rFonts w:ascii="宋体" w:hAnsi="宋体"/>
          <w:b/>
          <w:color w:val="000000"/>
          <w:sz w:val="24"/>
        </w:rPr>
      </w:pPr>
    </w:p>
    <w:p w14:paraId="0637AA91">
      <w:pPr>
        <w:spacing w:before="156" w:beforeLines="50" w:line="560" w:lineRule="exact"/>
        <w:ind w:firstLine="482" w:firstLineChars="200"/>
        <w:jc w:val="center"/>
        <w:rPr>
          <w:rFonts w:ascii="宋体" w:hAnsi="宋体"/>
          <w:b/>
          <w:color w:val="000000"/>
          <w:sz w:val="24"/>
        </w:rPr>
      </w:pPr>
    </w:p>
    <w:p w14:paraId="38988F11">
      <w:pPr>
        <w:spacing w:before="156" w:beforeLines="50" w:line="560" w:lineRule="exact"/>
        <w:ind w:firstLine="482" w:firstLineChars="200"/>
        <w:jc w:val="center"/>
        <w:rPr>
          <w:rFonts w:ascii="宋体" w:hAnsi="宋体"/>
          <w:b/>
          <w:color w:val="000000"/>
          <w:sz w:val="24"/>
        </w:rPr>
      </w:pPr>
    </w:p>
    <w:p w14:paraId="17BF4DF5">
      <w:pPr>
        <w:spacing w:before="156" w:beforeLines="50" w:line="560" w:lineRule="exact"/>
        <w:ind w:firstLine="482" w:firstLineChars="200"/>
        <w:jc w:val="center"/>
        <w:rPr>
          <w:rFonts w:ascii="宋体" w:hAnsi="宋体"/>
          <w:b/>
          <w:color w:val="000000"/>
          <w:sz w:val="24"/>
        </w:rPr>
      </w:pPr>
    </w:p>
    <w:p w14:paraId="05585E68">
      <w:pPr>
        <w:spacing w:before="156" w:beforeLines="50" w:line="560" w:lineRule="exact"/>
        <w:ind w:firstLine="482" w:firstLineChars="200"/>
        <w:jc w:val="center"/>
        <w:rPr>
          <w:rFonts w:ascii="宋体" w:hAnsi="宋体"/>
          <w:b/>
          <w:color w:val="000000"/>
          <w:sz w:val="24"/>
        </w:rPr>
      </w:pPr>
    </w:p>
    <w:p w14:paraId="71D51FDE">
      <w:pPr>
        <w:spacing w:before="156" w:beforeLines="50" w:line="560" w:lineRule="exact"/>
        <w:ind w:firstLine="482" w:firstLineChars="200"/>
        <w:jc w:val="center"/>
        <w:rPr>
          <w:rFonts w:ascii="宋体" w:hAnsi="宋体"/>
          <w:b/>
          <w:color w:val="000000"/>
          <w:sz w:val="24"/>
        </w:rPr>
      </w:pPr>
    </w:p>
    <w:p w14:paraId="1E0D3375">
      <w:pPr>
        <w:spacing w:before="156" w:beforeLines="50" w:line="560" w:lineRule="exact"/>
        <w:ind w:firstLine="482" w:firstLineChars="200"/>
        <w:jc w:val="center"/>
        <w:rPr>
          <w:rFonts w:ascii="宋体" w:hAnsi="宋体"/>
          <w:b/>
          <w:color w:val="000000"/>
          <w:sz w:val="24"/>
        </w:rPr>
      </w:pPr>
    </w:p>
    <w:p w14:paraId="05D9F6AD">
      <w:pPr>
        <w:spacing w:before="156" w:beforeLines="50" w:line="560" w:lineRule="exact"/>
        <w:ind w:firstLine="482" w:firstLineChars="200"/>
        <w:jc w:val="center"/>
        <w:rPr>
          <w:rFonts w:ascii="宋体" w:hAnsi="宋体"/>
          <w:b/>
          <w:color w:val="000000"/>
          <w:sz w:val="24"/>
        </w:rPr>
      </w:pPr>
    </w:p>
    <w:p w14:paraId="5DA497EC">
      <w:pPr>
        <w:spacing w:before="156" w:beforeLines="50" w:line="560" w:lineRule="exact"/>
        <w:ind w:firstLine="482" w:firstLineChars="200"/>
        <w:jc w:val="center"/>
        <w:rPr>
          <w:rFonts w:ascii="宋体" w:hAnsi="宋体"/>
          <w:b/>
          <w:color w:val="000000"/>
          <w:sz w:val="24"/>
        </w:rPr>
      </w:pPr>
    </w:p>
    <w:p w14:paraId="7CA24BEB">
      <w:pPr>
        <w:spacing w:before="156" w:beforeLines="50" w:line="560" w:lineRule="exact"/>
        <w:ind w:firstLine="482" w:firstLineChars="200"/>
        <w:jc w:val="center"/>
        <w:rPr>
          <w:rFonts w:ascii="宋体" w:hAnsi="宋体"/>
          <w:b/>
          <w:color w:val="000000"/>
          <w:sz w:val="24"/>
        </w:rPr>
      </w:pPr>
    </w:p>
    <w:p w14:paraId="19097DCB">
      <w:pPr>
        <w:spacing w:before="156" w:beforeLines="50" w:line="560" w:lineRule="exact"/>
        <w:ind w:firstLine="482" w:firstLineChars="200"/>
        <w:jc w:val="center"/>
        <w:rPr>
          <w:rFonts w:ascii="宋体" w:hAnsi="宋体"/>
          <w:b/>
          <w:color w:val="000000"/>
          <w:sz w:val="24"/>
        </w:rPr>
      </w:pPr>
    </w:p>
    <w:p w14:paraId="195F4292">
      <w:pPr>
        <w:spacing w:before="156" w:beforeLines="50" w:line="560" w:lineRule="exact"/>
        <w:ind w:firstLine="482" w:firstLineChars="200"/>
        <w:jc w:val="center"/>
        <w:rPr>
          <w:rFonts w:ascii="宋体" w:hAnsi="宋体"/>
          <w:b/>
          <w:color w:val="000000"/>
          <w:sz w:val="24"/>
        </w:rPr>
      </w:pPr>
    </w:p>
    <w:p w14:paraId="67203F69">
      <w:pPr>
        <w:spacing w:before="156" w:beforeLines="50" w:line="560" w:lineRule="exact"/>
        <w:ind w:firstLine="482" w:firstLineChars="200"/>
        <w:jc w:val="center"/>
        <w:rPr>
          <w:rFonts w:ascii="宋体" w:hAnsi="宋体"/>
          <w:b/>
          <w:color w:val="000000"/>
          <w:sz w:val="24"/>
        </w:rPr>
      </w:pPr>
    </w:p>
    <w:p w14:paraId="20D1C8B8">
      <w:pPr>
        <w:adjustRightInd w:val="0"/>
        <w:snapToGrid w:val="0"/>
        <w:spacing w:before="156" w:beforeLines="50" w:line="560" w:lineRule="exact"/>
        <w:rPr>
          <w:rFonts w:ascii="宋体" w:hAnsi="宋体"/>
          <w:szCs w:val="21"/>
          <w:highlight w:val="yellow"/>
        </w:rPr>
      </w:pPr>
    </w:p>
    <w:p w14:paraId="3866CA4C">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hint="eastAsia" w:ascii="楷体_GB2312" w:hAnsi="楷体_GB2312" w:eastAsia="楷体_GB2312" w:cs="楷体_GB2312"/>
          <w:b/>
          <w:color w:val="000000"/>
          <w:sz w:val="32"/>
          <w:szCs w:val="32"/>
        </w:rPr>
      </w:pPr>
      <w:bookmarkStart w:id="494" w:name="_Toc12068_WPSOffice_Level3"/>
      <w:bookmarkStart w:id="495" w:name="_Toc23033_WPSOffice_Level3"/>
      <w:bookmarkStart w:id="496" w:name="_Toc21346"/>
      <w:bookmarkStart w:id="497" w:name="_Toc3267"/>
    </w:p>
    <w:p w14:paraId="0E6DD206">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附件15：最后报价表</w:t>
      </w:r>
      <w:bookmarkEnd w:id="494"/>
      <w:bookmarkEnd w:id="495"/>
      <w:bookmarkEnd w:id="496"/>
      <w:bookmarkEnd w:id="497"/>
    </w:p>
    <w:p w14:paraId="08B407CA">
      <w:pPr>
        <w:autoSpaceDE w:val="0"/>
        <w:autoSpaceDN w:val="0"/>
        <w:adjustRightInd w:val="0"/>
        <w:spacing w:line="560" w:lineRule="exact"/>
        <w:ind w:left="283" w:leftChars="135"/>
        <w:jc w:val="center"/>
        <w:rPr>
          <w:rFonts w:hint="eastAsia" w:ascii="仿宋_GB2312" w:hAnsi="仿宋_GB2312" w:eastAsia="仿宋_GB2312" w:cs="仿宋_GB2312"/>
          <w:b/>
          <w:color w:val="000000"/>
          <w:sz w:val="28"/>
          <w:szCs w:val="28"/>
          <w:lang w:val="zh-CN"/>
        </w:rPr>
      </w:pPr>
      <w:bookmarkStart w:id="498" w:name="_Toc27800_WPSOffice_Level2"/>
      <w:bookmarkStart w:id="499" w:name="_Toc27699_WPSOffice_Level2"/>
    </w:p>
    <w:p w14:paraId="62A5FAC8">
      <w:pPr>
        <w:autoSpaceDE w:val="0"/>
        <w:autoSpaceDN w:val="0"/>
        <w:adjustRightInd w:val="0"/>
        <w:spacing w:line="560" w:lineRule="exact"/>
        <w:ind w:left="283" w:leftChars="135"/>
        <w:jc w:val="center"/>
        <w:rPr>
          <w:rFonts w:hint="eastAsia" w:ascii="仿宋_GB2312" w:hAnsi="仿宋_GB2312" w:eastAsia="仿宋_GB2312" w:cs="仿宋_GB2312"/>
          <w:b/>
          <w:color w:val="000000"/>
          <w:sz w:val="28"/>
          <w:szCs w:val="28"/>
          <w:lang w:val="zh-CN"/>
        </w:rPr>
      </w:pPr>
    </w:p>
    <w:bookmarkEnd w:id="498"/>
    <w:bookmarkEnd w:id="499"/>
    <w:p w14:paraId="6FD71E65">
      <w:pPr>
        <w:autoSpaceDE w:val="0"/>
        <w:autoSpaceDN w:val="0"/>
        <w:adjustRightInd w:val="0"/>
        <w:spacing w:line="560" w:lineRule="exact"/>
        <w:ind w:left="283" w:leftChars="135"/>
        <w:jc w:val="center"/>
        <w:rPr>
          <w:rFonts w:hint="default"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zh-CN"/>
        </w:rPr>
        <w:t>最后报价表</w:t>
      </w:r>
      <w:r>
        <w:rPr>
          <w:rFonts w:hint="eastAsia" w:ascii="仿宋_GB2312" w:hAnsi="仿宋_GB2312" w:eastAsia="仿宋_GB2312" w:cs="仿宋_GB2312"/>
          <w:b/>
          <w:color w:val="000000"/>
          <w:sz w:val="28"/>
          <w:szCs w:val="28"/>
          <w:lang w:val="en-US" w:eastAsia="zh-CN"/>
        </w:rPr>
        <w:t>按政采云系统填写</w:t>
      </w:r>
    </w:p>
    <w:p w14:paraId="20B4B38F">
      <w:pPr>
        <w:spacing w:line="560" w:lineRule="exact"/>
        <w:ind w:firstLine="640" w:firstLineChars="200"/>
        <w:jc w:val="center"/>
        <w:rPr>
          <w:rFonts w:ascii="仿宋_GB2312" w:hAnsi="仿宋_GB2312" w:eastAsia="仿宋_GB2312" w:cs="仿宋_GB2312"/>
          <w:bCs/>
          <w:color w:val="000000"/>
          <w:sz w:val="32"/>
          <w:szCs w:val="32"/>
        </w:rPr>
      </w:pPr>
    </w:p>
    <w:p w14:paraId="2D744ED2">
      <w:pPr>
        <w:rPr>
          <w:rFonts w:ascii="宋体" w:hAnsi="宋体"/>
          <w:b/>
          <w:color w:val="000000"/>
          <w:sz w:val="24"/>
        </w:rPr>
      </w:pPr>
      <w:r>
        <w:rPr>
          <w:rFonts w:hint="eastAsia" w:ascii="宋体" w:hAnsi="宋体"/>
          <w:b/>
          <w:color w:val="000000"/>
          <w:sz w:val="24"/>
        </w:rPr>
        <w:br w:type="page"/>
      </w:r>
    </w:p>
    <w:p w14:paraId="1F7EB303">
      <w:pPr>
        <w:pStyle w:val="2"/>
        <w:adjustRightInd w:val="0"/>
        <w:snapToGrid w:val="0"/>
        <w:spacing w:before="156" w:beforeLines="50" w:line="560" w:lineRule="exact"/>
        <w:rPr>
          <w:rFonts w:ascii="华文中宋" w:hAnsi="华文中宋" w:eastAsia="华文中宋" w:cs="华文中宋"/>
          <w:b w:val="0"/>
          <w:bCs w:val="0"/>
          <w:sz w:val="44"/>
          <w:szCs w:val="44"/>
        </w:rPr>
      </w:pPr>
      <w:bookmarkStart w:id="500" w:name="_Toc376936766"/>
      <w:bookmarkStart w:id="501" w:name="_Toc24112_WPSOffice_Level1"/>
      <w:bookmarkStart w:id="502" w:name="_Toc17985"/>
      <w:bookmarkStart w:id="503" w:name="_Toc5169"/>
      <w:bookmarkStart w:id="504" w:name="_Toc7329_WPSOffice_Level1"/>
      <w:bookmarkStart w:id="505" w:name="_Toc27557_WPSOffice_Level1"/>
      <w:bookmarkStart w:id="506" w:name="_Toc16779_WPSOffice_Level1"/>
      <w:bookmarkStart w:id="507" w:name="_Toc12949996"/>
      <w:bookmarkStart w:id="508" w:name="_Toc416183225"/>
      <w:bookmarkStart w:id="509" w:name="_Toc23740"/>
      <w:bookmarkStart w:id="510" w:name="_Toc16082_WPSOffice_Level1"/>
      <w:bookmarkStart w:id="511" w:name="_Toc23722_WPSOffice_Level1"/>
      <w:bookmarkStart w:id="512" w:name="_Toc5233"/>
      <w:r>
        <w:rPr>
          <w:rFonts w:hint="eastAsia" w:ascii="华文中宋" w:hAnsi="华文中宋" w:eastAsia="华文中宋" w:cs="华文中宋"/>
          <w:b w:val="0"/>
          <w:bCs w:val="0"/>
          <w:sz w:val="36"/>
          <w:szCs w:val="36"/>
        </w:rPr>
        <w:t>第五部分</w:t>
      </w:r>
      <w:bookmarkEnd w:id="500"/>
      <w:r>
        <w:rPr>
          <w:rFonts w:hint="eastAsia" w:ascii="华文中宋" w:hAnsi="华文中宋" w:eastAsia="华文中宋" w:cs="华文中宋"/>
          <w:b w:val="0"/>
          <w:bCs w:val="0"/>
          <w:sz w:val="36"/>
          <w:szCs w:val="36"/>
          <w:lang w:val="en-US" w:eastAsia="zh-CN"/>
        </w:rPr>
        <w:t xml:space="preserve">  </w:t>
      </w:r>
      <w:r>
        <w:rPr>
          <w:rFonts w:hint="eastAsia" w:ascii="华文中宋" w:hAnsi="华文中宋" w:eastAsia="华文中宋" w:cs="华文中宋"/>
          <w:b w:val="0"/>
          <w:bCs w:val="0"/>
          <w:sz w:val="36"/>
          <w:szCs w:val="36"/>
        </w:rPr>
        <w:t>青海省政府采购项目合同书范本</w:t>
      </w:r>
      <w:bookmarkEnd w:id="501"/>
      <w:bookmarkEnd w:id="502"/>
      <w:bookmarkEnd w:id="503"/>
      <w:bookmarkEnd w:id="504"/>
    </w:p>
    <w:bookmarkEnd w:id="505"/>
    <w:bookmarkEnd w:id="506"/>
    <w:bookmarkEnd w:id="507"/>
    <w:bookmarkEnd w:id="508"/>
    <w:bookmarkEnd w:id="509"/>
    <w:bookmarkEnd w:id="510"/>
    <w:bookmarkEnd w:id="511"/>
    <w:bookmarkEnd w:id="512"/>
    <w:p w14:paraId="54DCC3C5">
      <w:pPr>
        <w:adjustRightInd w:val="0"/>
        <w:snapToGrid w:val="0"/>
        <w:spacing w:before="156" w:beforeLines="50" w:line="560" w:lineRule="exact"/>
        <w:outlineLvl w:val="0"/>
        <w:rPr>
          <w:rFonts w:ascii="宋体" w:hAnsi="宋体"/>
          <w:bCs/>
          <w:szCs w:val="21"/>
        </w:rPr>
      </w:pPr>
      <w:bookmarkStart w:id="513" w:name="_Toc373954603"/>
      <w:bookmarkStart w:id="514" w:name="_Toc375576842"/>
      <w:bookmarkStart w:id="515" w:name="_Toc373936315"/>
    </w:p>
    <w:bookmarkEnd w:id="513"/>
    <w:bookmarkEnd w:id="514"/>
    <w:bookmarkEnd w:id="515"/>
    <w:p w14:paraId="39B5BBBE">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bCs/>
          <w:kern w:val="0"/>
          <w:sz w:val="48"/>
          <w:szCs w:val="48"/>
          <w:lang w:val="en-US" w:eastAsia="zh-CN" w:bidi="ar"/>
        </w:rPr>
      </w:pPr>
    </w:p>
    <w:p w14:paraId="7ABF94EC">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bCs/>
          <w:kern w:val="0"/>
          <w:sz w:val="48"/>
          <w:szCs w:val="48"/>
          <w:lang w:val="en-US" w:eastAsia="zh-CN" w:bidi="ar"/>
        </w:rPr>
      </w:pPr>
    </w:p>
    <w:p w14:paraId="7A997849">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Calibri"/>
          <w:b/>
          <w:bCs/>
          <w:kern w:val="0"/>
          <w:sz w:val="48"/>
          <w:szCs w:val="48"/>
        </w:rPr>
      </w:pPr>
      <w:r>
        <w:rPr>
          <w:rFonts w:hint="eastAsia" w:ascii="仿宋" w:hAnsi="仿宋" w:eastAsia="仿宋" w:cs="仿宋"/>
          <w:b/>
          <w:bCs/>
          <w:kern w:val="0"/>
          <w:sz w:val="48"/>
          <w:szCs w:val="48"/>
          <w:lang w:val="en-US" w:eastAsia="zh-CN" w:bidi="ar"/>
        </w:rPr>
        <w:t>青海省政府采购项目合同书</w:t>
      </w:r>
    </w:p>
    <w:p w14:paraId="14C5ADCD">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3BEB175B">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2100002F">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37AADB19">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2671B411">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宋体"/>
          <w:b/>
          <w:bCs/>
          <w:kern w:val="0"/>
          <w:sz w:val="30"/>
          <w:szCs w:val="30"/>
          <w:u w:val="single"/>
        </w:rPr>
      </w:pPr>
      <w:r>
        <w:rPr>
          <w:rFonts w:hint="eastAsia" w:ascii="仿宋" w:hAnsi="仿宋" w:eastAsia="仿宋" w:cs="仿宋"/>
          <w:b/>
          <w:bCs/>
          <w:kern w:val="0"/>
          <w:sz w:val="30"/>
          <w:szCs w:val="30"/>
          <w:lang w:val="en-US" w:eastAsia="zh-CN" w:bidi="ar"/>
        </w:rPr>
        <w:t>采购项目名称：</w:t>
      </w:r>
      <w:r>
        <w:rPr>
          <w:rFonts w:hint="eastAsia" w:ascii="仿宋" w:hAnsi="仿宋" w:eastAsia="仿宋" w:cs="仿宋"/>
          <w:b/>
          <w:bCs/>
          <w:kern w:val="0"/>
          <w:sz w:val="30"/>
          <w:szCs w:val="30"/>
          <w:u w:val="single"/>
          <w:lang w:val="en-US" w:eastAsia="zh-CN" w:bidi="ar"/>
        </w:rPr>
        <w:t>玉树市214国道沿线（新寨村至勒巴沟）生态环境综合整治项目</w:t>
      </w:r>
    </w:p>
    <w:p w14:paraId="4A4E4E2A">
      <w:pPr>
        <w:keepNext w:val="0"/>
        <w:keepLines w:val="0"/>
        <w:widowControl w:val="0"/>
        <w:suppressLineNumbers w:val="0"/>
        <w:spacing w:before="0" w:beforeAutospacing="0" w:after="0" w:afterAutospacing="0"/>
        <w:ind w:left="0" w:right="0"/>
        <w:jc w:val="both"/>
        <w:rPr>
          <w:rFonts w:hint="default" w:ascii="仿宋" w:hAnsi="仿宋" w:eastAsia="仿宋" w:cs="仿宋"/>
          <w:b/>
          <w:bCs/>
          <w:kern w:val="0"/>
          <w:sz w:val="30"/>
          <w:szCs w:val="30"/>
          <w:u w:val="single"/>
          <w:lang w:val="en-US" w:eastAsia="zh-CN" w:bidi="ar"/>
        </w:rPr>
      </w:pPr>
      <w:r>
        <w:rPr>
          <w:rFonts w:hint="eastAsia" w:ascii="仿宋" w:hAnsi="仿宋" w:eastAsia="仿宋" w:cs="仿宋"/>
          <w:b/>
          <w:bCs/>
          <w:kern w:val="0"/>
          <w:sz w:val="30"/>
          <w:szCs w:val="30"/>
          <w:lang w:val="en-US" w:eastAsia="zh-CN" w:bidi="ar"/>
        </w:rPr>
        <w:t>采购项目编号：</w:t>
      </w:r>
      <w:r>
        <w:rPr>
          <w:rFonts w:hint="eastAsia" w:ascii="仿宋" w:hAnsi="仿宋" w:eastAsia="仿宋" w:cs="仿宋"/>
          <w:b/>
          <w:bCs/>
          <w:kern w:val="0"/>
          <w:sz w:val="30"/>
          <w:szCs w:val="30"/>
          <w:u w:val="single"/>
          <w:lang w:val="en-US" w:eastAsia="zh-CN" w:bidi="ar"/>
        </w:rPr>
        <w:t xml:space="preserve">青海聚鑫竞谈（服务）2024-029        </w:t>
      </w:r>
    </w:p>
    <w:p w14:paraId="7BD0BBA4">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宋体"/>
          <w:b/>
          <w:bCs/>
          <w:kern w:val="0"/>
          <w:sz w:val="30"/>
          <w:szCs w:val="30"/>
        </w:rPr>
      </w:pPr>
      <w:r>
        <w:rPr>
          <w:rFonts w:hint="eastAsia" w:ascii="仿宋" w:hAnsi="仿宋" w:eastAsia="仿宋" w:cs="仿宋"/>
          <w:b/>
          <w:bCs/>
          <w:kern w:val="0"/>
          <w:sz w:val="30"/>
          <w:szCs w:val="30"/>
          <w:lang w:val="en-US" w:eastAsia="zh-CN" w:bidi="ar"/>
        </w:rPr>
        <w:t>采购包号：</w:t>
      </w:r>
      <w:r>
        <w:rPr>
          <w:rFonts w:hint="eastAsia" w:ascii="仿宋" w:hAnsi="仿宋" w:eastAsia="仿宋" w:cs="宋体"/>
          <w:b/>
          <w:bCs/>
          <w:kern w:val="0"/>
          <w:sz w:val="30"/>
          <w:szCs w:val="30"/>
          <w:u w:val="single"/>
          <w:lang w:val="en-US" w:eastAsia="zh-CN" w:bidi="ar"/>
        </w:rPr>
        <w:t xml:space="preserve">                                        </w:t>
      </w:r>
      <w:r>
        <w:rPr>
          <w:rFonts w:hint="eastAsia" w:ascii="仿宋" w:hAnsi="仿宋" w:eastAsia="仿宋" w:cs="宋体"/>
          <w:b/>
          <w:bCs/>
          <w:kern w:val="0"/>
          <w:sz w:val="30"/>
          <w:szCs w:val="30"/>
          <w:lang w:val="en-US" w:eastAsia="zh-CN" w:bidi="ar"/>
        </w:rPr>
        <w:t xml:space="preserve"> </w:t>
      </w:r>
    </w:p>
    <w:p w14:paraId="4DBBA44A">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宋体"/>
          <w:b/>
          <w:bCs/>
          <w:kern w:val="0"/>
          <w:sz w:val="30"/>
          <w:szCs w:val="30"/>
          <w:u w:val="single"/>
        </w:rPr>
      </w:pPr>
      <w:r>
        <w:rPr>
          <w:rFonts w:hint="eastAsia" w:ascii="仿宋" w:hAnsi="仿宋" w:eastAsia="仿宋" w:cs="仿宋"/>
          <w:b/>
          <w:bCs/>
          <w:kern w:val="0"/>
          <w:sz w:val="30"/>
          <w:szCs w:val="30"/>
          <w:lang w:val="en-US" w:eastAsia="zh-CN" w:bidi="ar"/>
        </w:rPr>
        <w:t>采购合同编号：</w:t>
      </w:r>
      <w:r>
        <w:rPr>
          <w:rFonts w:hint="eastAsia" w:ascii="仿宋" w:hAnsi="仿宋" w:eastAsia="仿宋" w:cs="仿宋"/>
          <w:b/>
          <w:bCs/>
          <w:kern w:val="0"/>
          <w:sz w:val="30"/>
          <w:szCs w:val="30"/>
          <w:u w:val="single"/>
          <w:lang w:val="en-US" w:eastAsia="zh-CN" w:bidi="ar"/>
        </w:rPr>
        <w:t>QHJX-2024-029</w:t>
      </w:r>
      <w:r>
        <w:rPr>
          <w:rFonts w:hint="eastAsia" w:ascii="仿宋" w:hAnsi="仿宋" w:eastAsia="仿宋" w:cs="宋体"/>
          <w:b/>
          <w:bCs/>
          <w:kern w:val="0"/>
          <w:sz w:val="30"/>
          <w:szCs w:val="30"/>
          <w:u w:val="single"/>
          <w:lang w:val="en-US" w:eastAsia="zh-CN" w:bidi="ar"/>
        </w:rPr>
        <w:t xml:space="preserve">                       </w:t>
      </w:r>
    </w:p>
    <w:p w14:paraId="2EF23C5C">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Calibri"/>
          <w:b/>
          <w:bCs/>
          <w:kern w:val="0"/>
          <w:sz w:val="30"/>
          <w:szCs w:val="30"/>
        </w:rPr>
      </w:pPr>
      <w:r>
        <w:rPr>
          <w:rFonts w:hint="eastAsia" w:ascii="仿宋" w:hAnsi="仿宋" w:eastAsia="仿宋" w:cs="仿宋"/>
          <w:b/>
          <w:bCs/>
          <w:kern w:val="0"/>
          <w:sz w:val="30"/>
          <w:szCs w:val="30"/>
          <w:lang w:val="en-US" w:eastAsia="zh-CN" w:bidi="ar"/>
        </w:rPr>
        <w:t>合同金额（人民币）：</w:t>
      </w:r>
      <w:r>
        <w:rPr>
          <w:rFonts w:hint="eastAsia" w:ascii="仿宋" w:hAnsi="仿宋" w:eastAsia="仿宋" w:cs="Calibri"/>
          <w:b/>
          <w:bCs/>
          <w:kern w:val="0"/>
          <w:sz w:val="30"/>
          <w:szCs w:val="30"/>
          <w:u w:val="single"/>
          <w:lang w:val="en-US" w:eastAsia="zh-CN" w:bidi="ar"/>
        </w:rPr>
        <w:t xml:space="preserve">                              </w:t>
      </w:r>
    </w:p>
    <w:p w14:paraId="78DA509D">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Calibri"/>
          <w:b/>
          <w:bCs/>
          <w:kern w:val="0"/>
          <w:sz w:val="30"/>
          <w:szCs w:val="30"/>
        </w:rPr>
      </w:pPr>
      <w:r>
        <w:rPr>
          <w:rFonts w:hint="eastAsia" w:ascii="仿宋" w:hAnsi="仿宋" w:eastAsia="仿宋" w:cs="仿宋"/>
          <w:b/>
          <w:bCs/>
          <w:kern w:val="0"/>
          <w:sz w:val="30"/>
          <w:szCs w:val="30"/>
          <w:lang w:val="en-US" w:eastAsia="zh-CN" w:bidi="ar"/>
        </w:rPr>
        <w:t>采购人（甲方）：</w:t>
      </w:r>
      <w:r>
        <w:rPr>
          <w:rFonts w:hint="eastAsia" w:ascii="仿宋" w:hAnsi="仿宋" w:eastAsia="仿宋" w:cs="Calibri"/>
          <w:b/>
          <w:bCs/>
          <w:kern w:val="0"/>
          <w:sz w:val="30"/>
          <w:szCs w:val="30"/>
          <w:u w:val="single"/>
          <w:lang w:val="en-US" w:eastAsia="zh-CN" w:bidi="ar"/>
        </w:rPr>
        <w:t xml:space="preserve">                         </w:t>
      </w:r>
      <w:r>
        <w:rPr>
          <w:rFonts w:hint="eastAsia" w:ascii="仿宋" w:hAnsi="仿宋" w:eastAsia="仿宋" w:cs="仿宋"/>
          <w:b/>
          <w:bCs/>
          <w:kern w:val="0"/>
          <w:sz w:val="30"/>
          <w:szCs w:val="30"/>
          <w:u w:val="single"/>
          <w:lang w:val="en-US" w:eastAsia="zh-CN" w:bidi="ar"/>
        </w:rPr>
        <w:t>（盖章）</w:t>
      </w:r>
    </w:p>
    <w:p w14:paraId="466BD43C">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Calibri"/>
          <w:b/>
          <w:bCs/>
          <w:kern w:val="0"/>
          <w:sz w:val="30"/>
          <w:szCs w:val="30"/>
        </w:rPr>
      </w:pPr>
      <w:r>
        <w:rPr>
          <w:rFonts w:hint="eastAsia" w:ascii="仿宋" w:hAnsi="仿宋" w:eastAsia="仿宋" w:cs="仿宋"/>
          <w:b/>
          <w:bCs/>
          <w:kern w:val="0"/>
          <w:sz w:val="30"/>
          <w:szCs w:val="30"/>
          <w:lang w:val="en-US" w:eastAsia="zh-CN" w:bidi="ar"/>
        </w:rPr>
        <w:t>成交人（乙方）：</w:t>
      </w:r>
      <w:r>
        <w:rPr>
          <w:rFonts w:hint="eastAsia" w:ascii="仿宋" w:hAnsi="仿宋" w:eastAsia="仿宋" w:cs="Calibri"/>
          <w:b/>
          <w:bCs/>
          <w:kern w:val="0"/>
          <w:sz w:val="30"/>
          <w:szCs w:val="30"/>
          <w:u w:val="single"/>
          <w:lang w:val="en-US" w:eastAsia="zh-CN" w:bidi="ar"/>
        </w:rPr>
        <w:t xml:space="preserve">                         </w:t>
      </w:r>
      <w:r>
        <w:rPr>
          <w:rFonts w:hint="eastAsia" w:ascii="仿宋" w:hAnsi="仿宋" w:eastAsia="仿宋" w:cs="仿宋"/>
          <w:b/>
          <w:bCs/>
          <w:kern w:val="0"/>
          <w:sz w:val="30"/>
          <w:szCs w:val="30"/>
          <w:u w:val="single"/>
          <w:lang w:val="en-US" w:eastAsia="zh-CN" w:bidi="ar"/>
        </w:rPr>
        <w:t>（盖章）</w:t>
      </w:r>
    </w:p>
    <w:p w14:paraId="668D5A7F">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Calibri"/>
          <w:b/>
          <w:bCs/>
          <w:kern w:val="0"/>
          <w:sz w:val="30"/>
          <w:szCs w:val="30"/>
        </w:rPr>
      </w:pPr>
      <w:r>
        <w:rPr>
          <w:rFonts w:hint="eastAsia" w:ascii="仿宋" w:hAnsi="仿宋" w:eastAsia="仿宋" w:cs="仿宋"/>
          <w:b/>
          <w:bCs/>
          <w:kern w:val="0"/>
          <w:sz w:val="30"/>
          <w:szCs w:val="30"/>
          <w:lang w:val="en-US" w:eastAsia="zh-CN" w:bidi="ar"/>
        </w:rPr>
        <w:t>采购日期：</w:t>
      </w:r>
      <w:r>
        <w:rPr>
          <w:rFonts w:hint="eastAsia" w:ascii="仿宋" w:hAnsi="仿宋" w:eastAsia="仿宋" w:cs="Calibri"/>
          <w:b/>
          <w:bCs/>
          <w:kern w:val="0"/>
          <w:sz w:val="30"/>
          <w:szCs w:val="30"/>
          <w:u w:val="single"/>
          <w:lang w:val="en-US" w:eastAsia="zh-CN" w:bidi="ar"/>
        </w:rPr>
        <w:t xml:space="preserve">                                       </w:t>
      </w:r>
    </w:p>
    <w:p w14:paraId="396C0D3B">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4116E96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both"/>
        <w:textAlignment w:val="auto"/>
        <w:rPr>
          <w:rFonts w:hint="eastAsia" w:ascii="仿宋" w:hAnsi="仿宋" w:eastAsia="仿宋" w:cs="Calibri"/>
          <w:b/>
          <w:bCs/>
          <w:kern w:val="0"/>
          <w:sz w:val="28"/>
          <w:szCs w:val="28"/>
        </w:rPr>
      </w:pPr>
      <w:r>
        <w:rPr>
          <w:rFonts w:hint="eastAsia" w:ascii="仿宋" w:hAnsi="仿宋" w:eastAsia="仿宋" w:cs="Calibri"/>
          <w:kern w:val="0"/>
          <w:sz w:val="28"/>
          <w:szCs w:val="28"/>
          <w:lang w:val="en-US" w:eastAsia="zh-CN" w:bidi="ar"/>
        </w:rPr>
        <w:br w:type="page"/>
      </w:r>
      <w:r>
        <w:rPr>
          <w:rFonts w:hint="eastAsia" w:ascii="仿宋" w:hAnsi="仿宋" w:eastAsia="仿宋" w:cs="仿宋"/>
          <w:b/>
          <w:bCs/>
          <w:kern w:val="0"/>
          <w:sz w:val="28"/>
          <w:szCs w:val="28"/>
          <w:lang w:val="en-US" w:eastAsia="zh-CN" w:bidi="ar"/>
        </w:rPr>
        <w:t>采</w:t>
      </w:r>
      <w:r>
        <w:rPr>
          <w:rFonts w:hint="eastAsia" w:ascii="仿宋" w:hAnsi="仿宋" w:eastAsia="仿宋" w:cs="Calibri"/>
          <w:b/>
          <w:bCs/>
          <w:kern w:val="0"/>
          <w:sz w:val="28"/>
          <w:szCs w:val="28"/>
          <w:lang w:val="en-US" w:eastAsia="zh-CN" w:bidi="ar"/>
        </w:rPr>
        <w:t xml:space="preserve"> </w:t>
      </w:r>
      <w:r>
        <w:rPr>
          <w:rFonts w:hint="eastAsia" w:ascii="仿宋" w:hAnsi="仿宋" w:eastAsia="仿宋" w:cs="仿宋"/>
          <w:b/>
          <w:bCs/>
          <w:kern w:val="0"/>
          <w:sz w:val="28"/>
          <w:szCs w:val="28"/>
          <w:lang w:val="en-US" w:eastAsia="zh-CN" w:bidi="ar"/>
        </w:rPr>
        <w:t>购</w:t>
      </w:r>
      <w:r>
        <w:rPr>
          <w:rFonts w:hint="eastAsia" w:ascii="仿宋" w:hAnsi="仿宋" w:eastAsia="仿宋" w:cs="Calibri"/>
          <w:b/>
          <w:bCs/>
          <w:kern w:val="0"/>
          <w:sz w:val="28"/>
          <w:szCs w:val="28"/>
          <w:lang w:val="en-US" w:eastAsia="zh-CN" w:bidi="ar"/>
        </w:rPr>
        <w:t xml:space="preserve"> </w:t>
      </w:r>
      <w:r>
        <w:rPr>
          <w:rFonts w:hint="eastAsia" w:ascii="仿宋" w:hAnsi="仿宋" w:eastAsia="仿宋" w:cs="仿宋"/>
          <w:b/>
          <w:bCs/>
          <w:kern w:val="0"/>
          <w:sz w:val="28"/>
          <w:szCs w:val="28"/>
          <w:lang w:val="en-US" w:eastAsia="zh-CN" w:bidi="ar"/>
        </w:rPr>
        <w:t>人（以下简称甲方）：</w:t>
      </w:r>
    </w:p>
    <w:p w14:paraId="7EA8186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both"/>
        <w:textAlignment w:val="auto"/>
        <w:rPr>
          <w:rFonts w:ascii="宋体" w:hAnsi="宋体" w:eastAsia="宋体" w:cs="宋体"/>
          <w:b/>
          <w:sz w:val="24"/>
        </w:rPr>
      </w:pPr>
      <w:r>
        <w:rPr>
          <w:rFonts w:hint="eastAsia" w:ascii="仿宋" w:hAnsi="仿宋" w:eastAsia="仿宋" w:cs="仿宋"/>
          <w:b/>
          <w:bCs/>
          <w:kern w:val="0"/>
          <w:sz w:val="28"/>
          <w:szCs w:val="28"/>
          <w:lang w:val="en-US" w:eastAsia="zh-CN" w:bidi="ar"/>
        </w:rPr>
        <w:t>供</w:t>
      </w:r>
      <w:r>
        <w:rPr>
          <w:rFonts w:hint="eastAsia" w:ascii="仿宋" w:hAnsi="仿宋" w:eastAsia="仿宋" w:cs="Calibri"/>
          <w:b/>
          <w:bCs/>
          <w:kern w:val="0"/>
          <w:sz w:val="28"/>
          <w:szCs w:val="28"/>
          <w:lang w:val="en-US" w:eastAsia="zh-CN" w:bidi="ar"/>
        </w:rPr>
        <w:t xml:space="preserve"> </w:t>
      </w:r>
      <w:r>
        <w:rPr>
          <w:rFonts w:hint="eastAsia" w:ascii="仿宋" w:hAnsi="仿宋" w:eastAsia="仿宋" w:cs="仿宋"/>
          <w:b/>
          <w:bCs/>
          <w:kern w:val="0"/>
          <w:sz w:val="28"/>
          <w:szCs w:val="28"/>
          <w:lang w:val="en-US" w:eastAsia="zh-CN" w:bidi="ar"/>
        </w:rPr>
        <w:t>应</w:t>
      </w:r>
      <w:r>
        <w:rPr>
          <w:rFonts w:hint="eastAsia" w:ascii="仿宋" w:hAnsi="仿宋" w:eastAsia="仿宋" w:cs="Calibri"/>
          <w:b/>
          <w:bCs/>
          <w:kern w:val="0"/>
          <w:sz w:val="28"/>
          <w:szCs w:val="28"/>
          <w:lang w:val="en-US" w:eastAsia="zh-CN" w:bidi="ar"/>
        </w:rPr>
        <w:t xml:space="preserve"> </w:t>
      </w:r>
      <w:r>
        <w:rPr>
          <w:rFonts w:hint="eastAsia" w:ascii="仿宋" w:hAnsi="仿宋" w:eastAsia="仿宋" w:cs="仿宋"/>
          <w:b/>
          <w:bCs/>
          <w:kern w:val="0"/>
          <w:sz w:val="28"/>
          <w:szCs w:val="28"/>
          <w:lang w:val="en-US" w:eastAsia="zh-CN" w:bidi="ar"/>
        </w:rPr>
        <w:t>商（以下简称乙方）：</w:t>
      </w:r>
    </w:p>
    <w:p w14:paraId="2A9A910A">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甲、乙双方</w:t>
      </w:r>
      <w:r>
        <w:rPr>
          <w:rFonts w:hint="eastAsia" w:ascii="宋体" w:hAnsi="宋体" w:eastAsia="宋体" w:cs="宋体"/>
          <w:sz w:val="24"/>
          <w:u w:val="single"/>
        </w:rPr>
        <w:t>根据</w:t>
      </w:r>
      <w:r>
        <w:rPr>
          <w:rFonts w:hint="eastAsia" w:ascii="宋体" w:hAnsi="宋体" w:eastAsia="宋体" w:cs="宋体"/>
          <w:sz w:val="24"/>
          <w:u w:val="single"/>
          <w:lang w:eastAsia="zh-CN"/>
        </w:rPr>
        <w:t>玉树市214国道沿线（新寨村至勒巴沟）生态环境综合整治项目</w:t>
      </w:r>
      <w:r>
        <w:rPr>
          <w:rFonts w:hint="eastAsia" w:ascii="宋体" w:hAnsi="宋体" w:eastAsia="宋体" w:cs="宋体"/>
          <w:sz w:val="24"/>
        </w:rPr>
        <w:t>（</w:t>
      </w:r>
      <w:r>
        <w:rPr>
          <w:rFonts w:hint="eastAsia" w:ascii="宋体" w:hAnsi="宋体" w:eastAsia="宋体" w:cs="宋体"/>
          <w:color w:val="auto"/>
          <w:sz w:val="24"/>
          <w:u w:val="single"/>
          <w:lang w:eastAsia="zh-CN"/>
        </w:rPr>
        <w:t>青海聚鑫竞谈（服务）2024-029</w:t>
      </w:r>
      <w:r>
        <w:rPr>
          <w:rFonts w:hint="eastAsia" w:ascii="宋体" w:hAnsi="宋体" w:eastAsia="宋体" w:cs="宋体"/>
          <w:sz w:val="24"/>
        </w:rPr>
        <w:t>）的磋商文件要求和采购机构出具的《中标通知书》，并经双方协商一致，签订本合同书。</w:t>
      </w:r>
    </w:p>
    <w:p w14:paraId="0C553B95">
      <w:pPr>
        <w:keepNext w:val="0"/>
        <w:keepLines w:val="0"/>
        <w:pageBreakBefore w:val="0"/>
        <w:widowControl w:val="0"/>
        <w:kinsoku/>
        <w:wordWrap/>
        <w:overflowPunct/>
        <w:topLinePunct w:val="0"/>
        <w:bidi w:val="0"/>
        <w:snapToGrid/>
        <w:spacing w:line="460" w:lineRule="exact"/>
        <w:textAlignment w:val="auto"/>
        <w:rPr>
          <w:rFonts w:ascii="宋体" w:hAnsi="宋体" w:eastAsia="宋体" w:cs="宋体"/>
          <w:b/>
          <w:sz w:val="24"/>
        </w:rPr>
      </w:pPr>
      <w:r>
        <w:rPr>
          <w:rFonts w:ascii="宋体" w:hAnsi="宋体" w:eastAsia="宋体" w:cs="宋体"/>
          <w:b/>
          <w:sz w:val="24"/>
        </w:rPr>
        <w:t>一</w:t>
      </w:r>
      <w:r>
        <w:rPr>
          <w:rFonts w:hint="eastAsia" w:ascii="宋体" w:hAnsi="宋体" w:eastAsia="宋体" w:cs="宋体"/>
          <w:b/>
          <w:sz w:val="24"/>
        </w:rPr>
        <w:t>、签订本政府采购合同的依据</w:t>
      </w:r>
    </w:p>
    <w:p w14:paraId="715BAF80">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本政府采购合同所附下列文件是构成本政府采购合同不可分割的部分：</w:t>
      </w:r>
    </w:p>
    <w:p w14:paraId="332E7020">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1．磋商文件；</w:t>
      </w:r>
    </w:p>
    <w:p w14:paraId="4D9B298D">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2．磋商文件的更正、变更公告；</w:t>
      </w:r>
    </w:p>
    <w:p w14:paraId="17419BDC">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3．中标磋商供应商提交的磋商响应文件；</w:t>
      </w:r>
    </w:p>
    <w:p w14:paraId="2427653C">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4．磋商文件中规定的政府采购合同通用条款；</w:t>
      </w:r>
    </w:p>
    <w:p w14:paraId="3CED449D">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中标通知书</w:t>
      </w:r>
      <w:r>
        <w:rPr>
          <w:rFonts w:hint="eastAsia" w:ascii="宋体" w:hAnsi="宋体" w:eastAsia="宋体" w:cs="宋体"/>
          <w:sz w:val="24"/>
        </w:rPr>
        <w:t>；</w:t>
      </w:r>
    </w:p>
    <w:p w14:paraId="39BC29C8">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6．</w:t>
      </w:r>
      <w:r>
        <w:rPr>
          <w:rFonts w:hint="eastAsia" w:ascii="宋体" w:hAnsi="宋体" w:eastAsia="宋体" w:cs="Times New Roman"/>
          <w:sz w:val="24"/>
        </w:rPr>
        <w:t>履约保证金缴纳证明</w:t>
      </w:r>
      <w:r>
        <w:rPr>
          <w:rFonts w:hint="eastAsia" w:ascii="宋体" w:hAnsi="宋体" w:eastAsia="宋体" w:cs="宋体"/>
          <w:sz w:val="24"/>
        </w:rPr>
        <w:t>。</w:t>
      </w:r>
    </w:p>
    <w:p w14:paraId="6C4401DC">
      <w:pPr>
        <w:keepNext w:val="0"/>
        <w:keepLines w:val="0"/>
        <w:pageBreakBefore w:val="0"/>
        <w:widowControl w:val="0"/>
        <w:kinsoku/>
        <w:wordWrap/>
        <w:overflowPunct/>
        <w:topLinePunct w:val="0"/>
        <w:bidi w:val="0"/>
        <w:snapToGrid/>
        <w:spacing w:line="460" w:lineRule="exact"/>
        <w:textAlignment w:val="auto"/>
        <w:rPr>
          <w:rFonts w:ascii="宋体" w:hAnsi="宋体" w:eastAsia="宋体" w:cs="Times New Roman"/>
          <w:b/>
          <w:sz w:val="24"/>
        </w:rPr>
      </w:pPr>
      <w:r>
        <w:rPr>
          <w:rFonts w:hint="eastAsia" w:ascii="宋体" w:hAnsi="宋体" w:eastAsia="宋体" w:cs="Times New Roman"/>
          <w:b/>
          <w:sz w:val="24"/>
        </w:rPr>
        <w:t xml:space="preserve">二、合同标的及金额                                          </w:t>
      </w:r>
      <w:r>
        <w:rPr>
          <w:rFonts w:hint="eastAsia" w:ascii="宋体" w:hAnsi="宋体" w:eastAsia="宋体" w:cs="Times New Roman"/>
          <w:sz w:val="24"/>
        </w:rPr>
        <w:t>单位：    元</w:t>
      </w:r>
    </w:p>
    <w:tbl>
      <w:tblPr>
        <w:tblStyle w:val="17"/>
        <w:tblW w:w="9517" w:type="dxa"/>
        <w:tblInd w:w="103" w:type="dxa"/>
        <w:tblLayout w:type="fixed"/>
        <w:tblCellMar>
          <w:top w:w="0" w:type="dxa"/>
          <w:left w:w="108" w:type="dxa"/>
          <w:bottom w:w="0" w:type="dxa"/>
          <w:right w:w="108" w:type="dxa"/>
        </w:tblCellMar>
      </w:tblPr>
      <w:tblGrid>
        <w:gridCol w:w="517"/>
        <w:gridCol w:w="2539"/>
        <w:gridCol w:w="1349"/>
        <w:gridCol w:w="728"/>
        <w:gridCol w:w="923"/>
        <w:gridCol w:w="763"/>
        <w:gridCol w:w="763"/>
        <w:gridCol w:w="763"/>
        <w:gridCol w:w="1172"/>
      </w:tblGrid>
      <w:tr w14:paraId="0C700244">
        <w:tblPrEx>
          <w:tblCellMar>
            <w:top w:w="0" w:type="dxa"/>
            <w:left w:w="108" w:type="dxa"/>
            <w:bottom w:w="0" w:type="dxa"/>
            <w:right w:w="108" w:type="dxa"/>
          </w:tblCellMar>
        </w:tblPrEx>
        <w:trPr>
          <w:trHeight w:val="1361" w:hRule="atLeast"/>
        </w:trPr>
        <w:tc>
          <w:tcPr>
            <w:tcW w:w="51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C22451">
            <w:pPr>
              <w:spacing w:line="360" w:lineRule="auto"/>
              <w:jc w:val="center"/>
              <w:rPr>
                <w:rFonts w:ascii="宋体" w:hAnsi="宋体" w:eastAsia="宋体" w:cs="Times New Roman"/>
                <w:sz w:val="24"/>
                <w:szCs w:val="21"/>
              </w:rPr>
            </w:pPr>
            <w:r>
              <w:rPr>
                <w:rFonts w:hint="eastAsia" w:ascii="宋体" w:hAnsi="宋体" w:eastAsia="宋体" w:cs="Times New Roman"/>
                <w:sz w:val="24"/>
                <w:szCs w:val="21"/>
              </w:rPr>
              <w:t>序号</w:t>
            </w:r>
          </w:p>
        </w:tc>
        <w:tc>
          <w:tcPr>
            <w:tcW w:w="2539" w:type="dxa"/>
            <w:tcBorders>
              <w:top w:val="single" w:color="auto" w:sz="4" w:space="0"/>
              <w:left w:val="nil"/>
              <w:bottom w:val="single" w:color="auto" w:sz="4" w:space="0"/>
              <w:right w:val="single" w:color="auto" w:sz="4" w:space="0"/>
            </w:tcBorders>
            <w:shd w:val="clear" w:color="auto" w:fill="FFFFFF"/>
            <w:noWrap/>
            <w:vAlign w:val="center"/>
          </w:tcPr>
          <w:p w14:paraId="1512108E">
            <w:pPr>
              <w:spacing w:line="360" w:lineRule="auto"/>
              <w:jc w:val="center"/>
              <w:rPr>
                <w:rFonts w:ascii="宋体" w:hAnsi="宋体" w:eastAsia="宋体" w:cs="Times New Roman"/>
                <w:sz w:val="24"/>
                <w:szCs w:val="21"/>
              </w:rPr>
            </w:pPr>
            <w:r>
              <w:rPr>
                <w:rFonts w:hint="eastAsia" w:ascii="宋体" w:hAnsi="宋体" w:eastAsia="宋体" w:cs="Times New Roman"/>
                <w:sz w:val="24"/>
                <w:szCs w:val="21"/>
              </w:rPr>
              <w:t>租赁工程机械名称</w:t>
            </w:r>
          </w:p>
        </w:tc>
        <w:tc>
          <w:tcPr>
            <w:tcW w:w="1349" w:type="dxa"/>
            <w:tcBorders>
              <w:top w:val="single" w:color="auto" w:sz="4" w:space="0"/>
              <w:left w:val="nil"/>
              <w:bottom w:val="single" w:color="auto" w:sz="4" w:space="0"/>
              <w:right w:val="single" w:color="auto" w:sz="4" w:space="0"/>
            </w:tcBorders>
            <w:shd w:val="clear" w:color="auto" w:fill="FFFFFF"/>
            <w:noWrap/>
            <w:vAlign w:val="center"/>
          </w:tcPr>
          <w:p w14:paraId="136A23D8">
            <w:pPr>
              <w:spacing w:line="360" w:lineRule="auto"/>
              <w:jc w:val="center"/>
              <w:rPr>
                <w:rFonts w:ascii="宋体" w:hAnsi="宋体" w:eastAsia="宋体" w:cs="Times New Roman"/>
                <w:sz w:val="24"/>
                <w:szCs w:val="21"/>
              </w:rPr>
            </w:pPr>
            <w:r>
              <w:rPr>
                <w:rFonts w:hint="eastAsia" w:ascii="宋体" w:hAnsi="宋体" w:eastAsia="宋体" w:cs="Times New Roman"/>
                <w:sz w:val="24"/>
                <w:szCs w:val="21"/>
              </w:rPr>
              <w:t>型号规格</w:t>
            </w:r>
          </w:p>
        </w:tc>
        <w:tc>
          <w:tcPr>
            <w:tcW w:w="728" w:type="dxa"/>
            <w:tcBorders>
              <w:top w:val="single" w:color="auto" w:sz="4" w:space="0"/>
              <w:left w:val="nil"/>
              <w:bottom w:val="single" w:color="auto" w:sz="4" w:space="0"/>
              <w:right w:val="single" w:color="auto" w:sz="4" w:space="0"/>
            </w:tcBorders>
            <w:shd w:val="clear" w:color="auto" w:fill="FFFFFF"/>
            <w:noWrap/>
            <w:vAlign w:val="center"/>
          </w:tcPr>
          <w:p w14:paraId="557FBBBB">
            <w:pPr>
              <w:spacing w:line="360" w:lineRule="auto"/>
              <w:jc w:val="center"/>
              <w:rPr>
                <w:rFonts w:ascii="宋体" w:hAnsi="宋体" w:eastAsia="宋体" w:cs="Times New Roman"/>
                <w:sz w:val="24"/>
                <w:szCs w:val="21"/>
              </w:rPr>
            </w:pPr>
            <w:r>
              <w:rPr>
                <w:rFonts w:hint="eastAsia" w:ascii="宋体" w:hAnsi="宋体" w:eastAsia="宋体" w:cs="Times New Roman"/>
                <w:sz w:val="24"/>
                <w:szCs w:val="21"/>
              </w:rPr>
              <w:t>数量</w:t>
            </w:r>
          </w:p>
        </w:tc>
        <w:tc>
          <w:tcPr>
            <w:tcW w:w="923" w:type="dxa"/>
            <w:tcBorders>
              <w:top w:val="single" w:color="auto" w:sz="4" w:space="0"/>
              <w:left w:val="nil"/>
              <w:bottom w:val="single" w:color="auto" w:sz="4" w:space="0"/>
              <w:right w:val="single" w:color="auto" w:sz="4" w:space="0"/>
            </w:tcBorders>
            <w:shd w:val="clear" w:color="auto" w:fill="FFFFFF"/>
            <w:noWrap/>
            <w:vAlign w:val="center"/>
          </w:tcPr>
          <w:p w14:paraId="3B579485">
            <w:pPr>
              <w:spacing w:line="360" w:lineRule="auto"/>
              <w:jc w:val="center"/>
              <w:rPr>
                <w:rFonts w:hint="eastAsia" w:ascii="宋体" w:hAnsi="宋体" w:eastAsia="宋体" w:cs="Times New Roman"/>
                <w:sz w:val="24"/>
                <w:szCs w:val="21"/>
              </w:rPr>
            </w:pPr>
            <w:r>
              <w:rPr>
                <w:rFonts w:hint="eastAsia" w:ascii="宋体" w:hAnsi="宋体" w:eastAsia="宋体" w:cs="Times New Roman"/>
                <w:sz w:val="24"/>
                <w:szCs w:val="21"/>
              </w:rPr>
              <w:t>单位</w:t>
            </w:r>
          </w:p>
        </w:tc>
        <w:tc>
          <w:tcPr>
            <w:tcW w:w="763" w:type="dxa"/>
            <w:tcBorders>
              <w:top w:val="single" w:color="auto" w:sz="4" w:space="0"/>
              <w:left w:val="nil"/>
              <w:bottom w:val="single" w:color="auto" w:sz="4" w:space="0"/>
              <w:right w:val="single" w:color="auto" w:sz="4" w:space="0"/>
            </w:tcBorders>
            <w:shd w:val="clear" w:color="auto" w:fill="FFFFFF"/>
            <w:noWrap/>
            <w:vAlign w:val="center"/>
          </w:tcPr>
          <w:p w14:paraId="7FCE8204">
            <w:pPr>
              <w:spacing w:line="360" w:lineRule="auto"/>
              <w:jc w:val="center"/>
              <w:rPr>
                <w:rFonts w:ascii="宋体" w:hAnsi="宋体" w:eastAsia="宋体" w:cs="Times New Roman"/>
                <w:sz w:val="24"/>
                <w:szCs w:val="21"/>
              </w:rPr>
            </w:pPr>
            <w:r>
              <w:rPr>
                <w:rFonts w:hint="eastAsia" w:ascii="宋体" w:hAnsi="宋体" w:eastAsia="宋体" w:cs="Times New Roman"/>
                <w:sz w:val="24"/>
                <w:szCs w:val="21"/>
              </w:rPr>
              <w:t>单价</w:t>
            </w:r>
          </w:p>
        </w:tc>
        <w:tc>
          <w:tcPr>
            <w:tcW w:w="763" w:type="dxa"/>
            <w:tcBorders>
              <w:top w:val="single" w:color="auto" w:sz="4" w:space="0"/>
              <w:left w:val="nil"/>
              <w:bottom w:val="single" w:color="auto" w:sz="4" w:space="0"/>
              <w:right w:val="single" w:color="auto" w:sz="4" w:space="0"/>
            </w:tcBorders>
            <w:shd w:val="clear" w:color="auto" w:fill="FFFFFF"/>
            <w:noWrap/>
            <w:vAlign w:val="center"/>
          </w:tcPr>
          <w:p w14:paraId="32297CA6">
            <w:pPr>
              <w:spacing w:line="360" w:lineRule="auto"/>
              <w:jc w:val="center"/>
              <w:rPr>
                <w:rFonts w:ascii="宋体" w:hAnsi="宋体" w:eastAsia="宋体" w:cs="Times New Roman"/>
                <w:sz w:val="24"/>
                <w:szCs w:val="21"/>
              </w:rPr>
            </w:pPr>
            <w:r>
              <w:rPr>
                <w:rFonts w:hint="eastAsia" w:ascii="宋体" w:hAnsi="宋体" w:eastAsia="宋体" w:cs="Times New Roman"/>
                <w:sz w:val="24"/>
                <w:szCs w:val="21"/>
              </w:rPr>
              <w:t>进出场费用</w:t>
            </w:r>
          </w:p>
        </w:tc>
        <w:tc>
          <w:tcPr>
            <w:tcW w:w="763" w:type="dxa"/>
            <w:tcBorders>
              <w:top w:val="single" w:color="auto" w:sz="4" w:space="0"/>
              <w:left w:val="nil"/>
              <w:bottom w:val="single" w:color="auto" w:sz="4" w:space="0"/>
              <w:right w:val="single" w:color="auto" w:sz="4" w:space="0"/>
            </w:tcBorders>
            <w:shd w:val="clear" w:color="auto" w:fill="FFFFFF"/>
            <w:noWrap/>
            <w:vAlign w:val="center"/>
          </w:tcPr>
          <w:p w14:paraId="7F5F6089">
            <w:pPr>
              <w:spacing w:line="360" w:lineRule="auto"/>
              <w:jc w:val="center"/>
              <w:rPr>
                <w:rFonts w:ascii="宋体" w:hAnsi="宋体" w:eastAsia="宋体" w:cs="Times New Roman"/>
                <w:sz w:val="24"/>
                <w:szCs w:val="21"/>
              </w:rPr>
            </w:pPr>
            <w:r>
              <w:rPr>
                <w:rFonts w:hint="eastAsia" w:ascii="宋体" w:hAnsi="宋体" w:eastAsia="宋体" w:cs="Times New Roman"/>
                <w:sz w:val="24"/>
                <w:szCs w:val="21"/>
              </w:rPr>
              <w:t>总价</w:t>
            </w:r>
          </w:p>
        </w:tc>
        <w:tc>
          <w:tcPr>
            <w:tcW w:w="1172" w:type="dxa"/>
            <w:tcBorders>
              <w:top w:val="single" w:color="auto" w:sz="4" w:space="0"/>
              <w:left w:val="nil"/>
              <w:bottom w:val="single" w:color="auto" w:sz="4" w:space="0"/>
              <w:right w:val="single" w:color="auto" w:sz="4" w:space="0"/>
            </w:tcBorders>
            <w:shd w:val="clear" w:color="auto" w:fill="FFFFFF"/>
            <w:noWrap/>
            <w:vAlign w:val="center"/>
          </w:tcPr>
          <w:p w14:paraId="6EDB09E9">
            <w:pPr>
              <w:spacing w:line="360" w:lineRule="auto"/>
              <w:jc w:val="center"/>
              <w:rPr>
                <w:rFonts w:ascii="宋体" w:hAnsi="宋体" w:eastAsia="宋体" w:cs="Times New Roman"/>
                <w:sz w:val="24"/>
                <w:szCs w:val="21"/>
              </w:rPr>
            </w:pPr>
            <w:r>
              <w:rPr>
                <w:rFonts w:hint="eastAsia" w:ascii="宋体" w:hAnsi="宋体" w:eastAsia="宋体" w:cs="Times New Roman"/>
                <w:sz w:val="24"/>
                <w:szCs w:val="21"/>
              </w:rPr>
              <w:t>备注</w:t>
            </w:r>
          </w:p>
        </w:tc>
      </w:tr>
      <w:tr w14:paraId="5860DEF4">
        <w:tblPrEx>
          <w:tblCellMar>
            <w:top w:w="0" w:type="dxa"/>
            <w:left w:w="108" w:type="dxa"/>
            <w:bottom w:w="0" w:type="dxa"/>
            <w:right w:w="108" w:type="dxa"/>
          </w:tblCellMar>
        </w:tblPrEx>
        <w:trPr>
          <w:trHeight w:val="559" w:hRule="atLeast"/>
        </w:trPr>
        <w:tc>
          <w:tcPr>
            <w:tcW w:w="517" w:type="dxa"/>
            <w:tcBorders>
              <w:top w:val="nil"/>
              <w:left w:val="single" w:color="auto" w:sz="4" w:space="0"/>
              <w:bottom w:val="single" w:color="auto" w:sz="4" w:space="0"/>
              <w:right w:val="single" w:color="auto" w:sz="4" w:space="0"/>
            </w:tcBorders>
            <w:shd w:val="clear" w:color="auto" w:fill="FFFFFF"/>
            <w:noWrap/>
            <w:vAlign w:val="center"/>
          </w:tcPr>
          <w:p w14:paraId="683D8C9F">
            <w:pPr>
              <w:spacing w:line="360" w:lineRule="auto"/>
              <w:jc w:val="center"/>
              <w:rPr>
                <w:rFonts w:ascii="宋体" w:hAnsi="宋体" w:eastAsia="宋体" w:cs="Times New Roman"/>
                <w:sz w:val="24"/>
                <w:szCs w:val="21"/>
              </w:rPr>
            </w:pPr>
            <w:r>
              <w:rPr>
                <w:rFonts w:hint="eastAsia" w:ascii="宋体" w:hAnsi="宋体" w:eastAsia="宋体" w:cs="Times New Roman"/>
                <w:sz w:val="24"/>
                <w:szCs w:val="21"/>
              </w:rPr>
              <w:t>1</w:t>
            </w:r>
          </w:p>
        </w:tc>
        <w:tc>
          <w:tcPr>
            <w:tcW w:w="2539" w:type="dxa"/>
            <w:tcBorders>
              <w:top w:val="nil"/>
              <w:left w:val="nil"/>
              <w:bottom w:val="single" w:color="auto" w:sz="4" w:space="0"/>
              <w:right w:val="single" w:color="auto" w:sz="4" w:space="0"/>
            </w:tcBorders>
            <w:shd w:val="clear" w:color="auto" w:fill="FFFFFF"/>
            <w:noWrap/>
            <w:vAlign w:val="center"/>
          </w:tcPr>
          <w:p w14:paraId="7EE170D4">
            <w:pPr>
              <w:spacing w:line="360" w:lineRule="auto"/>
              <w:jc w:val="center"/>
              <w:rPr>
                <w:rFonts w:ascii="宋体" w:hAnsi="宋体" w:eastAsia="宋体" w:cs="Times New Roman"/>
                <w:sz w:val="24"/>
                <w:szCs w:val="21"/>
              </w:rPr>
            </w:pPr>
          </w:p>
        </w:tc>
        <w:tc>
          <w:tcPr>
            <w:tcW w:w="1349" w:type="dxa"/>
            <w:tcBorders>
              <w:top w:val="nil"/>
              <w:left w:val="nil"/>
              <w:bottom w:val="single" w:color="auto" w:sz="4" w:space="0"/>
              <w:right w:val="single" w:color="auto" w:sz="4" w:space="0"/>
            </w:tcBorders>
            <w:shd w:val="clear" w:color="auto" w:fill="FFFFFF"/>
            <w:noWrap/>
            <w:vAlign w:val="center"/>
          </w:tcPr>
          <w:p w14:paraId="2D5404EE">
            <w:pPr>
              <w:spacing w:line="360" w:lineRule="auto"/>
              <w:jc w:val="center"/>
              <w:rPr>
                <w:rFonts w:ascii="宋体" w:hAnsi="宋体" w:eastAsia="宋体" w:cs="Times New Roman"/>
                <w:sz w:val="24"/>
                <w:szCs w:val="21"/>
              </w:rPr>
            </w:pPr>
          </w:p>
        </w:tc>
        <w:tc>
          <w:tcPr>
            <w:tcW w:w="728" w:type="dxa"/>
            <w:tcBorders>
              <w:top w:val="nil"/>
              <w:left w:val="nil"/>
              <w:bottom w:val="single" w:color="auto" w:sz="4" w:space="0"/>
              <w:right w:val="single" w:color="auto" w:sz="4" w:space="0"/>
            </w:tcBorders>
            <w:shd w:val="clear" w:color="auto" w:fill="FFFFFF"/>
            <w:noWrap/>
            <w:vAlign w:val="center"/>
          </w:tcPr>
          <w:p w14:paraId="78ED55F9">
            <w:pPr>
              <w:spacing w:line="360" w:lineRule="auto"/>
              <w:jc w:val="center"/>
              <w:rPr>
                <w:rFonts w:ascii="宋体" w:hAnsi="宋体" w:eastAsia="宋体" w:cs="Times New Roman"/>
                <w:sz w:val="24"/>
                <w:szCs w:val="21"/>
              </w:rPr>
            </w:pPr>
          </w:p>
        </w:tc>
        <w:tc>
          <w:tcPr>
            <w:tcW w:w="923" w:type="dxa"/>
            <w:tcBorders>
              <w:top w:val="nil"/>
              <w:left w:val="nil"/>
              <w:bottom w:val="single" w:color="auto" w:sz="4" w:space="0"/>
              <w:right w:val="single" w:color="auto" w:sz="4" w:space="0"/>
            </w:tcBorders>
            <w:shd w:val="clear" w:color="auto" w:fill="FFFFFF"/>
            <w:noWrap/>
            <w:vAlign w:val="center"/>
          </w:tcPr>
          <w:p w14:paraId="457D356E">
            <w:pPr>
              <w:spacing w:line="360" w:lineRule="auto"/>
              <w:jc w:val="center"/>
              <w:rPr>
                <w:rFonts w:ascii="宋体" w:hAnsi="宋体" w:eastAsia="宋体" w:cs="Times New Roman"/>
                <w:sz w:val="24"/>
                <w:szCs w:val="21"/>
              </w:rPr>
            </w:pPr>
          </w:p>
        </w:tc>
        <w:tc>
          <w:tcPr>
            <w:tcW w:w="763" w:type="dxa"/>
            <w:tcBorders>
              <w:top w:val="nil"/>
              <w:left w:val="nil"/>
              <w:bottom w:val="single" w:color="auto" w:sz="4" w:space="0"/>
              <w:right w:val="single" w:color="auto" w:sz="4" w:space="0"/>
            </w:tcBorders>
            <w:shd w:val="clear" w:color="auto" w:fill="FFFFFF"/>
            <w:noWrap/>
            <w:vAlign w:val="center"/>
          </w:tcPr>
          <w:p w14:paraId="4C1FD7F6">
            <w:pPr>
              <w:spacing w:line="360" w:lineRule="auto"/>
              <w:jc w:val="center"/>
              <w:rPr>
                <w:rFonts w:ascii="宋体" w:hAnsi="宋体" w:eastAsia="宋体" w:cs="Times New Roman"/>
                <w:sz w:val="24"/>
                <w:szCs w:val="21"/>
              </w:rPr>
            </w:pPr>
          </w:p>
        </w:tc>
        <w:tc>
          <w:tcPr>
            <w:tcW w:w="763" w:type="dxa"/>
            <w:tcBorders>
              <w:top w:val="nil"/>
              <w:left w:val="nil"/>
              <w:bottom w:val="single" w:color="auto" w:sz="4" w:space="0"/>
              <w:right w:val="single" w:color="auto" w:sz="4" w:space="0"/>
            </w:tcBorders>
            <w:shd w:val="clear" w:color="auto" w:fill="FFFFFF"/>
            <w:noWrap/>
            <w:vAlign w:val="center"/>
          </w:tcPr>
          <w:p w14:paraId="21B1C115">
            <w:pPr>
              <w:spacing w:line="360" w:lineRule="auto"/>
              <w:jc w:val="center"/>
              <w:rPr>
                <w:rFonts w:ascii="宋体" w:hAnsi="宋体" w:eastAsia="宋体" w:cs="Times New Roman"/>
                <w:sz w:val="24"/>
                <w:szCs w:val="21"/>
              </w:rPr>
            </w:pPr>
          </w:p>
        </w:tc>
        <w:tc>
          <w:tcPr>
            <w:tcW w:w="763" w:type="dxa"/>
            <w:tcBorders>
              <w:top w:val="nil"/>
              <w:left w:val="single" w:color="auto" w:sz="4" w:space="0"/>
              <w:bottom w:val="single" w:color="auto" w:sz="4" w:space="0"/>
              <w:right w:val="nil"/>
            </w:tcBorders>
            <w:shd w:val="clear" w:color="auto" w:fill="FFFFFF"/>
            <w:noWrap/>
            <w:vAlign w:val="center"/>
          </w:tcPr>
          <w:p w14:paraId="63B5D678">
            <w:pPr>
              <w:spacing w:line="360" w:lineRule="auto"/>
              <w:jc w:val="center"/>
              <w:rPr>
                <w:rFonts w:ascii="宋体" w:hAnsi="宋体" w:eastAsia="宋体" w:cs="Times New Roman"/>
                <w:sz w:val="24"/>
                <w:szCs w:val="21"/>
              </w:rPr>
            </w:pPr>
          </w:p>
        </w:tc>
        <w:tc>
          <w:tcPr>
            <w:tcW w:w="1172" w:type="dxa"/>
            <w:tcBorders>
              <w:top w:val="nil"/>
              <w:left w:val="single" w:color="auto" w:sz="4" w:space="0"/>
              <w:bottom w:val="single" w:color="auto" w:sz="4" w:space="0"/>
              <w:right w:val="single" w:color="auto" w:sz="4" w:space="0"/>
            </w:tcBorders>
            <w:shd w:val="clear" w:color="auto" w:fill="FFFFFF"/>
            <w:noWrap/>
            <w:vAlign w:val="center"/>
          </w:tcPr>
          <w:p w14:paraId="2AB82781">
            <w:pPr>
              <w:spacing w:line="360" w:lineRule="auto"/>
              <w:jc w:val="center"/>
              <w:rPr>
                <w:rFonts w:ascii="宋体" w:hAnsi="宋体" w:eastAsia="宋体" w:cs="Times New Roman"/>
                <w:sz w:val="24"/>
                <w:szCs w:val="21"/>
              </w:rPr>
            </w:pPr>
          </w:p>
        </w:tc>
      </w:tr>
      <w:tr w14:paraId="69ED4567">
        <w:tblPrEx>
          <w:tblCellMar>
            <w:top w:w="0" w:type="dxa"/>
            <w:left w:w="108" w:type="dxa"/>
            <w:bottom w:w="0" w:type="dxa"/>
            <w:right w:w="108" w:type="dxa"/>
          </w:tblCellMar>
        </w:tblPrEx>
        <w:trPr>
          <w:trHeight w:val="688" w:hRule="atLeast"/>
        </w:trPr>
        <w:tc>
          <w:tcPr>
            <w:tcW w:w="517" w:type="dxa"/>
            <w:tcBorders>
              <w:top w:val="nil"/>
              <w:left w:val="single" w:color="auto" w:sz="4" w:space="0"/>
              <w:bottom w:val="single" w:color="auto" w:sz="4" w:space="0"/>
              <w:right w:val="single" w:color="auto" w:sz="4" w:space="0"/>
            </w:tcBorders>
            <w:shd w:val="clear" w:color="auto" w:fill="FFFFFF"/>
            <w:noWrap/>
            <w:vAlign w:val="center"/>
          </w:tcPr>
          <w:p w14:paraId="6D283DBC">
            <w:pPr>
              <w:spacing w:line="360" w:lineRule="auto"/>
              <w:jc w:val="center"/>
              <w:rPr>
                <w:rFonts w:ascii="宋体" w:hAnsi="宋体" w:eastAsia="宋体" w:cs="Times New Roman"/>
                <w:sz w:val="24"/>
                <w:szCs w:val="21"/>
              </w:rPr>
            </w:pPr>
            <w:r>
              <w:rPr>
                <w:rFonts w:hint="eastAsia" w:ascii="宋体" w:hAnsi="宋体" w:eastAsia="宋体" w:cs="Times New Roman"/>
                <w:sz w:val="24"/>
                <w:szCs w:val="21"/>
              </w:rPr>
              <w:t>2</w:t>
            </w:r>
          </w:p>
        </w:tc>
        <w:tc>
          <w:tcPr>
            <w:tcW w:w="2539" w:type="dxa"/>
            <w:tcBorders>
              <w:top w:val="nil"/>
              <w:left w:val="nil"/>
              <w:bottom w:val="single" w:color="auto" w:sz="4" w:space="0"/>
              <w:right w:val="single" w:color="auto" w:sz="4" w:space="0"/>
            </w:tcBorders>
            <w:shd w:val="clear" w:color="auto" w:fill="FFFFFF"/>
            <w:noWrap/>
            <w:vAlign w:val="center"/>
          </w:tcPr>
          <w:p w14:paraId="5928D6A7">
            <w:pPr>
              <w:spacing w:line="360" w:lineRule="auto"/>
              <w:jc w:val="center"/>
              <w:rPr>
                <w:rFonts w:ascii="宋体" w:hAnsi="宋体" w:eastAsia="宋体" w:cs="Times New Roman"/>
                <w:sz w:val="24"/>
                <w:szCs w:val="21"/>
              </w:rPr>
            </w:pPr>
          </w:p>
        </w:tc>
        <w:tc>
          <w:tcPr>
            <w:tcW w:w="1349" w:type="dxa"/>
            <w:tcBorders>
              <w:top w:val="nil"/>
              <w:left w:val="nil"/>
              <w:bottom w:val="single" w:color="auto" w:sz="4" w:space="0"/>
              <w:right w:val="single" w:color="auto" w:sz="4" w:space="0"/>
            </w:tcBorders>
            <w:shd w:val="clear" w:color="auto" w:fill="FFFFFF"/>
            <w:noWrap/>
            <w:vAlign w:val="center"/>
          </w:tcPr>
          <w:p w14:paraId="5C3B5489">
            <w:pPr>
              <w:spacing w:line="360" w:lineRule="auto"/>
              <w:jc w:val="center"/>
              <w:rPr>
                <w:rFonts w:ascii="宋体" w:hAnsi="宋体" w:eastAsia="宋体" w:cs="Times New Roman"/>
                <w:sz w:val="24"/>
                <w:szCs w:val="21"/>
              </w:rPr>
            </w:pPr>
          </w:p>
        </w:tc>
        <w:tc>
          <w:tcPr>
            <w:tcW w:w="728" w:type="dxa"/>
            <w:tcBorders>
              <w:top w:val="single" w:color="auto" w:sz="4" w:space="0"/>
              <w:left w:val="nil"/>
              <w:bottom w:val="single" w:color="auto" w:sz="4" w:space="0"/>
              <w:right w:val="single" w:color="auto" w:sz="4" w:space="0"/>
            </w:tcBorders>
            <w:shd w:val="clear" w:color="auto" w:fill="FFFFFF"/>
            <w:noWrap/>
            <w:vAlign w:val="center"/>
          </w:tcPr>
          <w:p w14:paraId="5F246D06">
            <w:pPr>
              <w:spacing w:line="360" w:lineRule="auto"/>
              <w:jc w:val="center"/>
              <w:rPr>
                <w:rFonts w:ascii="宋体" w:hAnsi="宋体" w:eastAsia="宋体" w:cs="Times New Roman"/>
                <w:sz w:val="24"/>
                <w:szCs w:val="21"/>
              </w:rPr>
            </w:pPr>
          </w:p>
        </w:tc>
        <w:tc>
          <w:tcPr>
            <w:tcW w:w="923" w:type="dxa"/>
            <w:tcBorders>
              <w:top w:val="nil"/>
              <w:left w:val="nil"/>
              <w:bottom w:val="single" w:color="auto" w:sz="4" w:space="0"/>
              <w:right w:val="single" w:color="auto" w:sz="4" w:space="0"/>
            </w:tcBorders>
            <w:shd w:val="clear" w:color="auto" w:fill="FFFFFF"/>
            <w:noWrap/>
            <w:vAlign w:val="center"/>
          </w:tcPr>
          <w:p w14:paraId="65856E35">
            <w:pPr>
              <w:spacing w:line="360" w:lineRule="auto"/>
              <w:jc w:val="center"/>
              <w:rPr>
                <w:rFonts w:ascii="宋体" w:hAnsi="宋体" w:eastAsia="宋体" w:cs="Times New Roman"/>
                <w:sz w:val="24"/>
                <w:szCs w:val="21"/>
              </w:rPr>
            </w:pPr>
          </w:p>
        </w:tc>
        <w:tc>
          <w:tcPr>
            <w:tcW w:w="763" w:type="dxa"/>
            <w:tcBorders>
              <w:top w:val="nil"/>
              <w:left w:val="nil"/>
              <w:bottom w:val="single" w:color="auto" w:sz="4" w:space="0"/>
              <w:right w:val="single" w:color="auto" w:sz="4" w:space="0"/>
            </w:tcBorders>
            <w:shd w:val="clear" w:color="auto" w:fill="FFFFFF"/>
            <w:noWrap/>
            <w:vAlign w:val="center"/>
          </w:tcPr>
          <w:p w14:paraId="58971ACE">
            <w:pPr>
              <w:spacing w:line="360" w:lineRule="auto"/>
              <w:jc w:val="center"/>
              <w:rPr>
                <w:rFonts w:ascii="宋体" w:hAnsi="宋体" w:eastAsia="宋体" w:cs="Times New Roman"/>
                <w:sz w:val="24"/>
                <w:szCs w:val="21"/>
              </w:rPr>
            </w:pPr>
          </w:p>
        </w:tc>
        <w:tc>
          <w:tcPr>
            <w:tcW w:w="763" w:type="dxa"/>
            <w:tcBorders>
              <w:top w:val="nil"/>
              <w:left w:val="nil"/>
              <w:bottom w:val="single" w:color="auto" w:sz="4" w:space="0"/>
              <w:right w:val="single" w:color="auto" w:sz="4" w:space="0"/>
            </w:tcBorders>
            <w:shd w:val="clear" w:color="auto" w:fill="FFFFFF"/>
            <w:noWrap/>
            <w:vAlign w:val="center"/>
          </w:tcPr>
          <w:p w14:paraId="7760F2C4">
            <w:pPr>
              <w:spacing w:line="360" w:lineRule="auto"/>
              <w:jc w:val="center"/>
              <w:rPr>
                <w:rFonts w:ascii="宋体" w:hAnsi="宋体" w:eastAsia="宋体" w:cs="Times New Roman"/>
                <w:sz w:val="24"/>
                <w:szCs w:val="21"/>
              </w:rPr>
            </w:pPr>
          </w:p>
        </w:tc>
        <w:tc>
          <w:tcPr>
            <w:tcW w:w="763" w:type="dxa"/>
            <w:tcBorders>
              <w:top w:val="nil"/>
              <w:left w:val="single" w:color="auto" w:sz="4" w:space="0"/>
              <w:bottom w:val="single" w:color="auto" w:sz="4" w:space="0"/>
              <w:right w:val="nil"/>
            </w:tcBorders>
            <w:shd w:val="clear" w:color="auto" w:fill="FFFFFF"/>
            <w:noWrap/>
            <w:vAlign w:val="center"/>
          </w:tcPr>
          <w:p w14:paraId="1C7B1A02">
            <w:pPr>
              <w:spacing w:line="360" w:lineRule="auto"/>
              <w:jc w:val="center"/>
              <w:rPr>
                <w:rFonts w:ascii="宋体" w:hAnsi="宋体" w:eastAsia="宋体" w:cs="Times New Roman"/>
                <w:sz w:val="24"/>
                <w:szCs w:val="21"/>
              </w:rPr>
            </w:pPr>
          </w:p>
        </w:tc>
        <w:tc>
          <w:tcPr>
            <w:tcW w:w="1172" w:type="dxa"/>
            <w:tcBorders>
              <w:top w:val="nil"/>
              <w:left w:val="single" w:color="auto" w:sz="4" w:space="0"/>
              <w:bottom w:val="single" w:color="auto" w:sz="4" w:space="0"/>
              <w:right w:val="single" w:color="auto" w:sz="4" w:space="0"/>
            </w:tcBorders>
            <w:shd w:val="clear" w:color="auto" w:fill="FFFFFF"/>
            <w:noWrap/>
            <w:vAlign w:val="center"/>
          </w:tcPr>
          <w:p w14:paraId="4773E5C3">
            <w:pPr>
              <w:spacing w:line="360" w:lineRule="auto"/>
              <w:jc w:val="center"/>
              <w:rPr>
                <w:rFonts w:ascii="宋体" w:hAnsi="宋体" w:eastAsia="宋体" w:cs="Times New Roman"/>
                <w:sz w:val="24"/>
                <w:szCs w:val="21"/>
              </w:rPr>
            </w:pPr>
          </w:p>
        </w:tc>
      </w:tr>
      <w:tr w14:paraId="40161114">
        <w:tblPrEx>
          <w:tblCellMar>
            <w:top w:w="0" w:type="dxa"/>
            <w:left w:w="108" w:type="dxa"/>
            <w:bottom w:w="0" w:type="dxa"/>
            <w:right w:w="108" w:type="dxa"/>
          </w:tblCellMar>
        </w:tblPrEx>
        <w:trPr>
          <w:trHeight w:val="717" w:hRule="atLeast"/>
        </w:trPr>
        <w:tc>
          <w:tcPr>
            <w:tcW w:w="51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52714F">
            <w:pPr>
              <w:spacing w:line="360" w:lineRule="auto"/>
              <w:jc w:val="center"/>
              <w:rPr>
                <w:rFonts w:ascii="宋体" w:hAnsi="宋体" w:eastAsia="宋体" w:cs="Times New Roman"/>
                <w:sz w:val="24"/>
                <w:szCs w:val="21"/>
              </w:rPr>
            </w:pPr>
            <w:r>
              <w:rPr>
                <w:rFonts w:hint="eastAsia" w:ascii="宋体" w:hAnsi="宋体" w:eastAsia="宋体" w:cs="Times New Roman"/>
                <w:sz w:val="24"/>
                <w:szCs w:val="21"/>
              </w:rPr>
              <w:t>…</w:t>
            </w:r>
          </w:p>
        </w:tc>
        <w:tc>
          <w:tcPr>
            <w:tcW w:w="2539" w:type="dxa"/>
            <w:tcBorders>
              <w:top w:val="single" w:color="auto" w:sz="4" w:space="0"/>
              <w:left w:val="nil"/>
              <w:bottom w:val="single" w:color="auto" w:sz="4" w:space="0"/>
              <w:right w:val="single" w:color="auto" w:sz="4" w:space="0"/>
            </w:tcBorders>
            <w:shd w:val="clear" w:color="auto" w:fill="FFFFFF"/>
            <w:noWrap/>
            <w:vAlign w:val="center"/>
          </w:tcPr>
          <w:p w14:paraId="0608E50D">
            <w:pPr>
              <w:spacing w:line="360" w:lineRule="auto"/>
              <w:jc w:val="center"/>
              <w:rPr>
                <w:rFonts w:ascii="宋体" w:hAnsi="宋体" w:eastAsia="宋体" w:cs="Times New Roman"/>
                <w:sz w:val="24"/>
                <w:szCs w:val="21"/>
              </w:rPr>
            </w:pPr>
          </w:p>
        </w:tc>
        <w:tc>
          <w:tcPr>
            <w:tcW w:w="1349" w:type="dxa"/>
            <w:tcBorders>
              <w:top w:val="single" w:color="auto" w:sz="4" w:space="0"/>
              <w:left w:val="nil"/>
              <w:bottom w:val="single" w:color="auto" w:sz="4" w:space="0"/>
              <w:right w:val="single" w:color="auto" w:sz="4" w:space="0"/>
            </w:tcBorders>
            <w:shd w:val="clear" w:color="auto" w:fill="FFFFFF"/>
            <w:noWrap/>
            <w:vAlign w:val="center"/>
          </w:tcPr>
          <w:p w14:paraId="7BB781B4">
            <w:pPr>
              <w:spacing w:line="360" w:lineRule="auto"/>
              <w:jc w:val="center"/>
              <w:rPr>
                <w:rFonts w:ascii="宋体" w:hAnsi="宋体" w:eastAsia="宋体" w:cs="Times New Roman"/>
                <w:sz w:val="24"/>
                <w:szCs w:val="21"/>
              </w:rPr>
            </w:pPr>
          </w:p>
        </w:tc>
        <w:tc>
          <w:tcPr>
            <w:tcW w:w="728" w:type="dxa"/>
            <w:tcBorders>
              <w:top w:val="single" w:color="auto" w:sz="4" w:space="0"/>
              <w:left w:val="nil"/>
              <w:bottom w:val="single" w:color="auto" w:sz="4" w:space="0"/>
              <w:right w:val="single" w:color="auto" w:sz="4" w:space="0"/>
            </w:tcBorders>
            <w:shd w:val="clear" w:color="auto" w:fill="FFFFFF"/>
            <w:noWrap/>
            <w:vAlign w:val="center"/>
          </w:tcPr>
          <w:p w14:paraId="0717315E">
            <w:pPr>
              <w:spacing w:line="360" w:lineRule="auto"/>
              <w:jc w:val="center"/>
              <w:rPr>
                <w:rFonts w:ascii="宋体" w:hAnsi="宋体" w:eastAsia="宋体" w:cs="Times New Roman"/>
                <w:sz w:val="24"/>
                <w:szCs w:val="21"/>
              </w:rPr>
            </w:pPr>
          </w:p>
        </w:tc>
        <w:tc>
          <w:tcPr>
            <w:tcW w:w="923" w:type="dxa"/>
            <w:tcBorders>
              <w:top w:val="single" w:color="auto" w:sz="4" w:space="0"/>
              <w:left w:val="nil"/>
              <w:bottom w:val="single" w:color="auto" w:sz="4" w:space="0"/>
              <w:right w:val="single" w:color="auto" w:sz="4" w:space="0"/>
            </w:tcBorders>
            <w:shd w:val="clear" w:color="auto" w:fill="FFFFFF"/>
            <w:noWrap/>
            <w:vAlign w:val="center"/>
          </w:tcPr>
          <w:p w14:paraId="51FB5512">
            <w:pPr>
              <w:spacing w:line="360" w:lineRule="auto"/>
              <w:jc w:val="center"/>
              <w:rPr>
                <w:rFonts w:ascii="宋体" w:hAnsi="宋体" w:eastAsia="宋体" w:cs="Times New Roman"/>
                <w:sz w:val="24"/>
                <w:szCs w:val="21"/>
              </w:rPr>
            </w:pPr>
          </w:p>
        </w:tc>
        <w:tc>
          <w:tcPr>
            <w:tcW w:w="763" w:type="dxa"/>
            <w:tcBorders>
              <w:top w:val="single" w:color="auto" w:sz="4" w:space="0"/>
              <w:left w:val="nil"/>
              <w:bottom w:val="single" w:color="auto" w:sz="4" w:space="0"/>
              <w:right w:val="single" w:color="auto" w:sz="4" w:space="0"/>
            </w:tcBorders>
            <w:shd w:val="clear" w:color="auto" w:fill="FFFFFF"/>
            <w:noWrap/>
            <w:vAlign w:val="center"/>
          </w:tcPr>
          <w:p w14:paraId="51CB4C59">
            <w:pPr>
              <w:spacing w:line="360" w:lineRule="auto"/>
              <w:jc w:val="center"/>
              <w:rPr>
                <w:rFonts w:ascii="宋体" w:hAnsi="宋体" w:eastAsia="宋体" w:cs="Times New Roman"/>
                <w:sz w:val="24"/>
                <w:szCs w:val="21"/>
              </w:rPr>
            </w:pPr>
          </w:p>
        </w:tc>
        <w:tc>
          <w:tcPr>
            <w:tcW w:w="763" w:type="dxa"/>
            <w:tcBorders>
              <w:top w:val="single" w:color="auto" w:sz="4" w:space="0"/>
              <w:left w:val="nil"/>
              <w:bottom w:val="single" w:color="auto" w:sz="4" w:space="0"/>
              <w:right w:val="single" w:color="auto" w:sz="4" w:space="0"/>
            </w:tcBorders>
            <w:shd w:val="clear" w:color="auto" w:fill="FFFFFF"/>
            <w:noWrap/>
            <w:vAlign w:val="center"/>
          </w:tcPr>
          <w:p w14:paraId="4064F62B">
            <w:pPr>
              <w:spacing w:line="360" w:lineRule="auto"/>
              <w:jc w:val="center"/>
              <w:rPr>
                <w:rFonts w:ascii="宋体" w:hAnsi="宋体" w:eastAsia="宋体" w:cs="Times New Roman"/>
                <w:sz w:val="24"/>
                <w:szCs w:val="21"/>
              </w:rPr>
            </w:pPr>
          </w:p>
        </w:tc>
        <w:tc>
          <w:tcPr>
            <w:tcW w:w="763" w:type="dxa"/>
            <w:tcBorders>
              <w:top w:val="single" w:color="auto" w:sz="4" w:space="0"/>
              <w:left w:val="single" w:color="auto" w:sz="4" w:space="0"/>
              <w:bottom w:val="single" w:color="auto" w:sz="4" w:space="0"/>
              <w:right w:val="nil"/>
            </w:tcBorders>
            <w:shd w:val="clear" w:color="auto" w:fill="FFFFFF"/>
            <w:noWrap/>
            <w:vAlign w:val="center"/>
          </w:tcPr>
          <w:p w14:paraId="0B5E206E">
            <w:pPr>
              <w:spacing w:line="360" w:lineRule="auto"/>
              <w:jc w:val="center"/>
              <w:rPr>
                <w:rFonts w:ascii="宋体" w:hAnsi="宋体" w:eastAsia="宋体" w:cs="Times New Roman"/>
                <w:sz w:val="24"/>
                <w:szCs w:val="21"/>
              </w:rPr>
            </w:pP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E1EF38">
            <w:pPr>
              <w:spacing w:line="360" w:lineRule="auto"/>
              <w:jc w:val="center"/>
              <w:rPr>
                <w:rFonts w:ascii="宋体" w:hAnsi="宋体" w:eastAsia="宋体" w:cs="Times New Roman"/>
                <w:sz w:val="24"/>
                <w:szCs w:val="21"/>
              </w:rPr>
            </w:pPr>
          </w:p>
        </w:tc>
      </w:tr>
    </w:tbl>
    <w:p w14:paraId="55A006A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Times New Roman"/>
          <w:color w:val="C00000"/>
          <w:sz w:val="24"/>
        </w:rPr>
      </w:pPr>
      <w:r>
        <w:rPr>
          <w:rFonts w:hint="default" w:ascii="宋体" w:hAnsi="宋体" w:eastAsia="宋体" w:cs="Times New Roman"/>
          <w:kern w:val="2"/>
          <w:sz w:val="24"/>
          <w:szCs w:val="24"/>
          <w:lang w:val="en-US" w:eastAsia="zh-CN" w:bidi="ar-SA"/>
        </w:rPr>
        <w:t>1、</w:t>
      </w:r>
      <w:r>
        <w:rPr>
          <w:rFonts w:hint="eastAsia" w:ascii="宋体" w:hAnsi="宋体" w:eastAsia="宋体" w:cs="Times New Roman"/>
          <w:sz w:val="24"/>
        </w:rPr>
        <w:t>根据上述政府采购合同文件要求，本政府采购合同的总金额为人民币（大写）元。本合同以人民币进行结算，合同总价包括：如（</w:t>
      </w:r>
      <w:r>
        <w:rPr>
          <w:rFonts w:hint="eastAsia" w:ascii="宋体" w:hAnsi="宋体" w:eastAsia="宋体" w:cs="Times New Roman"/>
          <w:sz w:val="24"/>
          <w:lang w:eastAsia="zh-CN"/>
        </w:rPr>
        <w:t>中标服务费、税金、驾驶员工资、食宿费、过路费、车辆保险费、维修保养费、驾驶员</w:t>
      </w:r>
      <w:r>
        <w:rPr>
          <w:rFonts w:hint="eastAsia" w:ascii="宋体" w:hAnsi="宋体" w:eastAsia="宋体" w:cs="Times New Roman"/>
          <w:sz w:val="24"/>
          <w:lang w:val="en-US" w:eastAsia="zh-CN"/>
        </w:rPr>
        <w:t>保险费</w:t>
      </w:r>
      <w:r>
        <w:rPr>
          <w:rFonts w:hint="eastAsia" w:ascii="宋体" w:hAnsi="宋体" w:eastAsia="宋体" w:cs="Times New Roman"/>
          <w:sz w:val="24"/>
          <w:lang w:eastAsia="zh-CN"/>
        </w:rPr>
        <w:t>及其他不可预见的全部费用，</w:t>
      </w:r>
      <w:r>
        <w:rPr>
          <w:rFonts w:hint="eastAsia" w:ascii="宋体" w:hAnsi="宋体" w:eastAsia="宋体" w:cs="Times New Roman"/>
          <w:sz w:val="24"/>
          <w:lang w:val="en-US" w:eastAsia="zh-CN"/>
        </w:rPr>
        <w:t>燃油由甲方提供</w:t>
      </w:r>
      <w:r>
        <w:rPr>
          <w:rFonts w:hint="eastAsia" w:ascii="宋体" w:hAnsi="宋体" w:eastAsia="宋体" w:cs="Times New Roman"/>
          <w:sz w:val="24"/>
          <w:lang w:eastAsia="zh-CN"/>
        </w:rPr>
        <w:t>）。</w:t>
      </w:r>
    </w:p>
    <w:p w14:paraId="6B83B30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jc w:val="left"/>
        <w:textAlignment w:val="auto"/>
        <w:rPr>
          <w:rFonts w:hint="eastAsia" w:ascii="宋体" w:hAnsi="宋体" w:eastAsia="宋体" w:cs="Times New Roman"/>
          <w:sz w:val="24"/>
          <w:lang w:val="zh-CN"/>
        </w:rPr>
      </w:pPr>
      <w:r>
        <w:rPr>
          <w:rFonts w:hint="eastAsia" w:ascii="宋体" w:hAnsi="宋体" w:eastAsia="宋体" w:cs="Times New Roman"/>
          <w:sz w:val="24"/>
          <w:lang w:val="zh-CN"/>
        </w:rPr>
        <w:t>2、本合同为固定单价合同，租赁费用据实结算，租赁期间中标单价不变。</w:t>
      </w:r>
    </w:p>
    <w:p w14:paraId="6395AE2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宋体" w:hAnsi="宋体" w:eastAsia="宋体" w:cs="Times New Roman"/>
          <w:sz w:val="24"/>
          <w:lang w:val="zh-CN"/>
        </w:rPr>
      </w:pPr>
      <w:r>
        <w:rPr>
          <w:rFonts w:hint="eastAsia" w:ascii="宋体" w:hAnsi="宋体" w:eastAsia="宋体" w:cs="Times New Roman"/>
          <w:sz w:val="24"/>
          <w:lang w:val="zh-CN"/>
        </w:rPr>
        <w:t>三、交付时间、地点和要求</w:t>
      </w:r>
    </w:p>
    <w:p w14:paraId="5803E3F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jc w:val="left"/>
        <w:textAlignment w:val="auto"/>
        <w:rPr>
          <w:rFonts w:hint="default" w:ascii="宋体" w:hAnsi="宋体" w:eastAsia="宋体" w:cs="Times New Roman"/>
          <w:color w:val="auto"/>
          <w:sz w:val="24"/>
          <w:u w:val="single"/>
          <w:lang w:val="en-US" w:eastAsia="zh-CN"/>
        </w:rPr>
      </w:pPr>
      <w:r>
        <w:rPr>
          <w:rFonts w:hint="eastAsia" w:ascii="宋体" w:hAnsi="宋体" w:eastAsia="宋体" w:cs="Times New Roman"/>
          <w:sz w:val="24"/>
          <w:lang w:val="zh-CN"/>
        </w:rPr>
        <w:t>1.服务期限</w:t>
      </w:r>
      <w:r>
        <w:rPr>
          <w:rFonts w:hint="eastAsia" w:ascii="宋体" w:hAnsi="Calibri" w:cs="宋体"/>
          <w:color w:val="auto"/>
          <w:kern w:val="0"/>
          <w:sz w:val="24"/>
          <w:u w:val="single"/>
          <w:lang w:val="zh-CN" w:eastAsia="zh-CN"/>
        </w:rPr>
        <w:t>：</w:t>
      </w:r>
      <w:r>
        <w:rPr>
          <w:rFonts w:hint="eastAsia" w:ascii="宋体" w:hAnsi="Calibri" w:cs="宋体"/>
          <w:color w:val="auto"/>
          <w:kern w:val="0"/>
          <w:sz w:val="24"/>
          <w:u w:val="single"/>
          <w:lang w:val="en-US" w:eastAsia="zh-CN"/>
        </w:rPr>
        <w:t xml:space="preserve">       </w:t>
      </w:r>
    </w:p>
    <w:p w14:paraId="292CA584">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ascii="宋体" w:hAnsi="宋体" w:eastAsia="宋体" w:cs="Times New Roman"/>
          <w:color w:val="auto"/>
          <w:sz w:val="24"/>
          <w:szCs w:val="20"/>
          <w:lang w:val="zh-CN"/>
        </w:rPr>
      </w:pPr>
      <w:r>
        <w:rPr>
          <w:rFonts w:hint="eastAsia" w:ascii="宋体" w:hAnsi="Calibri" w:eastAsia="宋体" w:cs="宋体"/>
          <w:color w:val="auto"/>
          <w:kern w:val="0"/>
          <w:sz w:val="24"/>
          <w:lang w:val="zh-CN"/>
        </w:rPr>
        <w:t>服务地点：</w:t>
      </w:r>
      <w:r>
        <w:rPr>
          <w:rFonts w:hint="eastAsia" w:ascii="宋体" w:hAnsi="Calibri" w:cs="宋体"/>
          <w:color w:val="auto"/>
          <w:kern w:val="0"/>
          <w:sz w:val="24"/>
          <w:u w:val="single"/>
          <w:lang w:val="en-US" w:eastAsia="zh-CN"/>
        </w:rPr>
        <w:t xml:space="preserve">        </w:t>
      </w:r>
      <w:r>
        <w:rPr>
          <w:rFonts w:hint="eastAsia" w:ascii="宋体" w:hAnsi="Calibri" w:eastAsia="宋体" w:cs="宋体"/>
          <w:color w:val="auto"/>
          <w:kern w:val="0"/>
          <w:sz w:val="24"/>
          <w:lang w:val="zh-CN"/>
        </w:rPr>
        <w:t>。</w:t>
      </w:r>
    </w:p>
    <w:p w14:paraId="5953BA0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Times New Roman"/>
          <w:sz w:val="24"/>
        </w:rPr>
      </w:pPr>
      <w:r>
        <w:rPr>
          <w:rFonts w:hint="eastAsia" w:ascii="宋体" w:hAnsi="宋体" w:eastAsia="宋体" w:cs="Times New Roman"/>
          <w:sz w:val="24"/>
        </w:rPr>
        <w:t>2.乙方提供不符合磋商响应文件和本合同规定服务，甲方有权解除合作合同；</w:t>
      </w:r>
    </w:p>
    <w:p w14:paraId="46D9726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Times New Roman"/>
          <w:sz w:val="24"/>
        </w:rPr>
      </w:pPr>
      <w:r>
        <w:rPr>
          <w:rFonts w:hint="eastAsia" w:ascii="宋体" w:hAnsi="宋体" w:eastAsia="宋体" w:cs="Times New Roman"/>
          <w:sz w:val="24"/>
        </w:rPr>
        <w:t>3.乙方应将提供服务车辆的清单、交付给甲方，如有缺失应及时补齐，否则视为逾期服务；</w:t>
      </w:r>
    </w:p>
    <w:p w14:paraId="664C47C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Times New Roman"/>
          <w:sz w:val="24"/>
        </w:rPr>
      </w:pPr>
      <w:r>
        <w:rPr>
          <w:rFonts w:hint="eastAsia" w:ascii="宋体" w:hAnsi="宋体" w:eastAsia="宋体" w:cs="Times New Roman"/>
          <w:sz w:val="24"/>
        </w:rPr>
        <w:t>4.甲方应当在乙方机械设备到场后，按磋商文件要求对提供的机械进行查验核对，对不符合甲方要求的机械设备（低于投标标准的）及时要求乙方更换。</w:t>
      </w:r>
    </w:p>
    <w:p w14:paraId="21B911A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Times New Roman"/>
          <w:sz w:val="24"/>
        </w:rPr>
      </w:pPr>
      <w:r>
        <w:rPr>
          <w:rFonts w:hint="eastAsia" w:ascii="宋体" w:hAnsi="宋体" w:eastAsia="宋体" w:cs="Times New Roman"/>
          <w:sz w:val="24"/>
        </w:rPr>
        <w:t>5.甲方在服务过程中发现乙方有违约问题，可按磋商响应文件的规定要求乙方及时予以解决；</w:t>
      </w:r>
    </w:p>
    <w:p w14:paraId="6826C5C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Times New Roman"/>
          <w:sz w:val="24"/>
        </w:rPr>
      </w:pPr>
      <w:r>
        <w:rPr>
          <w:rFonts w:hint="eastAsia" w:ascii="宋体" w:hAnsi="宋体" w:eastAsia="宋体" w:cs="Times New Roman"/>
          <w:sz w:val="24"/>
        </w:rPr>
        <w:t>6.乙方向甲方提供</w:t>
      </w:r>
      <w:r>
        <w:rPr>
          <w:rFonts w:hint="eastAsia" w:ascii="宋体" w:hAnsi="宋体" w:eastAsia="宋体" w:cs="Times New Roman"/>
          <w:sz w:val="24"/>
          <w:lang w:val="en-US" w:eastAsia="zh-CN"/>
        </w:rPr>
        <w:t>完税发票</w:t>
      </w:r>
      <w:r>
        <w:rPr>
          <w:rFonts w:hint="eastAsia" w:ascii="宋体" w:hAnsi="宋体" w:eastAsia="宋体" w:cs="Times New Roman"/>
          <w:sz w:val="24"/>
        </w:rPr>
        <w:t>。</w:t>
      </w:r>
    </w:p>
    <w:p w14:paraId="780A1DD0">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Times New Roman"/>
          <w:b/>
          <w:sz w:val="24"/>
        </w:rPr>
      </w:pPr>
      <w:r>
        <w:rPr>
          <w:rFonts w:hint="eastAsia" w:ascii="宋体" w:hAnsi="宋体" w:eastAsia="宋体" w:cs="Times New Roman"/>
          <w:b/>
          <w:sz w:val="24"/>
        </w:rPr>
        <w:t>四、付款方式及违约责任</w:t>
      </w:r>
    </w:p>
    <w:p w14:paraId="7E953D3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合同签订时约定</w:t>
      </w:r>
    </w:p>
    <w:p w14:paraId="399EC8A0">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Times New Roman"/>
          <w:b/>
          <w:sz w:val="24"/>
        </w:rPr>
      </w:pPr>
      <w:r>
        <w:rPr>
          <w:rFonts w:hint="eastAsia" w:ascii="宋体" w:hAnsi="宋体" w:eastAsia="宋体" w:cs="Times New Roman"/>
          <w:b/>
          <w:sz w:val="24"/>
        </w:rPr>
        <w:t>五、合同的变更、终止与转让</w:t>
      </w:r>
    </w:p>
    <w:p w14:paraId="3363C11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Times New Roman"/>
          <w:sz w:val="24"/>
        </w:rPr>
      </w:pPr>
      <w:r>
        <w:rPr>
          <w:rFonts w:hint="eastAsia" w:ascii="宋体" w:hAnsi="宋体" w:eastAsia="宋体" w:cs="Times New Roman"/>
          <w:sz w:val="24"/>
        </w:rPr>
        <w:t>1．除《中华人民共和国政府采购法》第50条规定的情形外，本合同一经签订，甲乙双方不得擅自变更、中止或终止；</w:t>
      </w:r>
    </w:p>
    <w:p w14:paraId="1E01E0F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Times New Roman"/>
          <w:sz w:val="24"/>
        </w:rPr>
      </w:pPr>
      <w:r>
        <w:rPr>
          <w:rFonts w:hint="eastAsia" w:ascii="宋体" w:hAnsi="宋体" w:eastAsia="宋体" w:cs="Times New Roman"/>
          <w:sz w:val="24"/>
        </w:rPr>
        <w:t>2．乙方不得擅自转让其应履行的合同义务。</w:t>
      </w:r>
    </w:p>
    <w:p w14:paraId="691AE4A5">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Times New Roman"/>
          <w:b/>
          <w:sz w:val="24"/>
        </w:rPr>
      </w:pPr>
      <w:r>
        <w:rPr>
          <w:rFonts w:hint="eastAsia" w:ascii="宋体" w:hAnsi="宋体" w:eastAsia="宋体" w:cs="Times New Roman"/>
          <w:b/>
          <w:sz w:val="24"/>
        </w:rPr>
        <w:t>六、不可抗力</w:t>
      </w:r>
    </w:p>
    <w:p w14:paraId="449F435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Times New Roman"/>
          <w:sz w:val="24"/>
        </w:rPr>
      </w:pPr>
      <w:r>
        <w:rPr>
          <w:rFonts w:hint="eastAsia" w:ascii="宋体" w:hAnsi="宋体" w:eastAsia="宋体" w:cs="Times New Roman"/>
          <w:sz w:val="24"/>
        </w:rPr>
        <w:t>1．不可抗力使合同的某些内容有变更必要的，双方应通过协商在</w:t>
      </w:r>
      <w:r>
        <w:rPr>
          <w:rFonts w:ascii="宋体" w:hAnsi="宋体" w:eastAsia="宋体" w:cs="Times New Roman"/>
          <w:sz w:val="24"/>
          <w:u w:val="single"/>
        </w:rPr>
        <w:t>3</w:t>
      </w:r>
      <w:r>
        <w:rPr>
          <w:rFonts w:hint="eastAsia" w:ascii="宋体" w:hAnsi="宋体" w:eastAsia="宋体" w:cs="Times New Roman"/>
          <w:sz w:val="24"/>
        </w:rPr>
        <w:t>天内达成进一步履行合同的协议，因不可抗力致使合同不能履行的，合同终止；</w:t>
      </w:r>
    </w:p>
    <w:p w14:paraId="7EC149F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Times New Roman"/>
          <w:sz w:val="24"/>
        </w:rPr>
      </w:pPr>
      <w:r>
        <w:rPr>
          <w:rFonts w:hint="eastAsia" w:ascii="宋体" w:hAnsi="宋体" w:eastAsia="宋体" w:cs="Times New Roman"/>
          <w:sz w:val="24"/>
        </w:rPr>
        <w:t>2．除法律、法规规定的不可抗力情形外，双方约定出现</w:t>
      </w:r>
      <w:r>
        <w:rPr>
          <w:rFonts w:hint="eastAsia" w:ascii="宋体" w:hAnsi="宋体" w:eastAsia="宋体" w:cs="Times New Roman"/>
          <w:sz w:val="24"/>
          <w:u w:val="single"/>
        </w:rPr>
        <w:t xml:space="preserve"> 自然灾害 </w:t>
      </w:r>
      <w:r>
        <w:rPr>
          <w:rFonts w:hint="eastAsia" w:ascii="宋体" w:hAnsi="宋体" w:eastAsia="宋体" w:cs="Times New Roman"/>
          <w:sz w:val="24"/>
        </w:rPr>
        <w:t>情况亦视为不可抗力。</w:t>
      </w:r>
    </w:p>
    <w:p w14:paraId="0B6831A5">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Times New Roman"/>
          <w:b/>
          <w:sz w:val="24"/>
        </w:rPr>
      </w:pPr>
      <w:r>
        <w:rPr>
          <w:rFonts w:hint="eastAsia" w:ascii="宋体" w:hAnsi="宋体" w:eastAsia="宋体" w:cs="Times New Roman"/>
          <w:b/>
          <w:sz w:val="24"/>
        </w:rPr>
        <w:t>七、知识产权：</w:t>
      </w:r>
    </w:p>
    <w:p w14:paraId="5659155A">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Times New Roman"/>
          <w:b/>
          <w:sz w:val="24"/>
        </w:rPr>
      </w:pPr>
      <w:r>
        <w:rPr>
          <w:rFonts w:hint="eastAsia" w:ascii="宋体" w:hAnsi="宋体" w:eastAsia="宋体" w:cs="Times New Roman"/>
          <w:b/>
          <w:sz w:val="24"/>
        </w:rPr>
        <w:t>八、其他约定：</w:t>
      </w:r>
    </w:p>
    <w:p w14:paraId="45C48E04">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Times New Roman"/>
          <w:b/>
          <w:sz w:val="24"/>
        </w:rPr>
      </w:pPr>
      <w:r>
        <w:rPr>
          <w:rFonts w:hint="eastAsia" w:ascii="宋体" w:hAnsi="宋体" w:eastAsia="宋体" w:cs="Times New Roman"/>
          <w:b/>
          <w:sz w:val="24"/>
        </w:rPr>
        <w:t>九、合同争议解决</w:t>
      </w:r>
    </w:p>
    <w:p w14:paraId="3D2484E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Times New Roman"/>
          <w:sz w:val="24"/>
        </w:rPr>
      </w:pPr>
      <w:r>
        <w:rPr>
          <w:rFonts w:hint="eastAsia" w:ascii="宋体" w:hAnsi="宋体" w:eastAsia="宋体" w:cs="Times New Roman"/>
          <w:sz w:val="24"/>
        </w:rPr>
        <w:t>1．因履行本合同引起的或与本合同有关的争议，甲乙双方应首先通过友好协商解决，如果协商不能解决，可向甲方所在地人民法院提起诉讼；</w:t>
      </w:r>
    </w:p>
    <w:p w14:paraId="22C08E5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．诉讼期间，本合同继续履行</w:t>
      </w:r>
      <w:r>
        <w:rPr>
          <w:rFonts w:hint="eastAsia" w:ascii="宋体" w:hAnsi="宋体" w:eastAsia="宋体" w:cs="Times New Roman"/>
          <w:sz w:val="24"/>
          <w:lang w:eastAsia="zh-CN"/>
        </w:rPr>
        <w:t>。</w:t>
      </w:r>
    </w:p>
    <w:p w14:paraId="43A0C0C5">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Times New Roman"/>
          <w:b/>
          <w:sz w:val="24"/>
        </w:rPr>
      </w:pPr>
      <w:r>
        <w:rPr>
          <w:rFonts w:hint="eastAsia" w:ascii="宋体" w:hAnsi="宋体" w:eastAsia="宋体" w:cs="Times New Roman"/>
          <w:b/>
          <w:sz w:val="24"/>
        </w:rPr>
        <w:t>十、合同生效及其它：</w:t>
      </w:r>
    </w:p>
    <w:p w14:paraId="463839E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Times New Roman"/>
          <w:sz w:val="24"/>
        </w:rPr>
      </w:pPr>
      <w:r>
        <w:rPr>
          <w:rFonts w:hint="eastAsia" w:ascii="宋体" w:hAnsi="宋体" w:eastAsia="宋体" w:cs="Times New Roman"/>
          <w:sz w:val="24"/>
        </w:rPr>
        <w:t>1．本合同一式八份，经双方签字，并加盖公章即为生效；</w:t>
      </w:r>
    </w:p>
    <w:p w14:paraId="1FA079B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Times New Roman"/>
          <w:sz w:val="24"/>
        </w:rPr>
      </w:pPr>
      <w:r>
        <w:rPr>
          <w:rFonts w:hint="eastAsia" w:ascii="宋体" w:hAnsi="宋体" w:eastAsia="宋体" w:cs="Times New Roman"/>
          <w:sz w:val="24"/>
        </w:rPr>
        <w:t>2．本合同未尽事宜，按经济合同法有关规定处理；</w:t>
      </w:r>
    </w:p>
    <w:p w14:paraId="30300E5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3．本合同的组成包含《合同通用条款》，可自行在青海政府采购网下载《合同通用条款》</w:t>
      </w:r>
    </w:p>
    <w:p w14:paraId="54EE5416">
      <w:pPr>
        <w:keepNext w:val="0"/>
        <w:keepLines w:val="0"/>
        <w:pageBreakBefore w:val="0"/>
        <w:widowControl w:val="0"/>
        <w:kinsoku/>
        <w:wordWrap/>
        <w:overflowPunct/>
        <w:topLinePunct w:val="0"/>
        <w:autoSpaceDE/>
        <w:autoSpaceDN/>
        <w:bidi w:val="0"/>
        <w:adjustRightInd/>
        <w:snapToGrid/>
        <w:spacing w:line="460" w:lineRule="exact"/>
        <w:ind w:firstLine="420"/>
        <w:jc w:val="both"/>
        <w:textAlignment w:val="auto"/>
        <w:rPr>
          <w:rFonts w:ascii="Times New Roman" w:hAnsi="Times New Roman" w:eastAsia="宋体" w:cs="Times New Roman"/>
          <w:kern w:val="2"/>
          <w:sz w:val="24"/>
          <w:szCs w:val="20"/>
          <w:lang w:val="en-US" w:eastAsia="zh-CN" w:bidi="ar-SA"/>
        </w:rPr>
      </w:pPr>
    </w:p>
    <w:p w14:paraId="72BA8486">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Times New Roman"/>
          <w:sz w:val="24"/>
        </w:rPr>
      </w:pPr>
      <w:r>
        <w:rPr>
          <w:rFonts w:hint="eastAsia" w:ascii="宋体" w:hAnsi="宋体" w:eastAsia="宋体" w:cs="Times New Roman"/>
          <w:sz w:val="24"/>
        </w:rPr>
        <w:t xml:space="preserve">甲方（盖章）：   </w:t>
      </w:r>
      <w:r>
        <w:rPr>
          <w:rFonts w:hint="eastAsia" w:ascii="宋体" w:hAnsi="宋体" w:eastAsia="宋体" w:cs="Times New Roman"/>
          <w:sz w:val="24"/>
          <w:lang w:val="en-US" w:eastAsia="zh-CN"/>
        </w:rPr>
        <w:t xml:space="preserve">                         </w:t>
      </w:r>
      <w:r>
        <w:rPr>
          <w:rFonts w:hint="eastAsia" w:ascii="宋体" w:hAnsi="宋体" w:eastAsia="宋体" w:cs="Times New Roman"/>
          <w:sz w:val="24"/>
        </w:rPr>
        <w:t>乙方（盖章）：</w:t>
      </w:r>
    </w:p>
    <w:p w14:paraId="07A0DDB3">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Times New Roman"/>
          <w:sz w:val="24"/>
        </w:rPr>
      </w:pPr>
      <w:r>
        <w:rPr>
          <w:rFonts w:hint="eastAsia" w:ascii="宋体" w:hAnsi="宋体" w:eastAsia="宋体" w:cs="Times New Roman"/>
          <w:sz w:val="24"/>
        </w:rPr>
        <w:t xml:space="preserve">法人或委托人（签字）：    </w:t>
      </w:r>
      <w:r>
        <w:rPr>
          <w:rFonts w:hint="eastAsia" w:ascii="宋体" w:hAnsi="宋体" w:eastAsia="宋体" w:cs="Times New Roman"/>
          <w:sz w:val="24"/>
          <w:lang w:val="en-US" w:eastAsia="zh-CN"/>
        </w:rPr>
        <w:t xml:space="preserve">                </w:t>
      </w:r>
      <w:r>
        <w:rPr>
          <w:rFonts w:hint="eastAsia" w:ascii="宋体" w:hAnsi="宋体" w:eastAsia="宋体" w:cs="Times New Roman"/>
          <w:sz w:val="24"/>
        </w:rPr>
        <w:t>法人或委托人（签字）：</w:t>
      </w:r>
    </w:p>
    <w:p w14:paraId="6551250A">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Times New Roman"/>
          <w:sz w:val="24"/>
        </w:rPr>
      </w:pPr>
      <w:r>
        <w:rPr>
          <w:rFonts w:hint="eastAsia" w:ascii="宋体" w:hAnsi="宋体" w:eastAsia="宋体" w:cs="Times New Roman"/>
          <w:sz w:val="24"/>
        </w:rPr>
        <w:t xml:space="preserve">联系电话：   </w:t>
      </w:r>
      <w:r>
        <w:rPr>
          <w:rFonts w:hint="eastAsia" w:ascii="宋体" w:hAnsi="宋体" w:eastAsia="宋体" w:cs="Times New Roman"/>
          <w:sz w:val="24"/>
          <w:lang w:val="en-US" w:eastAsia="zh-CN"/>
        </w:rPr>
        <w:t xml:space="preserve">                             </w:t>
      </w:r>
      <w:r>
        <w:rPr>
          <w:rFonts w:hint="eastAsia" w:ascii="宋体" w:hAnsi="宋体" w:eastAsia="宋体" w:cs="Times New Roman"/>
          <w:sz w:val="24"/>
        </w:rPr>
        <w:t>开户银行：</w:t>
      </w:r>
    </w:p>
    <w:p w14:paraId="6D04F27F">
      <w:pPr>
        <w:keepNext w:val="0"/>
        <w:keepLines w:val="0"/>
        <w:pageBreakBefore w:val="0"/>
        <w:widowControl w:val="0"/>
        <w:kinsoku/>
        <w:wordWrap/>
        <w:overflowPunct/>
        <w:topLinePunct w:val="0"/>
        <w:autoSpaceDE/>
        <w:autoSpaceDN/>
        <w:bidi w:val="0"/>
        <w:adjustRightInd/>
        <w:snapToGrid/>
        <w:spacing w:line="460" w:lineRule="exact"/>
        <w:ind w:firstLine="5040" w:firstLineChars="2100"/>
        <w:textAlignment w:val="auto"/>
        <w:rPr>
          <w:rFonts w:ascii="宋体" w:hAnsi="宋体" w:eastAsia="宋体" w:cs="Times New Roman"/>
          <w:sz w:val="24"/>
        </w:rPr>
      </w:pPr>
      <w:r>
        <w:rPr>
          <w:rFonts w:hint="eastAsia" w:ascii="宋体" w:hAnsi="宋体" w:eastAsia="宋体" w:cs="Times New Roman"/>
          <w:sz w:val="24"/>
        </w:rPr>
        <w:t>账号：</w:t>
      </w:r>
    </w:p>
    <w:p w14:paraId="3DF1C5B8">
      <w:pPr>
        <w:keepNext w:val="0"/>
        <w:keepLines w:val="0"/>
        <w:pageBreakBefore w:val="0"/>
        <w:widowControl w:val="0"/>
        <w:kinsoku/>
        <w:wordWrap/>
        <w:overflowPunct/>
        <w:topLinePunct w:val="0"/>
        <w:autoSpaceDE/>
        <w:autoSpaceDN/>
        <w:bidi w:val="0"/>
        <w:adjustRightInd/>
        <w:snapToGrid/>
        <w:spacing w:line="460" w:lineRule="exact"/>
        <w:ind w:firstLine="5040" w:firstLineChars="2100"/>
        <w:textAlignment w:val="auto"/>
        <w:rPr>
          <w:rFonts w:ascii="宋体" w:hAnsi="宋体" w:eastAsia="宋体" w:cs="Times New Roman"/>
          <w:sz w:val="24"/>
        </w:rPr>
      </w:pPr>
      <w:r>
        <w:rPr>
          <w:rFonts w:hint="eastAsia" w:ascii="宋体" w:hAnsi="宋体" w:eastAsia="宋体" w:cs="Times New Roman"/>
          <w:sz w:val="24"/>
        </w:rPr>
        <w:t>联系电话：</w:t>
      </w:r>
    </w:p>
    <w:p w14:paraId="09B3013C">
      <w:pPr>
        <w:keepNext w:val="0"/>
        <w:keepLines w:val="0"/>
        <w:pageBreakBefore w:val="0"/>
        <w:widowControl w:val="0"/>
        <w:kinsoku/>
        <w:wordWrap/>
        <w:overflowPunct/>
        <w:topLinePunct w:val="0"/>
        <w:autoSpaceDE/>
        <w:autoSpaceDN/>
        <w:bidi w:val="0"/>
        <w:adjustRightInd/>
        <w:snapToGrid/>
        <w:spacing w:line="460" w:lineRule="exact"/>
        <w:ind w:firstLine="1680" w:firstLineChars="700"/>
        <w:jc w:val="right"/>
        <w:textAlignment w:val="auto"/>
        <w:rPr>
          <w:rFonts w:hint="eastAsia" w:ascii="宋体" w:hAnsi="宋体" w:eastAsia="宋体" w:cs="Times New Roman"/>
          <w:sz w:val="24"/>
        </w:rPr>
      </w:pPr>
    </w:p>
    <w:p w14:paraId="67ED1CCE">
      <w:pPr>
        <w:keepNext w:val="0"/>
        <w:keepLines w:val="0"/>
        <w:pageBreakBefore w:val="0"/>
        <w:widowControl w:val="0"/>
        <w:kinsoku/>
        <w:wordWrap/>
        <w:overflowPunct/>
        <w:topLinePunct w:val="0"/>
        <w:autoSpaceDE/>
        <w:autoSpaceDN/>
        <w:bidi w:val="0"/>
        <w:adjustRightInd/>
        <w:snapToGrid/>
        <w:spacing w:line="460" w:lineRule="exact"/>
        <w:ind w:firstLine="1680" w:firstLineChars="700"/>
        <w:jc w:val="both"/>
        <w:textAlignment w:val="auto"/>
        <w:rPr>
          <w:rFonts w:ascii="宋体" w:hAnsi="宋体" w:eastAsia="宋体" w:cs="宋体"/>
          <w:kern w:val="0"/>
          <w:sz w:val="24"/>
        </w:rPr>
      </w:pPr>
      <w:r>
        <w:rPr>
          <w:rFonts w:hint="eastAsia" w:ascii="宋体" w:hAnsi="宋体" w:eastAsia="宋体" w:cs="Times New Roman"/>
          <w:sz w:val="24"/>
        </w:rPr>
        <w:t>签约时间：         年    月    日</w:t>
      </w:r>
    </w:p>
    <w:p w14:paraId="16423A4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kern w:val="0"/>
          <w:sz w:val="24"/>
          <w:lang w:val="zh-CN"/>
        </w:rPr>
      </w:pPr>
    </w:p>
    <w:p w14:paraId="6A76033F">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Times New Roman"/>
          <w:sz w:val="24"/>
        </w:rPr>
      </w:pPr>
      <w:r>
        <w:rPr>
          <w:rFonts w:hint="eastAsia" w:ascii="宋体" w:hAnsi="宋体" w:eastAsia="宋体" w:cs="宋体"/>
          <w:color w:val="000000"/>
          <w:kern w:val="0"/>
          <w:sz w:val="24"/>
          <w:lang w:val="zh-CN"/>
        </w:rPr>
        <w:t>采购代理机构</w:t>
      </w:r>
      <w:r>
        <w:rPr>
          <w:rFonts w:hint="eastAsia" w:ascii="宋体" w:hAnsi="宋体" w:eastAsia="宋体" w:cs="Times New Roman"/>
          <w:sz w:val="24"/>
        </w:rPr>
        <w:t>：</w:t>
      </w:r>
    </w:p>
    <w:p w14:paraId="44D41D9D">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Times New Roman"/>
          <w:sz w:val="24"/>
        </w:rPr>
      </w:pPr>
      <w:r>
        <w:rPr>
          <w:rFonts w:hint="eastAsia" w:ascii="宋体" w:hAnsi="宋体" w:eastAsia="宋体" w:cs="Times New Roman"/>
          <w:sz w:val="24"/>
        </w:rPr>
        <w:t>负责人或经办人：</w:t>
      </w:r>
    </w:p>
    <w:p w14:paraId="55A00284">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合同备案日期：   年    月    日</w:t>
      </w:r>
    </w:p>
    <w:p w14:paraId="35DC00C0">
      <w:pPr>
        <w:spacing w:line="360" w:lineRule="auto"/>
        <w:jc w:val="center"/>
        <w:rPr>
          <w:rFonts w:hint="eastAsia" w:ascii="宋体" w:hAnsi="宋体" w:eastAsia="宋体" w:cs="Times New Roman"/>
          <w:b/>
          <w:sz w:val="28"/>
          <w:szCs w:val="28"/>
        </w:rPr>
      </w:pPr>
    </w:p>
    <w:p w14:paraId="116E100E">
      <w:pPr>
        <w:spacing w:line="360" w:lineRule="auto"/>
        <w:jc w:val="center"/>
        <w:rPr>
          <w:rFonts w:hint="eastAsia" w:ascii="宋体" w:hAnsi="宋体" w:eastAsia="宋体" w:cs="Times New Roman"/>
          <w:b/>
          <w:sz w:val="28"/>
          <w:szCs w:val="28"/>
        </w:rPr>
      </w:pPr>
    </w:p>
    <w:p w14:paraId="58708828">
      <w:pPr>
        <w:spacing w:line="360" w:lineRule="auto"/>
        <w:jc w:val="center"/>
        <w:rPr>
          <w:rFonts w:hint="eastAsia" w:ascii="宋体" w:hAnsi="宋体" w:eastAsia="宋体" w:cs="Times New Roman"/>
          <w:b/>
          <w:sz w:val="28"/>
          <w:szCs w:val="28"/>
        </w:rPr>
      </w:pPr>
    </w:p>
    <w:p w14:paraId="02B136FF">
      <w:pPr>
        <w:spacing w:line="360" w:lineRule="auto"/>
        <w:jc w:val="center"/>
        <w:rPr>
          <w:rFonts w:hint="eastAsia" w:ascii="宋体" w:hAnsi="宋体" w:eastAsia="宋体" w:cs="Times New Roman"/>
          <w:b/>
          <w:sz w:val="28"/>
          <w:szCs w:val="28"/>
        </w:rPr>
      </w:pPr>
    </w:p>
    <w:p w14:paraId="5D7BD129">
      <w:pPr>
        <w:spacing w:line="360" w:lineRule="auto"/>
        <w:jc w:val="center"/>
        <w:rPr>
          <w:rFonts w:hint="eastAsia" w:ascii="宋体" w:hAnsi="宋体" w:eastAsia="宋体" w:cs="Times New Roman"/>
          <w:b/>
          <w:sz w:val="28"/>
          <w:szCs w:val="28"/>
        </w:rPr>
      </w:pPr>
    </w:p>
    <w:p w14:paraId="21809A80">
      <w:pPr>
        <w:spacing w:line="360" w:lineRule="auto"/>
        <w:jc w:val="center"/>
        <w:rPr>
          <w:rFonts w:hint="eastAsia" w:ascii="宋体" w:hAnsi="宋体" w:eastAsia="宋体" w:cs="Times New Roman"/>
          <w:b/>
          <w:sz w:val="28"/>
          <w:szCs w:val="28"/>
        </w:rPr>
      </w:pPr>
    </w:p>
    <w:p w14:paraId="6FE32F23">
      <w:pPr>
        <w:spacing w:line="360" w:lineRule="auto"/>
        <w:jc w:val="center"/>
        <w:rPr>
          <w:rFonts w:hint="eastAsia" w:ascii="宋体" w:hAnsi="宋体" w:eastAsia="宋体" w:cs="Times New Roman"/>
          <w:b/>
          <w:sz w:val="28"/>
          <w:szCs w:val="28"/>
        </w:rPr>
      </w:pPr>
    </w:p>
    <w:p w14:paraId="766345E6">
      <w:pPr>
        <w:spacing w:line="360" w:lineRule="auto"/>
        <w:jc w:val="center"/>
        <w:rPr>
          <w:rFonts w:hint="eastAsia" w:ascii="宋体" w:hAnsi="宋体" w:eastAsia="宋体" w:cs="Times New Roman"/>
          <w:b/>
          <w:sz w:val="28"/>
          <w:szCs w:val="28"/>
        </w:rPr>
      </w:pPr>
    </w:p>
    <w:p w14:paraId="2C184D8B">
      <w:pPr>
        <w:spacing w:line="360" w:lineRule="auto"/>
        <w:jc w:val="center"/>
        <w:rPr>
          <w:rFonts w:hint="eastAsia" w:ascii="宋体" w:hAnsi="宋体" w:eastAsia="宋体" w:cs="Times New Roman"/>
          <w:b/>
          <w:sz w:val="28"/>
          <w:szCs w:val="28"/>
        </w:rPr>
      </w:pPr>
    </w:p>
    <w:p w14:paraId="33A9C878">
      <w:pPr>
        <w:spacing w:line="360" w:lineRule="auto"/>
        <w:jc w:val="center"/>
        <w:rPr>
          <w:rFonts w:ascii="宋体" w:hAnsi="宋体" w:eastAsia="宋体" w:cs="宋体"/>
          <w:b/>
          <w:bCs/>
          <w:kern w:val="0"/>
          <w:sz w:val="28"/>
          <w:szCs w:val="28"/>
          <w:lang w:val="zh-CN"/>
        </w:rPr>
      </w:pPr>
      <w:r>
        <w:rPr>
          <w:rFonts w:hint="eastAsia" w:ascii="宋体" w:hAnsi="宋体" w:eastAsia="宋体" w:cs="Times New Roman"/>
          <w:b/>
          <w:sz w:val="28"/>
          <w:szCs w:val="28"/>
        </w:rPr>
        <w:t>合同通用条款</w:t>
      </w:r>
    </w:p>
    <w:p w14:paraId="3B65973A">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eastAsia="宋体" w:cs="宋体"/>
          <w:kern w:val="0"/>
          <w:sz w:val="24"/>
        </w:rPr>
      </w:pPr>
      <w:r>
        <w:rPr>
          <w:rFonts w:hint="eastAsia" w:ascii="宋体" w:hAnsi="宋体" w:eastAsia="宋体" w:cs="宋体"/>
          <w:kern w:val="0"/>
          <w:sz w:val="24"/>
          <w:lang w:val="zh-CN"/>
        </w:rPr>
        <w:t>根据《中华人民共和国</w:t>
      </w:r>
      <w:r>
        <w:rPr>
          <w:rFonts w:hint="eastAsia" w:ascii="宋体" w:hAnsi="宋体" w:cs="宋体"/>
          <w:kern w:val="0"/>
          <w:sz w:val="24"/>
          <w:lang w:val="en-US" w:eastAsia="zh-CN"/>
        </w:rPr>
        <w:t>民法典</w:t>
      </w:r>
      <w:r>
        <w:rPr>
          <w:rFonts w:hint="eastAsia" w:ascii="宋体" w:hAnsi="宋体" w:eastAsia="宋体" w:cs="宋体"/>
          <w:kern w:val="0"/>
          <w:sz w:val="24"/>
          <w:lang w:val="zh-CN"/>
        </w:rPr>
        <w:t>》、《中华人民共和国政府采购法》的规定，合同双方经协商达成一致，自愿订立本合同，遵循公平原则明确双方的权利、义务，确保双方诚实守信地履行合同。</w:t>
      </w:r>
    </w:p>
    <w:p w14:paraId="779DEB3F">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1.</w:t>
      </w:r>
      <w:r>
        <w:rPr>
          <w:rFonts w:hint="eastAsia" w:ascii="宋体" w:hAnsi="宋体" w:eastAsia="宋体" w:cs="宋体"/>
          <w:b/>
          <w:bCs/>
          <w:kern w:val="0"/>
          <w:sz w:val="24"/>
          <w:lang w:val="zh-CN"/>
        </w:rPr>
        <w:t>定义</w:t>
      </w:r>
      <w:bookmarkStart w:id="516" w:name="_GoBack"/>
      <w:bookmarkEnd w:id="516"/>
    </w:p>
    <w:p w14:paraId="08AEDC2E">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eastAsia="宋体" w:cs="宋体"/>
          <w:kern w:val="0"/>
          <w:sz w:val="24"/>
        </w:rPr>
      </w:pPr>
      <w:r>
        <w:rPr>
          <w:rFonts w:hint="eastAsia" w:ascii="宋体" w:hAnsi="宋体" w:eastAsia="宋体" w:cs="宋体"/>
          <w:kern w:val="0"/>
          <w:sz w:val="24"/>
          <w:lang w:val="zh-CN"/>
        </w:rPr>
        <w:t>本合同中的下列术语应解释为：</w:t>
      </w:r>
    </w:p>
    <w:p w14:paraId="2D917FA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1.1</w:t>
      </w:r>
      <w:r>
        <w:rPr>
          <w:rFonts w:hint="eastAsia" w:ascii="Times New Roman" w:hAnsi="Times New Roman" w:eastAsia="宋体" w:cs="Times New Roman"/>
          <w:sz w:val="24"/>
          <w:lang w:val="zh-CN"/>
        </w:rPr>
        <w:t>“合同”指甲乙双方签署的、载明的甲乙双方权利义务的协议，包括所有的附件、附录和上述文件所提到的构成合同的所有文件。</w:t>
      </w:r>
    </w:p>
    <w:p w14:paraId="017FC922">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1.2</w:t>
      </w:r>
      <w:r>
        <w:rPr>
          <w:rFonts w:hint="eastAsia" w:ascii="Times New Roman" w:hAnsi="Times New Roman" w:eastAsia="宋体" w:cs="Times New Roman"/>
          <w:sz w:val="24"/>
          <w:lang w:val="zh-CN"/>
        </w:rPr>
        <w:t>“合同金额”指根据合同规定，乙方在正确地完全履行合同义务后甲方应付给乙方的价款。</w:t>
      </w:r>
    </w:p>
    <w:p w14:paraId="03D1EE82">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1.3</w:t>
      </w:r>
      <w:r>
        <w:rPr>
          <w:rFonts w:hint="eastAsia" w:ascii="Times New Roman" w:hAnsi="Times New Roman" w:eastAsia="宋体" w:cs="Times New Roman"/>
          <w:sz w:val="24"/>
          <w:lang w:val="zh-CN"/>
        </w:rPr>
        <w:t>“合同条款”指本合同条款。</w:t>
      </w:r>
    </w:p>
    <w:p w14:paraId="653DFAF7">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1.4</w:t>
      </w:r>
      <w:r>
        <w:rPr>
          <w:rFonts w:hint="eastAsia" w:ascii="Times New Roman" w:hAnsi="Times New Roman" w:eastAsia="宋体" w:cs="Times New Roman"/>
          <w:sz w:val="24"/>
          <w:lang w:val="zh-CN"/>
        </w:rPr>
        <w:t>“货物”指乙方根据合同约定须向甲方提供的一切产品、设备、机械、仪表、备件等，包括辅助工具、使用手册等相关资料。</w:t>
      </w:r>
    </w:p>
    <w:p w14:paraId="40E7A31D">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1.5</w:t>
      </w:r>
      <w:r>
        <w:rPr>
          <w:rFonts w:hint="eastAsia" w:ascii="Times New Roman" w:hAnsi="Times New Roman" w:eastAsia="宋体" w:cs="Times New Roman"/>
          <w:sz w:val="24"/>
          <w:lang w:val="zh-CN"/>
        </w:rPr>
        <w:t>“服务”指根据本合同规定乙方承担与供货有关的辅助服务，如运输、保险及安装、调试、提供技术援助、培训和合同中规定乙方应承担的其它义务。</w:t>
      </w:r>
    </w:p>
    <w:p w14:paraId="0A2559EC">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1.6</w:t>
      </w:r>
      <w:r>
        <w:rPr>
          <w:rFonts w:hint="eastAsia" w:ascii="Times New Roman" w:hAnsi="Times New Roman" w:eastAsia="宋体" w:cs="Times New Roman"/>
          <w:sz w:val="24"/>
          <w:lang w:val="zh-CN"/>
        </w:rPr>
        <w:t>“甲方”指购买货物和服务的单位。</w:t>
      </w:r>
    </w:p>
    <w:p w14:paraId="321C16A0">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1.7</w:t>
      </w:r>
      <w:r>
        <w:rPr>
          <w:rFonts w:hint="eastAsia" w:ascii="Times New Roman" w:hAnsi="Times New Roman" w:eastAsia="宋体" w:cs="Times New Roman"/>
          <w:sz w:val="24"/>
          <w:lang w:val="zh-CN"/>
        </w:rPr>
        <w:t>“乙方”指提供本合同条款下货物和服务的公司或其他实体。</w:t>
      </w:r>
    </w:p>
    <w:p w14:paraId="1B8D5733">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1.8</w:t>
      </w:r>
      <w:r>
        <w:rPr>
          <w:rFonts w:hint="eastAsia" w:ascii="Times New Roman" w:hAnsi="Times New Roman" w:eastAsia="宋体" w:cs="Times New Roman"/>
          <w:sz w:val="24"/>
          <w:lang w:val="zh-CN"/>
        </w:rPr>
        <w:t>“现场”指合同规定货物将要运至和安装的地点。</w:t>
      </w:r>
    </w:p>
    <w:p w14:paraId="2DDD6AA5">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1.9</w:t>
      </w:r>
      <w:r>
        <w:rPr>
          <w:rFonts w:hint="eastAsia" w:ascii="Times New Roman" w:hAnsi="Times New Roman" w:eastAsia="宋体" w:cs="Times New Roman"/>
          <w:sz w:val="24"/>
          <w:lang w:val="zh-CN"/>
        </w:rPr>
        <w:t>“验收”指合同双方依据强制性的国家技术质量规范和合同约定，确认合同条款下的货物符合合同规定的活动。</w:t>
      </w:r>
    </w:p>
    <w:p w14:paraId="778AF208">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1.10</w:t>
      </w:r>
      <w:r>
        <w:rPr>
          <w:rFonts w:hint="eastAsia" w:ascii="Times New Roman" w:hAnsi="Times New Roman" w:eastAsia="宋体" w:cs="Times New Roman"/>
          <w:sz w:val="24"/>
          <w:lang w:val="zh-CN"/>
        </w:rPr>
        <w:t>原厂商：产品制造商或其在中国境内设立的办事或技术服务机构。除另有说明外，本合同文件所述的制造商、产品制造商、制造厂家、产品制造厂家均为原厂商。</w:t>
      </w:r>
    </w:p>
    <w:p w14:paraId="25D22A13">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1.11</w:t>
      </w:r>
      <w:r>
        <w:rPr>
          <w:rFonts w:hint="eastAsia" w:ascii="Times New Roman" w:hAnsi="Times New Roman" w:eastAsia="宋体" w:cs="Times New Roman"/>
          <w:sz w:val="24"/>
          <w:lang w:val="zh-CN"/>
        </w:rPr>
        <w:t>原产地：指产品的生产地，或提供服务的来源地。</w:t>
      </w:r>
    </w:p>
    <w:p w14:paraId="23D32239">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1.12</w:t>
      </w:r>
      <w:r>
        <w:rPr>
          <w:rFonts w:hint="eastAsia" w:ascii="Times New Roman" w:hAnsi="Times New Roman" w:eastAsia="宋体" w:cs="Times New Roman"/>
          <w:sz w:val="24"/>
          <w:lang w:val="zh-CN"/>
        </w:rPr>
        <w:t>“工作日”指国家法定工作日，“天”指日历天数。</w:t>
      </w:r>
    </w:p>
    <w:p w14:paraId="1038278B">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kern w:val="0"/>
          <w:sz w:val="24"/>
        </w:rPr>
      </w:pPr>
      <w:r>
        <w:rPr>
          <w:rFonts w:hint="default" w:ascii="宋体" w:hAnsi="宋体" w:eastAsia="宋体" w:cs="宋体"/>
          <w:b/>
          <w:kern w:val="0"/>
          <w:sz w:val="24"/>
          <w:szCs w:val="24"/>
          <w:lang w:val="en-US" w:eastAsia="zh-CN" w:bidi="ar-SA"/>
        </w:rPr>
        <w:t>2.</w:t>
      </w:r>
      <w:r>
        <w:rPr>
          <w:rFonts w:hint="eastAsia" w:ascii="宋体" w:hAnsi="宋体" w:eastAsia="宋体" w:cs="宋体"/>
          <w:b/>
          <w:bCs/>
          <w:kern w:val="0"/>
          <w:sz w:val="24"/>
          <w:lang w:val="zh-CN"/>
        </w:rPr>
        <w:t>技术规格要求</w:t>
      </w:r>
    </w:p>
    <w:p w14:paraId="64FD0902">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2.1</w:t>
      </w:r>
      <w:r>
        <w:rPr>
          <w:rFonts w:hint="eastAsia" w:ascii="Times New Roman" w:hAnsi="Times New Roman" w:eastAsia="宋体" w:cs="Times New Roman"/>
          <w:sz w:val="24"/>
          <w:lang w:val="zh-CN" w:eastAsia="zh-CN"/>
        </w:rPr>
        <w:t>本合同条款下提服务物的技术规格要求应等于或优于招磋商文件技术规格要求。若技术规格要求中无相应规定，则应符合相应的国家有关部门最新颁布的相应正式标准。</w:t>
      </w:r>
    </w:p>
    <w:p w14:paraId="48F4EB22">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2.2</w:t>
      </w:r>
      <w:r>
        <w:rPr>
          <w:rFonts w:hint="eastAsia" w:ascii="Times New Roman" w:hAnsi="Times New Roman" w:eastAsia="宋体" w:cs="Times New Roman"/>
          <w:sz w:val="24"/>
          <w:lang w:val="zh-CN" w:eastAsia="zh-CN"/>
        </w:rPr>
        <w:t>乙方应向甲方提供货物及服务有关的标准的中文文本。</w:t>
      </w:r>
    </w:p>
    <w:p w14:paraId="1A1B2BA0">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2.3</w:t>
      </w:r>
      <w:r>
        <w:rPr>
          <w:rFonts w:hint="eastAsia" w:ascii="Times New Roman" w:hAnsi="Times New Roman" w:eastAsia="宋体" w:cs="Times New Roman"/>
          <w:sz w:val="24"/>
          <w:lang w:val="zh-CN" w:eastAsia="zh-CN"/>
        </w:rPr>
        <w:t>除非技术规范中另有规定，计量单位均采用中华人民共和国法定计量单位。</w:t>
      </w:r>
    </w:p>
    <w:p w14:paraId="713865E7">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kern w:val="0"/>
          <w:sz w:val="24"/>
        </w:rPr>
      </w:pPr>
      <w:r>
        <w:rPr>
          <w:rFonts w:hint="default" w:ascii="宋体" w:hAnsi="宋体" w:eastAsia="宋体" w:cs="宋体"/>
          <w:b/>
          <w:kern w:val="0"/>
          <w:sz w:val="24"/>
          <w:szCs w:val="24"/>
          <w:lang w:val="en-US" w:eastAsia="zh-CN" w:bidi="ar-SA"/>
        </w:rPr>
        <w:t>3.</w:t>
      </w:r>
      <w:r>
        <w:rPr>
          <w:rFonts w:hint="eastAsia" w:ascii="宋体" w:hAnsi="宋体" w:eastAsia="宋体" w:cs="宋体"/>
          <w:b/>
          <w:bCs/>
          <w:kern w:val="0"/>
          <w:sz w:val="24"/>
          <w:lang w:val="zh-CN"/>
        </w:rPr>
        <w:t>合同范围</w:t>
      </w:r>
    </w:p>
    <w:p w14:paraId="70764044">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3.1</w:t>
      </w:r>
      <w:r>
        <w:rPr>
          <w:rFonts w:hint="eastAsia" w:ascii="Times New Roman" w:hAnsi="Times New Roman" w:eastAsia="宋体" w:cs="Times New Roman"/>
          <w:sz w:val="24"/>
          <w:lang w:val="zh-CN" w:eastAsia="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0A9E264">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3.2</w:t>
      </w:r>
      <w:r>
        <w:rPr>
          <w:rFonts w:hint="eastAsia" w:ascii="Times New Roman" w:hAnsi="Times New Roman" w:eastAsia="宋体" w:cs="Times New Roman"/>
          <w:sz w:val="24"/>
          <w:lang w:val="zh-CN" w:eastAsia="zh-CN"/>
        </w:rPr>
        <w:t>乙方应负责培训甲方的技术人员。</w:t>
      </w:r>
    </w:p>
    <w:p w14:paraId="7A24B066">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3.3</w:t>
      </w:r>
      <w:r>
        <w:rPr>
          <w:rFonts w:hint="eastAsia" w:ascii="Times New Roman" w:hAnsi="Times New Roman" w:eastAsia="宋体" w:cs="Times New Roman"/>
          <w:sz w:val="24"/>
          <w:lang w:val="zh-CN" w:eastAsia="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0D08733E">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kern w:val="0"/>
          <w:sz w:val="24"/>
        </w:rPr>
      </w:pPr>
      <w:r>
        <w:rPr>
          <w:rFonts w:hint="default" w:ascii="宋体" w:hAnsi="宋体" w:eastAsia="宋体" w:cs="宋体"/>
          <w:b/>
          <w:kern w:val="0"/>
          <w:sz w:val="24"/>
          <w:szCs w:val="24"/>
          <w:lang w:val="en-US" w:eastAsia="zh-CN" w:bidi="ar-SA"/>
        </w:rPr>
        <w:t>4.</w:t>
      </w:r>
      <w:r>
        <w:rPr>
          <w:rFonts w:hint="eastAsia" w:ascii="宋体" w:hAnsi="宋体" w:eastAsia="宋体" w:cs="宋体"/>
          <w:b/>
          <w:bCs/>
          <w:kern w:val="0"/>
          <w:sz w:val="24"/>
          <w:lang w:val="zh-CN"/>
        </w:rPr>
        <w:t>合同文件和资料</w:t>
      </w:r>
    </w:p>
    <w:p w14:paraId="1119DFE3">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4.1</w:t>
      </w:r>
      <w:r>
        <w:rPr>
          <w:rFonts w:hint="eastAsia" w:ascii="Times New Roman" w:hAnsi="Times New Roman" w:eastAsia="宋体" w:cs="Times New Roman"/>
          <w:sz w:val="24"/>
          <w:lang w:val="zh-CN" w:eastAsia="zh-CN"/>
        </w:rPr>
        <w:t>乙方在提供仪器设备时应同时提供中文版相关的技术资料，如目录索引、图纸、操作手册、使用指南、维修指南、服务手册等。</w:t>
      </w:r>
    </w:p>
    <w:p w14:paraId="51DC4365">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4.2</w:t>
      </w:r>
      <w:r>
        <w:rPr>
          <w:rFonts w:hint="eastAsia" w:ascii="Times New Roman" w:hAnsi="Times New Roman" w:eastAsia="宋体" w:cs="Times New Roman"/>
          <w:sz w:val="24"/>
          <w:lang w:val="zh-CN" w:eastAsia="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40AEA70">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kern w:val="0"/>
          <w:sz w:val="24"/>
        </w:rPr>
      </w:pPr>
      <w:r>
        <w:rPr>
          <w:rFonts w:hint="default" w:ascii="宋体" w:hAnsi="宋体" w:eastAsia="宋体" w:cs="宋体"/>
          <w:b/>
          <w:kern w:val="0"/>
          <w:sz w:val="24"/>
          <w:szCs w:val="24"/>
          <w:lang w:val="en-US" w:eastAsia="zh-CN" w:bidi="ar-SA"/>
        </w:rPr>
        <w:t>5.</w:t>
      </w:r>
      <w:r>
        <w:rPr>
          <w:rFonts w:hint="eastAsia" w:ascii="宋体" w:hAnsi="宋体" w:eastAsia="宋体" w:cs="宋体"/>
          <w:b/>
          <w:bCs/>
          <w:kern w:val="0"/>
          <w:sz w:val="24"/>
          <w:lang w:val="zh-CN"/>
        </w:rPr>
        <w:t>知识产权</w:t>
      </w:r>
    </w:p>
    <w:p w14:paraId="0F13BA49">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5.1</w:t>
      </w:r>
      <w:r>
        <w:rPr>
          <w:rFonts w:hint="eastAsia" w:ascii="Times New Roman" w:hAnsi="Times New Roman" w:eastAsia="宋体" w:cs="Times New Roman"/>
          <w:sz w:val="24"/>
          <w:lang w:val="zh-CN" w:eastAsia="zh-CN"/>
        </w:rPr>
        <w:t>乙方应保证甲方在使用该货物或其任何一部分时不受第三方提出的侵犯专利权、著作权、商标权和工业设计权等的起诉。</w:t>
      </w:r>
    </w:p>
    <w:p w14:paraId="3029EB64">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5.2</w:t>
      </w:r>
      <w:r>
        <w:rPr>
          <w:rFonts w:hint="eastAsia" w:ascii="Times New Roman" w:hAnsi="Times New Roman" w:eastAsia="宋体" w:cs="Times New Roman"/>
          <w:sz w:val="24"/>
          <w:lang w:val="zh-CN" w:eastAsia="zh-CN"/>
        </w:rPr>
        <w:t>任何第三方提出侵权指控，乙方须与第三方交涉并承担由此产生的一切责任、费用和经济赔偿。</w:t>
      </w:r>
    </w:p>
    <w:p w14:paraId="0C9E0EBB">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5.3</w:t>
      </w:r>
      <w:r>
        <w:rPr>
          <w:rFonts w:hint="eastAsia" w:ascii="Times New Roman" w:hAnsi="Times New Roman" w:eastAsia="宋体" w:cs="Times New Roman"/>
          <w:sz w:val="24"/>
          <w:lang w:val="zh-CN" w:eastAsia="zh-CN"/>
        </w:rPr>
        <w:t>双方应共同遵守国家有关版权、专利、商标等知识产权方面的法律规定，相互尊重对方的知识产权，对本合同内容、对方的技术秘密和商业秘密负有保密责任。如有违反，违约方负相关法律责任。</w:t>
      </w:r>
    </w:p>
    <w:p w14:paraId="02F8B40B">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5.4</w:t>
      </w:r>
      <w:r>
        <w:rPr>
          <w:rFonts w:hint="eastAsia" w:ascii="Times New Roman" w:hAnsi="Times New Roman" w:eastAsia="宋体" w:cs="Times New Roman"/>
          <w:sz w:val="24"/>
          <w:lang w:val="zh-CN" w:eastAsia="zh-CN"/>
        </w:rPr>
        <w:t>在本合同生效时已经存在并为各方合法拥有或使用的所有技术、资料和信息的知识产权，仍应属于其各自的原权利人所有或享有，另有约定的除外。</w:t>
      </w:r>
    </w:p>
    <w:p w14:paraId="23D8BBA5">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5.5</w:t>
      </w:r>
      <w:r>
        <w:rPr>
          <w:rFonts w:hint="eastAsia" w:ascii="Times New Roman" w:hAnsi="Times New Roman" w:eastAsia="宋体" w:cs="Times New Roman"/>
          <w:sz w:val="24"/>
          <w:lang w:val="zh-CN" w:eastAsia="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4DD570A">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kern w:val="0"/>
          <w:sz w:val="24"/>
        </w:rPr>
      </w:pPr>
      <w:r>
        <w:rPr>
          <w:rFonts w:hint="default" w:ascii="宋体" w:hAnsi="宋体" w:eastAsia="宋体" w:cs="宋体"/>
          <w:b/>
          <w:kern w:val="0"/>
          <w:sz w:val="24"/>
          <w:szCs w:val="24"/>
          <w:lang w:val="en-US" w:eastAsia="zh-CN" w:bidi="ar-SA"/>
        </w:rPr>
        <w:t>6.</w:t>
      </w:r>
      <w:r>
        <w:rPr>
          <w:rFonts w:hint="eastAsia" w:ascii="宋体" w:hAnsi="宋体" w:eastAsia="宋体" w:cs="宋体"/>
          <w:b/>
          <w:bCs/>
          <w:kern w:val="0"/>
          <w:sz w:val="24"/>
          <w:lang w:val="zh-CN"/>
        </w:rPr>
        <w:t>保密</w:t>
      </w:r>
    </w:p>
    <w:p w14:paraId="0F28775F">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6.1</w:t>
      </w:r>
      <w:r>
        <w:rPr>
          <w:rFonts w:hint="eastAsia" w:ascii="Times New Roman" w:hAnsi="Times New Roman" w:eastAsia="宋体" w:cs="Times New Roman"/>
          <w:sz w:val="24"/>
          <w:lang w:val="zh-CN" w:eastAsia="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9720550">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6.2</w:t>
      </w:r>
      <w:r>
        <w:rPr>
          <w:rFonts w:hint="eastAsia" w:ascii="Times New Roman" w:hAnsi="Times New Roman" w:eastAsia="宋体" w:cs="Times New Roman"/>
          <w:sz w:val="24"/>
          <w:lang w:val="zh-CN" w:eastAsia="zh-CN"/>
        </w:rPr>
        <w:t>保密信息指任何一方因履行本合同所知悉的任何以口头、书面、图表或电子形式存在的对方信息，具体包括：</w:t>
      </w:r>
    </w:p>
    <w:p w14:paraId="59D906EC">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任何涉及对方过去、现在或将来的商业计划、规章制度、操作规程、处理手段、财务信息；</w:t>
      </w:r>
    </w:p>
    <w:p w14:paraId="1B632B5F">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任何对方的技术措施、技术方案、软件应用及开发，硬件设备的品种、质量、数量、品牌等；</w:t>
      </w:r>
    </w:p>
    <w:p w14:paraId="61A568F5">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任何对方的技术秘密或专有知识、文件、报告、数据、客户软件、流程图、数据库、发明、知识、贸易秘密。</w:t>
      </w:r>
    </w:p>
    <w:p w14:paraId="251F8CDE">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en-US" w:eastAsia="zh-CN"/>
        </w:rPr>
        <w:t>6.3</w:t>
      </w:r>
      <w:r>
        <w:rPr>
          <w:rFonts w:hint="eastAsia" w:ascii="Times New Roman" w:hAnsi="Times New Roman" w:eastAsia="宋体" w:cs="Times New Roman"/>
          <w:sz w:val="24"/>
          <w:lang w:val="zh-CN" w:eastAsia="zh-CN"/>
        </w:rPr>
        <w:t>乙方应根据甲方的要求签署相应的保密协议，保密协议与本条款存在不一致的，以保密协议为准。</w:t>
      </w:r>
    </w:p>
    <w:p w14:paraId="21DED02B">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kern w:val="0"/>
          <w:sz w:val="24"/>
        </w:rPr>
      </w:pPr>
      <w:r>
        <w:rPr>
          <w:rFonts w:hint="default" w:ascii="宋体" w:hAnsi="宋体" w:eastAsia="宋体" w:cs="宋体"/>
          <w:b/>
          <w:kern w:val="0"/>
          <w:sz w:val="24"/>
          <w:szCs w:val="24"/>
          <w:lang w:val="en-US" w:eastAsia="zh-CN" w:bidi="ar-SA"/>
        </w:rPr>
        <w:t>7.</w:t>
      </w:r>
      <w:r>
        <w:rPr>
          <w:rFonts w:hint="eastAsia" w:ascii="宋体" w:hAnsi="宋体" w:eastAsia="宋体" w:cs="宋体"/>
          <w:b/>
          <w:bCs/>
          <w:kern w:val="0"/>
          <w:sz w:val="24"/>
          <w:lang w:val="zh-CN"/>
        </w:rPr>
        <w:t>质量保证</w:t>
      </w:r>
    </w:p>
    <w:p w14:paraId="3CAB9705">
      <w:pPr>
        <w:keepNext w:val="0"/>
        <w:keepLines w:val="0"/>
        <w:pageBreakBefore w:val="0"/>
        <w:widowControl w:val="0"/>
        <w:numPr>
          <w:ilvl w:val="1"/>
          <w:numId w:val="0"/>
        </w:numPr>
        <w:kinsoku/>
        <w:wordWrap/>
        <w:overflowPunct/>
        <w:topLinePunct w:val="0"/>
        <w:autoSpaceDE w:val="0"/>
        <w:autoSpaceDN w:val="0"/>
        <w:bidi w:val="0"/>
        <w:adjustRightInd/>
        <w:snapToGrid/>
        <w:spacing w:line="460" w:lineRule="exact"/>
        <w:ind w:left="420" w:leftChars="200" w:firstLine="0" w:firstLineChars="0"/>
        <w:textAlignment w:val="auto"/>
        <w:rPr>
          <w:rFonts w:ascii="宋体" w:hAnsi="宋体" w:eastAsia="宋体" w:cs="宋体"/>
          <w:kern w:val="0"/>
          <w:sz w:val="24"/>
        </w:rPr>
      </w:pPr>
      <w:r>
        <w:rPr>
          <w:rFonts w:hint="default" w:ascii="宋体" w:hAnsi="宋体" w:eastAsia="宋体" w:cs="宋体"/>
          <w:b w:val="0"/>
          <w:kern w:val="0"/>
          <w:sz w:val="24"/>
          <w:szCs w:val="24"/>
          <w:lang w:val="en-US" w:eastAsia="zh-CN" w:bidi="ar-SA"/>
        </w:rPr>
        <w:t>7.1</w:t>
      </w:r>
      <w:r>
        <w:rPr>
          <w:rFonts w:hint="eastAsia" w:ascii="宋体" w:hAnsi="宋体" w:eastAsia="宋体" w:cs="宋体"/>
          <w:kern w:val="0"/>
          <w:sz w:val="24"/>
          <w:lang w:val="zh-CN"/>
        </w:rPr>
        <w:t>货物质量保证</w:t>
      </w:r>
    </w:p>
    <w:p w14:paraId="4024F461">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乙方必须保证货物是全新、未使用过的，并完全符合强制性的国家技术质量规范和合同规定的质量、规格、性能和技术规范等的要求。</w:t>
      </w:r>
    </w:p>
    <w:p w14:paraId="0F7EA5D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0061AAAF">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EDE461E">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lang w:val="zh-CN" w:eastAsia="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4676034">
      <w:pPr>
        <w:keepNext w:val="0"/>
        <w:keepLines w:val="0"/>
        <w:pageBreakBefore w:val="0"/>
        <w:widowControl w:val="0"/>
        <w:kinsoku/>
        <w:wordWrap/>
        <w:overflowPunct/>
        <w:topLinePunct w:val="0"/>
        <w:bidi w:val="0"/>
        <w:adjustRightInd/>
        <w:snapToGrid/>
        <w:spacing w:line="460" w:lineRule="exact"/>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zh-CN" w:eastAsia="zh-CN"/>
        </w:rPr>
        <w:t>合同条款下货物的免费质保期自货物通过最终验收起算，合同另行规定除外。</w:t>
      </w:r>
    </w:p>
    <w:p w14:paraId="3AF87232">
      <w:pPr>
        <w:keepNext w:val="0"/>
        <w:keepLines w:val="0"/>
        <w:pageBreakBefore w:val="0"/>
        <w:widowControl w:val="0"/>
        <w:numPr>
          <w:ilvl w:val="1"/>
          <w:numId w:val="0"/>
        </w:numPr>
        <w:kinsoku/>
        <w:wordWrap/>
        <w:overflowPunct/>
        <w:topLinePunct w:val="0"/>
        <w:autoSpaceDE w:val="0"/>
        <w:autoSpaceDN w:val="0"/>
        <w:bidi w:val="0"/>
        <w:adjustRightInd/>
        <w:snapToGrid/>
        <w:spacing w:line="460" w:lineRule="exact"/>
        <w:ind w:left="420" w:leftChars="200" w:firstLine="0" w:firstLineChars="0"/>
        <w:textAlignment w:val="auto"/>
        <w:rPr>
          <w:rFonts w:hint="eastAsia" w:ascii="宋体" w:hAnsi="宋体" w:eastAsia="宋体" w:cs="宋体"/>
          <w:kern w:val="0"/>
          <w:sz w:val="24"/>
          <w:lang w:val="zh-CN"/>
        </w:rPr>
      </w:pPr>
      <w:r>
        <w:rPr>
          <w:rFonts w:hint="default" w:ascii="宋体" w:hAnsi="宋体" w:eastAsia="宋体" w:cs="宋体"/>
          <w:b w:val="0"/>
          <w:kern w:val="0"/>
          <w:sz w:val="24"/>
          <w:szCs w:val="24"/>
          <w:lang w:val="zh-CN" w:eastAsia="zh-CN" w:bidi="ar-SA"/>
        </w:rPr>
        <w:t>7.2</w:t>
      </w:r>
      <w:r>
        <w:rPr>
          <w:rFonts w:hint="eastAsia" w:ascii="宋体" w:hAnsi="宋体" w:eastAsia="宋体" w:cs="宋体"/>
          <w:kern w:val="0"/>
          <w:sz w:val="24"/>
          <w:lang w:val="zh-CN"/>
        </w:rPr>
        <w:t>辅助服务质量保证</w:t>
      </w:r>
    </w:p>
    <w:p w14:paraId="2CD531E6">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D2E3416">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乙方应保证合同条款下所提供的服务包括培训、安装指导、单机调试、系统联调和试验等，按合同规定方式进行，并保证不存在因乙方工作人员的过失、错误或疏忽而产生的缺陷。</w:t>
      </w:r>
    </w:p>
    <w:p w14:paraId="4920B614">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8.</w:t>
      </w:r>
      <w:r>
        <w:rPr>
          <w:rFonts w:hint="eastAsia" w:ascii="宋体" w:hAnsi="宋体" w:eastAsia="宋体" w:cs="宋体"/>
          <w:b/>
          <w:bCs/>
          <w:kern w:val="0"/>
          <w:sz w:val="24"/>
          <w:lang w:val="zh-CN"/>
        </w:rPr>
        <w:t>包装要求</w:t>
      </w:r>
    </w:p>
    <w:p w14:paraId="4F185A6D">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8.1</w:t>
      </w:r>
      <w:r>
        <w:rPr>
          <w:rFonts w:hint="eastAsia" w:ascii="Times New Roman" w:hAnsi="Times New Roman" w:eastAsia="宋体" w:cs="Times New Roman"/>
          <w:sz w:val="24"/>
          <w:lang w:val="zh-CN" w:eastAsia="zh-CN"/>
        </w:rPr>
        <w:t>除合同另有约定外</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zh-CN" w:eastAsia="zh-CN"/>
        </w:rPr>
        <w:t>乙方提供的全部货物</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zh-CN" w:eastAsia="zh-CN"/>
        </w:rPr>
        <w:t>均应采用本行业通用的方式进行包装，且该包装应符合国家有关包装的法律、法规的规定。</w:t>
      </w:r>
    </w:p>
    <w:p w14:paraId="44DCAB6B">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8.2</w:t>
      </w:r>
      <w:r>
        <w:rPr>
          <w:rFonts w:hint="eastAsia" w:ascii="Times New Roman" w:hAnsi="Times New Roman" w:eastAsia="宋体" w:cs="Times New Roman"/>
          <w:sz w:val="24"/>
          <w:lang w:val="zh-CN" w:eastAsia="zh-CN"/>
        </w:rPr>
        <w:t>包装应适应于远距离运输，并有良好的防潮、防震、防锈和防粗暴装卸等保护措施，以确保货物安全运抵现场。由于包装不善所引起的货物锈蚀、损坏和损失均由乙方承担。</w:t>
      </w:r>
    </w:p>
    <w:p w14:paraId="0171DCF6">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zh-CN" w:eastAsia="zh-CN"/>
        </w:rPr>
        <w:t>乙方应提供货物运至合同规定的最终目的地所需要的包装，以防止货物在转运中损坏或变质。</w:t>
      </w:r>
    </w:p>
    <w:p w14:paraId="263893E1">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8.3</w:t>
      </w:r>
      <w:r>
        <w:rPr>
          <w:rFonts w:hint="eastAsia" w:ascii="Times New Roman" w:hAnsi="Times New Roman" w:eastAsia="宋体" w:cs="Times New Roman"/>
          <w:sz w:val="24"/>
          <w:lang w:val="zh-CN" w:eastAsia="zh-CN"/>
        </w:rPr>
        <w:t>乙方所提供的货物包装均为出厂时原包装。</w:t>
      </w:r>
    </w:p>
    <w:p w14:paraId="4C55B148">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8.4</w:t>
      </w:r>
      <w:r>
        <w:rPr>
          <w:rFonts w:hint="eastAsia" w:ascii="Times New Roman" w:hAnsi="Times New Roman" w:eastAsia="宋体" w:cs="Times New Roman"/>
          <w:sz w:val="24"/>
          <w:lang w:val="zh-CN" w:eastAsia="zh-CN"/>
        </w:rPr>
        <w:t>乙方所提供货物必须附有质量合格证，装箱清单，主机、附件、各种零部件和消耗品，有清楚的与装箱单相对应的名称和编号。</w:t>
      </w:r>
    </w:p>
    <w:p w14:paraId="19AEEBC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8.5</w:t>
      </w:r>
      <w:r>
        <w:rPr>
          <w:rFonts w:hint="eastAsia" w:ascii="Times New Roman" w:hAnsi="Times New Roman" w:eastAsia="宋体" w:cs="Times New Roman"/>
          <w:sz w:val="24"/>
          <w:lang w:val="zh-CN" w:eastAsia="zh-CN"/>
        </w:rPr>
        <w:t>货物运输中的运输费用和保险费用均由乙方承担。运输过程中的一切损失、损坏均由乙方负责。</w:t>
      </w:r>
    </w:p>
    <w:p w14:paraId="6F4E488E">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9.</w:t>
      </w:r>
      <w:r>
        <w:rPr>
          <w:rFonts w:hint="eastAsia" w:ascii="宋体" w:hAnsi="宋体" w:eastAsia="宋体" w:cs="宋体"/>
          <w:b/>
          <w:bCs/>
          <w:kern w:val="0"/>
          <w:sz w:val="24"/>
          <w:lang w:val="zh-CN"/>
        </w:rPr>
        <w:t>价格</w:t>
      </w:r>
    </w:p>
    <w:p w14:paraId="7F3EE9A8">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9.1</w:t>
      </w:r>
      <w:r>
        <w:rPr>
          <w:rFonts w:hint="eastAsia" w:ascii="Times New Roman" w:hAnsi="Times New Roman" w:eastAsia="宋体" w:cs="Times New Roman"/>
          <w:sz w:val="24"/>
          <w:lang w:val="zh-CN" w:eastAsia="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551118F8">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9.2</w:t>
      </w:r>
      <w:r>
        <w:rPr>
          <w:rFonts w:hint="eastAsia" w:ascii="Times New Roman" w:hAnsi="Times New Roman" w:eastAsia="宋体" w:cs="Times New Roman"/>
          <w:sz w:val="24"/>
          <w:lang w:val="zh-CN" w:eastAsia="zh-CN"/>
        </w:rPr>
        <w:t>本合同价格为固定价格，包括了乙方履行合同全过程产生的所有成本和费用以及乙方应承担的一切税费。</w:t>
      </w:r>
    </w:p>
    <w:p w14:paraId="7AC43857">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ascii="宋体" w:hAnsi="宋体" w:eastAsia="宋体" w:cs="宋体"/>
          <w:kern w:val="0"/>
          <w:sz w:val="24"/>
        </w:rPr>
      </w:pPr>
      <w:r>
        <w:rPr>
          <w:rFonts w:hint="eastAsia" w:ascii="宋体" w:hAnsi="宋体" w:eastAsia="宋体" w:cs="宋体"/>
          <w:kern w:val="0"/>
          <w:sz w:val="24"/>
          <w:lang w:val="en-US" w:eastAsia="zh-CN"/>
        </w:rPr>
        <w:t>9.3</w:t>
      </w:r>
      <w:r>
        <w:rPr>
          <w:rFonts w:hint="eastAsia" w:ascii="宋体" w:hAnsi="宋体" w:eastAsia="宋体" w:cs="宋体"/>
          <w:kern w:val="0"/>
          <w:sz w:val="24"/>
          <w:lang w:val="zh-CN"/>
        </w:rPr>
        <w:t>检验费用</w:t>
      </w:r>
    </w:p>
    <w:p w14:paraId="486B7BDB">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乙方必须负担本条款下属于乙方负责的检验、测试、调试、试运行和验收的所有费用，并负责乙方派往买方组织的检验、测试和验收人员的所有费用。</w:t>
      </w:r>
    </w:p>
    <w:p w14:paraId="1D5331E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甲方按合同计划参加在乙方工厂所在地检验、测试和验收的费用全部由乙方负责并已包含在合同总价中。</w:t>
      </w:r>
    </w:p>
    <w:p w14:paraId="6965DC92">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甲方检验人员已到卖方所在地，测试无法依照合同进行，而引起甲方人员延长逗留时间，所有由此产生的包括甲方人员在内的直接费用及成本由乙方承担。</w:t>
      </w:r>
    </w:p>
    <w:p w14:paraId="5A62A8B3">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10.</w:t>
      </w:r>
      <w:r>
        <w:rPr>
          <w:rFonts w:hint="eastAsia" w:ascii="宋体" w:hAnsi="宋体" w:eastAsia="宋体" w:cs="宋体"/>
          <w:b/>
          <w:bCs/>
          <w:kern w:val="0"/>
          <w:sz w:val="24"/>
          <w:lang w:val="zh-CN"/>
        </w:rPr>
        <w:t>服务方式及服务时间</w:t>
      </w:r>
    </w:p>
    <w:p w14:paraId="4B5338A0">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eastAsia="zh-CN"/>
        </w:rPr>
        <w:t>服务方式：现场服务，乙方负责办理运输和保险，将货物运抵现场。</w:t>
      </w:r>
    </w:p>
    <w:p w14:paraId="79B7E3B2">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eastAsia="zh-CN"/>
        </w:rPr>
        <w:t>服务期应根据产品的特点实事求是填写，进口产品90个工作日内，国产产品60个工作日内。特殊产品服务期需说明。</w:t>
      </w:r>
    </w:p>
    <w:p w14:paraId="55A47730">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eastAsia="zh-CN"/>
        </w:rPr>
        <w:t>服务时间：所有货物运抵现场并经双方开箱验收合格之日。</w:t>
      </w:r>
    </w:p>
    <w:p w14:paraId="35A6EF3A">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11.</w:t>
      </w:r>
      <w:r>
        <w:rPr>
          <w:rFonts w:hint="eastAsia" w:ascii="宋体" w:hAnsi="宋体" w:eastAsia="宋体" w:cs="宋体"/>
          <w:b/>
          <w:bCs/>
          <w:kern w:val="0"/>
          <w:sz w:val="24"/>
          <w:lang w:val="zh-CN"/>
        </w:rPr>
        <w:t>检验和验收</w:t>
      </w:r>
    </w:p>
    <w:p w14:paraId="5980CA0B">
      <w:pPr>
        <w:keepNext w:val="0"/>
        <w:keepLines w:val="0"/>
        <w:pageBreakBefore w:val="0"/>
        <w:widowControl w:val="0"/>
        <w:numPr>
          <w:ilvl w:val="1"/>
          <w:numId w:val="0"/>
        </w:numPr>
        <w:kinsoku/>
        <w:wordWrap/>
        <w:overflowPunct/>
        <w:topLinePunct w:val="0"/>
        <w:autoSpaceDE w:val="0"/>
        <w:autoSpaceDN w:val="0"/>
        <w:bidi w:val="0"/>
        <w:adjustRightInd/>
        <w:snapToGrid/>
        <w:spacing w:line="460" w:lineRule="exact"/>
        <w:ind w:left="420" w:leftChars="200" w:firstLine="0" w:firstLineChars="0"/>
        <w:textAlignment w:val="auto"/>
        <w:rPr>
          <w:rFonts w:ascii="宋体" w:hAnsi="宋体" w:eastAsia="宋体" w:cs="宋体"/>
          <w:kern w:val="0"/>
          <w:sz w:val="24"/>
        </w:rPr>
      </w:pPr>
      <w:r>
        <w:rPr>
          <w:rFonts w:hint="default" w:ascii="宋体" w:hAnsi="宋体" w:eastAsia="宋体" w:cs="宋体"/>
          <w:b w:val="0"/>
          <w:kern w:val="0"/>
          <w:sz w:val="24"/>
          <w:szCs w:val="24"/>
          <w:lang w:val="en-US" w:eastAsia="zh-CN" w:bidi="ar-SA"/>
        </w:rPr>
        <w:t>11.1</w:t>
      </w:r>
      <w:r>
        <w:rPr>
          <w:rFonts w:hint="eastAsia" w:ascii="宋体" w:hAnsi="宋体" w:eastAsia="宋体" w:cs="宋体"/>
          <w:kern w:val="0"/>
          <w:sz w:val="24"/>
          <w:lang w:val="zh-CN"/>
        </w:rPr>
        <w:t>开箱验收</w:t>
      </w:r>
    </w:p>
    <w:p w14:paraId="190A53DE">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货物运抵现场后，双方应及时开箱验收，并制作验收记录，以确认与本合同约定的数量、型号等是否一致。</w:t>
      </w:r>
    </w:p>
    <w:p w14:paraId="3D2CA567">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乙方应在服务前对货物的质量、规格、数量等进行详细而全面的检验，并出具证明货物符合合同规定的文件。该文件将作为申请付款单据的一部分，但有关质量、规格、数量的检验不应视为最终检验。</w:t>
      </w:r>
    </w:p>
    <w:p w14:paraId="58F8EE2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开箱验收中如发现货物的数量、规格与合同约定不符，甲方有权拒收货物，乙方应及时按甲方要求免费对拒收货物采取更换或其他必要的补救措施，直至开箱验收合格，方视为乙方完成服务。</w:t>
      </w:r>
    </w:p>
    <w:p w14:paraId="17F8E628">
      <w:pPr>
        <w:keepNext w:val="0"/>
        <w:keepLines w:val="0"/>
        <w:pageBreakBefore w:val="0"/>
        <w:widowControl w:val="0"/>
        <w:numPr>
          <w:ilvl w:val="1"/>
          <w:numId w:val="0"/>
        </w:numPr>
        <w:kinsoku/>
        <w:wordWrap/>
        <w:overflowPunct/>
        <w:topLinePunct w:val="0"/>
        <w:autoSpaceDE w:val="0"/>
        <w:autoSpaceDN w:val="0"/>
        <w:bidi w:val="0"/>
        <w:adjustRightInd/>
        <w:snapToGrid/>
        <w:spacing w:line="460" w:lineRule="exact"/>
        <w:ind w:left="420" w:leftChars="200" w:firstLine="0" w:firstLineChars="0"/>
        <w:textAlignment w:val="auto"/>
        <w:rPr>
          <w:rFonts w:ascii="宋体" w:hAnsi="宋体" w:eastAsia="宋体" w:cs="宋体"/>
          <w:kern w:val="0"/>
          <w:sz w:val="24"/>
        </w:rPr>
      </w:pPr>
      <w:r>
        <w:rPr>
          <w:rFonts w:hint="default" w:ascii="宋体" w:hAnsi="宋体" w:eastAsia="宋体" w:cs="宋体"/>
          <w:b w:val="0"/>
          <w:kern w:val="0"/>
          <w:sz w:val="24"/>
          <w:szCs w:val="24"/>
          <w:lang w:val="en-US" w:eastAsia="zh-CN" w:bidi="ar-SA"/>
        </w:rPr>
        <w:t>11.2</w:t>
      </w:r>
      <w:r>
        <w:rPr>
          <w:rFonts w:hint="eastAsia" w:ascii="宋体" w:hAnsi="宋体" w:eastAsia="宋体" w:cs="宋体"/>
          <w:kern w:val="0"/>
          <w:sz w:val="24"/>
          <w:lang w:val="zh-CN"/>
        </w:rPr>
        <w:t>检验验收</w:t>
      </w:r>
    </w:p>
    <w:p w14:paraId="462FBADC">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服务完成后，乙方应及时组装、调试、试运行，按照合同专用条款规定的试运行完成后，双方及时组织对货物检验验收。合同双方均须派人参加合同要求双方参加的试验、检验。</w:t>
      </w:r>
    </w:p>
    <w:p w14:paraId="46519A3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在具体实施合同规定的检验验收之前，乙方需提前提交相应的测试计划（包括测试程序、测试内容和检验标准、试验时间安排等）供甲方确认。</w:t>
      </w:r>
    </w:p>
    <w:p w14:paraId="416EE683">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除需甲方确认的试验验收外，乙方还应对所有检验验收测试的结果、步骤、原始数据等作妥善记录。如甲方要求，乙方应提供这些记录给买方。</w:t>
      </w:r>
    </w:p>
    <w:p w14:paraId="3D225504">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lang w:val="zh-CN" w:eastAsia="zh-CN"/>
        </w:rPr>
        <w:t>检验测试出现全部或部分未达到本合同所约定的技术指标，甲方有权选择下列任一处理方式：</w:t>
      </w:r>
    </w:p>
    <w:p w14:paraId="26CA54B0">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420" w:leftChars="200" w:firstLine="120" w:firstLineChars="50"/>
        <w:textAlignment w:val="auto"/>
        <w:rPr>
          <w:rFonts w:ascii="宋体" w:hAnsi="宋体" w:eastAsia="宋体" w:cs="宋体"/>
          <w:kern w:val="0"/>
          <w:sz w:val="24"/>
        </w:rPr>
      </w:pPr>
      <w:r>
        <w:rPr>
          <w:rFonts w:hint="default" w:ascii="宋体" w:hAnsi="宋体" w:eastAsia="宋体" w:cs="宋体"/>
          <w:kern w:val="0"/>
          <w:sz w:val="24"/>
          <w:szCs w:val="24"/>
          <w:lang w:val="en-US" w:eastAsia="zh-CN" w:bidi="ar-SA"/>
        </w:rPr>
        <w:t>a.</w:t>
      </w:r>
      <w:r>
        <w:rPr>
          <w:rFonts w:hint="eastAsia" w:ascii="宋体" w:hAnsi="宋体" w:eastAsia="宋体" w:cs="宋体"/>
          <w:kern w:val="0"/>
          <w:sz w:val="24"/>
          <w:lang w:val="zh-CN"/>
        </w:rPr>
        <w:t>重新测试直至合格为止；</w:t>
      </w:r>
    </w:p>
    <w:p w14:paraId="419A5F8C">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b.</w:t>
      </w:r>
      <w:r>
        <w:rPr>
          <w:rFonts w:hint="eastAsia" w:ascii="Times New Roman" w:hAnsi="Times New Roman" w:eastAsia="宋体" w:cs="Times New Roman"/>
          <w:sz w:val="24"/>
          <w:lang w:val="zh-CN" w:eastAsia="zh-CN"/>
        </w:rPr>
        <w:t>要求乙方对货物进行免费更换，然后重新测试直至合格为止；无论选择何种方式，甲方因此而发生的因卖方原因引起的所有费用均由乙方负担。</w:t>
      </w:r>
    </w:p>
    <w:p w14:paraId="4E0F485D">
      <w:pPr>
        <w:keepNext w:val="0"/>
        <w:keepLines w:val="0"/>
        <w:pageBreakBefore w:val="0"/>
        <w:widowControl w:val="0"/>
        <w:numPr>
          <w:ilvl w:val="1"/>
          <w:numId w:val="0"/>
        </w:numPr>
        <w:kinsoku/>
        <w:wordWrap/>
        <w:overflowPunct/>
        <w:topLinePunct w:val="0"/>
        <w:autoSpaceDE w:val="0"/>
        <w:autoSpaceDN w:val="0"/>
        <w:bidi w:val="0"/>
        <w:adjustRightInd/>
        <w:snapToGrid/>
        <w:spacing w:line="460" w:lineRule="exact"/>
        <w:ind w:left="420" w:leftChars="200" w:firstLine="0" w:firstLineChars="0"/>
        <w:textAlignment w:val="auto"/>
        <w:rPr>
          <w:rFonts w:ascii="宋体" w:hAnsi="宋体" w:eastAsia="宋体" w:cs="宋体"/>
          <w:kern w:val="0"/>
          <w:sz w:val="24"/>
        </w:rPr>
      </w:pPr>
      <w:r>
        <w:rPr>
          <w:rFonts w:hint="default" w:ascii="宋体" w:hAnsi="宋体" w:eastAsia="宋体" w:cs="宋体"/>
          <w:b w:val="0"/>
          <w:kern w:val="0"/>
          <w:sz w:val="24"/>
          <w:szCs w:val="24"/>
          <w:lang w:val="en-US" w:eastAsia="zh-CN" w:bidi="ar-SA"/>
        </w:rPr>
        <w:t>11.3</w:t>
      </w:r>
      <w:r>
        <w:rPr>
          <w:rFonts w:hint="eastAsia" w:ascii="宋体" w:hAnsi="宋体" w:eastAsia="宋体" w:cs="宋体"/>
          <w:kern w:val="0"/>
          <w:sz w:val="24"/>
          <w:lang w:val="zh-CN"/>
        </w:rPr>
        <w:t>使用过程检验</w:t>
      </w:r>
    </w:p>
    <w:p w14:paraId="3584EBA2">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29E84AD">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如果合同双方对乙方提供的上述试验结果报告的解释有分歧，双方须于出现分歧后</w:t>
      </w:r>
      <w:r>
        <w:rPr>
          <w:rFonts w:hint="eastAsia" w:ascii="Times New Roman" w:hAnsi="Times New Roman" w:eastAsia="宋体" w:cs="Times New Roman"/>
          <w:sz w:val="24"/>
          <w:lang w:val="en-US" w:eastAsia="zh-CN"/>
        </w:rPr>
        <w:t>10</w:t>
      </w:r>
      <w:r>
        <w:rPr>
          <w:rFonts w:hint="eastAsia" w:ascii="Times New Roman" w:hAnsi="Times New Roman" w:eastAsia="宋体" w:cs="Times New Roman"/>
          <w:sz w:val="24"/>
          <w:lang w:val="zh-CN" w:eastAsia="zh-CN"/>
        </w:rPr>
        <w:t>天内给对方声明，以陈述己方的观点。声明须附有关证据。分歧应通过协商解决。</w:t>
      </w:r>
    </w:p>
    <w:p w14:paraId="37662F5A">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12.</w:t>
      </w:r>
      <w:r>
        <w:rPr>
          <w:rFonts w:hint="eastAsia" w:ascii="宋体" w:hAnsi="宋体" w:eastAsia="宋体" w:cs="宋体"/>
          <w:b/>
          <w:bCs/>
          <w:kern w:val="0"/>
          <w:sz w:val="24"/>
          <w:lang w:val="zh-CN"/>
        </w:rPr>
        <w:t>付款条件</w:t>
      </w:r>
    </w:p>
    <w:p w14:paraId="19BF86DB">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eastAsia="宋体" w:cs="宋体"/>
          <w:kern w:val="0"/>
          <w:sz w:val="24"/>
        </w:rPr>
      </w:pPr>
      <w:r>
        <w:rPr>
          <w:rFonts w:hint="eastAsia" w:ascii="宋体" w:hAnsi="宋体" w:eastAsia="宋体" w:cs="宋体"/>
          <w:kern w:val="0"/>
          <w:sz w:val="24"/>
          <w:lang w:val="zh-CN"/>
        </w:rPr>
        <w:t>本合同条款下的付款方法和条件在“青海省政府采购合同书”中具体规定。</w:t>
      </w:r>
    </w:p>
    <w:p w14:paraId="7A054364">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13.</w:t>
      </w:r>
      <w:r>
        <w:rPr>
          <w:rFonts w:hint="eastAsia" w:ascii="宋体" w:hAnsi="宋体" w:eastAsia="宋体" w:cs="宋体"/>
          <w:b/>
          <w:bCs/>
          <w:kern w:val="0"/>
          <w:sz w:val="24"/>
          <w:lang w:val="zh-CN"/>
        </w:rPr>
        <w:t>履约保证金</w:t>
      </w:r>
    </w:p>
    <w:p w14:paraId="3048022C">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乙方应在合同签订前，按要求提交履约保证金。</w:t>
      </w:r>
    </w:p>
    <w:p w14:paraId="48642480">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履约保证金用于补偿甲方因乙方不能履行其合同义务而蒙受的损失。</w:t>
      </w:r>
    </w:p>
    <w:p w14:paraId="1C5BB21C">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履约保证金应使用本合同货币，按下述方式之一提交（磋商文件中另有约定的除外）：</w:t>
      </w:r>
    </w:p>
    <w:p w14:paraId="0CF58CE1">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lang w:val="zh-CN" w:eastAsia="zh-CN"/>
        </w:rPr>
        <w:t>甲方可接受的在中华人民共和国注册和营业的银行出具的履约保函；</w:t>
      </w:r>
    </w:p>
    <w:p w14:paraId="59786391">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lang w:val="zh-CN" w:eastAsia="zh-CN"/>
        </w:rPr>
        <w:t>支票或汇票。</w:t>
      </w:r>
    </w:p>
    <w:p w14:paraId="662BF849">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lang w:val="zh-CN" w:eastAsia="zh-CN"/>
        </w:rPr>
        <w:t>乙方未能按合同规定履行其义务，甲方有权从履约保证金中取得补偿。货物验收合格后，甲方将履约保证金退还乙方或转为质量保证金。</w:t>
      </w:r>
    </w:p>
    <w:p w14:paraId="0166DE63">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14.</w:t>
      </w:r>
      <w:r>
        <w:rPr>
          <w:rFonts w:hint="eastAsia" w:ascii="宋体" w:hAnsi="宋体" w:eastAsia="宋体" w:cs="宋体"/>
          <w:b/>
          <w:bCs/>
          <w:kern w:val="0"/>
          <w:sz w:val="24"/>
          <w:lang w:val="zh-CN"/>
        </w:rPr>
        <w:t>索赔</w:t>
      </w:r>
    </w:p>
    <w:p w14:paraId="20CE8DF0">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14.1</w:t>
      </w:r>
      <w:r>
        <w:rPr>
          <w:rFonts w:hint="eastAsia" w:ascii="Times New Roman" w:hAnsi="Times New Roman" w:eastAsia="宋体" w:cs="Times New Roman"/>
          <w:sz w:val="24"/>
          <w:lang w:val="zh-CN" w:eastAsia="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72C05661">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14.2</w:t>
      </w:r>
      <w:r>
        <w:rPr>
          <w:rFonts w:hint="eastAsia" w:ascii="Times New Roman" w:hAnsi="Times New Roman" w:eastAsia="宋体" w:cs="Times New Roman"/>
          <w:sz w:val="24"/>
          <w:lang w:val="zh-CN" w:eastAsia="zh-CN"/>
        </w:rPr>
        <w:t>在履约保证期和检验期内，乙方对甲方提出的索赔负有责任，乙方应按照甲方同意的下列一种或多种方式解决索赔事宜：</w:t>
      </w:r>
    </w:p>
    <w:p w14:paraId="3B7FD1BB">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97A5A08">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根据货物低劣程度、损坏程度以及甲方所遭受损失的数额，经甲乙双方商定降低货物的价格，或由有资质的中介机构评估，以降低后的价格或评估价格为准。</w:t>
      </w:r>
    </w:p>
    <w:p w14:paraId="7D51CFB8">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517C0F3">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en-US" w:eastAsia="zh-CN"/>
        </w:rPr>
        <w:t>14.3</w:t>
      </w:r>
      <w:r>
        <w:rPr>
          <w:rFonts w:hint="eastAsia" w:ascii="宋体" w:hAnsi="宋体" w:eastAsia="宋体" w:cs="宋体"/>
          <w:kern w:val="0"/>
          <w:sz w:val="24"/>
          <w:lang w:val="zh-CN"/>
        </w:rPr>
        <w:t>乙方收到甲方发出的索赔通知之日起</w:t>
      </w:r>
      <w:r>
        <w:rPr>
          <w:rFonts w:hint="eastAsia" w:ascii="宋体" w:hAnsi="宋体" w:eastAsia="宋体" w:cs="宋体"/>
          <w:kern w:val="0"/>
          <w:sz w:val="24"/>
        </w:rPr>
        <w:t>5</w:t>
      </w:r>
      <w:r>
        <w:rPr>
          <w:rFonts w:hint="eastAsia" w:ascii="宋体" w:hAnsi="宋体" w:eastAsia="宋体" w:cs="宋体"/>
          <w:kern w:val="0"/>
          <w:sz w:val="24"/>
          <w:lang w:val="zh-CN"/>
        </w:rPr>
        <w:t>个工作日内未作答复的，甲方可从合同款或履约保证金中扣回索赔金额，如金额不足以补偿索赔金额，乙方应补足差额部分。</w:t>
      </w:r>
    </w:p>
    <w:p w14:paraId="22ECB049">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15.</w:t>
      </w:r>
      <w:r>
        <w:rPr>
          <w:rFonts w:hint="eastAsia" w:ascii="宋体" w:hAnsi="宋体" w:eastAsia="宋体" w:cs="宋体"/>
          <w:b/>
          <w:bCs/>
          <w:kern w:val="0"/>
          <w:sz w:val="24"/>
          <w:lang w:val="zh-CN"/>
        </w:rPr>
        <w:t>迟延服务</w:t>
      </w:r>
    </w:p>
    <w:p w14:paraId="070B2840">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15.1</w:t>
      </w:r>
      <w:r>
        <w:rPr>
          <w:rFonts w:hint="eastAsia" w:ascii="宋体" w:hAnsi="宋体" w:eastAsia="宋体" w:cs="宋体"/>
          <w:kern w:val="0"/>
          <w:sz w:val="24"/>
          <w:lang w:val="zh-CN" w:eastAsia="zh-CN"/>
        </w:rPr>
        <w:t>乙方应按照合同约定的时间服务和提供服务。</w:t>
      </w:r>
    </w:p>
    <w:p w14:paraId="54564CE2">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15.2</w:t>
      </w:r>
      <w:r>
        <w:rPr>
          <w:rFonts w:hint="eastAsia" w:ascii="宋体" w:hAnsi="宋体" w:eastAsia="宋体" w:cs="宋体"/>
          <w:kern w:val="0"/>
          <w:sz w:val="24"/>
          <w:lang w:val="zh-CN" w:eastAsia="zh-CN"/>
        </w:rPr>
        <w:t>除不可抗力因素外，乙方迟延服务，甲方有权提出违约损失赔偿或解除合同。</w:t>
      </w:r>
    </w:p>
    <w:p w14:paraId="33ACCFA5">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15.3</w:t>
      </w:r>
      <w:r>
        <w:rPr>
          <w:rFonts w:hint="eastAsia" w:ascii="宋体" w:hAnsi="宋体" w:eastAsia="宋体" w:cs="宋体"/>
          <w:kern w:val="0"/>
          <w:sz w:val="24"/>
          <w:lang w:val="zh-CN" w:eastAsia="zh-CN"/>
        </w:rPr>
        <w:t>在履行合同过程中，乙方遇到不能按时服务和提供服务的情况，应及时以书面形式将不能按时服务的理由、预期延误时间通知甲方。甲方收到乙方通知后，认为其理由正当的，可酌情延长服务时间。</w:t>
      </w:r>
    </w:p>
    <w:p w14:paraId="13ACB385">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16.</w:t>
      </w:r>
      <w:r>
        <w:rPr>
          <w:rFonts w:hint="eastAsia" w:ascii="宋体" w:hAnsi="宋体" w:eastAsia="宋体" w:cs="宋体"/>
          <w:b/>
          <w:bCs/>
          <w:kern w:val="0"/>
          <w:sz w:val="24"/>
          <w:lang w:val="zh-CN"/>
        </w:rPr>
        <w:t>违约赔偿</w:t>
      </w:r>
    </w:p>
    <w:p w14:paraId="114A7830">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zh-CN" w:eastAsia="zh-CN"/>
        </w:rPr>
        <w:t>除不可抗力因素外，乙方没有按照合同规定的时间服务和提供服务，甲方可要求乙方支付违约金。违约金每日按合同总价款的千分之五计收。</w:t>
      </w:r>
    </w:p>
    <w:p w14:paraId="3B013FF7">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17.</w:t>
      </w:r>
      <w:r>
        <w:rPr>
          <w:rFonts w:hint="eastAsia" w:ascii="宋体" w:hAnsi="宋体" w:eastAsia="宋体" w:cs="宋体"/>
          <w:b/>
          <w:bCs/>
          <w:kern w:val="0"/>
          <w:sz w:val="24"/>
          <w:lang w:val="zh-CN"/>
        </w:rPr>
        <w:t>不可抗力</w:t>
      </w:r>
    </w:p>
    <w:p w14:paraId="0977E0A8">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17.1</w:t>
      </w:r>
      <w:r>
        <w:rPr>
          <w:rFonts w:hint="eastAsia" w:ascii="宋体" w:hAnsi="宋体" w:eastAsia="宋体" w:cs="宋体"/>
          <w:kern w:val="0"/>
          <w:sz w:val="24"/>
          <w:lang w:val="zh-CN" w:eastAsia="zh-CN"/>
        </w:rPr>
        <w:t>双方中任何一方遭遇法律规定的不可抗力，致使合同履行受阻时，履行合同的期限应予延长，延长的期限应相当于不可抗力所影响的时间。</w:t>
      </w:r>
    </w:p>
    <w:p w14:paraId="7155A093">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17.2</w:t>
      </w:r>
      <w:r>
        <w:rPr>
          <w:rFonts w:hint="eastAsia" w:ascii="宋体" w:hAnsi="宋体" w:eastAsia="宋体" w:cs="宋体"/>
          <w:kern w:val="0"/>
          <w:sz w:val="24"/>
          <w:lang w:val="zh-CN" w:eastAsia="zh-CN"/>
        </w:rPr>
        <w:t>受事故影响的一方应在不可抗力的事故发生后以书面形式通知另一方。</w:t>
      </w:r>
    </w:p>
    <w:p w14:paraId="6B62075E">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17.3</w:t>
      </w:r>
      <w:r>
        <w:rPr>
          <w:rFonts w:hint="eastAsia" w:ascii="宋体" w:hAnsi="宋体" w:eastAsia="宋体" w:cs="宋体"/>
          <w:kern w:val="0"/>
          <w:sz w:val="24"/>
          <w:lang w:val="zh-CN" w:eastAsia="zh-CN"/>
        </w:rPr>
        <w:t>不可抗力使合同的某些内容有变更必要的，双方应通过协商达成进一步履行合同的协议，因不可抗力致使合同不能履行的，合同终止。</w:t>
      </w:r>
    </w:p>
    <w:p w14:paraId="39419312">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18.</w:t>
      </w:r>
      <w:r>
        <w:rPr>
          <w:rFonts w:hint="eastAsia" w:ascii="宋体" w:hAnsi="宋体" w:eastAsia="宋体" w:cs="宋体"/>
          <w:b/>
          <w:bCs/>
          <w:kern w:val="0"/>
          <w:sz w:val="24"/>
          <w:lang w:val="zh-CN"/>
        </w:rPr>
        <w:t>税费</w:t>
      </w:r>
    </w:p>
    <w:p w14:paraId="7D76E756">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zh-CN" w:eastAsia="zh-CN"/>
        </w:rPr>
        <w:t>与本合同有关的一切税费均由乙方承担。</w:t>
      </w:r>
    </w:p>
    <w:p w14:paraId="1DAE4465">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19.</w:t>
      </w:r>
      <w:r>
        <w:rPr>
          <w:rFonts w:hint="eastAsia" w:ascii="宋体" w:hAnsi="宋体" w:eastAsia="宋体" w:cs="宋体"/>
          <w:b/>
          <w:bCs/>
          <w:kern w:val="0"/>
          <w:sz w:val="24"/>
          <w:lang w:val="zh-CN"/>
        </w:rPr>
        <w:t>合同争议的解决</w:t>
      </w:r>
    </w:p>
    <w:p w14:paraId="67A7B354">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19.1</w:t>
      </w:r>
      <w:r>
        <w:rPr>
          <w:rFonts w:hint="eastAsia" w:ascii="Times New Roman" w:hAnsi="Times New Roman" w:eastAsia="宋体" w:cs="Times New Roman"/>
          <w:sz w:val="24"/>
          <w:lang w:val="zh-CN" w:eastAsia="zh-CN"/>
        </w:rPr>
        <w:t>甲方和乙方由于本合同的履行而发生任何争议时，双方可先通过协商解决。</w:t>
      </w:r>
    </w:p>
    <w:p w14:paraId="347FC20D">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ascii="宋体" w:hAnsi="宋体" w:eastAsia="宋体" w:cs="宋体"/>
          <w:kern w:val="0"/>
          <w:sz w:val="24"/>
        </w:rPr>
      </w:pPr>
      <w:r>
        <w:rPr>
          <w:rFonts w:hint="eastAsia" w:ascii="Times New Roman" w:hAnsi="Times New Roman" w:eastAsia="宋体" w:cs="Times New Roman"/>
          <w:sz w:val="24"/>
          <w:lang w:val="en-US" w:eastAsia="zh-CN"/>
        </w:rPr>
        <w:t>19.2</w:t>
      </w:r>
      <w:r>
        <w:rPr>
          <w:rFonts w:hint="eastAsia" w:ascii="Times New Roman" w:hAnsi="Times New Roman" w:eastAsia="宋体" w:cs="Times New Roman"/>
          <w:sz w:val="24"/>
          <w:lang w:val="zh-CN" w:eastAsia="zh-CN"/>
        </w:rPr>
        <w:t>任何一方不愿通过协商或通过协商仍不能解决争议，则双方中任何一方均应向甲方所在地人民法院起诉。</w:t>
      </w:r>
    </w:p>
    <w:p w14:paraId="37B45D61">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20.</w:t>
      </w:r>
      <w:r>
        <w:rPr>
          <w:rFonts w:hint="eastAsia" w:ascii="宋体" w:hAnsi="宋体" w:eastAsia="宋体" w:cs="宋体"/>
          <w:b/>
          <w:bCs/>
          <w:kern w:val="0"/>
          <w:sz w:val="24"/>
          <w:lang w:val="zh-CN"/>
        </w:rPr>
        <w:t>违约解除合同</w:t>
      </w:r>
    </w:p>
    <w:p w14:paraId="6086F0DE">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20.1</w:t>
      </w:r>
      <w:r>
        <w:rPr>
          <w:rFonts w:hint="eastAsia" w:ascii="Times New Roman" w:hAnsi="Times New Roman" w:eastAsia="宋体" w:cs="Times New Roman"/>
          <w:sz w:val="24"/>
          <w:lang w:val="zh-CN" w:eastAsia="zh-CN"/>
        </w:rPr>
        <w:t>出现下列情形之一的，视为乙方违约。甲方可向乙方发出书面通知，部分或全部终止合同，同时保留向乙方索赔的权利。</w:t>
      </w:r>
    </w:p>
    <w:p w14:paraId="3016AFB6">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20.2</w:t>
      </w:r>
      <w:r>
        <w:rPr>
          <w:rFonts w:hint="eastAsia" w:ascii="Times New Roman" w:hAnsi="Times New Roman" w:eastAsia="宋体" w:cs="Times New Roman"/>
          <w:sz w:val="24"/>
          <w:lang w:val="zh-CN" w:eastAsia="zh-CN"/>
        </w:rPr>
        <w:t>乙方未能在合同规定的限期或甲方同意延长的限期内，提供全部或部分货物的；</w:t>
      </w:r>
    </w:p>
    <w:p w14:paraId="1DF78949">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20.3</w:t>
      </w:r>
      <w:r>
        <w:rPr>
          <w:rFonts w:hint="eastAsia" w:ascii="Times New Roman" w:hAnsi="Times New Roman" w:eastAsia="宋体" w:cs="Times New Roman"/>
          <w:sz w:val="24"/>
          <w:lang w:val="zh-CN" w:eastAsia="zh-CN"/>
        </w:rPr>
        <w:t>乙方未能履行合同规定的其它主要义务的；</w:t>
      </w:r>
    </w:p>
    <w:p w14:paraId="4155AAC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20.4</w:t>
      </w:r>
      <w:r>
        <w:rPr>
          <w:rFonts w:hint="eastAsia" w:ascii="Times New Roman" w:hAnsi="Times New Roman" w:eastAsia="宋体" w:cs="Times New Roman"/>
          <w:sz w:val="24"/>
          <w:lang w:val="zh-CN" w:eastAsia="zh-CN"/>
        </w:rPr>
        <w:t>乙方在本合同履行过程中有欺诈行为的。</w:t>
      </w:r>
    </w:p>
    <w:p w14:paraId="59303733">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en-US" w:eastAsia="zh-CN"/>
        </w:rPr>
        <w:t>20.5</w:t>
      </w:r>
      <w:r>
        <w:rPr>
          <w:rFonts w:hint="eastAsia" w:ascii="Times New Roman" w:hAnsi="Times New Roman" w:eastAsia="宋体" w:cs="Times New Roman"/>
          <w:sz w:val="24"/>
          <w:lang w:val="zh-CN" w:eastAsia="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B7F0235">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21.</w:t>
      </w:r>
      <w:r>
        <w:rPr>
          <w:rFonts w:hint="eastAsia" w:ascii="宋体" w:hAnsi="宋体" w:eastAsia="宋体" w:cs="宋体"/>
          <w:b/>
          <w:bCs/>
          <w:kern w:val="0"/>
          <w:sz w:val="24"/>
          <w:lang w:val="zh-CN"/>
        </w:rPr>
        <w:t>破产终止合同</w:t>
      </w:r>
    </w:p>
    <w:p w14:paraId="6222728F">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7CF6F120">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22.</w:t>
      </w:r>
      <w:r>
        <w:rPr>
          <w:rFonts w:hint="eastAsia" w:ascii="宋体" w:hAnsi="宋体" w:eastAsia="宋体" w:cs="宋体"/>
          <w:b/>
          <w:bCs/>
          <w:kern w:val="0"/>
          <w:sz w:val="24"/>
          <w:lang w:val="zh-CN"/>
        </w:rPr>
        <w:t>转让和分包</w:t>
      </w:r>
    </w:p>
    <w:p w14:paraId="6CE16905">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en-US" w:eastAsia="zh-CN"/>
        </w:rPr>
        <w:t>22.1</w:t>
      </w:r>
      <w:r>
        <w:rPr>
          <w:rFonts w:hint="eastAsia" w:ascii="Times New Roman" w:hAnsi="Times New Roman" w:eastAsia="宋体" w:cs="Times New Roman"/>
          <w:sz w:val="24"/>
          <w:lang w:val="zh-CN" w:eastAsia="zh-CN"/>
        </w:rPr>
        <w:t>政府采购合同不能转让。</w:t>
      </w:r>
    </w:p>
    <w:p w14:paraId="65F4FA3E">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en-US" w:eastAsia="zh-CN"/>
        </w:rPr>
        <w:t>22.2</w:t>
      </w:r>
      <w:r>
        <w:rPr>
          <w:rFonts w:hint="eastAsia" w:ascii="Times New Roman" w:hAnsi="Times New Roman" w:eastAsia="宋体" w:cs="Times New Roman"/>
          <w:sz w:val="24"/>
          <w:lang w:val="zh-CN" w:eastAsia="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F434111">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23.</w:t>
      </w:r>
      <w:r>
        <w:rPr>
          <w:rFonts w:hint="eastAsia" w:ascii="宋体" w:hAnsi="宋体" w:eastAsia="宋体" w:cs="宋体"/>
          <w:b/>
          <w:bCs/>
          <w:kern w:val="0"/>
          <w:sz w:val="24"/>
          <w:lang w:val="zh-CN"/>
        </w:rPr>
        <w:t>合同修改</w:t>
      </w:r>
    </w:p>
    <w:p w14:paraId="0BC92A08">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eastAsia="宋体" w:cs="宋体"/>
          <w:kern w:val="0"/>
          <w:sz w:val="24"/>
        </w:rPr>
      </w:pPr>
      <w:r>
        <w:rPr>
          <w:rFonts w:hint="eastAsia" w:ascii="宋体" w:hAnsi="宋体" w:eastAsia="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344E768D">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24.</w:t>
      </w:r>
      <w:r>
        <w:rPr>
          <w:rFonts w:hint="eastAsia" w:ascii="宋体" w:hAnsi="宋体" w:eastAsia="宋体" w:cs="宋体"/>
          <w:b/>
          <w:bCs/>
          <w:kern w:val="0"/>
          <w:sz w:val="24"/>
          <w:lang w:val="zh-CN"/>
        </w:rPr>
        <w:t>通知</w:t>
      </w:r>
    </w:p>
    <w:p w14:paraId="254EFD1A">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eastAsia="宋体" w:cs="宋体"/>
          <w:kern w:val="0"/>
          <w:sz w:val="24"/>
        </w:rPr>
      </w:pPr>
      <w:r>
        <w:rPr>
          <w:rFonts w:hint="eastAsia" w:ascii="宋体" w:hAnsi="宋体" w:eastAsia="宋体" w:cs="宋体"/>
          <w:kern w:val="0"/>
          <w:sz w:val="24"/>
          <w:lang w:val="zh-CN"/>
        </w:rPr>
        <w:t>本合同任何一方给另一方的通知，都应以书面形式发送，而另一方也应以书面形式确认并发送到对方明确的地址。</w:t>
      </w:r>
    </w:p>
    <w:p w14:paraId="379F2CFC">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25.</w:t>
      </w:r>
      <w:r>
        <w:rPr>
          <w:rFonts w:hint="eastAsia" w:ascii="宋体" w:hAnsi="宋体" w:eastAsia="宋体" w:cs="宋体"/>
          <w:b/>
          <w:bCs/>
          <w:kern w:val="0"/>
          <w:sz w:val="24"/>
          <w:lang w:val="zh-CN"/>
        </w:rPr>
        <w:t>计量单位</w:t>
      </w:r>
    </w:p>
    <w:p w14:paraId="67D667F9">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eastAsia="宋体" w:cs="宋体"/>
          <w:kern w:val="0"/>
          <w:sz w:val="24"/>
        </w:rPr>
      </w:pPr>
      <w:r>
        <w:rPr>
          <w:rFonts w:hint="eastAsia" w:ascii="宋体" w:hAnsi="宋体" w:eastAsia="宋体" w:cs="宋体"/>
          <w:kern w:val="0"/>
          <w:sz w:val="24"/>
          <w:lang w:val="zh-CN"/>
        </w:rPr>
        <w:t>除技术规范中另有规定外</w:t>
      </w:r>
      <w:r>
        <w:rPr>
          <w:rFonts w:hint="eastAsia" w:ascii="宋体" w:hAnsi="宋体" w:eastAsia="宋体" w:cs="宋体"/>
          <w:kern w:val="0"/>
          <w:sz w:val="24"/>
        </w:rPr>
        <w:t>,</w:t>
      </w:r>
      <w:r>
        <w:rPr>
          <w:rFonts w:hint="eastAsia" w:ascii="宋体" w:hAnsi="宋体" w:eastAsia="宋体" w:cs="宋体"/>
          <w:kern w:val="0"/>
          <w:sz w:val="24"/>
          <w:lang w:val="zh-CN"/>
        </w:rPr>
        <w:t>计量单位均使用国家法定计量单位。</w:t>
      </w:r>
    </w:p>
    <w:p w14:paraId="04F7BB71">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26.</w:t>
      </w:r>
      <w:r>
        <w:rPr>
          <w:rFonts w:hint="eastAsia" w:ascii="宋体" w:hAnsi="宋体" w:eastAsia="宋体" w:cs="宋体"/>
          <w:b/>
          <w:bCs/>
          <w:kern w:val="0"/>
          <w:sz w:val="24"/>
          <w:lang w:val="zh-CN"/>
        </w:rPr>
        <w:t>适用法律</w:t>
      </w:r>
    </w:p>
    <w:p w14:paraId="66B0E85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jc w:val="both"/>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本合同按照中华人民共和国的相关法律进行解释。</w:t>
      </w:r>
    </w:p>
    <w:p w14:paraId="23BFE3A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jc w:val="both"/>
        <w:textAlignment w:val="auto"/>
        <w:rPr>
          <w:rFonts w:hint="eastAsia" w:ascii="宋体" w:hAnsi="宋体" w:eastAsia="宋体" w:cs="宋体"/>
          <w:kern w:val="0"/>
          <w:sz w:val="24"/>
          <w:lang w:val="zh-CN"/>
        </w:rPr>
      </w:pPr>
    </w:p>
    <w:p w14:paraId="6C599B8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jc w:val="both"/>
        <w:textAlignment w:val="auto"/>
        <w:rPr>
          <w:rFonts w:hint="eastAsia" w:ascii="宋体" w:hAnsi="宋体" w:eastAsia="宋体" w:cs="宋体"/>
          <w:kern w:val="0"/>
          <w:sz w:val="24"/>
          <w:lang w:val="zh-CN"/>
        </w:rPr>
      </w:pPr>
    </w:p>
    <w:p w14:paraId="4942A3F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jc w:val="both"/>
        <w:textAlignment w:val="auto"/>
        <w:rPr>
          <w:rFonts w:hint="eastAsia" w:ascii="宋体" w:hAnsi="宋体" w:eastAsia="宋体" w:cs="宋体"/>
          <w:kern w:val="0"/>
          <w:sz w:val="24"/>
          <w:lang w:val="zh-CN"/>
        </w:rPr>
      </w:pPr>
    </w:p>
    <w:p w14:paraId="6E82EE0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jc w:val="both"/>
        <w:textAlignment w:val="auto"/>
        <w:rPr>
          <w:rFonts w:hint="eastAsia" w:ascii="宋体" w:hAnsi="宋体" w:eastAsia="宋体" w:cs="宋体"/>
          <w:kern w:val="0"/>
          <w:sz w:val="24"/>
          <w:lang w:val="zh-CN"/>
        </w:rPr>
      </w:pPr>
    </w:p>
    <w:p w14:paraId="6E6C95B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jc w:val="both"/>
        <w:textAlignment w:val="auto"/>
        <w:rPr>
          <w:rFonts w:hint="eastAsia" w:ascii="宋体" w:hAnsi="宋体" w:eastAsia="宋体" w:cs="宋体"/>
          <w:kern w:val="0"/>
          <w:sz w:val="24"/>
          <w:lang w:val="zh-CN"/>
        </w:rPr>
      </w:pPr>
    </w:p>
    <w:p w14:paraId="4CB4905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jc w:val="both"/>
        <w:textAlignment w:val="auto"/>
        <w:rPr>
          <w:rFonts w:hint="eastAsia" w:ascii="宋体" w:hAnsi="宋体" w:eastAsia="宋体" w:cs="宋体"/>
          <w:kern w:val="0"/>
          <w:sz w:val="24"/>
          <w:lang w:val="zh-CN"/>
        </w:rPr>
      </w:pPr>
    </w:p>
    <w:p w14:paraId="1C27296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right="0"/>
        <w:jc w:val="both"/>
        <w:textAlignment w:val="auto"/>
        <w:rPr>
          <w:rFonts w:hint="eastAsia" w:ascii="宋体" w:hAnsi="宋体" w:eastAsia="宋体" w:cs="宋体"/>
          <w:kern w:val="0"/>
          <w:sz w:val="24"/>
          <w:lang w:val="en-US" w:eastAsia="zh-CN"/>
        </w:rPr>
      </w:pPr>
      <w:r>
        <w:drawing>
          <wp:inline distT="0" distB="0" distL="114300" distR="114300">
            <wp:extent cx="5685790" cy="6929755"/>
            <wp:effectExtent l="0" t="0" r="1016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685790" cy="6929755"/>
                    </a:xfrm>
                    <a:prstGeom prst="rect">
                      <a:avLst/>
                    </a:prstGeom>
                    <a:noFill/>
                    <a:ln>
                      <a:noFill/>
                    </a:ln>
                  </pic:spPr>
                </pic:pic>
              </a:graphicData>
            </a:graphic>
          </wp:inline>
        </w:drawing>
      </w:r>
    </w:p>
    <w:p w14:paraId="5EA69B79">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仿宋_GB2312" w:hAnsi="仿宋_GB2312" w:eastAsia="仿宋_GB2312" w:cs="仿宋_GB2312"/>
          <w:b/>
          <w:color w:val="000000"/>
          <w:sz w:val="24"/>
          <w:szCs w:val="24"/>
        </w:rPr>
      </w:pPr>
    </w:p>
    <w:sectPr>
      <w:footerReference r:id="rId3" w:type="default"/>
      <w:pgSz w:w="11906" w:h="16838"/>
      <w:pgMar w:top="1984" w:right="1474" w:bottom="1871" w:left="147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7C1A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40C2F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140C2FB">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64F27"/>
    <w:multiLevelType w:val="singleLevel"/>
    <w:tmpl w:val="5EC64F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N2M4Zjg5NjNlMTIwNTM3NzExZTgyMWQyY2I4NTEifQ=="/>
  </w:docVars>
  <w:rsids>
    <w:rsidRoot w:val="7D9B5E16"/>
    <w:rsid w:val="00006481"/>
    <w:rsid w:val="000166C5"/>
    <w:rsid w:val="00084358"/>
    <w:rsid w:val="00121C90"/>
    <w:rsid w:val="00122324"/>
    <w:rsid w:val="001768DB"/>
    <w:rsid w:val="00183188"/>
    <w:rsid w:val="001C7DCD"/>
    <w:rsid w:val="001E11C2"/>
    <w:rsid w:val="00206DA9"/>
    <w:rsid w:val="00271CB4"/>
    <w:rsid w:val="002A4BE5"/>
    <w:rsid w:val="002C0AA6"/>
    <w:rsid w:val="002E19DB"/>
    <w:rsid w:val="00326443"/>
    <w:rsid w:val="003B643A"/>
    <w:rsid w:val="003B74A3"/>
    <w:rsid w:val="004D7437"/>
    <w:rsid w:val="004F33F8"/>
    <w:rsid w:val="00505383"/>
    <w:rsid w:val="00522F57"/>
    <w:rsid w:val="00557010"/>
    <w:rsid w:val="005A2B4D"/>
    <w:rsid w:val="00666B45"/>
    <w:rsid w:val="00690814"/>
    <w:rsid w:val="00707456"/>
    <w:rsid w:val="00754C86"/>
    <w:rsid w:val="00757426"/>
    <w:rsid w:val="00765CD0"/>
    <w:rsid w:val="00771458"/>
    <w:rsid w:val="00792475"/>
    <w:rsid w:val="007A2806"/>
    <w:rsid w:val="007C7AB3"/>
    <w:rsid w:val="00842B18"/>
    <w:rsid w:val="008800BC"/>
    <w:rsid w:val="009549FE"/>
    <w:rsid w:val="00960F2F"/>
    <w:rsid w:val="009E50DB"/>
    <w:rsid w:val="00AA5FF9"/>
    <w:rsid w:val="00AB0A94"/>
    <w:rsid w:val="00AF0A40"/>
    <w:rsid w:val="00B220CC"/>
    <w:rsid w:val="00B97C5F"/>
    <w:rsid w:val="00BD362E"/>
    <w:rsid w:val="00C11637"/>
    <w:rsid w:val="00C666C1"/>
    <w:rsid w:val="00CC1D59"/>
    <w:rsid w:val="00CD542B"/>
    <w:rsid w:val="00CE550F"/>
    <w:rsid w:val="00D57622"/>
    <w:rsid w:val="00DF227A"/>
    <w:rsid w:val="00E15B73"/>
    <w:rsid w:val="00E42A5D"/>
    <w:rsid w:val="00E70C7C"/>
    <w:rsid w:val="00EB030E"/>
    <w:rsid w:val="00ED1D3E"/>
    <w:rsid w:val="00FC506E"/>
    <w:rsid w:val="00FE3567"/>
    <w:rsid w:val="00FF10E5"/>
    <w:rsid w:val="011A24F4"/>
    <w:rsid w:val="01414F54"/>
    <w:rsid w:val="01BA61B0"/>
    <w:rsid w:val="025649A5"/>
    <w:rsid w:val="02637B1D"/>
    <w:rsid w:val="02664A99"/>
    <w:rsid w:val="02A9297E"/>
    <w:rsid w:val="02CB1CF7"/>
    <w:rsid w:val="02CF7A3A"/>
    <w:rsid w:val="03442F30"/>
    <w:rsid w:val="036A1510"/>
    <w:rsid w:val="03990047"/>
    <w:rsid w:val="03A34D06"/>
    <w:rsid w:val="03D90444"/>
    <w:rsid w:val="0410030A"/>
    <w:rsid w:val="04351B1E"/>
    <w:rsid w:val="04474517"/>
    <w:rsid w:val="04D56251"/>
    <w:rsid w:val="04DE17B1"/>
    <w:rsid w:val="05210BC9"/>
    <w:rsid w:val="055D0822"/>
    <w:rsid w:val="056913B5"/>
    <w:rsid w:val="05726DA2"/>
    <w:rsid w:val="05975A9E"/>
    <w:rsid w:val="05E12013"/>
    <w:rsid w:val="05FD3580"/>
    <w:rsid w:val="06144943"/>
    <w:rsid w:val="0624278B"/>
    <w:rsid w:val="06901F55"/>
    <w:rsid w:val="06F2641E"/>
    <w:rsid w:val="07424B72"/>
    <w:rsid w:val="07867AF5"/>
    <w:rsid w:val="08420CAE"/>
    <w:rsid w:val="0891104C"/>
    <w:rsid w:val="09045F63"/>
    <w:rsid w:val="095A3B17"/>
    <w:rsid w:val="09B3411F"/>
    <w:rsid w:val="0A067AB9"/>
    <w:rsid w:val="0A232419"/>
    <w:rsid w:val="0A326B00"/>
    <w:rsid w:val="0A536242"/>
    <w:rsid w:val="0A801DDE"/>
    <w:rsid w:val="0A8E7A66"/>
    <w:rsid w:val="0AED28F4"/>
    <w:rsid w:val="0B2B4C7E"/>
    <w:rsid w:val="0B626F71"/>
    <w:rsid w:val="0BB54002"/>
    <w:rsid w:val="0C440AE6"/>
    <w:rsid w:val="0C5E598A"/>
    <w:rsid w:val="0C661388"/>
    <w:rsid w:val="0CA87A52"/>
    <w:rsid w:val="0CCF5917"/>
    <w:rsid w:val="0D256ADD"/>
    <w:rsid w:val="0D2F7EBB"/>
    <w:rsid w:val="0D616E1A"/>
    <w:rsid w:val="0D711167"/>
    <w:rsid w:val="0DB456D2"/>
    <w:rsid w:val="0DC739FA"/>
    <w:rsid w:val="0DCD4B64"/>
    <w:rsid w:val="0E1B17A7"/>
    <w:rsid w:val="0E576B35"/>
    <w:rsid w:val="0E6A426E"/>
    <w:rsid w:val="0E783BEB"/>
    <w:rsid w:val="0E874D29"/>
    <w:rsid w:val="0E930373"/>
    <w:rsid w:val="0EBE0962"/>
    <w:rsid w:val="0EEB56E8"/>
    <w:rsid w:val="0EF7102E"/>
    <w:rsid w:val="0F8751F8"/>
    <w:rsid w:val="10066A65"/>
    <w:rsid w:val="105A3B37"/>
    <w:rsid w:val="109055EB"/>
    <w:rsid w:val="10BE3571"/>
    <w:rsid w:val="10CD30DE"/>
    <w:rsid w:val="10DE48CA"/>
    <w:rsid w:val="10EA5A3E"/>
    <w:rsid w:val="110C00AB"/>
    <w:rsid w:val="11731ED8"/>
    <w:rsid w:val="11D91F00"/>
    <w:rsid w:val="11F052D6"/>
    <w:rsid w:val="11FB2BE7"/>
    <w:rsid w:val="120C7C36"/>
    <w:rsid w:val="12400F8A"/>
    <w:rsid w:val="1289645E"/>
    <w:rsid w:val="138E3F2A"/>
    <w:rsid w:val="13D2255B"/>
    <w:rsid w:val="14290F74"/>
    <w:rsid w:val="14403E41"/>
    <w:rsid w:val="14526E5B"/>
    <w:rsid w:val="152116FE"/>
    <w:rsid w:val="1532490E"/>
    <w:rsid w:val="15E94352"/>
    <w:rsid w:val="160A7634"/>
    <w:rsid w:val="168227FD"/>
    <w:rsid w:val="16932406"/>
    <w:rsid w:val="17602EFE"/>
    <w:rsid w:val="17893D20"/>
    <w:rsid w:val="17B514B3"/>
    <w:rsid w:val="1802614F"/>
    <w:rsid w:val="181531AE"/>
    <w:rsid w:val="181D2B9D"/>
    <w:rsid w:val="185A675A"/>
    <w:rsid w:val="18664544"/>
    <w:rsid w:val="188E5ACF"/>
    <w:rsid w:val="18C211CC"/>
    <w:rsid w:val="18D07C10"/>
    <w:rsid w:val="19227628"/>
    <w:rsid w:val="19922AAB"/>
    <w:rsid w:val="19E10B40"/>
    <w:rsid w:val="19F636A6"/>
    <w:rsid w:val="1A3A17E5"/>
    <w:rsid w:val="1A3B28F2"/>
    <w:rsid w:val="1A977682"/>
    <w:rsid w:val="1ACC3E1B"/>
    <w:rsid w:val="1AD11780"/>
    <w:rsid w:val="1AF5395E"/>
    <w:rsid w:val="1B662DBF"/>
    <w:rsid w:val="1C2F5B31"/>
    <w:rsid w:val="1C7134B8"/>
    <w:rsid w:val="1C8A23DA"/>
    <w:rsid w:val="1CAC2742"/>
    <w:rsid w:val="1CF71C0F"/>
    <w:rsid w:val="1D7542D0"/>
    <w:rsid w:val="1D9A4A78"/>
    <w:rsid w:val="1E0A4D56"/>
    <w:rsid w:val="1E1E766F"/>
    <w:rsid w:val="1E2F4669"/>
    <w:rsid w:val="1E662D79"/>
    <w:rsid w:val="1E8A0861"/>
    <w:rsid w:val="1EED3CFC"/>
    <w:rsid w:val="1EF65831"/>
    <w:rsid w:val="1F1D4355"/>
    <w:rsid w:val="1F544598"/>
    <w:rsid w:val="1F745799"/>
    <w:rsid w:val="1F8548EC"/>
    <w:rsid w:val="1F971273"/>
    <w:rsid w:val="1FBC4A4A"/>
    <w:rsid w:val="201725C8"/>
    <w:rsid w:val="20525060"/>
    <w:rsid w:val="207F0C88"/>
    <w:rsid w:val="20817015"/>
    <w:rsid w:val="21627873"/>
    <w:rsid w:val="21C422F5"/>
    <w:rsid w:val="224F7DF7"/>
    <w:rsid w:val="2272669E"/>
    <w:rsid w:val="2277275A"/>
    <w:rsid w:val="227F4D71"/>
    <w:rsid w:val="2280389A"/>
    <w:rsid w:val="229346F0"/>
    <w:rsid w:val="22C8070E"/>
    <w:rsid w:val="22D4654E"/>
    <w:rsid w:val="2322550C"/>
    <w:rsid w:val="23857832"/>
    <w:rsid w:val="238C6E29"/>
    <w:rsid w:val="24080473"/>
    <w:rsid w:val="244A6AC8"/>
    <w:rsid w:val="247C2A7C"/>
    <w:rsid w:val="24FD76C4"/>
    <w:rsid w:val="25A60401"/>
    <w:rsid w:val="263317DE"/>
    <w:rsid w:val="26806F3F"/>
    <w:rsid w:val="26B0198D"/>
    <w:rsid w:val="27094265"/>
    <w:rsid w:val="270D202F"/>
    <w:rsid w:val="27266515"/>
    <w:rsid w:val="272E26D1"/>
    <w:rsid w:val="278F5CF9"/>
    <w:rsid w:val="281C705A"/>
    <w:rsid w:val="28773DCD"/>
    <w:rsid w:val="28ED597C"/>
    <w:rsid w:val="294F4B81"/>
    <w:rsid w:val="29907531"/>
    <w:rsid w:val="29E17ECF"/>
    <w:rsid w:val="2A176595"/>
    <w:rsid w:val="2A246B9F"/>
    <w:rsid w:val="2A4A04BE"/>
    <w:rsid w:val="2A4D7312"/>
    <w:rsid w:val="2A6B2122"/>
    <w:rsid w:val="2AA35184"/>
    <w:rsid w:val="2ADE5E46"/>
    <w:rsid w:val="2B193B9D"/>
    <w:rsid w:val="2B78699C"/>
    <w:rsid w:val="2BFA3C80"/>
    <w:rsid w:val="2C0E487F"/>
    <w:rsid w:val="2C2E5CBB"/>
    <w:rsid w:val="2C934D84"/>
    <w:rsid w:val="2CC30608"/>
    <w:rsid w:val="2D1E0AF2"/>
    <w:rsid w:val="2D6C5D01"/>
    <w:rsid w:val="2DDD46C4"/>
    <w:rsid w:val="2DED5187"/>
    <w:rsid w:val="2E1D349F"/>
    <w:rsid w:val="2E3A195C"/>
    <w:rsid w:val="2E81758A"/>
    <w:rsid w:val="2E917B93"/>
    <w:rsid w:val="2F173B14"/>
    <w:rsid w:val="2F3C74E6"/>
    <w:rsid w:val="2F4862FA"/>
    <w:rsid w:val="2F7A1819"/>
    <w:rsid w:val="2F7B1CC0"/>
    <w:rsid w:val="2FD74D0A"/>
    <w:rsid w:val="301F34FF"/>
    <w:rsid w:val="30B46ED7"/>
    <w:rsid w:val="30CB71E3"/>
    <w:rsid w:val="30D84A6D"/>
    <w:rsid w:val="30E91417"/>
    <w:rsid w:val="31CD6FAF"/>
    <w:rsid w:val="31CF3F47"/>
    <w:rsid w:val="322C3CB1"/>
    <w:rsid w:val="330B7B68"/>
    <w:rsid w:val="33541711"/>
    <w:rsid w:val="337A3F9C"/>
    <w:rsid w:val="338A56D7"/>
    <w:rsid w:val="340547BA"/>
    <w:rsid w:val="34184F37"/>
    <w:rsid w:val="342873FA"/>
    <w:rsid w:val="342C7F98"/>
    <w:rsid w:val="348875DC"/>
    <w:rsid w:val="348E2A01"/>
    <w:rsid w:val="34AC732B"/>
    <w:rsid w:val="34C74165"/>
    <w:rsid w:val="35061DD1"/>
    <w:rsid w:val="35610116"/>
    <w:rsid w:val="356B65D3"/>
    <w:rsid w:val="35B5220F"/>
    <w:rsid w:val="37EB3CC7"/>
    <w:rsid w:val="381009F4"/>
    <w:rsid w:val="38177AC2"/>
    <w:rsid w:val="38330237"/>
    <w:rsid w:val="388B0EB7"/>
    <w:rsid w:val="38C22C79"/>
    <w:rsid w:val="38CA4224"/>
    <w:rsid w:val="397C3770"/>
    <w:rsid w:val="399218BB"/>
    <w:rsid w:val="39E61C93"/>
    <w:rsid w:val="3AD61226"/>
    <w:rsid w:val="3AF96301"/>
    <w:rsid w:val="3AFB5E8D"/>
    <w:rsid w:val="3B730DDD"/>
    <w:rsid w:val="3B750477"/>
    <w:rsid w:val="3BD30B48"/>
    <w:rsid w:val="3C0E6A8C"/>
    <w:rsid w:val="3C1A101E"/>
    <w:rsid w:val="3C72377A"/>
    <w:rsid w:val="3CA76DA6"/>
    <w:rsid w:val="3CCE50CD"/>
    <w:rsid w:val="3CDA061D"/>
    <w:rsid w:val="3D4C7081"/>
    <w:rsid w:val="3D947611"/>
    <w:rsid w:val="3D9F3525"/>
    <w:rsid w:val="3DCC1178"/>
    <w:rsid w:val="3DF02037"/>
    <w:rsid w:val="3E004C98"/>
    <w:rsid w:val="3E3B0987"/>
    <w:rsid w:val="3E6F1C2A"/>
    <w:rsid w:val="3F000963"/>
    <w:rsid w:val="3F147FA7"/>
    <w:rsid w:val="3FCC1BB2"/>
    <w:rsid w:val="3FD339BE"/>
    <w:rsid w:val="3FFA1B0C"/>
    <w:rsid w:val="407E181D"/>
    <w:rsid w:val="40B76E3C"/>
    <w:rsid w:val="40B97554"/>
    <w:rsid w:val="40D53766"/>
    <w:rsid w:val="41130DF2"/>
    <w:rsid w:val="41CA16B4"/>
    <w:rsid w:val="42A1240A"/>
    <w:rsid w:val="42A67168"/>
    <w:rsid w:val="43803F8D"/>
    <w:rsid w:val="44107D9B"/>
    <w:rsid w:val="446B71A2"/>
    <w:rsid w:val="44D22496"/>
    <w:rsid w:val="455D74E7"/>
    <w:rsid w:val="45947D5B"/>
    <w:rsid w:val="45EE208A"/>
    <w:rsid w:val="460515BC"/>
    <w:rsid w:val="463F7FFF"/>
    <w:rsid w:val="46B80BAA"/>
    <w:rsid w:val="46BF3A76"/>
    <w:rsid w:val="47152B0E"/>
    <w:rsid w:val="47176167"/>
    <w:rsid w:val="477A0BC3"/>
    <w:rsid w:val="47C462E6"/>
    <w:rsid w:val="47CF0B1D"/>
    <w:rsid w:val="47E23378"/>
    <w:rsid w:val="481635C9"/>
    <w:rsid w:val="484C07B1"/>
    <w:rsid w:val="498779AB"/>
    <w:rsid w:val="4989333F"/>
    <w:rsid w:val="49C90BDD"/>
    <w:rsid w:val="49EA0282"/>
    <w:rsid w:val="49ED38CE"/>
    <w:rsid w:val="4AD87F7A"/>
    <w:rsid w:val="4AE72A13"/>
    <w:rsid w:val="4B9F2679"/>
    <w:rsid w:val="4C8D39F2"/>
    <w:rsid w:val="4CB10ACF"/>
    <w:rsid w:val="4CC01E86"/>
    <w:rsid w:val="4CEA4B1C"/>
    <w:rsid w:val="4CEE0089"/>
    <w:rsid w:val="4D1E52BF"/>
    <w:rsid w:val="4D2B7562"/>
    <w:rsid w:val="4DDB03B5"/>
    <w:rsid w:val="4DED4A76"/>
    <w:rsid w:val="4E575D78"/>
    <w:rsid w:val="4E736BF3"/>
    <w:rsid w:val="4ECF5C98"/>
    <w:rsid w:val="4ED72EBD"/>
    <w:rsid w:val="4EE202E0"/>
    <w:rsid w:val="4F5C1D7A"/>
    <w:rsid w:val="50076CCC"/>
    <w:rsid w:val="510734C7"/>
    <w:rsid w:val="51204589"/>
    <w:rsid w:val="51271052"/>
    <w:rsid w:val="51501312"/>
    <w:rsid w:val="5176769E"/>
    <w:rsid w:val="519017FF"/>
    <w:rsid w:val="51B22AB2"/>
    <w:rsid w:val="51FE73D1"/>
    <w:rsid w:val="53534733"/>
    <w:rsid w:val="535B4140"/>
    <w:rsid w:val="53802C1A"/>
    <w:rsid w:val="53B41740"/>
    <w:rsid w:val="53C51418"/>
    <w:rsid w:val="53E9079A"/>
    <w:rsid w:val="5415414D"/>
    <w:rsid w:val="545339F1"/>
    <w:rsid w:val="54AB36A4"/>
    <w:rsid w:val="54CD67D6"/>
    <w:rsid w:val="5571016F"/>
    <w:rsid w:val="557F61CB"/>
    <w:rsid w:val="55B04C26"/>
    <w:rsid w:val="55F51E57"/>
    <w:rsid w:val="56BC4D54"/>
    <w:rsid w:val="57201787"/>
    <w:rsid w:val="57F27B11"/>
    <w:rsid w:val="5802693E"/>
    <w:rsid w:val="587D00AE"/>
    <w:rsid w:val="58EA02FF"/>
    <w:rsid w:val="591C7D2C"/>
    <w:rsid w:val="59361F1D"/>
    <w:rsid w:val="59777658"/>
    <w:rsid w:val="59BD5415"/>
    <w:rsid w:val="5A755946"/>
    <w:rsid w:val="5AA26202"/>
    <w:rsid w:val="5AA370E9"/>
    <w:rsid w:val="5AB3646E"/>
    <w:rsid w:val="5AC02939"/>
    <w:rsid w:val="5AEF00AC"/>
    <w:rsid w:val="5B2916BE"/>
    <w:rsid w:val="5BFA2163"/>
    <w:rsid w:val="5CC84CFD"/>
    <w:rsid w:val="5D2E322A"/>
    <w:rsid w:val="5D3E473A"/>
    <w:rsid w:val="5D4A3A21"/>
    <w:rsid w:val="5D6408DE"/>
    <w:rsid w:val="5DA84284"/>
    <w:rsid w:val="5DF94AE0"/>
    <w:rsid w:val="5E1C51EC"/>
    <w:rsid w:val="5E4E4E2C"/>
    <w:rsid w:val="5E814705"/>
    <w:rsid w:val="5E84697B"/>
    <w:rsid w:val="5E993BCD"/>
    <w:rsid w:val="5F8038FF"/>
    <w:rsid w:val="5FC353A5"/>
    <w:rsid w:val="5FFF5CB2"/>
    <w:rsid w:val="60AE2DC5"/>
    <w:rsid w:val="60F25329"/>
    <w:rsid w:val="619C5EAE"/>
    <w:rsid w:val="61B9080E"/>
    <w:rsid w:val="61C3343B"/>
    <w:rsid w:val="61D44299"/>
    <w:rsid w:val="624A5CB4"/>
    <w:rsid w:val="62685D90"/>
    <w:rsid w:val="62DA4137"/>
    <w:rsid w:val="62E657D5"/>
    <w:rsid w:val="62E775FD"/>
    <w:rsid w:val="6423233B"/>
    <w:rsid w:val="648275DD"/>
    <w:rsid w:val="64FD6C64"/>
    <w:rsid w:val="652F2B95"/>
    <w:rsid w:val="659A7E37"/>
    <w:rsid w:val="6601338E"/>
    <w:rsid w:val="661E127D"/>
    <w:rsid w:val="6628294C"/>
    <w:rsid w:val="6658601C"/>
    <w:rsid w:val="666E6D57"/>
    <w:rsid w:val="668C6B1C"/>
    <w:rsid w:val="66CF4630"/>
    <w:rsid w:val="670562A3"/>
    <w:rsid w:val="67466E44"/>
    <w:rsid w:val="67803B7C"/>
    <w:rsid w:val="68751207"/>
    <w:rsid w:val="689A6C6E"/>
    <w:rsid w:val="693764BC"/>
    <w:rsid w:val="69DD52B6"/>
    <w:rsid w:val="6A6D769B"/>
    <w:rsid w:val="6AC11213"/>
    <w:rsid w:val="6AF34358"/>
    <w:rsid w:val="6BB6488D"/>
    <w:rsid w:val="6BC0391C"/>
    <w:rsid w:val="6BE953A9"/>
    <w:rsid w:val="6C375151"/>
    <w:rsid w:val="6C9C3206"/>
    <w:rsid w:val="6CB51DAA"/>
    <w:rsid w:val="6D484EC2"/>
    <w:rsid w:val="6D8223FC"/>
    <w:rsid w:val="6E672B2B"/>
    <w:rsid w:val="6E7D0653"/>
    <w:rsid w:val="6F443BEB"/>
    <w:rsid w:val="6F7922B4"/>
    <w:rsid w:val="6F8A1A3C"/>
    <w:rsid w:val="6FB824BF"/>
    <w:rsid w:val="70626515"/>
    <w:rsid w:val="71133219"/>
    <w:rsid w:val="71B30970"/>
    <w:rsid w:val="71B92164"/>
    <w:rsid w:val="71E64DF1"/>
    <w:rsid w:val="7202096F"/>
    <w:rsid w:val="72B93A9B"/>
    <w:rsid w:val="72C708F5"/>
    <w:rsid w:val="72F0558E"/>
    <w:rsid w:val="73972F2B"/>
    <w:rsid w:val="74157242"/>
    <w:rsid w:val="74DA2B1D"/>
    <w:rsid w:val="75053FA4"/>
    <w:rsid w:val="757F7E3A"/>
    <w:rsid w:val="75BA5E27"/>
    <w:rsid w:val="75BE3D92"/>
    <w:rsid w:val="75DB6ACC"/>
    <w:rsid w:val="76275612"/>
    <w:rsid w:val="76473B85"/>
    <w:rsid w:val="766F2884"/>
    <w:rsid w:val="769E7CED"/>
    <w:rsid w:val="76FE6E62"/>
    <w:rsid w:val="77536BB7"/>
    <w:rsid w:val="777C7EBC"/>
    <w:rsid w:val="77864563"/>
    <w:rsid w:val="77B67A61"/>
    <w:rsid w:val="77C558F3"/>
    <w:rsid w:val="78007DC7"/>
    <w:rsid w:val="78571E88"/>
    <w:rsid w:val="785724B6"/>
    <w:rsid w:val="789A701B"/>
    <w:rsid w:val="789F6743"/>
    <w:rsid w:val="78C0027C"/>
    <w:rsid w:val="79465555"/>
    <w:rsid w:val="794C7BD9"/>
    <w:rsid w:val="79F006ED"/>
    <w:rsid w:val="7A94376E"/>
    <w:rsid w:val="7AA977A4"/>
    <w:rsid w:val="7C355CCF"/>
    <w:rsid w:val="7C4A7545"/>
    <w:rsid w:val="7C7F7EC7"/>
    <w:rsid w:val="7CCC4084"/>
    <w:rsid w:val="7CE5560B"/>
    <w:rsid w:val="7D807742"/>
    <w:rsid w:val="7D821FA4"/>
    <w:rsid w:val="7D9B5E16"/>
    <w:rsid w:val="7DB303AF"/>
    <w:rsid w:val="7DD547CA"/>
    <w:rsid w:val="7DD56578"/>
    <w:rsid w:val="7E143686"/>
    <w:rsid w:val="7E5A55AC"/>
    <w:rsid w:val="7E7F7D0E"/>
    <w:rsid w:val="7E8A7362"/>
    <w:rsid w:val="7EDC56E4"/>
    <w:rsid w:val="7EE73E3D"/>
    <w:rsid w:val="7FBC7F56"/>
    <w:rsid w:val="7FC00A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jc w:val="center"/>
      <w:outlineLvl w:val="0"/>
    </w:pPr>
    <w:rPr>
      <w:b/>
      <w:bCs/>
      <w:sz w:val="24"/>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cs="Courier New"/>
      <w:szCs w:val="21"/>
    </w:rPr>
  </w:style>
  <w:style w:type="paragraph" w:styleId="10">
    <w:name w:val="Balloon Text"/>
    <w:basedOn w:val="1"/>
    <w:link w:val="40"/>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Title"/>
    <w:basedOn w:val="1"/>
    <w:next w:val="1"/>
    <w:qFormat/>
    <w:uiPriority w:val="0"/>
    <w:pPr>
      <w:spacing w:before="240" w:after="60"/>
      <w:jc w:val="center"/>
      <w:outlineLvl w:val="0"/>
    </w:pPr>
    <w:rPr>
      <w:rFonts w:ascii="Cambria" w:hAnsi="Cambria"/>
      <w:b/>
      <w:bCs/>
      <w:sz w:val="36"/>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rFonts w:hint="eastAsia" w:ascii="微软雅黑" w:hAnsi="微软雅黑" w:eastAsia="微软雅黑" w:cs="微软雅黑"/>
      <w:color w:val="02396F"/>
      <w:u w:val="single"/>
    </w:rPr>
  </w:style>
  <w:style w:type="character" w:styleId="23">
    <w:name w:val="Hyperlink"/>
    <w:basedOn w:val="19"/>
    <w:qFormat/>
    <w:uiPriority w:val="0"/>
    <w:rPr>
      <w:rFonts w:ascii="微软雅黑" w:hAnsi="微软雅黑" w:eastAsia="微软雅黑" w:cs="微软雅黑"/>
      <w:color w:val="02396F"/>
      <w:u w:val="single"/>
    </w:rPr>
  </w:style>
  <w:style w:type="character" w:styleId="24">
    <w:name w:val="annotation reference"/>
    <w:basedOn w:val="19"/>
    <w:qFormat/>
    <w:uiPriority w:val="0"/>
    <w:rPr>
      <w:sz w:val="21"/>
      <w:szCs w:val="21"/>
    </w:rPr>
  </w:style>
  <w:style w:type="paragraph" w:customStyle="1" w:styleId="25">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8">
    <w:name w:val="p0"/>
    <w:basedOn w:val="1"/>
    <w:qFormat/>
    <w:uiPriority w:val="0"/>
    <w:pPr>
      <w:widowControl/>
    </w:pPr>
    <w:rPr>
      <w:kern w:val="0"/>
      <w:szCs w:val="21"/>
    </w:rPr>
  </w:style>
  <w:style w:type="paragraph" w:customStyle="1" w:styleId="29">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2">
    <w:name w:val="gjfg"/>
    <w:basedOn w:val="19"/>
    <w:qFormat/>
    <w:uiPriority w:val="0"/>
  </w:style>
  <w:style w:type="character" w:customStyle="1" w:styleId="33">
    <w:name w:val="displayarti"/>
    <w:basedOn w:val="19"/>
    <w:qFormat/>
    <w:uiPriority w:val="0"/>
    <w:rPr>
      <w:color w:val="FFFFFF"/>
      <w:shd w:val="clear" w:color="010000" w:fill="A00000"/>
    </w:rPr>
  </w:style>
  <w:style w:type="character" w:customStyle="1" w:styleId="34">
    <w:name w:val="redfilefwwh"/>
    <w:basedOn w:val="19"/>
    <w:qFormat/>
    <w:uiPriority w:val="0"/>
    <w:rPr>
      <w:color w:val="BA2636"/>
      <w:sz w:val="14"/>
      <w:szCs w:val="14"/>
    </w:rPr>
  </w:style>
  <w:style w:type="character" w:customStyle="1" w:styleId="35">
    <w:name w:val="redfilenumber"/>
    <w:basedOn w:val="19"/>
    <w:qFormat/>
    <w:uiPriority w:val="0"/>
    <w:rPr>
      <w:color w:val="BA2636"/>
      <w:sz w:val="14"/>
      <w:szCs w:val="14"/>
    </w:rPr>
  </w:style>
  <w:style w:type="character" w:customStyle="1" w:styleId="36">
    <w:name w:val="qxdate"/>
    <w:basedOn w:val="19"/>
    <w:qFormat/>
    <w:uiPriority w:val="0"/>
    <w:rPr>
      <w:color w:val="333333"/>
      <w:sz w:val="14"/>
      <w:szCs w:val="14"/>
    </w:rPr>
  </w:style>
  <w:style w:type="character" w:customStyle="1" w:styleId="37">
    <w:name w:val="cfdate"/>
    <w:basedOn w:val="19"/>
    <w:qFormat/>
    <w:uiPriority w:val="0"/>
    <w:rPr>
      <w:color w:val="333333"/>
      <w:sz w:val="14"/>
      <w:szCs w:val="14"/>
    </w:rPr>
  </w:style>
  <w:style w:type="character" w:customStyle="1" w:styleId="38">
    <w:name w:val="标题 1 Char"/>
    <w:link w:val="2"/>
    <w:qFormat/>
    <w:uiPriority w:val="0"/>
    <w:rPr>
      <w:b/>
      <w:bCs/>
      <w:sz w:val="24"/>
      <w:szCs w:val="20"/>
    </w:rPr>
  </w:style>
  <w:style w:type="character" w:customStyle="1" w:styleId="39">
    <w:name w:val="标题 3 Char"/>
    <w:link w:val="4"/>
    <w:qFormat/>
    <w:uiPriority w:val="0"/>
    <w:rPr>
      <w:b/>
      <w:bCs/>
      <w:sz w:val="32"/>
      <w:szCs w:val="32"/>
    </w:rPr>
  </w:style>
  <w:style w:type="character" w:customStyle="1" w:styleId="40">
    <w:name w:val="批注框文本 Char"/>
    <w:basedOn w:val="19"/>
    <w:link w:val="10"/>
    <w:qFormat/>
    <w:uiPriority w:val="0"/>
    <w:rPr>
      <w:rFonts w:ascii="Times New Roman" w:hAnsi="Times New Roman"/>
      <w:kern w:val="2"/>
      <w:sz w:val="18"/>
      <w:szCs w:val="18"/>
    </w:rPr>
  </w:style>
  <w:style w:type="character" w:customStyle="1" w:styleId="41">
    <w:name w:val="15"/>
    <w:basedOn w:val="19"/>
    <w:qFormat/>
    <w:uiPriority w:val="0"/>
    <w:rPr>
      <w:rFonts w:hint="default" w:ascii="Cambria" w:hAnsi="Cambria" w:eastAsia="Cambria" w:cs="Cambria"/>
    </w:rPr>
  </w:style>
  <w:style w:type="character" w:customStyle="1" w:styleId="42">
    <w:name w:val="10"/>
    <w:basedOn w:val="19"/>
    <w:qFormat/>
    <w:uiPriority w:val="0"/>
    <w:rPr>
      <w:rFonts w:hint="default" w:ascii="Cambria" w:hAnsi="Cambria" w:eastAsia="Cambria" w:cs="Cambria"/>
    </w:rPr>
  </w:style>
  <w:style w:type="paragraph" w:customStyle="1" w:styleId="43">
    <w:name w:val="*正文"/>
    <w:basedOn w:val="1"/>
    <w:autoRedefine/>
    <w:qFormat/>
    <w:uiPriority w:val="0"/>
    <w:pPr>
      <w:spacing w:line="360" w:lineRule="auto"/>
      <w:ind w:firstLine="480" w:firstLineChars="200"/>
    </w:pPr>
    <w:rPr>
      <w:rFonts w:hAnsi="宋体"/>
      <w:kern w:val="0"/>
      <w:sz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23872</Words>
  <Characters>25142</Characters>
  <Lines>1</Lines>
  <Paragraphs>1</Paragraphs>
  <TotalTime>0</TotalTime>
  <ScaleCrop>false</ScaleCrop>
  <LinksUpToDate>false</LinksUpToDate>
  <CharactersWithSpaces>26671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HP</cp:lastModifiedBy>
  <cp:lastPrinted>2020-12-30T07:36:00Z</cp:lastPrinted>
  <dcterms:modified xsi:type="dcterms:W3CDTF">2024-08-24T09:56:40Z</dcterms:modified>
  <dc:title>政府采购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65D2E275272A4ECAA7185BCC4891A288_13</vt:lpwstr>
  </property>
</Properties>
</file>