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A8C0C">
      <w:pPr>
        <w:widowControl/>
        <w:wordWrap/>
        <w:autoSpaceDE w:val="0"/>
        <w:autoSpaceDN w:val="0"/>
        <w:ind w:right="893"/>
        <w:jc w:val="center"/>
        <w:textAlignment w:val="bottom"/>
        <w:rPr>
          <w:rFonts w:hint="eastAsia" w:asciiTheme="minorEastAsia" w:hAnsiTheme="minorEastAsia" w:eastAsiaTheme="minorEastAsia" w:cstheme="minorEastAsia"/>
          <w:color w:val="auto"/>
          <w:sz w:val="44"/>
          <w:szCs w:val="44"/>
          <w:highlight w:val="none"/>
          <w:lang w:eastAsia="zh-CN"/>
        </w:rPr>
      </w:pPr>
      <w:bookmarkStart w:id="0" w:name="_Toc57294092"/>
      <w:bookmarkStart w:id="1" w:name="_Toc57294203"/>
    </w:p>
    <w:p w14:paraId="60F33673">
      <w:pPr>
        <w:widowControl/>
        <w:wordWrap/>
        <w:autoSpaceDE w:val="0"/>
        <w:autoSpaceDN w:val="0"/>
        <w:ind w:right="893"/>
        <w:jc w:val="center"/>
        <w:textAlignment w:val="bottom"/>
        <w:rPr>
          <w:rFonts w:hint="eastAsia" w:asciiTheme="minorEastAsia" w:hAnsiTheme="minorEastAsia" w:eastAsiaTheme="minorEastAsia" w:cstheme="minorEastAsia"/>
          <w:color w:val="auto"/>
          <w:sz w:val="44"/>
          <w:szCs w:val="44"/>
          <w:highlight w:val="none"/>
          <w:lang w:eastAsia="zh-CN"/>
        </w:rPr>
      </w:pPr>
      <w:r>
        <w:rPr>
          <w:rFonts w:hint="eastAsia" w:asciiTheme="minorEastAsia" w:hAnsiTheme="minorEastAsia" w:cstheme="minorEastAsia"/>
          <w:color w:val="auto"/>
          <w:sz w:val="44"/>
          <w:szCs w:val="44"/>
          <w:highlight w:val="none"/>
          <w:lang w:eastAsia="zh-CN"/>
        </w:rPr>
        <w:t>2025-2027年度长春汽车经济技术开发区夏季扫保服务</w:t>
      </w:r>
    </w:p>
    <w:p w14:paraId="22D3012D">
      <w:pPr>
        <w:widowControl/>
        <w:wordWrap w:val="0"/>
        <w:autoSpaceDE w:val="0"/>
        <w:autoSpaceDN w:val="0"/>
        <w:ind w:right="893"/>
        <w:jc w:val="right"/>
        <w:textAlignment w:val="bottom"/>
        <w:rPr>
          <w:rFonts w:hint="eastAsia" w:asciiTheme="minorEastAsia" w:hAnsiTheme="minorEastAsia" w:eastAsiaTheme="minorEastAsia" w:cstheme="minorEastAsia"/>
          <w:color w:val="auto"/>
          <w:sz w:val="28"/>
          <w:szCs w:val="28"/>
          <w:highlight w:val="none"/>
        </w:rPr>
      </w:pPr>
    </w:p>
    <w:p w14:paraId="377993CA">
      <w:pPr>
        <w:widowControl/>
        <w:autoSpaceDE w:val="0"/>
        <w:autoSpaceDN w:val="0"/>
        <w:ind w:right="-26"/>
        <w:jc w:val="center"/>
        <w:textAlignment w:val="bottom"/>
        <w:rPr>
          <w:rFonts w:hint="eastAsia" w:asciiTheme="minorEastAsia" w:hAnsiTheme="minorEastAsia" w:eastAsiaTheme="minorEastAsia" w:cstheme="minorEastAsia"/>
          <w:b/>
          <w:bCs/>
          <w:color w:val="auto"/>
          <w:sz w:val="28"/>
          <w:szCs w:val="28"/>
          <w:highlight w:val="none"/>
        </w:rPr>
      </w:pPr>
    </w:p>
    <w:p w14:paraId="4C001E68">
      <w:pPr>
        <w:widowControl/>
        <w:autoSpaceDE w:val="0"/>
        <w:autoSpaceDN w:val="0"/>
        <w:ind w:right="-26"/>
        <w:jc w:val="both"/>
        <w:textAlignment w:val="bottom"/>
        <w:rPr>
          <w:rFonts w:hint="eastAsia" w:asciiTheme="minorEastAsia" w:hAnsiTheme="minorEastAsia" w:eastAsiaTheme="minorEastAsia" w:cstheme="minorEastAsia"/>
          <w:b/>
          <w:bCs/>
          <w:color w:val="auto"/>
          <w:sz w:val="52"/>
          <w:szCs w:val="52"/>
          <w:highlight w:val="none"/>
        </w:rPr>
      </w:pPr>
    </w:p>
    <w:p w14:paraId="46FF3BA9">
      <w:pPr>
        <w:widowControl/>
        <w:autoSpaceDE w:val="0"/>
        <w:autoSpaceDN w:val="0"/>
        <w:ind w:right="-26"/>
        <w:jc w:val="both"/>
        <w:textAlignment w:val="bottom"/>
        <w:rPr>
          <w:rFonts w:hint="eastAsia" w:asciiTheme="minorEastAsia" w:hAnsiTheme="minorEastAsia" w:eastAsiaTheme="minorEastAsia" w:cstheme="minorEastAsia"/>
          <w:b/>
          <w:bCs/>
          <w:color w:val="auto"/>
          <w:sz w:val="52"/>
          <w:szCs w:val="52"/>
          <w:highlight w:val="none"/>
        </w:rPr>
      </w:pPr>
    </w:p>
    <w:p w14:paraId="0A48DC72">
      <w:pPr>
        <w:widowControl/>
        <w:autoSpaceDE w:val="0"/>
        <w:autoSpaceDN w:val="0"/>
        <w:ind w:right="-26"/>
        <w:jc w:val="center"/>
        <w:textAlignment w:val="bottom"/>
        <w:rPr>
          <w:rFonts w:hint="eastAsia" w:asciiTheme="minorEastAsia" w:hAnsiTheme="minorEastAsia" w:eastAsiaTheme="minorEastAsia" w:cstheme="minorEastAsia"/>
          <w:b/>
          <w:bCs/>
          <w:color w:val="auto"/>
          <w:sz w:val="100"/>
          <w:szCs w:val="100"/>
          <w:highlight w:val="none"/>
        </w:rPr>
      </w:pPr>
      <w:r>
        <w:rPr>
          <w:rFonts w:hint="eastAsia" w:asciiTheme="minorEastAsia" w:hAnsiTheme="minorEastAsia" w:cstheme="minorEastAsia"/>
          <w:b/>
          <w:bCs/>
          <w:color w:val="auto"/>
          <w:sz w:val="100"/>
          <w:szCs w:val="100"/>
          <w:highlight w:val="none"/>
          <w:lang w:eastAsia="zh-CN"/>
        </w:rPr>
        <w:t>招标</w:t>
      </w:r>
      <w:r>
        <w:rPr>
          <w:rFonts w:hint="eastAsia" w:asciiTheme="minorEastAsia" w:hAnsiTheme="minorEastAsia" w:eastAsiaTheme="minorEastAsia" w:cstheme="minorEastAsia"/>
          <w:b/>
          <w:bCs/>
          <w:color w:val="auto"/>
          <w:sz w:val="100"/>
          <w:szCs w:val="100"/>
          <w:highlight w:val="none"/>
        </w:rPr>
        <w:t>文件</w:t>
      </w:r>
    </w:p>
    <w:p w14:paraId="255932B6">
      <w:pPr>
        <w:widowControl/>
        <w:autoSpaceDE w:val="0"/>
        <w:autoSpaceDN w:val="0"/>
        <w:spacing w:line="480" w:lineRule="auto"/>
        <w:ind w:right="-28" w:firstLine="2521" w:firstLineChars="900"/>
        <w:jc w:val="both"/>
        <w:textAlignment w:val="bottom"/>
        <w:rPr>
          <w:rFonts w:hint="default" w:asciiTheme="minorEastAsia" w:hAnsiTheme="minorEastAsia" w:eastAsiaTheme="minorEastAsia" w:cstheme="minorEastAsia"/>
          <w:b/>
          <w:bCs/>
          <w:color w:val="auto"/>
          <w:sz w:val="28"/>
          <w:szCs w:val="28"/>
          <w:highlight w:val="none"/>
          <w:lang w:val="en-US" w:eastAsia="zh-CN"/>
        </w:rPr>
      </w:pPr>
      <w:bookmarkStart w:id="2" w:name="OLE_LINK2"/>
      <w:r>
        <w:rPr>
          <w:rFonts w:hint="eastAsia" w:asciiTheme="minorEastAsia" w:hAnsiTheme="minorEastAsia" w:eastAsiaTheme="minorEastAsia" w:cstheme="minorEastAsia"/>
          <w:b/>
          <w:bCs/>
          <w:color w:val="auto"/>
          <w:sz w:val="28"/>
          <w:szCs w:val="28"/>
          <w:highlight w:val="none"/>
        </w:rPr>
        <w:t>项目编号：</w:t>
      </w:r>
      <w:bookmarkEnd w:id="2"/>
      <w:r>
        <w:rPr>
          <w:rFonts w:hint="eastAsia" w:asciiTheme="minorEastAsia" w:hAnsiTheme="minorEastAsia" w:eastAsiaTheme="minorEastAsia" w:cstheme="minorEastAsia"/>
          <w:b/>
          <w:bCs/>
          <w:color w:val="auto"/>
          <w:sz w:val="28"/>
          <w:szCs w:val="28"/>
          <w:highlight w:val="none"/>
        </w:rPr>
        <w:t>采购计划-[2024]-00102号</w:t>
      </w:r>
    </w:p>
    <w:p w14:paraId="1F6DEFB3">
      <w:pPr>
        <w:widowControl/>
        <w:autoSpaceDE w:val="0"/>
        <w:autoSpaceDN w:val="0"/>
        <w:ind w:right="-26"/>
        <w:jc w:val="center"/>
        <w:textAlignment w:val="bottom"/>
        <w:rPr>
          <w:rFonts w:hint="eastAsia" w:asciiTheme="minorEastAsia" w:hAnsiTheme="minorEastAsia" w:eastAsiaTheme="minorEastAsia" w:cstheme="minorEastAsia"/>
          <w:b/>
          <w:bCs/>
          <w:color w:val="auto"/>
          <w:sz w:val="104"/>
          <w:szCs w:val="104"/>
          <w:highlight w:val="none"/>
        </w:rPr>
      </w:pPr>
    </w:p>
    <w:p w14:paraId="43777869">
      <w:pPr>
        <w:widowControl/>
        <w:autoSpaceDE w:val="0"/>
        <w:autoSpaceDN w:val="0"/>
        <w:ind w:right="-26"/>
        <w:jc w:val="center"/>
        <w:textAlignment w:val="bottom"/>
        <w:rPr>
          <w:rFonts w:hint="eastAsia" w:asciiTheme="minorEastAsia" w:hAnsiTheme="minorEastAsia" w:eastAsiaTheme="minorEastAsia" w:cstheme="minorEastAsia"/>
          <w:b/>
          <w:bCs/>
          <w:color w:val="auto"/>
          <w:sz w:val="30"/>
          <w:szCs w:val="30"/>
          <w:highlight w:val="none"/>
        </w:rPr>
      </w:pPr>
    </w:p>
    <w:p w14:paraId="309C364C">
      <w:pPr>
        <w:widowControl/>
        <w:autoSpaceDE w:val="0"/>
        <w:autoSpaceDN w:val="0"/>
        <w:ind w:right="-26"/>
        <w:jc w:val="center"/>
        <w:textAlignment w:val="bottom"/>
        <w:rPr>
          <w:rFonts w:hint="eastAsia" w:asciiTheme="minorEastAsia" w:hAnsiTheme="minorEastAsia" w:eastAsiaTheme="minorEastAsia" w:cstheme="minorEastAsia"/>
          <w:b/>
          <w:bCs/>
          <w:color w:val="auto"/>
          <w:sz w:val="32"/>
          <w:szCs w:val="32"/>
          <w:highlight w:val="none"/>
        </w:rPr>
      </w:pPr>
    </w:p>
    <w:p w14:paraId="450DDE4A">
      <w:pPr>
        <w:pStyle w:val="10"/>
        <w:rPr>
          <w:rFonts w:hint="eastAsia"/>
        </w:rPr>
      </w:pPr>
    </w:p>
    <w:p w14:paraId="2ABC434D">
      <w:pPr>
        <w:widowControl/>
        <w:autoSpaceDE w:val="0"/>
        <w:autoSpaceDN w:val="0"/>
        <w:spacing w:line="480" w:lineRule="auto"/>
        <w:ind w:right="-28" w:firstLine="560" w:firstLineChars="200"/>
        <w:textAlignment w:val="bottom"/>
        <w:rPr>
          <w:rFonts w:hint="eastAsia" w:asciiTheme="minorEastAsia" w:hAnsiTheme="minorEastAsia" w:eastAsiaTheme="minorEastAsia" w:cstheme="minorEastAsia"/>
          <w:b/>
          <w:bCs/>
          <w:color w:val="auto"/>
          <w:sz w:val="28"/>
          <w:szCs w:val="28"/>
          <w:highlight w:val="none"/>
        </w:rPr>
      </w:pPr>
      <w:bookmarkStart w:id="3" w:name="OLE_LINK23"/>
      <w:bookmarkStart w:id="4" w:name="OLE_LINK11"/>
    </w:p>
    <w:p w14:paraId="24AEDBFB">
      <w:pPr>
        <w:widowControl/>
        <w:autoSpaceDE w:val="0"/>
        <w:autoSpaceDN w:val="0"/>
        <w:spacing w:line="480" w:lineRule="auto"/>
        <w:ind w:right="-28" w:firstLine="560" w:firstLineChars="200"/>
        <w:textAlignment w:val="bottom"/>
        <w:rPr>
          <w:rFonts w:hint="eastAsia" w:asciiTheme="minorEastAsia" w:hAnsiTheme="minorEastAsia" w:eastAsiaTheme="minorEastAsia" w:cstheme="minorEastAsia"/>
          <w:b/>
          <w:bCs/>
          <w:color w:val="auto"/>
          <w:sz w:val="28"/>
          <w:szCs w:val="28"/>
          <w:highlight w:val="none"/>
        </w:rPr>
      </w:pPr>
    </w:p>
    <w:p w14:paraId="67F87DF3">
      <w:pPr>
        <w:widowControl/>
        <w:autoSpaceDE w:val="0"/>
        <w:autoSpaceDN w:val="0"/>
        <w:spacing w:line="480" w:lineRule="auto"/>
        <w:ind w:right="-28" w:firstLine="560" w:firstLineChars="200"/>
        <w:textAlignment w:val="bottom"/>
        <w:rPr>
          <w:rFonts w:hint="eastAsia" w:asciiTheme="minorEastAsia" w:hAnsiTheme="minorEastAsia" w:eastAsiaTheme="minorEastAsia" w:cstheme="minorEastAsia"/>
          <w:b/>
          <w:bCs/>
          <w:color w:val="auto"/>
          <w:sz w:val="28"/>
          <w:szCs w:val="28"/>
          <w:highlight w:val="none"/>
        </w:rPr>
      </w:pPr>
    </w:p>
    <w:p w14:paraId="2C6F4865">
      <w:pPr>
        <w:widowControl/>
        <w:autoSpaceDE w:val="0"/>
        <w:autoSpaceDN w:val="0"/>
        <w:spacing w:line="480" w:lineRule="auto"/>
        <w:ind w:right="-28" w:firstLine="560" w:firstLineChars="200"/>
        <w:textAlignment w:val="bottom"/>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rPr>
        <w:t>采 购 人：</w:t>
      </w:r>
      <w:r>
        <w:rPr>
          <w:rFonts w:hint="eastAsia" w:asciiTheme="minorEastAsia" w:hAnsiTheme="minorEastAsia" w:cstheme="minorEastAsia"/>
          <w:b/>
          <w:bCs/>
          <w:color w:val="auto"/>
          <w:sz w:val="28"/>
          <w:szCs w:val="28"/>
          <w:highlight w:val="none"/>
          <w:lang w:eastAsia="zh-CN"/>
        </w:rPr>
        <w:t>长春汽车经济技术开发区城市管理局</w:t>
      </w:r>
    </w:p>
    <w:bookmarkEnd w:id="3"/>
    <w:bookmarkEnd w:id="4"/>
    <w:p w14:paraId="10CD930F">
      <w:pPr>
        <w:pStyle w:val="17"/>
        <w:ind w:firstLine="560" w:firstLineChars="200"/>
        <w:jc w:val="both"/>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asciiTheme="minorEastAsia" w:hAnsiTheme="minorEastAsia" w:eastAsiaTheme="minorEastAsia" w:cstheme="minorEastAsia"/>
          <w:b/>
          <w:bCs/>
          <w:color w:val="auto"/>
          <w:kern w:val="2"/>
          <w:sz w:val="28"/>
          <w:szCs w:val="28"/>
          <w:highlight w:val="none"/>
          <w:lang w:val="en-US" w:eastAsia="zh-CN" w:bidi="ar-SA"/>
        </w:rPr>
        <w:t>采购代理机构信息：中科天一工程管理有限公司</w:t>
      </w:r>
    </w:p>
    <w:p w14:paraId="37719B37">
      <w:pPr>
        <w:widowControl/>
        <w:jc w:val="center"/>
        <w:rPr>
          <w:rFonts w:hint="eastAsia" w:asciiTheme="minorEastAsia" w:hAnsiTheme="minorEastAsia" w:eastAsiaTheme="minorEastAsia" w:cstheme="minorEastAsia"/>
          <w:b/>
          <w:bCs/>
          <w:color w:val="auto"/>
          <w:kern w:val="2"/>
          <w:sz w:val="28"/>
          <w:szCs w:val="28"/>
          <w:highlight w:val="none"/>
          <w:lang w:val="en-US" w:eastAsia="zh-CN" w:bidi="ar-SA"/>
        </w:rPr>
      </w:pPr>
      <w:r>
        <w:rPr>
          <w:rFonts w:hint="eastAsia" w:asciiTheme="minorEastAsia" w:hAnsiTheme="minorEastAsia" w:eastAsiaTheme="minorEastAsia" w:cstheme="minorEastAsia"/>
          <w:b/>
          <w:bCs/>
          <w:color w:val="auto"/>
          <w:kern w:val="2"/>
          <w:sz w:val="28"/>
          <w:szCs w:val="28"/>
          <w:highlight w:val="none"/>
          <w:lang w:val="en-US" w:eastAsia="zh-CN" w:bidi="ar-SA"/>
        </w:rPr>
        <w:t>2024年1</w:t>
      </w:r>
      <w:r>
        <w:rPr>
          <w:rFonts w:hint="eastAsia" w:asciiTheme="minorEastAsia" w:hAnsiTheme="minorEastAsia" w:cstheme="minorEastAsia"/>
          <w:b/>
          <w:bCs/>
          <w:color w:val="auto"/>
          <w:kern w:val="2"/>
          <w:sz w:val="28"/>
          <w:szCs w:val="28"/>
          <w:highlight w:val="none"/>
          <w:lang w:val="en-US" w:eastAsia="zh-CN" w:bidi="ar-SA"/>
        </w:rPr>
        <w:t>2</w:t>
      </w:r>
      <w:r>
        <w:rPr>
          <w:rFonts w:hint="eastAsia" w:asciiTheme="minorEastAsia" w:hAnsiTheme="minorEastAsia" w:eastAsiaTheme="minorEastAsia" w:cstheme="minorEastAsia"/>
          <w:b/>
          <w:bCs/>
          <w:color w:val="auto"/>
          <w:kern w:val="2"/>
          <w:sz w:val="28"/>
          <w:szCs w:val="28"/>
          <w:highlight w:val="none"/>
          <w:lang w:val="en-US" w:eastAsia="zh-CN" w:bidi="ar-SA"/>
        </w:rPr>
        <w:t>月</w:t>
      </w:r>
    </w:p>
    <w:p w14:paraId="3A0F9B42">
      <w:pPr>
        <w:rPr>
          <w:rFonts w:hint="eastAsia"/>
          <w:color w:val="auto"/>
          <w:highlight w:val="none"/>
          <w:lang w:val="en-US" w:eastAsia="zh-CN"/>
        </w:rPr>
      </w:pPr>
      <w:r>
        <w:rPr>
          <w:rFonts w:hint="eastAsia"/>
          <w:color w:val="auto"/>
          <w:highlight w:val="none"/>
          <w:lang w:val="en-US" w:eastAsia="zh-CN"/>
        </w:rPr>
        <w:br w:type="page"/>
      </w:r>
    </w:p>
    <w:p w14:paraId="2D805784">
      <w:pPr>
        <w:pStyle w:val="10"/>
        <w:rPr>
          <w:rFonts w:hint="default"/>
          <w:lang w:val="en-US" w:eastAsia="zh-CN"/>
        </w:rPr>
      </w:pPr>
    </w:p>
    <w:bookmarkEnd w:id="0"/>
    <w:bookmarkEnd w:id="1"/>
    <w:sdt>
      <w:sdtPr>
        <w:rPr>
          <w:rFonts w:ascii="宋体" w:hAnsi="宋体" w:eastAsia="宋体" w:cstheme="minorBidi"/>
          <w:color w:val="auto"/>
          <w:kern w:val="2"/>
          <w:sz w:val="21"/>
          <w:szCs w:val="22"/>
          <w:highlight w:val="none"/>
          <w:lang w:val="en-US" w:eastAsia="zh-CN" w:bidi="ar-SA"/>
        </w:rPr>
        <w:id w:val="147475384"/>
        <w15:color w:val="DBDBDB"/>
        <w:docPartObj>
          <w:docPartGallery w:val="Table of Contents"/>
          <w:docPartUnique/>
        </w:docPartObj>
      </w:sdtPr>
      <w:sdtEndPr>
        <w:rPr>
          <w:rFonts w:ascii="宋体" w:hAnsi="宋体" w:eastAsia="宋体" w:cstheme="minorBidi"/>
          <w:b/>
          <w:color w:val="auto"/>
          <w:kern w:val="2"/>
          <w:sz w:val="21"/>
          <w:szCs w:val="22"/>
          <w:highlight w:val="none"/>
          <w:lang w:val="en-US" w:eastAsia="zh-CN" w:bidi="ar-SA"/>
        </w:rPr>
      </w:sdtEndPr>
      <w:sdtContent>
        <w:p w14:paraId="0BE76AFC">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2"/>
              <w:highlight w:val="none"/>
              <w:lang w:val="en-US" w:eastAsia="zh-CN" w:bidi="ar-SA"/>
            </w:rPr>
          </w:pPr>
          <w:bookmarkStart w:id="5" w:name="_Toc57294204"/>
          <w:bookmarkStart w:id="6" w:name="_Toc57294093"/>
        </w:p>
        <w:p w14:paraId="1CA6CF20">
          <w:pPr>
            <w:spacing w:before="0" w:beforeLines="0" w:after="0" w:afterLines="0" w:line="240" w:lineRule="auto"/>
            <w:ind w:left="0" w:leftChars="0" w:right="0" w:rightChars="0" w:firstLine="0" w:firstLineChars="0"/>
            <w:jc w:val="center"/>
            <w:rPr>
              <w:color w:val="auto"/>
              <w:sz w:val="36"/>
              <w:szCs w:val="36"/>
              <w:highlight w:val="none"/>
            </w:rPr>
          </w:pPr>
          <w:r>
            <w:rPr>
              <w:rFonts w:ascii="宋体" w:hAnsi="宋体" w:eastAsia="宋体"/>
              <w:color w:val="auto"/>
              <w:sz w:val="36"/>
              <w:szCs w:val="36"/>
              <w:highlight w:val="none"/>
            </w:rPr>
            <w:t>目</w:t>
          </w:r>
          <w:r>
            <w:rPr>
              <w:rFonts w:hint="eastAsia" w:ascii="宋体" w:hAnsi="宋体" w:eastAsia="宋体"/>
              <w:color w:val="auto"/>
              <w:sz w:val="36"/>
              <w:szCs w:val="36"/>
              <w:highlight w:val="none"/>
              <w:lang w:val="en-US" w:eastAsia="zh-CN"/>
            </w:rPr>
            <w:t xml:space="preserve">  </w:t>
          </w:r>
          <w:r>
            <w:rPr>
              <w:rFonts w:ascii="宋体" w:hAnsi="宋体" w:eastAsia="宋体"/>
              <w:color w:val="auto"/>
              <w:sz w:val="36"/>
              <w:szCs w:val="36"/>
              <w:highlight w:val="none"/>
            </w:rPr>
            <w:t>录</w:t>
          </w:r>
        </w:p>
        <w:p w14:paraId="1EDDF497">
          <w:pPr>
            <w:pStyle w:val="23"/>
            <w:tabs>
              <w:tab w:val="right" w:leader="dot" w:pos="9746"/>
            </w:tabs>
          </w:pPr>
          <w:r>
            <w:rPr>
              <w:color w:val="auto"/>
              <w:sz w:val="36"/>
              <w:szCs w:val="36"/>
              <w:highlight w:val="none"/>
            </w:rPr>
            <w:fldChar w:fldCharType="begin"/>
          </w:r>
          <w:r>
            <w:rPr>
              <w:color w:val="auto"/>
              <w:sz w:val="36"/>
              <w:szCs w:val="36"/>
              <w:highlight w:val="none"/>
            </w:rPr>
            <w:instrText xml:space="preserve">TOC \o "1-2" \h \u </w:instrText>
          </w:r>
          <w:r>
            <w:rPr>
              <w:color w:val="auto"/>
              <w:sz w:val="36"/>
              <w:szCs w:val="36"/>
              <w:highlight w:val="none"/>
            </w:rPr>
            <w:fldChar w:fldCharType="separate"/>
          </w:r>
        </w:p>
        <w:p w14:paraId="517A3333">
          <w:pPr>
            <w:pStyle w:val="24"/>
            <w:tabs>
              <w:tab w:val="right" w:leader="dot" w:pos="9746"/>
            </w:tabs>
          </w:pPr>
          <w:r>
            <w:rPr>
              <w:color w:val="auto"/>
              <w:szCs w:val="36"/>
              <w:highlight w:val="none"/>
            </w:rPr>
            <w:fldChar w:fldCharType="begin"/>
          </w:r>
          <w:r>
            <w:rPr>
              <w:szCs w:val="36"/>
              <w:highlight w:val="none"/>
            </w:rPr>
            <w:instrText xml:space="preserve"> HYPERLINK \l _Toc20729 </w:instrText>
          </w:r>
          <w:r>
            <w:rPr>
              <w:szCs w:val="36"/>
              <w:highlight w:val="none"/>
            </w:rPr>
            <w:fldChar w:fldCharType="separate"/>
          </w:r>
          <w:r>
            <w:rPr>
              <w:rFonts w:hint="eastAsia"/>
              <w:highlight w:val="none"/>
            </w:rPr>
            <w:t>第一章　招标公告</w:t>
          </w:r>
          <w:r>
            <w:tab/>
          </w:r>
          <w:r>
            <w:fldChar w:fldCharType="begin"/>
          </w:r>
          <w:r>
            <w:instrText xml:space="preserve"> PAGEREF _Toc20729 \h </w:instrText>
          </w:r>
          <w:r>
            <w:fldChar w:fldCharType="separate"/>
          </w:r>
          <w:r>
            <w:t>1</w:t>
          </w:r>
          <w:r>
            <w:fldChar w:fldCharType="end"/>
          </w:r>
          <w:r>
            <w:rPr>
              <w:color w:val="auto"/>
              <w:szCs w:val="36"/>
              <w:highlight w:val="none"/>
            </w:rPr>
            <w:fldChar w:fldCharType="end"/>
          </w:r>
        </w:p>
        <w:p w14:paraId="1CE7A3E6">
          <w:pPr>
            <w:pStyle w:val="24"/>
            <w:tabs>
              <w:tab w:val="right" w:leader="dot" w:pos="9746"/>
            </w:tabs>
          </w:pPr>
          <w:r>
            <w:rPr>
              <w:color w:val="auto"/>
              <w:szCs w:val="36"/>
              <w:highlight w:val="none"/>
            </w:rPr>
            <w:fldChar w:fldCharType="begin"/>
          </w:r>
          <w:r>
            <w:rPr>
              <w:szCs w:val="36"/>
              <w:highlight w:val="none"/>
            </w:rPr>
            <w:instrText xml:space="preserve"> HYPERLINK \l _Toc14512 </w:instrText>
          </w:r>
          <w:r>
            <w:rPr>
              <w:szCs w:val="36"/>
              <w:highlight w:val="none"/>
            </w:rPr>
            <w:fldChar w:fldCharType="separate"/>
          </w:r>
          <w:r>
            <w:rPr>
              <w:rFonts w:hint="eastAsia"/>
              <w:highlight w:val="none"/>
            </w:rPr>
            <w:t>第二章　投标人须知</w:t>
          </w:r>
          <w:r>
            <w:tab/>
          </w:r>
          <w:r>
            <w:fldChar w:fldCharType="begin"/>
          </w:r>
          <w:r>
            <w:instrText xml:space="preserve"> PAGEREF _Toc14512 \h </w:instrText>
          </w:r>
          <w:r>
            <w:fldChar w:fldCharType="separate"/>
          </w:r>
          <w:r>
            <w:t>4</w:t>
          </w:r>
          <w:r>
            <w:fldChar w:fldCharType="end"/>
          </w:r>
          <w:r>
            <w:rPr>
              <w:color w:val="auto"/>
              <w:szCs w:val="36"/>
              <w:highlight w:val="none"/>
            </w:rPr>
            <w:fldChar w:fldCharType="end"/>
          </w:r>
        </w:p>
        <w:p w14:paraId="34D76345">
          <w:pPr>
            <w:pStyle w:val="24"/>
            <w:tabs>
              <w:tab w:val="right" w:leader="dot" w:pos="9746"/>
            </w:tabs>
          </w:pPr>
          <w:r>
            <w:rPr>
              <w:color w:val="auto"/>
              <w:szCs w:val="36"/>
              <w:highlight w:val="none"/>
            </w:rPr>
            <w:fldChar w:fldCharType="begin"/>
          </w:r>
          <w:r>
            <w:rPr>
              <w:szCs w:val="36"/>
              <w:highlight w:val="none"/>
            </w:rPr>
            <w:instrText xml:space="preserve"> HYPERLINK \l _Toc9825 </w:instrText>
          </w:r>
          <w:r>
            <w:rPr>
              <w:szCs w:val="36"/>
              <w:highlight w:val="none"/>
            </w:rPr>
            <w:fldChar w:fldCharType="separate"/>
          </w:r>
          <w:r>
            <w:rPr>
              <w:rFonts w:hint="eastAsia"/>
              <w:highlight w:val="none"/>
            </w:rPr>
            <w:t>第三章　评标办法及标准</w:t>
          </w:r>
          <w:r>
            <w:tab/>
          </w:r>
          <w:r>
            <w:fldChar w:fldCharType="begin"/>
          </w:r>
          <w:r>
            <w:instrText xml:space="preserve"> PAGEREF _Toc9825 \h </w:instrText>
          </w:r>
          <w:r>
            <w:fldChar w:fldCharType="separate"/>
          </w:r>
          <w:r>
            <w:t>15</w:t>
          </w:r>
          <w:r>
            <w:fldChar w:fldCharType="end"/>
          </w:r>
          <w:r>
            <w:rPr>
              <w:color w:val="auto"/>
              <w:szCs w:val="36"/>
              <w:highlight w:val="none"/>
            </w:rPr>
            <w:fldChar w:fldCharType="end"/>
          </w:r>
        </w:p>
        <w:p w14:paraId="2768025D">
          <w:pPr>
            <w:pStyle w:val="24"/>
            <w:tabs>
              <w:tab w:val="right" w:leader="dot" w:pos="9746"/>
            </w:tabs>
          </w:pPr>
          <w:r>
            <w:rPr>
              <w:color w:val="auto"/>
              <w:szCs w:val="36"/>
              <w:highlight w:val="none"/>
            </w:rPr>
            <w:fldChar w:fldCharType="begin"/>
          </w:r>
          <w:r>
            <w:rPr>
              <w:szCs w:val="36"/>
              <w:highlight w:val="none"/>
            </w:rPr>
            <w:instrText xml:space="preserve"> HYPERLINK \l _Toc11712 </w:instrText>
          </w:r>
          <w:r>
            <w:rPr>
              <w:szCs w:val="36"/>
              <w:highlight w:val="none"/>
            </w:rPr>
            <w:fldChar w:fldCharType="separate"/>
          </w:r>
          <w:r>
            <w:rPr>
              <w:rFonts w:hint="eastAsia"/>
              <w:highlight w:val="none"/>
            </w:rPr>
            <w:t>第</w:t>
          </w:r>
          <w:r>
            <w:rPr>
              <w:rFonts w:hint="eastAsia" w:eastAsia="宋体"/>
              <w:highlight w:val="none"/>
            </w:rPr>
            <w:t>四</w:t>
          </w:r>
          <w:r>
            <w:rPr>
              <w:rFonts w:hint="eastAsia"/>
              <w:highlight w:val="none"/>
            </w:rPr>
            <w:t>章 拟签订的</w:t>
          </w:r>
          <w:r>
            <w:rPr>
              <w:rFonts w:hint="eastAsia" w:eastAsia="宋体"/>
              <w:highlight w:val="none"/>
            </w:rPr>
            <w:t>合同</w:t>
          </w:r>
          <w:r>
            <w:rPr>
              <w:rFonts w:hint="eastAsia"/>
              <w:highlight w:val="none"/>
            </w:rPr>
            <w:t>文本</w:t>
          </w:r>
          <w:r>
            <w:tab/>
          </w:r>
          <w:r>
            <w:fldChar w:fldCharType="begin"/>
          </w:r>
          <w:r>
            <w:instrText xml:space="preserve"> PAGEREF _Toc11712 \h </w:instrText>
          </w:r>
          <w:r>
            <w:fldChar w:fldCharType="separate"/>
          </w:r>
          <w:r>
            <w:t>22</w:t>
          </w:r>
          <w:r>
            <w:fldChar w:fldCharType="end"/>
          </w:r>
          <w:r>
            <w:rPr>
              <w:color w:val="auto"/>
              <w:szCs w:val="36"/>
              <w:highlight w:val="none"/>
            </w:rPr>
            <w:fldChar w:fldCharType="end"/>
          </w:r>
        </w:p>
        <w:p w14:paraId="4D2AD81E">
          <w:pPr>
            <w:pStyle w:val="24"/>
            <w:tabs>
              <w:tab w:val="right" w:leader="dot" w:pos="9746"/>
            </w:tabs>
          </w:pPr>
          <w:r>
            <w:rPr>
              <w:color w:val="auto"/>
              <w:szCs w:val="36"/>
              <w:highlight w:val="none"/>
            </w:rPr>
            <w:fldChar w:fldCharType="begin"/>
          </w:r>
          <w:r>
            <w:rPr>
              <w:szCs w:val="36"/>
              <w:highlight w:val="none"/>
            </w:rPr>
            <w:instrText xml:space="preserve"> HYPERLINK \l _Toc6413 </w:instrText>
          </w:r>
          <w:r>
            <w:rPr>
              <w:szCs w:val="36"/>
              <w:highlight w:val="none"/>
            </w:rPr>
            <w:fldChar w:fldCharType="separate"/>
          </w:r>
          <w:r>
            <w:rPr>
              <w:rFonts w:hint="eastAsia"/>
              <w:highlight w:val="none"/>
            </w:rPr>
            <w:t>第五章</w:t>
          </w:r>
          <w:r>
            <w:rPr>
              <w:rFonts w:hint="eastAsia"/>
              <w:highlight w:val="none"/>
              <w:lang w:eastAsia="zh-CN"/>
            </w:rPr>
            <w:t>、</w:t>
          </w:r>
          <w:r>
            <w:rPr>
              <w:rFonts w:hint="eastAsia"/>
              <w:highlight w:val="none"/>
            </w:rPr>
            <w:t>项目采购需求</w:t>
          </w:r>
          <w:r>
            <w:tab/>
          </w:r>
          <w:r>
            <w:fldChar w:fldCharType="begin"/>
          </w:r>
          <w:r>
            <w:instrText xml:space="preserve"> PAGEREF _Toc6413 \h </w:instrText>
          </w:r>
          <w:r>
            <w:fldChar w:fldCharType="separate"/>
          </w:r>
          <w:r>
            <w:t>26</w:t>
          </w:r>
          <w:r>
            <w:fldChar w:fldCharType="end"/>
          </w:r>
          <w:r>
            <w:rPr>
              <w:color w:val="auto"/>
              <w:szCs w:val="36"/>
              <w:highlight w:val="none"/>
            </w:rPr>
            <w:fldChar w:fldCharType="end"/>
          </w:r>
        </w:p>
        <w:p w14:paraId="6202ABD0">
          <w:pPr>
            <w:pStyle w:val="23"/>
            <w:tabs>
              <w:tab w:val="right" w:leader="dot" w:pos="9746"/>
            </w:tabs>
            <w:ind w:firstLine="420" w:firstLineChars="200"/>
          </w:pPr>
          <w:r>
            <w:rPr>
              <w:color w:val="auto"/>
              <w:szCs w:val="36"/>
              <w:highlight w:val="none"/>
            </w:rPr>
            <w:fldChar w:fldCharType="begin"/>
          </w:r>
          <w:r>
            <w:rPr>
              <w:szCs w:val="36"/>
              <w:highlight w:val="none"/>
            </w:rPr>
            <w:instrText xml:space="preserve"> HYPERLINK \l _Toc24072 </w:instrText>
          </w:r>
          <w:r>
            <w:rPr>
              <w:szCs w:val="36"/>
              <w:highlight w:val="none"/>
            </w:rPr>
            <w:fldChar w:fldCharType="separate"/>
          </w:r>
          <w:r>
            <w:rPr>
              <w:rFonts w:hint="eastAsia" w:asciiTheme="minorEastAsia" w:hAnsiTheme="minorEastAsia" w:eastAsiaTheme="minorEastAsia" w:cstheme="minorEastAsia"/>
              <w:szCs w:val="32"/>
              <w:lang w:eastAsia="zh-CN"/>
            </w:rPr>
            <w:t xml:space="preserve">第六章 </w:t>
          </w:r>
          <w:r>
            <w:rPr>
              <w:rFonts w:hint="eastAsia" w:asciiTheme="minorEastAsia" w:hAnsiTheme="minorEastAsia" w:eastAsiaTheme="minorEastAsia" w:cstheme="minorEastAsia"/>
              <w:szCs w:val="32"/>
              <w:highlight w:val="none"/>
              <w:lang w:eastAsia="zh-CN"/>
            </w:rPr>
            <w:t>响应文件</w:t>
          </w:r>
          <w:r>
            <w:rPr>
              <w:rFonts w:hint="eastAsia" w:asciiTheme="minorEastAsia" w:hAnsiTheme="minorEastAsia" w:eastAsiaTheme="minorEastAsia" w:cstheme="minorEastAsia"/>
              <w:szCs w:val="32"/>
              <w:highlight w:val="none"/>
              <w:lang w:val="en-US" w:eastAsia="zh-CN"/>
            </w:rPr>
            <w:t>格式</w:t>
          </w:r>
          <w:r>
            <w:tab/>
          </w:r>
          <w:r>
            <w:fldChar w:fldCharType="begin"/>
          </w:r>
          <w:r>
            <w:instrText xml:space="preserve"> PAGEREF _Toc24072 \h </w:instrText>
          </w:r>
          <w:r>
            <w:fldChar w:fldCharType="separate"/>
          </w:r>
          <w:r>
            <w:t>27</w:t>
          </w:r>
          <w:r>
            <w:fldChar w:fldCharType="end"/>
          </w:r>
          <w:r>
            <w:rPr>
              <w:color w:val="auto"/>
              <w:szCs w:val="36"/>
              <w:highlight w:val="none"/>
            </w:rPr>
            <w:fldChar w:fldCharType="end"/>
          </w:r>
        </w:p>
        <w:p w14:paraId="176E2274">
          <w:pPr>
            <w:pStyle w:val="23"/>
            <w:tabs>
              <w:tab w:val="right" w:leader="dot" w:pos="9746"/>
            </w:tabs>
          </w:pPr>
        </w:p>
        <w:p w14:paraId="74D40846">
          <w:pPr>
            <w:rPr>
              <w:color w:val="auto"/>
              <w:highlight w:val="none"/>
            </w:rPr>
          </w:pPr>
          <w:r>
            <w:rPr>
              <w:color w:val="auto"/>
              <w:szCs w:val="36"/>
              <w:highlight w:val="none"/>
            </w:rPr>
            <w:fldChar w:fldCharType="end"/>
          </w:r>
        </w:p>
      </w:sdtContent>
    </w:sdt>
    <w:bookmarkEnd w:id="5"/>
    <w:bookmarkEnd w:id="6"/>
    <w:p w14:paraId="624F8ABF">
      <w:pPr>
        <w:pStyle w:val="3"/>
        <w:jc w:val="center"/>
        <w:rPr>
          <w:rFonts w:hint="eastAsia"/>
          <w:color w:val="auto"/>
          <w:highlight w:val="none"/>
        </w:rPr>
        <w:sectPr>
          <w:pgSz w:w="11906" w:h="16838"/>
          <w:pgMar w:top="1440" w:right="1080" w:bottom="1440" w:left="1080" w:header="0" w:footer="921" w:gutter="0"/>
          <w:pgNumType w:fmt="decimal"/>
          <w:cols w:space="720" w:num="1"/>
        </w:sectPr>
      </w:pPr>
      <w:bookmarkStart w:id="7" w:name="_Toc57294205"/>
      <w:bookmarkStart w:id="8" w:name="_Toc57294094"/>
      <w:bookmarkStart w:id="9" w:name="_Toc20729"/>
    </w:p>
    <w:p w14:paraId="0300F9EC">
      <w:pPr>
        <w:pStyle w:val="3"/>
        <w:jc w:val="center"/>
        <w:rPr>
          <w:color w:val="auto"/>
          <w:highlight w:val="none"/>
        </w:rPr>
      </w:pPr>
      <w:r>
        <w:rPr>
          <w:rFonts w:hint="eastAsia"/>
          <w:color w:val="auto"/>
          <w:highlight w:val="none"/>
        </w:rPr>
        <w:t>第一章</w:t>
      </w:r>
      <w:bookmarkEnd w:id="7"/>
      <w:bookmarkEnd w:id="8"/>
      <w:r>
        <w:rPr>
          <w:rFonts w:hint="eastAsia"/>
          <w:color w:val="auto"/>
          <w:highlight w:val="none"/>
          <w:lang w:eastAsia="zh-CN"/>
        </w:rPr>
        <w:t>、</w:t>
      </w:r>
      <w:r>
        <w:rPr>
          <w:rFonts w:hint="eastAsia"/>
          <w:color w:val="auto"/>
          <w:highlight w:val="none"/>
        </w:rPr>
        <w:t>招标公告</w:t>
      </w:r>
      <w:bookmarkEnd w:id="9"/>
    </w:p>
    <w:p w14:paraId="56AC07E5">
      <w:pPr>
        <w:numPr>
          <w:ilvl w:val="0"/>
          <w:numId w:val="1"/>
        </w:numPr>
        <w:pBdr>
          <w:top w:val="single" w:color="auto" w:sz="4" w:space="1"/>
          <w:left w:val="single" w:color="auto" w:sz="4" w:space="4"/>
          <w:bottom w:val="single" w:color="auto" w:sz="4" w:space="2"/>
          <w:right w:val="single" w:color="auto" w:sz="4" w:space="3"/>
        </w:pBdr>
        <w:spacing w:line="360" w:lineRule="auto"/>
        <w:ind w:left="0" w:firstLine="431"/>
        <w:rPr>
          <w:rFonts w:ascii="宋体" w:hAnsi="宋体" w:eastAsia="宋体" w:cs="宋体"/>
          <w:color w:val="auto"/>
          <w:szCs w:val="21"/>
          <w:highlight w:val="none"/>
        </w:rPr>
      </w:pPr>
      <w:r>
        <w:rPr>
          <w:rFonts w:hint="eastAsia" w:ascii="宋体" w:hAnsi="宋体" w:eastAsia="宋体" w:cs="宋体"/>
          <w:color w:val="auto"/>
          <w:szCs w:val="21"/>
          <w:highlight w:val="none"/>
        </w:rPr>
        <w:t>项目概况</w:t>
      </w:r>
    </w:p>
    <w:p w14:paraId="1229D0F6">
      <w:pPr>
        <w:numPr>
          <w:ilvl w:val="0"/>
          <w:numId w:val="1"/>
        </w:numPr>
        <w:pBdr>
          <w:top w:val="single" w:color="auto" w:sz="4" w:space="1"/>
          <w:left w:val="single" w:color="auto" w:sz="4" w:space="4"/>
          <w:bottom w:val="single" w:color="auto" w:sz="4" w:space="2"/>
          <w:right w:val="single" w:color="auto" w:sz="4" w:space="3"/>
        </w:pBdr>
        <w:spacing w:line="360" w:lineRule="auto"/>
        <w:ind w:left="0" w:firstLine="431"/>
        <w:rPr>
          <w:rFonts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2025-2027年度长春汽车经济技术开发区夏季扫保服务</w:t>
      </w:r>
      <w:r>
        <w:rPr>
          <w:rFonts w:hint="eastAsia" w:ascii="宋体" w:hAnsi="宋体" w:eastAsia="宋体" w:cs="宋体"/>
          <w:color w:val="auto"/>
          <w:szCs w:val="21"/>
          <w:highlight w:val="none"/>
        </w:rPr>
        <w:t>的潜在投标人应在</w:t>
      </w:r>
      <w:r>
        <w:rPr>
          <w:rFonts w:hint="eastAsia" w:ascii="宋体" w:hAnsi="宋体" w:eastAsia="宋体" w:cs="宋体"/>
          <w:color w:val="auto"/>
          <w:kern w:val="2"/>
          <w:sz w:val="21"/>
          <w:szCs w:val="21"/>
          <w:highlight w:val="none"/>
          <w:lang w:val="zh-CN" w:eastAsia="zh-CN" w:bidi="ar-SA"/>
        </w:rPr>
        <w:t>政府采购云平台（网址：http://</w:t>
      </w:r>
      <w:r>
        <w:rPr>
          <w:rFonts w:hint="eastAsia" w:ascii="宋体" w:hAnsi="宋体" w:eastAsia="宋体" w:cs="宋体"/>
          <w:color w:val="auto"/>
          <w:kern w:val="2"/>
          <w:sz w:val="21"/>
          <w:szCs w:val="21"/>
          <w:highlight w:val="none"/>
          <w:lang w:val="zh-CN" w:eastAsia="zh-CN" w:bidi="ar-SA"/>
        </w:rPr>
        <w:fldChar w:fldCharType="begin"/>
      </w:r>
      <w:r>
        <w:rPr>
          <w:rFonts w:hint="eastAsia" w:ascii="宋体" w:hAnsi="宋体" w:eastAsia="宋体" w:cs="宋体"/>
          <w:color w:val="auto"/>
          <w:kern w:val="2"/>
          <w:sz w:val="21"/>
          <w:szCs w:val="21"/>
          <w:highlight w:val="none"/>
          <w:lang w:val="zh-CN" w:eastAsia="zh-CN" w:bidi="ar-SA"/>
        </w:rPr>
        <w:instrText xml:space="preserve"> HYPERLINK "http://www.zcygov.cn）注册（https:/middle.zcygov.cn/v-settle-front/registry）并下载竞争性磋商文件，其他途径获取的竞争性磋商文件开标时一律按无效投标处理）。" </w:instrText>
      </w:r>
      <w:r>
        <w:rPr>
          <w:rFonts w:hint="eastAsia" w:ascii="宋体" w:hAnsi="宋体" w:eastAsia="宋体" w:cs="宋体"/>
          <w:color w:val="auto"/>
          <w:kern w:val="2"/>
          <w:sz w:val="21"/>
          <w:szCs w:val="21"/>
          <w:highlight w:val="none"/>
          <w:lang w:val="zh-CN" w:eastAsia="zh-CN" w:bidi="ar-SA"/>
        </w:rPr>
        <w:fldChar w:fldCharType="separate"/>
      </w:r>
      <w:r>
        <w:rPr>
          <w:rFonts w:hint="eastAsia" w:ascii="宋体" w:hAnsi="宋体" w:eastAsia="宋体" w:cs="宋体"/>
          <w:color w:val="auto"/>
          <w:kern w:val="2"/>
          <w:sz w:val="21"/>
          <w:szCs w:val="21"/>
          <w:highlight w:val="none"/>
          <w:lang w:val="zh-CN" w:eastAsia="zh-CN" w:bidi="ar-SA"/>
        </w:rPr>
        <w:t>www.zcygov.cn）</w:t>
      </w:r>
      <w:r>
        <w:rPr>
          <w:rFonts w:hint="eastAsia" w:ascii="宋体" w:hAnsi="宋体" w:eastAsia="宋体" w:cs="宋体"/>
          <w:color w:val="auto"/>
          <w:kern w:val="2"/>
          <w:sz w:val="21"/>
          <w:szCs w:val="21"/>
          <w:highlight w:val="none"/>
          <w:lang w:val="en-US" w:eastAsia="zh-CN" w:bidi="ar-SA"/>
        </w:rPr>
        <w:t>注册</w:t>
      </w:r>
      <w:r>
        <w:rPr>
          <w:rFonts w:hint="eastAsia" w:ascii="宋体" w:hAnsi="宋体" w:eastAsia="宋体" w:cs="宋体"/>
          <w:color w:val="auto"/>
          <w:kern w:val="2"/>
          <w:sz w:val="21"/>
          <w:szCs w:val="21"/>
          <w:highlight w:val="none"/>
          <w:lang w:val="zh-CN" w:eastAsia="zh-CN" w:bidi="ar-SA"/>
        </w:rPr>
        <w:t>（https://middle.zcygov.cn/v-settle-front/registry）并下载</w:t>
      </w:r>
      <w:r>
        <w:rPr>
          <w:rFonts w:hint="eastAsia" w:ascii="宋体" w:hAnsi="宋体" w:eastAsia="宋体" w:cs="宋体"/>
          <w:color w:val="auto"/>
          <w:kern w:val="2"/>
          <w:sz w:val="21"/>
          <w:szCs w:val="21"/>
          <w:highlight w:val="none"/>
          <w:lang w:val="en-US" w:eastAsia="zh-CN" w:bidi="ar-SA"/>
        </w:rPr>
        <w:t>采购</w:t>
      </w:r>
      <w:r>
        <w:rPr>
          <w:rFonts w:hint="eastAsia" w:ascii="宋体" w:hAnsi="宋体" w:eastAsia="宋体" w:cs="宋体"/>
          <w:color w:val="auto"/>
          <w:kern w:val="2"/>
          <w:sz w:val="21"/>
          <w:szCs w:val="21"/>
          <w:highlight w:val="none"/>
          <w:lang w:val="zh-CN" w:eastAsia="zh-CN" w:bidi="ar-SA"/>
        </w:rPr>
        <w:t>文件，其他途径获取的</w:t>
      </w:r>
      <w:r>
        <w:rPr>
          <w:rFonts w:hint="eastAsia" w:ascii="宋体" w:hAnsi="宋体" w:eastAsia="宋体" w:cs="宋体"/>
          <w:color w:val="auto"/>
          <w:kern w:val="2"/>
          <w:sz w:val="21"/>
          <w:szCs w:val="21"/>
          <w:highlight w:val="none"/>
          <w:lang w:val="en-US" w:eastAsia="zh-CN" w:bidi="ar-SA"/>
        </w:rPr>
        <w:t>采购</w:t>
      </w:r>
      <w:r>
        <w:rPr>
          <w:rFonts w:hint="eastAsia" w:ascii="宋体" w:hAnsi="宋体" w:eastAsia="宋体" w:cs="宋体"/>
          <w:color w:val="auto"/>
          <w:kern w:val="2"/>
          <w:sz w:val="21"/>
          <w:szCs w:val="21"/>
          <w:highlight w:val="none"/>
          <w:lang w:val="zh-CN" w:eastAsia="zh-CN" w:bidi="ar-SA"/>
        </w:rPr>
        <w:t>文件开标时一律按无效投标处理），</w:t>
      </w:r>
      <w:r>
        <w:rPr>
          <w:rFonts w:hint="eastAsia" w:ascii="宋体" w:hAnsi="宋体" w:eastAsia="宋体" w:cs="宋体"/>
          <w:color w:val="auto"/>
          <w:kern w:val="2"/>
          <w:sz w:val="21"/>
          <w:szCs w:val="21"/>
          <w:highlight w:val="none"/>
          <w:lang w:val="zh-CN" w:eastAsia="zh-CN" w:bidi="ar-SA"/>
        </w:rPr>
        <w:fldChar w:fldCharType="end"/>
      </w:r>
      <w:r>
        <w:rPr>
          <w:rFonts w:hint="eastAsia" w:ascii="宋体" w:hAnsi="宋体" w:eastAsia="宋体" w:cs="宋体"/>
          <w:color w:val="auto"/>
          <w:szCs w:val="21"/>
          <w:highlight w:val="none"/>
        </w:rPr>
        <w:t>并于</w:t>
      </w:r>
      <w:r>
        <w:rPr>
          <w:rFonts w:hint="eastAsia" w:ascii="宋体" w:hAnsi="宋体" w:eastAsia="宋体" w:cs="宋体"/>
          <w:color w:val="auto"/>
          <w:szCs w:val="21"/>
          <w:highlight w:val="none"/>
          <w:lang w:eastAsia="zh-CN"/>
        </w:rPr>
        <w:t>2025年1月8日上午9时00分</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北京时间）前提交投标文件</w:t>
      </w:r>
      <w:r>
        <w:rPr>
          <w:rFonts w:hint="eastAsia" w:ascii="宋体" w:hAnsi="宋体" w:eastAsia="宋体" w:cs="宋体"/>
          <w:color w:val="auto"/>
          <w:szCs w:val="21"/>
          <w:highlight w:val="none"/>
        </w:rPr>
        <w:t>。</w:t>
      </w:r>
    </w:p>
    <w:p w14:paraId="11C0D729">
      <w:pPr>
        <w:numPr>
          <w:ilvl w:val="0"/>
          <w:numId w:val="0"/>
        </w:numPr>
        <w:spacing w:line="360" w:lineRule="auto"/>
        <w:ind w:leftChars="0"/>
        <w:rPr>
          <w:rFonts w:ascii="宋体" w:hAnsi="宋体" w:eastAsia="宋体" w:cs="宋体"/>
          <w:b/>
          <w:color w:val="auto"/>
          <w:szCs w:val="21"/>
          <w:highlight w:val="none"/>
        </w:rPr>
      </w:pPr>
      <w:bookmarkStart w:id="10" w:name="_Toc28359089"/>
      <w:bookmarkStart w:id="11" w:name="_Toc35393629"/>
      <w:bookmarkStart w:id="12" w:name="_Toc35393798"/>
      <w:bookmarkStart w:id="13" w:name="_Toc28359012"/>
      <w:r>
        <w:rPr>
          <w:rFonts w:hint="eastAsia" w:ascii="宋体" w:hAnsi="宋体" w:eastAsia="宋体" w:cs="宋体"/>
          <w:b/>
          <w:color w:val="auto"/>
          <w:szCs w:val="21"/>
          <w:highlight w:val="none"/>
        </w:rPr>
        <w:t>一、项目基本情况</w:t>
      </w:r>
      <w:bookmarkEnd w:id="10"/>
      <w:bookmarkEnd w:id="11"/>
      <w:bookmarkEnd w:id="12"/>
      <w:bookmarkEnd w:id="13"/>
    </w:p>
    <w:tbl>
      <w:tblPr>
        <w:tblStyle w:val="30"/>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073"/>
        <w:gridCol w:w="4042"/>
        <w:gridCol w:w="2134"/>
      </w:tblGrid>
      <w:tr w14:paraId="673A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0" w:type="dxa"/>
            <w:noWrap w:val="0"/>
            <w:vAlign w:val="center"/>
          </w:tcPr>
          <w:p w14:paraId="5B21EA14">
            <w:pPr>
              <w:numPr>
                <w:ilvl w:val="0"/>
                <w:numId w:val="0"/>
              </w:numPr>
              <w:spacing w:line="360" w:lineRule="auto"/>
              <w:ind w:leftChars="0"/>
              <w:jc w:val="center"/>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2073" w:type="dxa"/>
            <w:noWrap w:val="0"/>
            <w:vAlign w:val="center"/>
          </w:tcPr>
          <w:p w14:paraId="296AA425">
            <w:pPr>
              <w:numPr>
                <w:ilvl w:val="0"/>
                <w:numId w:val="0"/>
              </w:numPr>
              <w:spacing w:line="360" w:lineRule="auto"/>
              <w:ind w:leftChars="0"/>
              <w:jc w:val="center"/>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vertAlign w:val="baseline"/>
                <w:lang w:val="en-US" w:eastAsia="zh-CN"/>
              </w:rPr>
              <w:t>标段名称</w:t>
            </w:r>
          </w:p>
        </w:tc>
        <w:tc>
          <w:tcPr>
            <w:tcW w:w="4042" w:type="dxa"/>
            <w:noWrap w:val="0"/>
            <w:vAlign w:val="center"/>
          </w:tcPr>
          <w:p w14:paraId="14B248F6">
            <w:pPr>
              <w:numPr>
                <w:ilvl w:val="0"/>
                <w:numId w:val="0"/>
              </w:numPr>
              <w:spacing w:line="360" w:lineRule="auto"/>
              <w:ind w:leftChars="0"/>
              <w:jc w:val="center"/>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或最高投标限价</w:t>
            </w:r>
            <w:r>
              <w:rPr>
                <w:rFonts w:hint="eastAsia" w:ascii="宋体" w:hAnsi="宋体" w:eastAsia="宋体" w:cs="宋体"/>
                <w:color w:val="auto"/>
                <w:szCs w:val="21"/>
                <w:highlight w:val="none"/>
                <w:lang w:eastAsia="zh-CN"/>
              </w:rPr>
              <w:t>）</w:t>
            </w:r>
          </w:p>
        </w:tc>
        <w:tc>
          <w:tcPr>
            <w:tcW w:w="2134" w:type="dxa"/>
            <w:noWrap w:val="0"/>
            <w:vAlign w:val="center"/>
          </w:tcPr>
          <w:p w14:paraId="45DC0D48">
            <w:pPr>
              <w:numPr>
                <w:ilvl w:val="0"/>
                <w:numId w:val="0"/>
              </w:numPr>
              <w:spacing w:line="360" w:lineRule="auto"/>
              <w:ind w:leftChars="0"/>
              <w:jc w:val="center"/>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lang w:val="en-US" w:eastAsia="zh-CN"/>
              </w:rPr>
              <w:t>招标采购</w:t>
            </w:r>
            <w:r>
              <w:rPr>
                <w:rFonts w:hint="eastAsia" w:ascii="宋体" w:hAnsi="宋体" w:eastAsia="宋体" w:cs="宋体"/>
                <w:color w:val="auto"/>
                <w:szCs w:val="21"/>
                <w:highlight w:val="none"/>
              </w:rPr>
              <w:t>需求</w:t>
            </w:r>
          </w:p>
        </w:tc>
      </w:tr>
      <w:tr w14:paraId="2902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14:paraId="20FE1E8B">
            <w:pPr>
              <w:numPr>
                <w:ilvl w:val="0"/>
                <w:numId w:val="0"/>
              </w:numPr>
              <w:spacing w:line="360" w:lineRule="auto"/>
              <w:ind w:leftChars="0"/>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vertAlign w:val="baseline"/>
              </w:rPr>
              <w:t>采购计划-[2024]-00102号</w:t>
            </w:r>
            <w:r>
              <w:rPr>
                <w:rFonts w:hint="eastAsia" w:ascii="宋体" w:hAnsi="宋体" w:eastAsia="宋体" w:cs="宋体"/>
                <w:color w:val="auto"/>
                <w:szCs w:val="21"/>
                <w:highlight w:val="none"/>
                <w:vertAlign w:val="baseline"/>
                <w:lang w:val="en-US" w:eastAsia="zh-CN"/>
              </w:rPr>
              <w:t>-1</w:t>
            </w:r>
          </w:p>
        </w:tc>
        <w:tc>
          <w:tcPr>
            <w:tcW w:w="2073" w:type="dxa"/>
            <w:noWrap w:val="0"/>
            <w:vAlign w:val="top"/>
          </w:tcPr>
          <w:p w14:paraId="6F0DC54F">
            <w:pPr>
              <w:numPr>
                <w:ilvl w:val="0"/>
                <w:numId w:val="0"/>
              </w:numPr>
              <w:spacing w:line="360" w:lineRule="auto"/>
              <w:ind w:leftChars="0"/>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lang w:eastAsia="zh-CN"/>
              </w:rPr>
              <w:t>2025-2027年度长春汽车经济技术开发区夏季扫保服务</w:t>
            </w:r>
            <w:r>
              <w:rPr>
                <w:rFonts w:hint="eastAsia" w:ascii="宋体" w:hAnsi="宋体" w:eastAsia="宋体" w:cs="宋体"/>
                <w:color w:val="auto"/>
                <w:szCs w:val="21"/>
                <w:highlight w:val="none"/>
                <w:lang w:val="en-US" w:eastAsia="zh-CN"/>
              </w:rPr>
              <w:t>一标段</w:t>
            </w:r>
          </w:p>
        </w:tc>
        <w:tc>
          <w:tcPr>
            <w:tcW w:w="4042" w:type="dxa"/>
            <w:noWrap w:val="0"/>
            <w:vAlign w:val="top"/>
          </w:tcPr>
          <w:p w14:paraId="63C8C668">
            <w:pPr>
              <w:numPr>
                <w:ilvl w:val="0"/>
                <w:numId w:val="0"/>
              </w:numPr>
              <w:spacing w:line="360" w:lineRule="auto"/>
              <w:ind w:leftChars="0"/>
              <w:rPr>
                <w:rFonts w:hint="default" w:ascii="宋体" w:hAnsi="宋体" w:eastAsia="宋体" w:cs="宋体"/>
                <w:color w:val="auto"/>
                <w:szCs w:val="21"/>
                <w:highlight w:val="none"/>
                <w:vertAlign w:val="baseline"/>
                <w:lang w:val="en-US"/>
              </w:rPr>
            </w:pPr>
            <w:r>
              <w:rPr>
                <w:rFonts w:hint="eastAsia" w:ascii="宋体" w:hAnsi="宋体" w:eastAsia="宋体" w:cs="宋体"/>
                <w:color w:val="auto"/>
                <w:kern w:val="2"/>
                <w:sz w:val="21"/>
                <w:szCs w:val="21"/>
                <w:highlight w:val="none"/>
                <w:lang w:val="zh-CN" w:eastAsia="zh-CN" w:bidi="ar-SA"/>
              </w:rPr>
              <w:t>100</w:t>
            </w:r>
            <w:r>
              <w:rPr>
                <w:rFonts w:hint="eastAsia"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zh-CN" w:eastAsia="zh-CN" w:bidi="ar-SA"/>
              </w:rPr>
              <w:t>708</w:t>
            </w:r>
            <w:r>
              <w:rPr>
                <w:rFonts w:hint="eastAsia"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zh-CN" w:eastAsia="zh-CN" w:bidi="ar-SA"/>
              </w:rPr>
              <w:t>645.78</w:t>
            </w:r>
            <w:r>
              <w:rPr>
                <w:rFonts w:hint="eastAsia" w:hAnsi="宋体" w:cs="宋体"/>
                <w:color w:val="auto"/>
                <w:kern w:val="2"/>
                <w:sz w:val="21"/>
                <w:szCs w:val="21"/>
                <w:highlight w:val="none"/>
                <w:lang w:val="en-US" w:eastAsia="zh-CN" w:bidi="ar-SA"/>
              </w:rPr>
              <w:t>元/年</w:t>
            </w:r>
          </w:p>
        </w:tc>
        <w:tc>
          <w:tcPr>
            <w:tcW w:w="2134" w:type="dxa"/>
            <w:noWrap w:val="0"/>
            <w:vAlign w:val="top"/>
          </w:tcPr>
          <w:p w14:paraId="4FA93CC8">
            <w:pPr>
              <w:numPr>
                <w:ilvl w:val="0"/>
                <w:numId w:val="0"/>
              </w:num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lang w:eastAsia="zh-CN"/>
              </w:rPr>
              <w:t>2025-2027年度长春汽车经济技术开发区夏季扫保服务</w:t>
            </w:r>
            <w:r>
              <w:rPr>
                <w:rFonts w:hint="eastAsia" w:ascii="宋体" w:hAnsi="宋体" w:eastAsia="宋体" w:cs="宋体"/>
                <w:color w:val="auto"/>
                <w:szCs w:val="21"/>
                <w:highlight w:val="none"/>
                <w:lang w:val="en-US" w:eastAsia="zh-CN"/>
              </w:rPr>
              <w:t>一标段</w:t>
            </w:r>
            <w:r>
              <w:rPr>
                <w:rFonts w:hint="eastAsia" w:ascii="宋体" w:hAnsi="宋体" w:eastAsia="宋体" w:cs="宋体"/>
                <w:color w:val="auto"/>
                <w:szCs w:val="21"/>
                <w:highlight w:val="none"/>
              </w:rPr>
              <w:t>（具体参数详见招标文件）；</w:t>
            </w:r>
          </w:p>
        </w:tc>
      </w:tr>
      <w:tr w14:paraId="58B5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noWrap w:val="0"/>
            <w:vAlign w:val="top"/>
          </w:tcPr>
          <w:p w14:paraId="2EA4B4A1">
            <w:pPr>
              <w:numPr>
                <w:ilvl w:val="0"/>
                <w:numId w:val="0"/>
              </w:numPr>
              <w:spacing w:line="360" w:lineRule="auto"/>
              <w:ind w:leftChars="0"/>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vertAlign w:val="baseline"/>
              </w:rPr>
              <w:t>采购计划-[2024]-00102号</w:t>
            </w:r>
            <w:r>
              <w:rPr>
                <w:rFonts w:hint="eastAsia" w:ascii="宋体" w:hAnsi="宋体" w:eastAsia="宋体" w:cs="宋体"/>
                <w:color w:val="auto"/>
                <w:szCs w:val="21"/>
                <w:highlight w:val="none"/>
                <w:vertAlign w:val="baseline"/>
                <w:lang w:val="en-US" w:eastAsia="zh-CN"/>
              </w:rPr>
              <w:t>-2</w:t>
            </w:r>
          </w:p>
        </w:tc>
        <w:tc>
          <w:tcPr>
            <w:tcW w:w="2073" w:type="dxa"/>
            <w:noWrap w:val="0"/>
            <w:vAlign w:val="top"/>
          </w:tcPr>
          <w:p w14:paraId="3F9E9359">
            <w:pPr>
              <w:numPr>
                <w:ilvl w:val="0"/>
                <w:numId w:val="0"/>
              </w:numPr>
              <w:spacing w:line="360" w:lineRule="auto"/>
              <w:ind w:leftChars="0"/>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lang w:eastAsia="zh-CN"/>
              </w:rPr>
              <w:t>2025-2027年度长春汽车经济技术开发区夏季扫保服务</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lang w:eastAsia="zh-CN"/>
              </w:rPr>
              <w:t>标段</w:t>
            </w:r>
          </w:p>
        </w:tc>
        <w:tc>
          <w:tcPr>
            <w:tcW w:w="4042" w:type="dxa"/>
            <w:noWrap w:val="0"/>
            <w:vAlign w:val="top"/>
          </w:tcPr>
          <w:p w14:paraId="5F1BD35D">
            <w:pPr>
              <w:numPr>
                <w:ilvl w:val="0"/>
                <w:numId w:val="0"/>
              </w:numPr>
              <w:spacing w:line="360" w:lineRule="auto"/>
              <w:ind w:leftChars="0"/>
              <w:rPr>
                <w:rFonts w:hint="default" w:ascii="宋体" w:hAnsi="宋体" w:eastAsia="宋体" w:cs="宋体"/>
                <w:color w:val="auto"/>
                <w:szCs w:val="21"/>
                <w:highlight w:val="none"/>
                <w:vertAlign w:val="baseline"/>
                <w:lang w:val="en-US"/>
              </w:rPr>
            </w:pPr>
            <w:r>
              <w:rPr>
                <w:rFonts w:hint="eastAsia" w:hAnsi="宋体" w:cs="宋体"/>
                <w:color w:val="auto"/>
                <w:kern w:val="2"/>
                <w:sz w:val="21"/>
                <w:szCs w:val="21"/>
                <w:highlight w:val="none"/>
                <w:lang w:val="en-US" w:eastAsia="zh-CN" w:bidi="ar-SA"/>
              </w:rPr>
              <w:t>42,621,617.74元/年</w:t>
            </w:r>
          </w:p>
        </w:tc>
        <w:tc>
          <w:tcPr>
            <w:tcW w:w="2134" w:type="dxa"/>
            <w:noWrap w:val="0"/>
            <w:vAlign w:val="top"/>
          </w:tcPr>
          <w:p w14:paraId="2FE726BE">
            <w:pPr>
              <w:numPr>
                <w:ilvl w:val="0"/>
                <w:numId w:val="0"/>
              </w:numPr>
              <w:spacing w:line="360" w:lineRule="auto"/>
              <w:rPr>
                <w:rFonts w:ascii="宋体" w:hAnsi="宋体" w:eastAsia="宋体" w:cs="宋体"/>
                <w:color w:val="auto"/>
                <w:szCs w:val="21"/>
                <w:highlight w:val="none"/>
                <w:vertAlign w:val="baseline"/>
              </w:rPr>
            </w:pPr>
            <w:r>
              <w:rPr>
                <w:rFonts w:hint="eastAsia" w:ascii="宋体" w:hAnsi="宋体" w:eastAsia="宋体" w:cs="宋体"/>
                <w:color w:val="auto"/>
                <w:szCs w:val="21"/>
                <w:highlight w:val="none"/>
                <w:lang w:eastAsia="zh-CN"/>
              </w:rPr>
              <w:t>2025-2027年度长春汽车经济技术开发区夏季扫保服务</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lang w:eastAsia="zh-CN"/>
              </w:rPr>
              <w:t>标段</w:t>
            </w:r>
            <w:r>
              <w:rPr>
                <w:rFonts w:hint="eastAsia" w:ascii="宋体" w:hAnsi="宋体" w:eastAsia="宋体" w:cs="宋体"/>
                <w:color w:val="auto"/>
                <w:szCs w:val="21"/>
                <w:highlight w:val="none"/>
              </w:rPr>
              <w:t>（具体参数详见招标文件）；</w:t>
            </w:r>
          </w:p>
        </w:tc>
      </w:tr>
    </w:tbl>
    <w:p w14:paraId="179758C9">
      <w:pPr>
        <w:numPr>
          <w:ilvl w:val="0"/>
          <w:numId w:val="1"/>
        </w:numPr>
        <w:spacing w:line="360" w:lineRule="auto"/>
        <w:ind w:left="0" w:firstLine="431"/>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服务期限：</w:t>
      </w:r>
      <w:r>
        <w:rPr>
          <w:rFonts w:hint="eastAsia" w:ascii="宋体" w:hAnsi="宋体" w:eastAsia="宋体" w:cs="宋体"/>
          <w:color w:val="auto"/>
          <w:szCs w:val="21"/>
          <w:highlight w:val="none"/>
          <w:lang w:eastAsia="zh-CN"/>
        </w:rPr>
        <w:t>自</w:t>
      </w:r>
      <w:r>
        <w:rPr>
          <w:rFonts w:hint="eastAsia" w:ascii="宋体" w:hAnsi="宋体" w:eastAsia="宋体" w:cs="宋体"/>
          <w:color w:val="auto"/>
          <w:szCs w:val="21"/>
          <w:highlight w:val="none"/>
          <w:lang w:val="en-US" w:eastAsia="zh-CN"/>
        </w:rPr>
        <w:t>合同签订之日</w:t>
      </w:r>
      <w:r>
        <w:rPr>
          <w:rFonts w:hint="eastAsia" w:ascii="宋体" w:hAnsi="宋体" w:eastAsia="宋体" w:cs="宋体"/>
          <w:color w:val="auto"/>
          <w:szCs w:val="21"/>
          <w:highlight w:val="none"/>
          <w:lang w:eastAsia="zh-CN"/>
        </w:rPr>
        <w:t>起至2027年12月31日止</w:t>
      </w:r>
      <w:r>
        <w:rPr>
          <w:rFonts w:hint="eastAsia" w:ascii="宋体" w:hAnsi="宋体" w:eastAsia="宋体" w:cs="宋体"/>
          <w:color w:val="auto"/>
          <w:szCs w:val="21"/>
          <w:highlight w:val="none"/>
        </w:rPr>
        <w:t>；</w:t>
      </w:r>
    </w:p>
    <w:p w14:paraId="00A1A869">
      <w:pPr>
        <w:numPr>
          <w:ilvl w:val="0"/>
          <w:numId w:val="1"/>
        </w:numPr>
        <w:spacing w:line="360" w:lineRule="auto"/>
        <w:ind w:left="0" w:firstLine="431"/>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项目地点：长春汽车经济技术开发区；</w:t>
      </w:r>
    </w:p>
    <w:p w14:paraId="7902F032">
      <w:pPr>
        <w:numPr>
          <w:ilvl w:val="0"/>
          <w:numId w:val="1"/>
        </w:numPr>
        <w:spacing w:line="360" w:lineRule="auto"/>
        <w:ind w:left="0" w:firstLine="431"/>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服务标准：优质服务；</w:t>
      </w:r>
    </w:p>
    <w:p w14:paraId="09825E27">
      <w:pPr>
        <w:numPr>
          <w:ilvl w:val="0"/>
          <w:numId w:val="1"/>
        </w:numPr>
        <w:spacing w:line="360" w:lineRule="auto"/>
        <w:ind w:left="0" w:firstLine="431"/>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本项目不接受联合体投标。</w:t>
      </w:r>
    </w:p>
    <w:p w14:paraId="3E07C6EC">
      <w:pPr>
        <w:numPr>
          <w:ilvl w:val="0"/>
          <w:numId w:val="0"/>
        </w:numPr>
        <w:spacing w:line="360" w:lineRule="auto"/>
        <w:ind w:leftChars="0"/>
        <w:rPr>
          <w:rFonts w:ascii="宋体" w:hAnsi="宋体" w:eastAsia="宋体" w:cs="宋体"/>
          <w:b/>
          <w:color w:val="auto"/>
          <w:szCs w:val="21"/>
          <w:highlight w:val="none"/>
        </w:rPr>
      </w:pPr>
      <w:bookmarkStart w:id="14" w:name="_Toc28359090"/>
      <w:bookmarkStart w:id="15" w:name="_Toc35393630"/>
      <w:bookmarkStart w:id="16" w:name="_Toc35393799"/>
      <w:bookmarkStart w:id="17" w:name="_Toc28359013"/>
      <w:r>
        <w:rPr>
          <w:rFonts w:hint="eastAsia" w:ascii="宋体" w:hAnsi="宋体" w:eastAsia="宋体" w:cs="宋体"/>
          <w:b/>
          <w:color w:val="auto"/>
          <w:szCs w:val="21"/>
          <w:highlight w:val="none"/>
        </w:rPr>
        <w:t>二、申请人的资格要求</w:t>
      </w:r>
      <w:bookmarkEnd w:id="14"/>
      <w:bookmarkEnd w:id="15"/>
      <w:bookmarkEnd w:id="16"/>
      <w:bookmarkEnd w:id="17"/>
    </w:p>
    <w:p w14:paraId="5D1BC085">
      <w:pPr>
        <w:pStyle w:val="17"/>
        <w:numPr>
          <w:ilvl w:val="0"/>
          <w:numId w:val="1"/>
        </w:numPr>
        <w:autoSpaceDE w:val="0"/>
        <w:spacing w:line="360" w:lineRule="auto"/>
        <w:ind w:left="0" w:right="-483" w:rightChars="-230" w:firstLine="420" w:firstLineChars="200"/>
        <w:rPr>
          <w:rFonts w:hAnsi="宋体" w:cs="宋体"/>
          <w:color w:val="auto"/>
          <w:highlight w:val="none"/>
        </w:rPr>
      </w:pPr>
      <w:bookmarkStart w:id="18" w:name="_Toc28359091"/>
      <w:bookmarkStart w:id="19" w:name="_Toc35393631"/>
      <w:bookmarkStart w:id="20" w:name="_Toc28359014"/>
      <w:bookmarkStart w:id="21" w:name="_Toc35393800"/>
      <w:r>
        <w:rPr>
          <w:rFonts w:hint="eastAsia" w:hAnsi="宋体" w:cs="宋体"/>
          <w:color w:val="auto"/>
          <w:highlight w:val="none"/>
        </w:rPr>
        <w:t>2.1参加本招标项目的投标申请人符合《中华人民共和国政府采购法》第二十二条规定；</w:t>
      </w:r>
    </w:p>
    <w:p w14:paraId="6D3804F4">
      <w:pPr>
        <w:pStyle w:val="17"/>
        <w:numPr>
          <w:ilvl w:val="0"/>
          <w:numId w:val="1"/>
        </w:numPr>
        <w:autoSpaceDE w:val="0"/>
        <w:spacing w:line="360" w:lineRule="auto"/>
        <w:ind w:left="0" w:right="-483" w:rightChars="-230" w:firstLine="420" w:firstLineChars="200"/>
        <w:rPr>
          <w:rFonts w:hAnsi="宋体" w:cs="宋体"/>
          <w:color w:val="auto"/>
          <w:highlight w:val="none"/>
        </w:rPr>
      </w:pPr>
      <w:r>
        <w:rPr>
          <w:rFonts w:hint="eastAsia" w:hAnsi="宋体" w:cs="宋体"/>
          <w:color w:val="auto"/>
          <w:highlight w:val="none"/>
        </w:rPr>
        <w:t>2.2落实政府采购政策需满足的资格要求：本项目</w:t>
      </w:r>
      <w:r>
        <w:rPr>
          <w:rFonts w:hint="eastAsia" w:hAnsi="宋体" w:cs="宋体"/>
          <w:color w:val="auto"/>
          <w:highlight w:val="none"/>
          <w:lang w:val="en-US" w:eastAsia="zh-CN"/>
        </w:rPr>
        <w:t>是</w:t>
      </w:r>
      <w:r>
        <w:rPr>
          <w:rFonts w:hint="eastAsia" w:hAnsi="宋体" w:cs="宋体"/>
          <w:color w:val="auto"/>
          <w:highlight w:val="none"/>
        </w:rPr>
        <w:t>专门面向中小企业的项目。</w:t>
      </w:r>
    </w:p>
    <w:p w14:paraId="5E6B1C09">
      <w:pPr>
        <w:pStyle w:val="17"/>
        <w:numPr>
          <w:ilvl w:val="0"/>
          <w:numId w:val="1"/>
        </w:numPr>
        <w:autoSpaceDE w:val="0"/>
        <w:spacing w:line="360" w:lineRule="auto"/>
        <w:ind w:left="0" w:right="-483" w:rightChars="-230" w:firstLine="420" w:firstLineChars="200"/>
        <w:rPr>
          <w:rFonts w:hAnsi="宋体" w:cs="宋体"/>
          <w:color w:val="auto"/>
          <w:highlight w:val="none"/>
        </w:rPr>
      </w:pPr>
      <w:r>
        <w:rPr>
          <w:rFonts w:hint="eastAsia" w:hAnsi="宋体" w:cs="宋体"/>
          <w:color w:val="auto"/>
          <w:highlight w:val="none"/>
        </w:rPr>
        <w:t>2.3本项目的特定资格要求：</w:t>
      </w:r>
    </w:p>
    <w:p w14:paraId="667C8E94">
      <w:pPr>
        <w:pStyle w:val="17"/>
        <w:autoSpaceDE w:val="0"/>
        <w:spacing w:line="360" w:lineRule="auto"/>
        <w:ind w:right="-483" w:rightChars="-230" w:firstLine="315" w:firstLineChars="150"/>
        <w:rPr>
          <w:rFonts w:hAnsi="宋体" w:cs="宋体"/>
          <w:color w:val="auto"/>
          <w:highlight w:val="none"/>
        </w:rPr>
      </w:pPr>
      <w:r>
        <w:rPr>
          <w:rFonts w:hint="eastAsia" w:hAnsi="宋体" w:cs="宋体"/>
          <w:color w:val="auto"/>
          <w:highlight w:val="none"/>
        </w:rPr>
        <w:t>（</w:t>
      </w:r>
      <w:r>
        <w:rPr>
          <w:rFonts w:hAnsi="宋体" w:cs="宋体"/>
          <w:color w:val="auto"/>
          <w:highlight w:val="none"/>
        </w:rPr>
        <w:t>1</w:t>
      </w:r>
      <w:r>
        <w:rPr>
          <w:rFonts w:hint="eastAsia" w:hAnsi="宋体" w:cs="宋体"/>
          <w:color w:val="auto"/>
          <w:highlight w:val="none"/>
        </w:rPr>
        <w:t>）投标人须</w:t>
      </w:r>
      <w:r>
        <w:rPr>
          <w:rFonts w:hint="eastAsia" w:hAnsi="宋体" w:cs="宋体"/>
          <w:color w:val="auto"/>
          <w:highlight w:val="none"/>
          <w:lang w:val="en-US" w:eastAsia="zh-CN"/>
        </w:rPr>
        <w:t>具有</w:t>
      </w:r>
      <w:r>
        <w:rPr>
          <w:rFonts w:hint="eastAsia" w:hAnsi="宋体" w:cs="宋体"/>
          <w:color w:val="auto"/>
          <w:highlight w:val="none"/>
          <w:lang w:eastAsia="zh-CN"/>
        </w:rPr>
        <w:t>独立承担民事责任能力的企业法人，具有有效的营业执照</w:t>
      </w:r>
      <w:r>
        <w:rPr>
          <w:rFonts w:hint="eastAsia" w:hAnsi="宋体" w:cs="宋体"/>
          <w:color w:val="auto"/>
          <w:highlight w:val="none"/>
        </w:rPr>
        <w:t>，并在人员、设备、资金等方面具有承担本服务项目的能力；</w:t>
      </w:r>
    </w:p>
    <w:p w14:paraId="04963EFE">
      <w:pPr>
        <w:pStyle w:val="17"/>
        <w:autoSpaceDE w:val="0"/>
        <w:spacing w:line="360" w:lineRule="auto"/>
        <w:ind w:right="-483" w:rightChars="-230" w:firstLine="315" w:firstLineChars="150"/>
        <w:rPr>
          <w:rFonts w:hAnsi="宋体" w:cs="宋体"/>
          <w:color w:val="auto"/>
          <w:highlight w:val="none"/>
        </w:rPr>
      </w:pPr>
      <w:r>
        <w:rPr>
          <w:rFonts w:hint="eastAsia" w:hAnsi="宋体" w:cs="宋体"/>
          <w:color w:val="auto"/>
          <w:highlight w:val="none"/>
        </w:rPr>
        <w:t>（</w:t>
      </w:r>
      <w:r>
        <w:rPr>
          <w:rFonts w:hint="eastAsia" w:hAnsi="宋体" w:cs="宋体"/>
          <w:color w:val="auto"/>
          <w:highlight w:val="none"/>
          <w:lang w:val="en-US" w:eastAsia="zh-CN"/>
        </w:rPr>
        <w:t>2</w:t>
      </w:r>
      <w:r>
        <w:rPr>
          <w:rFonts w:hint="eastAsia" w:hAnsi="宋体" w:cs="宋体"/>
          <w:color w:val="auto"/>
          <w:highlight w:val="none"/>
        </w:rPr>
        <w:t>）</w:t>
      </w:r>
      <w:r>
        <w:rPr>
          <w:rFonts w:hint="eastAsia" w:hAnsi="宋体" w:cs="宋体"/>
          <w:color w:val="auto"/>
          <w:highlight w:val="none"/>
          <w:lang w:eastAsia="zh-CN"/>
        </w:rPr>
        <w:t>投标人须具有会计师事务所或审计机构出具的近三年（2021年、2022年、2023年）财务审计报告或财务报表，（新成立不足三年的企业提供自成立之日起至2023年的财务审计报告，2023年12月31日之后成立企业提供财务状况良好承诺书）</w:t>
      </w:r>
      <w:r>
        <w:rPr>
          <w:rFonts w:hint="eastAsia" w:hAnsi="宋体" w:cs="宋体"/>
          <w:color w:val="auto"/>
          <w:highlight w:val="none"/>
        </w:rPr>
        <w:t>；</w:t>
      </w:r>
    </w:p>
    <w:p w14:paraId="71D72FB4">
      <w:pPr>
        <w:pStyle w:val="17"/>
        <w:autoSpaceDE w:val="0"/>
        <w:spacing w:line="360" w:lineRule="auto"/>
        <w:ind w:right="-483" w:rightChars="-230" w:firstLine="315" w:firstLineChars="150"/>
        <w:rPr>
          <w:rFonts w:hAnsi="宋体" w:cs="宋体"/>
          <w:color w:val="auto"/>
          <w:highlight w:val="none"/>
        </w:rPr>
      </w:pPr>
      <w:r>
        <w:rPr>
          <w:rFonts w:hint="eastAsia" w:hAnsi="宋体" w:cs="宋体"/>
          <w:color w:val="auto"/>
          <w:highlight w:val="none"/>
        </w:rPr>
        <w:t>（</w:t>
      </w:r>
      <w:r>
        <w:rPr>
          <w:rFonts w:hint="eastAsia" w:hAnsi="宋体" w:cs="宋体"/>
          <w:color w:val="auto"/>
          <w:highlight w:val="none"/>
          <w:lang w:val="en-US" w:eastAsia="zh-CN"/>
        </w:rPr>
        <w:t>3</w:t>
      </w:r>
      <w:r>
        <w:rPr>
          <w:rFonts w:hint="eastAsia" w:hAnsi="宋体" w:cs="宋体"/>
          <w:color w:val="auto"/>
          <w:highlight w:val="none"/>
        </w:rPr>
        <w:t>）投标人具有依法缴纳税收和社会保障资金的良好记录提供近</w:t>
      </w:r>
      <w:r>
        <w:rPr>
          <w:rFonts w:hint="eastAsia" w:hAnsi="宋体" w:cs="宋体"/>
          <w:color w:val="auto"/>
          <w:highlight w:val="none"/>
          <w:lang w:eastAsia="zh-CN"/>
        </w:rPr>
        <w:t>一年内任意一个月</w:t>
      </w:r>
      <w:r>
        <w:rPr>
          <w:rFonts w:hint="eastAsia" w:hAnsi="宋体" w:cs="宋体"/>
          <w:color w:val="auto"/>
          <w:highlight w:val="none"/>
        </w:rPr>
        <w:t>的缴税凭证，依法免税的应提供相应证明资料；提供近</w:t>
      </w:r>
      <w:r>
        <w:rPr>
          <w:rFonts w:hint="eastAsia" w:hAnsi="宋体" w:cs="宋体"/>
          <w:color w:val="auto"/>
          <w:highlight w:val="none"/>
          <w:lang w:eastAsia="zh-CN"/>
        </w:rPr>
        <w:t>三个月内任意一</w:t>
      </w:r>
      <w:r>
        <w:rPr>
          <w:rFonts w:hint="eastAsia" w:hAnsi="宋体" w:cs="宋体"/>
          <w:color w:val="auto"/>
          <w:highlight w:val="none"/>
        </w:rPr>
        <w:t>个</w:t>
      </w:r>
      <w:r>
        <w:rPr>
          <w:rFonts w:hint="eastAsia" w:hAnsi="宋体" w:cs="宋体"/>
          <w:color w:val="auto"/>
          <w:highlight w:val="none"/>
          <w:lang w:eastAsia="zh-CN"/>
        </w:rPr>
        <w:t>月</w:t>
      </w:r>
      <w:r>
        <w:rPr>
          <w:rFonts w:hint="eastAsia" w:hAnsi="宋体" w:cs="宋体"/>
          <w:color w:val="auto"/>
          <w:highlight w:val="none"/>
        </w:rPr>
        <w:t>企业依法为员工缴纳社会保障资金的证明资料）；</w:t>
      </w:r>
    </w:p>
    <w:p w14:paraId="01E0A89C">
      <w:pPr>
        <w:pStyle w:val="17"/>
        <w:autoSpaceDE w:val="0"/>
        <w:spacing w:line="360" w:lineRule="auto"/>
        <w:ind w:right="-483" w:rightChars="-230" w:firstLine="315" w:firstLineChars="150"/>
        <w:rPr>
          <w:rFonts w:hint="eastAsia" w:hAnsi="宋体" w:cs="宋体"/>
          <w:color w:val="auto"/>
          <w:highlight w:val="none"/>
        </w:rPr>
      </w:pPr>
      <w:r>
        <w:rPr>
          <w:rFonts w:hint="eastAsia" w:hAnsi="宋体" w:cs="宋体"/>
          <w:color w:val="auto"/>
          <w:highlight w:val="none"/>
        </w:rPr>
        <w:t>（</w:t>
      </w:r>
      <w:r>
        <w:rPr>
          <w:rFonts w:hint="eastAsia" w:hAnsi="宋体" w:cs="宋体"/>
          <w:color w:val="auto"/>
          <w:highlight w:val="none"/>
          <w:lang w:val="en-US" w:eastAsia="zh-CN"/>
        </w:rPr>
        <w:t>4</w:t>
      </w:r>
      <w:r>
        <w:rPr>
          <w:rFonts w:hint="eastAsia" w:hAnsi="宋体" w:cs="宋体"/>
          <w:color w:val="auto"/>
          <w:highlight w:val="none"/>
        </w:rPr>
        <w:t>）投标人不得为“信用中国”网站（</w:t>
      </w:r>
      <w:r>
        <w:rPr>
          <w:color w:val="auto"/>
          <w:highlight w:val="none"/>
        </w:rPr>
        <w:fldChar w:fldCharType="begin"/>
      </w:r>
      <w:r>
        <w:rPr>
          <w:color w:val="auto"/>
          <w:highlight w:val="none"/>
        </w:rPr>
        <w:instrText xml:space="preserve"> HYPERLINK "http://www.creditchina.gov.cn/" \t "_blank" </w:instrText>
      </w:r>
      <w:r>
        <w:rPr>
          <w:color w:val="auto"/>
          <w:highlight w:val="none"/>
        </w:rPr>
        <w:fldChar w:fldCharType="separate"/>
      </w:r>
      <w:r>
        <w:rPr>
          <w:rFonts w:hint="eastAsia" w:hAnsi="宋体" w:cs="宋体"/>
          <w:color w:val="auto"/>
          <w:highlight w:val="none"/>
        </w:rPr>
        <w:t>www.creditchina.gov.cn</w:t>
      </w:r>
      <w:r>
        <w:rPr>
          <w:rFonts w:hint="eastAsia" w:hAnsi="宋体" w:cs="宋体"/>
          <w:color w:val="auto"/>
          <w:highlight w:val="none"/>
        </w:rPr>
        <w:fldChar w:fldCharType="end"/>
      </w:r>
      <w:r>
        <w:rPr>
          <w:rFonts w:hint="eastAsia" w:hAnsi="宋体" w:cs="宋体"/>
          <w:color w:val="auto"/>
          <w:highlight w:val="none"/>
        </w:rPr>
        <w:t>）中列入失信被执行人和重大税收违法案件当事人名单的投标人，不得为中国政府采购网（</w:t>
      </w:r>
      <w:r>
        <w:rPr>
          <w:color w:val="auto"/>
          <w:highlight w:val="none"/>
        </w:rPr>
        <w:fldChar w:fldCharType="begin"/>
      </w:r>
      <w:r>
        <w:rPr>
          <w:color w:val="auto"/>
          <w:highlight w:val="none"/>
        </w:rPr>
        <w:instrText xml:space="preserve"> HYPERLINK "http://www.ccgp.gov.cn/" \t "_blank" </w:instrText>
      </w:r>
      <w:r>
        <w:rPr>
          <w:color w:val="auto"/>
          <w:highlight w:val="none"/>
        </w:rPr>
        <w:fldChar w:fldCharType="separate"/>
      </w:r>
      <w:r>
        <w:rPr>
          <w:rFonts w:hint="eastAsia" w:hAnsi="宋体" w:cs="宋体"/>
          <w:color w:val="auto"/>
          <w:highlight w:val="none"/>
        </w:rPr>
        <w:t>www.ccgp.gov.cn</w:t>
      </w:r>
      <w:r>
        <w:rPr>
          <w:rFonts w:hint="eastAsia" w:hAnsi="宋体" w:cs="宋体"/>
          <w:color w:val="auto"/>
          <w:highlight w:val="none"/>
        </w:rPr>
        <w:fldChar w:fldCharType="end"/>
      </w:r>
      <w:r>
        <w:rPr>
          <w:rFonts w:hint="eastAsia" w:hAnsi="宋体" w:cs="宋体"/>
          <w:color w:val="auto"/>
          <w:highlight w:val="none"/>
        </w:rPr>
        <w:t>）政府采购严重违法失信行为记录名单中被财政部门禁止参加政府采购活动的投标人（在处罚决定规定的时间和地域范围内）（详见财库【2016】125号文）；</w:t>
      </w:r>
    </w:p>
    <w:p w14:paraId="354D2384">
      <w:pPr>
        <w:pStyle w:val="17"/>
        <w:autoSpaceDE w:val="0"/>
        <w:spacing w:line="360" w:lineRule="auto"/>
        <w:ind w:right="-483" w:rightChars="-230" w:firstLine="315" w:firstLineChars="150"/>
        <w:rPr>
          <w:rFonts w:hint="default" w:hAnsi="宋体" w:eastAsia="宋体" w:cs="宋体"/>
          <w:color w:val="auto"/>
          <w:highlight w:val="none"/>
          <w:lang w:val="en-US" w:eastAsia="zh-CN"/>
        </w:rPr>
      </w:pPr>
      <w:r>
        <w:rPr>
          <w:rFonts w:hint="eastAsia"/>
          <w:color w:val="auto"/>
          <w:szCs w:val="21"/>
          <w:highlight w:val="none"/>
          <w:shd w:val="clear" w:color="auto" w:fill="FFFFFF"/>
          <w:lang w:eastAsia="zh-CN"/>
        </w:rPr>
        <w:t>（</w:t>
      </w:r>
      <w:r>
        <w:rPr>
          <w:rFonts w:hint="eastAsia"/>
          <w:color w:val="auto"/>
          <w:szCs w:val="21"/>
          <w:highlight w:val="none"/>
          <w:shd w:val="clear" w:color="auto" w:fill="FFFFFF"/>
          <w:lang w:val="en-US" w:eastAsia="zh-CN"/>
        </w:rPr>
        <w:t>5</w:t>
      </w:r>
      <w:r>
        <w:rPr>
          <w:rFonts w:hint="eastAsia"/>
          <w:color w:val="auto"/>
          <w:szCs w:val="21"/>
          <w:highlight w:val="none"/>
          <w:shd w:val="clear" w:color="auto" w:fill="FFFFFF"/>
          <w:lang w:eastAsia="zh-CN"/>
        </w:rPr>
        <w:t>）</w:t>
      </w:r>
      <w:r>
        <w:rPr>
          <w:rFonts w:hint="eastAsia" w:ascii="宋体"/>
          <w:color w:val="auto"/>
          <w:szCs w:val="21"/>
          <w:highlight w:val="none"/>
          <w:shd w:val="clear" w:color="auto" w:fill="FFFFFF"/>
        </w:rPr>
        <w:t>供应商必须为其服务人员购买意外伤害保险</w:t>
      </w:r>
      <w:r>
        <w:rPr>
          <w:rFonts w:hint="eastAsia"/>
          <w:color w:val="auto"/>
          <w:szCs w:val="21"/>
          <w:highlight w:val="none"/>
          <w:shd w:val="clear" w:color="auto" w:fill="FFFFFF"/>
          <w:lang w:eastAsia="zh-CN"/>
        </w:rPr>
        <w:t>，</w:t>
      </w:r>
      <w:r>
        <w:rPr>
          <w:rFonts w:hint="eastAsia"/>
          <w:color w:val="auto"/>
          <w:szCs w:val="21"/>
          <w:highlight w:val="none"/>
          <w:shd w:val="clear" w:color="auto" w:fill="FFFFFF"/>
          <w:lang w:val="en-US" w:eastAsia="zh-CN"/>
        </w:rPr>
        <w:t>提供意外伤害险</w:t>
      </w:r>
      <w:r>
        <w:rPr>
          <w:rFonts w:hint="eastAsia" w:hAnsi="宋体" w:cs="宋体"/>
          <w:color w:val="auto"/>
          <w:highlight w:val="none"/>
        </w:rPr>
        <w:t>相应证明资料</w:t>
      </w:r>
      <w:r>
        <w:rPr>
          <w:rFonts w:hint="eastAsia" w:hAnsi="宋体" w:cs="宋体"/>
          <w:color w:val="auto"/>
          <w:highlight w:val="none"/>
          <w:lang w:val="en-US" w:eastAsia="zh-CN"/>
        </w:rPr>
        <w:t>或承诺函</w:t>
      </w:r>
      <w:r>
        <w:rPr>
          <w:rFonts w:hint="eastAsia"/>
          <w:color w:val="auto"/>
          <w:szCs w:val="21"/>
          <w:highlight w:val="none"/>
          <w:shd w:val="clear" w:color="auto" w:fill="FFFFFF"/>
          <w:lang w:val="en-US" w:eastAsia="zh-CN"/>
        </w:rPr>
        <w:t>；</w:t>
      </w:r>
    </w:p>
    <w:p w14:paraId="0CD87356">
      <w:pPr>
        <w:pStyle w:val="17"/>
        <w:autoSpaceDE w:val="0"/>
        <w:spacing w:line="360" w:lineRule="auto"/>
        <w:ind w:right="-483" w:rightChars="-230" w:firstLine="315" w:firstLineChars="150"/>
        <w:rPr>
          <w:rFonts w:hAnsi="宋体" w:cs="宋体"/>
          <w:color w:val="auto"/>
          <w:highlight w:val="none"/>
        </w:rPr>
      </w:pPr>
      <w:r>
        <w:rPr>
          <w:rFonts w:hint="eastAsia" w:hAnsi="宋体" w:cs="宋体"/>
          <w:color w:val="auto"/>
          <w:highlight w:val="none"/>
        </w:rPr>
        <w:t>（</w:t>
      </w:r>
      <w:r>
        <w:rPr>
          <w:rFonts w:hint="eastAsia" w:hAnsi="宋体" w:cs="宋体"/>
          <w:color w:val="auto"/>
          <w:highlight w:val="none"/>
          <w:lang w:val="en-US" w:eastAsia="zh-CN"/>
        </w:rPr>
        <w:t>6</w:t>
      </w:r>
      <w:r>
        <w:rPr>
          <w:rFonts w:hint="eastAsia" w:hAnsi="宋体" w:cs="宋体"/>
          <w:color w:val="auto"/>
          <w:highlight w:val="none"/>
        </w:rPr>
        <w:t>）参加采购活动前三年内，在经营活动中没有重大违法记录；拒绝列入政府取消投标资格记录期间的企业或个人投标；</w:t>
      </w:r>
    </w:p>
    <w:p w14:paraId="52423A84">
      <w:pPr>
        <w:pStyle w:val="17"/>
        <w:autoSpaceDE w:val="0"/>
        <w:spacing w:line="360" w:lineRule="auto"/>
        <w:ind w:right="-483" w:rightChars="-230" w:firstLine="315" w:firstLineChars="150"/>
        <w:rPr>
          <w:rFonts w:hAnsi="宋体" w:cs="宋体"/>
          <w:color w:val="auto"/>
          <w:highlight w:val="none"/>
        </w:rPr>
      </w:pPr>
      <w:r>
        <w:rPr>
          <w:rFonts w:hint="eastAsia" w:hAnsi="宋体" w:cs="宋体"/>
          <w:color w:val="auto"/>
          <w:highlight w:val="none"/>
        </w:rPr>
        <w:t>（</w:t>
      </w:r>
      <w:r>
        <w:rPr>
          <w:rFonts w:hint="eastAsia" w:hAnsi="宋体" w:cs="宋体"/>
          <w:color w:val="auto"/>
          <w:highlight w:val="none"/>
          <w:lang w:val="en-US" w:eastAsia="zh-CN"/>
        </w:rPr>
        <w:t>7</w:t>
      </w:r>
      <w:r>
        <w:rPr>
          <w:rFonts w:hint="eastAsia" w:hAnsi="宋体" w:cs="宋体"/>
          <w:color w:val="auto"/>
          <w:highlight w:val="none"/>
        </w:rPr>
        <w:t>）投标人需提供中国裁判文书网（http://wenshu.court.gov.cn/）的无行贿犯罪查询证明网站截图并加盖单位公章（提供的查询结果网页截图需体现企业及法定代表人）；</w:t>
      </w:r>
    </w:p>
    <w:p w14:paraId="62788962">
      <w:pPr>
        <w:pStyle w:val="17"/>
        <w:autoSpaceDE w:val="0"/>
        <w:spacing w:line="360" w:lineRule="auto"/>
        <w:ind w:right="-483" w:rightChars="-230" w:firstLine="315" w:firstLineChars="150"/>
        <w:rPr>
          <w:rFonts w:hAnsi="宋体" w:cs="宋体"/>
          <w:color w:val="auto"/>
          <w:highlight w:val="none"/>
        </w:rPr>
      </w:pPr>
      <w:r>
        <w:rPr>
          <w:rFonts w:hint="eastAsia" w:hAnsi="宋体" w:cs="宋体"/>
          <w:color w:val="auto"/>
          <w:highlight w:val="none"/>
        </w:rPr>
        <w:t>（</w:t>
      </w:r>
      <w:r>
        <w:rPr>
          <w:rFonts w:hint="eastAsia" w:hAnsi="宋体" w:cs="宋体"/>
          <w:color w:val="auto"/>
          <w:highlight w:val="none"/>
          <w:lang w:val="en-US" w:eastAsia="zh-CN"/>
        </w:rPr>
        <w:t>8</w:t>
      </w:r>
      <w:r>
        <w:rPr>
          <w:rFonts w:hint="eastAsia" w:hAnsi="宋体" w:cs="宋体"/>
          <w:color w:val="auto"/>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8FE062A">
      <w:pPr>
        <w:numPr>
          <w:ilvl w:val="0"/>
          <w:numId w:val="0"/>
        </w:numPr>
        <w:spacing w:line="360" w:lineRule="auto"/>
        <w:ind w:leftChars="0"/>
        <w:rPr>
          <w:rFonts w:ascii="宋体" w:hAnsi="宋体" w:eastAsia="宋体" w:cs="宋体"/>
          <w:b/>
          <w:color w:val="auto"/>
          <w:szCs w:val="21"/>
          <w:highlight w:val="none"/>
        </w:rPr>
      </w:pPr>
      <w:r>
        <w:rPr>
          <w:rFonts w:hint="eastAsia" w:ascii="宋体" w:hAnsi="宋体" w:eastAsia="宋体" w:cs="宋体"/>
          <w:b/>
          <w:color w:val="auto"/>
          <w:szCs w:val="21"/>
          <w:highlight w:val="none"/>
        </w:rPr>
        <w:t>三、获取招标文件</w:t>
      </w:r>
      <w:bookmarkEnd w:id="18"/>
      <w:bookmarkEnd w:id="19"/>
      <w:bookmarkEnd w:id="20"/>
      <w:bookmarkEnd w:id="21"/>
    </w:p>
    <w:p w14:paraId="393068F7">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kern w:val="2"/>
          <w:sz w:val="21"/>
          <w:szCs w:val="21"/>
          <w:highlight w:val="none"/>
          <w:lang w:val="zh-CN" w:eastAsia="zh-CN" w:bidi="ar-SA"/>
        </w:rPr>
      </w:pPr>
      <w:bookmarkStart w:id="22" w:name="_Toc28359092"/>
      <w:bookmarkStart w:id="23" w:name="_Toc35393801"/>
      <w:bookmarkStart w:id="24" w:name="_Toc28359015"/>
      <w:bookmarkStart w:id="25" w:name="_Toc35393632"/>
      <w:r>
        <w:rPr>
          <w:rFonts w:hint="eastAsia" w:ascii="宋体" w:hAnsi="宋体" w:eastAsia="宋体" w:cs="宋体"/>
          <w:color w:val="auto"/>
          <w:kern w:val="2"/>
          <w:sz w:val="21"/>
          <w:szCs w:val="21"/>
          <w:highlight w:val="none"/>
          <w:lang w:val="zh-CN" w:eastAsia="zh-CN" w:bidi="ar-SA"/>
        </w:rPr>
        <w:t>时间：202</w:t>
      </w: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zh-CN" w:eastAsia="zh-CN" w:bidi="ar-SA"/>
        </w:rPr>
        <w:t>年</w:t>
      </w:r>
      <w:r>
        <w:rPr>
          <w:rFonts w:hint="eastAsia" w:ascii="宋体" w:hAnsi="宋体" w:cs="宋体"/>
          <w:color w:val="auto"/>
          <w:kern w:val="2"/>
          <w:sz w:val="21"/>
          <w:szCs w:val="21"/>
          <w:highlight w:val="none"/>
          <w:lang w:val="en-US" w:eastAsia="zh-CN" w:bidi="ar-SA"/>
        </w:rPr>
        <w:t>12</w:t>
      </w:r>
      <w:r>
        <w:rPr>
          <w:rFonts w:hint="eastAsia" w:ascii="宋体" w:hAnsi="宋体" w:eastAsia="宋体" w:cs="宋体"/>
          <w:color w:val="auto"/>
          <w:kern w:val="2"/>
          <w:sz w:val="21"/>
          <w:szCs w:val="21"/>
          <w:highlight w:val="none"/>
          <w:lang w:val="zh-CN" w:eastAsia="zh-CN" w:bidi="ar-SA"/>
        </w:rPr>
        <w:t>月</w:t>
      </w:r>
      <w:r>
        <w:rPr>
          <w:rFonts w:hint="eastAsia" w:ascii="宋体" w:hAnsi="宋体" w:cs="宋体"/>
          <w:color w:val="auto"/>
          <w:kern w:val="2"/>
          <w:sz w:val="21"/>
          <w:szCs w:val="21"/>
          <w:highlight w:val="none"/>
          <w:lang w:val="en-US" w:eastAsia="zh-CN" w:bidi="ar-SA"/>
        </w:rPr>
        <w:t>19</w:t>
      </w:r>
      <w:r>
        <w:rPr>
          <w:rFonts w:hint="eastAsia" w:ascii="宋体" w:hAnsi="宋体" w:eastAsia="宋体" w:cs="宋体"/>
          <w:color w:val="auto"/>
          <w:kern w:val="2"/>
          <w:sz w:val="21"/>
          <w:szCs w:val="21"/>
          <w:highlight w:val="none"/>
          <w:lang w:val="zh-CN" w:eastAsia="zh-CN" w:bidi="ar-SA"/>
        </w:rPr>
        <w:t>日上午8：30起至202</w:t>
      </w: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zh-CN" w:eastAsia="zh-CN" w:bidi="ar-SA"/>
        </w:rPr>
        <w:t>年</w:t>
      </w:r>
      <w:r>
        <w:rPr>
          <w:rFonts w:hint="eastAsia" w:ascii="宋体" w:hAnsi="宋体" w:cs="宋体"/>
          <w:color w:val="auto"/>
          <w:kern w:val="2"/>
          <w:sz w:val="21"/>
          <w:szCs w:val="21"/>
          <w:highlight w:val="none"/>
          <w:lang w:val="en-US" w:eastAsia="zh-CN" w:bidi="ar-SA"/>
        </w:rPr>
        <w:t>12</w:t>
      </w:r>
      <w:r>
        <w:rPr>
          <w:rFonts w:hint="eastAsia" w:ascii="宋体" w:hAnsi="宋体" w:eastAsia="宋体" w:cs="宋体"/>
          <w:color w:val="auto"/>
          <w:kern w:val="2"/>
          <w:sz w:val="21"/>
          <w:szCs w:val="21"/>
          <w:highlight w:val="none"/>
          <w:lang w:val="zh-CN" w:eastAsia="zh-CN" w:bidi="ar-SA"/>
        </w:rPr>
        <w:t>月</w:t>
      </w:r>
      <w:r>
        <w:rPr>
          <w:rFonts w:hint="eastAsia" w:ascii="宋体" w:hAnsi="宋体" w:cs="宋体"/>
          <w:color w:val="auto"/>
          <w:kern w:val="2"/>
          <w:sz w:val="21"/>
          <w:szCs w:val="21"/>
          <w:highlight w:val="none"/>
          <w:lang w:val="en-US" w:eastAsia="zh-CN" w:bidi="ar-SA"/>
        </w:rPr>
        <w:t>25</w:t>
      </w:r>
      <w:r>
        <w:rPr>
          <w:rFonts w:hint="eastAsia" w:ascii="宋体" w:hAnsi="宋体" w:eastAsia="宋体" w:cs="宋体"/>
          <w:color w:val="auto"/>
          <w:kern w:val="2"/>
          <w:sz w:val="21"/>
          <w:szCs w:val="21"/>
          <w:highlight w:val="none"/>
          <w:lang w:val="zh-CN" w:eastAsia="zh-CN" w:bidi="ar-SA"/>
        </w:rPr>
        <w:t>日下午1</w:t>
      </w: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zh-CN" w:eastAsia="zh-CN" w:bidi="ar-SA"/>
        </w:rPr>
        <w:t>：00止。</w:t>
      </w:r>
    </w:p>
    <w:p w14:paraId="601AB398">
      <w:pPr>
        <w:keepNext w:val="0"/>
        <w:keepLines w:val="0"/>
        <w:pageBreakBefore w:val="0"/>
        <w:widowControl w:val="0"/>
        <w:kinsoku/>
        <w:wordWrap/>
        <w:overflowPunct/>
        <w:topLinePunct w:val="0"/>
        <w:bidi w:val="0"/>
        <w:spacing w:line="360" w:lineRule="auto"/>
        <w:ind w:firstLine="420" w:firstLineChars="200"/>
        <w:jc w:val="lef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方式：网上免费获取（潜在供应商自行登录政府采购云平台（网址：http://</w:t>
      </w:r>
      <w:r>
        <w:rPr>
          <w:rFonts w:hint="eastAsia" w:ascii="宋体" w:hAnsi="宋体" w:eastAsia="宋体" w:cs="宋体"/>
          <w:color w:val="auto"/>
          <w:kern w:val="2"/>
          <w:sz w:val="21"/>
          <w:szCs w:val="21"/>
          <w:highlight w:val="none"/>
          <w:lang w:val="zh-CN" w:eastAsia="zh-CN" w:bidi="ar-SA"/>
        </w:rPr>
        <w:fldChar w:fldCharType="begin"/>
      </w:r>
      <w:r>
        <w:rPr>
          <w:rFonts w:hint="eastAsia" w:ascii="宋体" w:hAnsi="宋体" w:eastAsia="宋体" w:cs="宋体"/>
          <w:color w:val="auto"/>
          <w:kern w:val="2"/>
          <w:sz w:val="21"/>
          <w:szCs w:val="21"/>
          <w:highlight w:val="none"/>
          <w:lang w:val="zh-CN" w:eastAsia="zh-CN" w:bidi="ar-SA"/>
        </w:rPr>
        <w:instrText xml:space="preserve"> HYPERLINK "http://www.zcygov.cn）注册（https:/middle.zcygov.cn/v-settle-front/registry）并下载竞争性磋商文件，其他途径获取的竞争性磋商文件开标时一律按无效投标处理）。" </w:instrText>
      </w:r>
      <w:r>
        <w:rPr>
          <w:rFonts w:hint="eastAsia" w:ascii="宋体" w:hAnsi="宋体" w:eastAsia="宋体" w:cs="宋体"/>
          <w:color w:val="auto"/>
          <w:kern w:val="2"/>
          <w:sz w:val="21"/>
          <w:szCs w:val="21"/>
          <w:highlight w:val="none"/>
          <w:lang w:val="zh-CN" w:eastAsia="zh-CN" w:bidi="ar-SA"/>
        </w:rPr>
        <w:fldChar w:fldCharType="separate"/>
      </w:r>
      <w:r>
        <w:rPr>
          <w:rFonts w:hint="eastAsia" w:ascii="宋体" w:hAnsi="宋体" w:eastAsia="宋体" w:cs="宋体"/>
          <w:color w:val="auto"/>
          <w:kern w:val="2"/>
          <w:sz w:val="21"/>
          <w:szCs w:val="21"/>
          <w:highlight w:val="none"/>
          <w:lang w:val="zh-CN" w:eastAsia="zh-CN" w:bidi="ar-SA"/>
        </w:rPr>
        <w:t>www.zcygov.cn）</w:t>
      </w:r>
      <w:r>
        <w:rPr>
          <w:rFonts w:hint="eastAsia" w:ascii="宋体" w:hAnsi="宋体" w:eastAsia="宋体" w:cs="宋体"/>
          <w:color w:val="auto"/>
          <w:kern w:val="2"/>
          <w:sz w:val="21"/>
          <w:szCs w:val="21"/>
          <w:highlight w:val="none"/>
          <w:lang w:val="en-US" w:eastAsia="zh-CN" w:bidi="ar-SA"/>
        </w:rPr>
        <w:t>注册</w:t>
      </w:r>
      <w:r>
        <w:rPr>
          <w:rFonts w:hint="eastAsia" w:ascii="宋体" w:hAnsi="宋体" w:eastAsia="宋体" w:cs="宋体"/>
          <w:color w:val="auto"/>
          <w:kern w:val="2"/>
          <w:sz w:val="21"/>
          <w:szCs w:val="21"/>
          <w:highlight w:val="none"/>
          <w:lang w:val="zh-CN" w:eastAsia="zh-CN" w:bidi="ar-SA"/>
        </w:rPr>
        <w:t>（https://middle.zcygov.cn/v-settle-front/registry）并下载</w:t>
      </w:r>
      <w:r>
        <w:rPr>
          <w:rFonts w:hint="eastAsia" w:ascii="宋体" w:hAnsi="宋体" w:eastAsia="宋体" w:cs="宋体"/>
          <w:color w:val="auto"/>
          <w:kern w:val="2"/>
          <w:sz w:val="21"/>
          <w:szCs w:val="21"/>
          <w:highlight w:val="none"/>
          <w:lang w:val="en-US" w:eastAsia="zh-CN" w:bidi="ar-SA"/>
        </w:rPr>
        <w:t>采购</w:t>
      </w:r>
      <w:r>
        <w:rPr>
          <w:rFonts w:hint="eastAsia" w:ascii="宋体" w:hAnsi="宋体" w:eastAsia="宋体" w:cs="宋体"/>
          <w:color w:val="auto"/>
          <w:kern w:val="2"/>
          <w:sz w:val="21"/>
          <w:szCs w:val="21"/>
          <w:highlight w:val="none"/>
          <w:lang w:val="zh-CN" w:eastAsia="zh-CN" w:bidi="ar-SA"/>
        </w:rPr>
        <w:t>文件，其他途径获取的</w:t>
      </w:r>
      <w:r>
        <w:rPr>
          <w:rFonts w:hint="eastAsia" w:ascii="宋体" w:hAnsi="宋体" w:eastAsia="宋体" w:cs="宋体"/>
          <w:color w:val="auto"/>
          <w:kern w:val="2"/>
          <w:sz w:val="21"/>
          <w:szCs w:val="21"/>
          <w:highlight w:val="none"/>
          <w:lang w:val="en-US" w:eastAsia="zh-CN" w:bidi="ar-SA"/>
        </w:rPr>
        <w:t>采购</w:t>
      </w:r>
      <w:r>
        <w:rPr>
          <w:rFonts w:hint="eastAsia" w:ascii="宋体" w:hAnsi="宋体" w:eastAsia="宋体" w:cs="宋体"/>
          <w:color w:val="auto"/>
          <w:kern w:val="2"/>
          <w:sz w:val="21"/>
          <w:szCs w:val="21"/>
          <w:highlight w:val="none"/>
          <w:lang w:val="zh-CN" w:eastAsia="zh-CN" w:bidi="ar-SA"/>
        </w:rPr>
        <w:t>文件开标时一律按无效投标处理）。</w:t>
      </w:r>
      <w:r>
        <w:rPr>
          <w:rFonts w:hint="eastAsia" w:ascii="宋体" w:hAnsi="宋体" w:eastAsia="宋体" w:cs="宋体"/>
          <w:color w:val="auto"/>
          <w:kern w:val="2"/>
          <w:sz w:val="21"/>
          <w:szCs w:val="21"/>
          <w:highlight w:val="none"/>
          <w:lang w:val="zh-CN" w:eastAsia="zh-CN" w:bidi="ar-SA"/>
        </w:rPr>
        <w:fldChar w:fldCharType="end"/>
      </w:r>
    </w:p>
    <w:p w14:paraId="7C194C17">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售价：0元。</w:t>
      </w:r>
    </w:p>
    <w:p w14:paraId="51F0B13C">
      <w:pPr>
        <w:numPr>
          <w:ilvl w:val="0"/>
          <w:numId w:val="0"/>
        </w:numPr>
        <w:spacing w:line="360" w:lineRule="auto"/>
        <w:ind w:leftChars="0"/>
        <w:rPr>
          <w:rFonts w:ascii="宋体" w:hAnsi="宋体" w:eastAsia="宋体" w:cs="宋体"/>
          <w:b/>
          <w:color w:val="auto"/>
          <w:szCs w:val="21"/>
          <w:highlight w:val="none"/>
        </w:rPr>
      </w:pPr>
      <w:r>
        <w:rPr>
          <w:rFonts w:hint="eastAsia" w:ascii="宋体" w:hAnsi="宋体" w:eastAsia="宋体" w:cs="宋体"/>
          <w:b/>
          <w:color w:val="auto"/>
          <w:szCs w:val="21"/>
          <w:highlight w:val="none"/>
        </w:rPr>
        <w:t>四、</w:t>
      </w:r>
      <w:bookmarkEnd w:id="22"/>
      <w:bookmarkEnd w:id="23"/>
      <w:bookmarkEnd w:id="24"/>
      <w:bookmarkEnd w:id="25"/>
      <w:r>
        <w:rPr>
          <w:rFonts w:hint="eastAsia" w:ascii="宋体" w:hAnsi="宋体" w:eastAsia="宋体" w:cs="宋体"/>
          <w:b/>
          <w:color w:val="auto"/>
          <w:szCs w:val="21"/>
          <w:highlight w:val="none"/>
        </w:rPr>
        <w:t>提交投标文件截止时间、开标时间和地点</w:t>
      </w:r>
    </w:p>
    <w:p w14:paraId="55043E00">
      <w:pPr>
        <w:numPr>
          <w:ilvl w:val="0"/>
          <w:numId w:val="1"/>
        </w:numPr>
        <w:spacing w:line="360" w:lineRule="auto"/>
        <w:ind w:left="431" w:hanging="431"/>
        <w:rPr>
          <w:rFonts w:hint="eastAsia" w:ascii="宋体" w:hAnsi="宋体" w:eastAsia="宋体" w:cs="宋体"/>
          <w:color w:val="auto"/>
          <w:szCs w:val="21"/>
          <w:highlight w:val="none"/>
          <w:lang w:val="en-US" w:eastAsia="zh-CN"/>
        </w:rPr>
      </w:pPr>
      <w:bookmarkStart w:id="26" w:name="_Toc35393802"/>
      <w:bookmarkStart w:id="27" w:name="_Toc28359016"/>
      <w:bookmarkStart w:id="28" w:name="_Toc28359093"/>
      <w:bookmarkStart w:id="29" w:name="_Toc35393633"/>
      <w:r>
        <w:rPr>
          <w:rFonts w:hint="eastAsia" w:ascii="宋体" w:hAnsi="宋体" w:eastAsia="宋体" w:cs="宋体"/>
          <w:color w:val="auto"/>
          <w:szCs w:val="21"/>
          <w:highlight w:val="none"/>
          <w:lang w:val="en-US" w:eastAsia="zh-CN"/>
        </w:rPr>
        <w:t>时间：</w:t>
      </w:r>
      <w:r>
        <w:rPr>
          <w:rFonts w:hint="eastAsia" w:ascii="宋体" w:hAnsi="宋体" w:eastAsia="宋体" w:cs="宋体"/>
          <w:color w:val="auto"/>
          <w:szCs w:val="21"/>
          <w:highlight w:val="none"/>
          <w:lang w:eastAsia="zh-CN"/>
        </w:rPr>
        <w:t>2025年1月8日上午9时00分</w:t>
      </w:r>
      <w:r>
        <w:rPr>
          <w:rFonts w:hint="eastAsia" w:ascii="宋体" w:hAnsi="宋体" w:eastAsia="宋体" w:cs="宋体"/>
          <w:color w:val="auto"/>
          <w:szCs w:val="21"/>
          <w:highlight w:val="none"/>
          <w:lang w:val="en-US" w:eastAsia="zh-CN"/>
        </w:rPr>
        <w:t>（北京时间）。</w:t>
      </w:r>
    </w:p>
    <w:p w14:paraId="30A5F6C5">
      <w:pPr>
        <w:numPr>
          <w:ilvl w:val="0"/>
          <w:numId w:val="1"/>
        </w:numPr>
        <w:spacing w:line="360" w:lineRule="auto"/>
        <w:ind w:left="431" w:hanging="431"/>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地点：</w:t>
      </w:r>
      <w:r>
        <w:rPr>
          <w:rFonts w:hint="eastAsia" w:ascii="宋体" w:hAnsi="宋体" w:eastAsia="宋体" w:cs="宋体"/>
          <w:color w:val="auto"/>
          <w:szCs w:val="21"/>
          <w:highlight w:val="none"/>
          <w:lang w:eastAsia="zh-CN"/>
        </w:rPr>
        <w:t>长春市二道区洋浦大街凯利中心AB栋101开标</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lang w:eastAsia="zh-CN"/>
        </w:rPr>
        <w:t>室。</w:t>
      </w:r>
    </w:p>
    <w:p w14:paraId="2BB6112D">
      <w:pPr>
        <w:numPr>
          <w:ilvl w:val="0"/>
          <w:numId w:val="1"/>
        </w:numPr>
        <w:spacing w:line="360" w:lineRule="auto"/>
        <w:ind w:left="431" w:hanging="43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本项目执行电子化招投标，须通过政府采购云平台（网址：http://www.zcygov.cn）递交电子版响应文件。</w:t>
      </w:r>
    </w:p>
    <w:p w14:paraId="5AB6EDD1">
      <w:pPr>
        <w:numPr>
          <w:ilvl w:val="0"/>
          <w:numId w:val="1"/>
        </w:numPr>
        <w:spacing w:line="360" w:lineRule="auto"/>
        <w:ind w:left="431" w:hanging="43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投标操作流程：供应商在政府采购云平台网注册入库成为正式供应商后，在平台上按《政府采购项目电子交易管理操作指南-供应商》进行投标操作。</w:t>
      </w:r>
    </w:p>
    <w:p w14:paraId="5A8C40E1">
      <w:pPr>
        <w:numPr>
          <w:ilvl w:val="0"/>
          <w:numId w:val="1"/>
        </w:numPr>
        <w:spacing w:line="360" w:lineRule="auto"/>
        <w:ind w:left="431" w:hanging="43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数字证书办理及投标技术咨询：供应商须办理数字证书方可参加投标。</w:t>
      </w:r>
    </w:p>
    <w:p w14:paraId="5ADA84B8">
      <w:pPr>
        <w:numPr>
          <w:ilvl w:val="0"/>
          <w:numId w:val="1"/>
        </w:numPr>
        <w:spacing w:line="360" w:lineRule="auto"/>
        <w:ind w:left="431" w:hanging="431"/>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办理联系方式：拨打政采云服务热线95763。</w:t>
      </w:r>
    </w:p>
    <w:p w14:paraId="150FE709">
      <w:pPr>
        <w:numPr>
          <w:ilvl w:val="0"/>
          <w:numId w:val="0"/>
        </w:numPr>
        <w:spacing w:line="360" w:lineRule="auto"/>
        <w:ind w:leftChars="0"/>
        <w:rPr>
          <w:rFonts w:ascii="宋体" w:hAnsi="宋体" w:eastAsia="宋体" w:cs="宋体"/>
          <w:b/>
          <w:color w:val="auto"/>
          <w:szCs w:val="21"/>
          <w:highlight w:val="none"/>
        </w:rPr>
      </w:pPr>
      <w:r>
        <w:rPr>
          <w:rFonts w:hint="eastAsia" w:ascii="宋体" w:hAnsi="宋体" w:eastAsia="宋体" w:cs="宋体"/>
          <w:b/>
          <w:color w:val="auto"/>
          <w:szCs w:val="21"/>
          <w:highlight w:val="none"/>
        </w:rPr>
        <w:t>五、</w:t>
      </w:r>
      <w:bookmarkEnd w:id="26"/>
      <w:bookmarkEnd w:id="27"/>
      <w:bookmarkEnd w:id="28"/>
      <w:bookmarkEnd w:id="29"/>
      <w:r>
        <w:rPr>
          <w:rFonts w:hint="eastAsia" w:ascii="宋体" w:hAnsi="宋体" w:eastAsia="宋体" w:cs="宋体"/>
          <w:b/>
          <w:color w:val="auto"/>
          <w:szCs w:val="21"/>
          <w:highlight w:val="none"/>
        </w:rPr>
        <w:t>公告期限</w:t>
      </w:r>
    </w:p>
    <w:p w14:paraId="7DB949CD">
      <w:pPr>
        <w:numPr>
          <w:ilvl w:val="0"/>
          <w:numId w:val="1"/>
        </w:numPr>
        <w:spacing w:line="360" w:lineRule="auto"/>
        <w:ind w:left="431" w:hanging="431"/>
        <w:rPr>
          <w:rFonts w:ascii="宋体" w:hAnsi="宋体" w:eastAsia="宋体" w:cs="宋体"/>
          <w:color w:val="auto"/>
          <w:szCs w:val="21"/>
          <w:highlight w:val="none"/>
        </w:rPr>
      </w:pPr>
      <w:bookmarkStart w:id="30" w:name="_Toc35393803"/>
      <w:bookmarkStart w:id="31" w:name="_Toc28359017"/>
      <w:bookmarkStart w:id="32" w:name="_Toc28359094"/>
      <w:bookmarkStart w:id="33" w:name="_Toc35393634"/>
      <w:r>
        <w:rPr>
          <w:rFonts w:hint="eastAsia" w:ascii="宋体" w:hAnsi="宋体" w:eastAsia="宋体" w:cs="宋体"/>
          <w:color w:val="auto"/>
          <w:szCs w:val="21"/>
          <w:highlight w:val="none"/>
        </w:rPr>
        <w:t>自本公告发布之日起5个工作日。</w:t>
      </w:r>
    </w:p>
    <w:bookmarkEnd w:id="30"/>
    <w:bookmarkEnd w:id="31"/>
    <w:bookmarkEnd w:id="32"/>
    <w:bookmarkEnd w:id="33"/>
    <w:p w14:paraId="448CB861">
      <w:pPr>
        <w:numPr>
          <w:ilvl w:val="0"/>
          <w:numId w:val="0"/>
        </w:numPr>
        <w:spacing w:line="240" w:lineRule="auto"/>
        <w:ind w:leftChars="0"/>
        <w:rPr>
          <w:rFonts w:ascii="宋体" w:hAnsi="宋体" w:eastAsia="宋体" w:cs="宋体"/>
          <w:b/>
          <w:color w:val="auto"/>
          <w:szCs w:val="21"/>
          <w:highlight w:val="none"/>
        </w:rPr>
      </w:pPr>
      <w:r>
        <w:rPr>
          <w:rFonts w:hint="eastAsia" w:ascii="宋体" w:hAnsi="宋体" w:eastAsia="宋体" w:cs="宋体"/>
          <w:b/>
          <w:color w:val="auto"/>
          <w:szCs w:val="21"/>
          <w:highlight w:val="none"/>
        </w:rPr>
        <w:t>六、其他补充事宜</w:t>
      </w:r>
    </w:p>
    <w:p w14:paraId="0F609031">
      <w:pPr>
        <w:pStyle w:val="3"/>
        <w:numPr>
          <w:ilvl w:val="0"/>
          <w:numId w:val="0"/>
        </w:numPr>
        <w:spacing w:line="240" w:lineRule="auto"/>
        <w:ind w:firstLine="420" w:firstLineChars="200"/>
        <w:rPr>
          <w:rFonts w:hint="eastAsia" w:ascii="宋体" w:hAnsi="宋体" w:eastAsia="宋体" w:cs="宋体"/>
          <w:b w:val="0"/>
          <w:bCs w:val="0"/>
          <w:color w:val="auto"/>
          <w:kern w:val="2"/>
          <w:sz w:val="21"/>
          <w:szCs w:val="21"/>
          <w:highlight w:val="none"/>
          <w:lang w:val="en-US" w:eastAsia="zh-CN" w:bidi="ar-SA"/>
        </w:rPr>
      </w:pPr>
      <w:bookmarkStart w:id="34" w:name="_Toc10810"/>
      <w:bookmarkStart w:id="35" w:name="_Toc32182"/>
      <w:bookmarkStart w:id="36" w:name="_Toc35393635"/>
      <w:bookmarkStart w:id="37" w:name="_Toc35393804"/>
      <w:r>
        <w:rPr>
          <w:rFonts w:hint="eastAsia" w:ascii="宋体" w:hAnsi="宋体" w:eastAsia="宋体" w:cs="宋体"/>
          <w:b w:val="0"/>
          <w:bCs w:val="0"/>
          <w:color w:val="auto"/>
          <w:kern w:val="2"/>
          <w:sz w:val="21"/>
          <w:szCs w:val="21"/>
          <w:highlight w:val="none"/>
          <w:lang w:val="zh-CN" w:eastAsia="zh-CN" w:bidi="ar-SA"/>
        </w:rPr>
        <w:t>本次公告在政府采购云平台（网址：http://www.zcygov.cn）、中国政府采购网、中国招投标公共服务平台上发布。</w:t>
      </w:r>
      <w:bookmarkEnd w:id="34"/>
      <w:bookmarkEnd w:id="35"/>
    </w:p>
    <w:p w14:paraId="1B4EA15A">
      <w:pPr>
        <w:pStyle w:val="17"/>
        <w:wordWrap w:val="0"/>
        <w:autoSpaceDE w:val="0"/>
        <w:spacing w:line="240" w:lineRule="auto"/>
        <w:ind w:right="-483" w:rightChars="-230"/>
        <w:rPr>
          <w:rFonts w:hAnsi="宋体" w:cs="宋体"/>
          <w:b/>
          <w:color w:val="auto"/>
          <w:highlight w:val="none"/>
        </w:rPr>
      </w:pPr>
      <w:r>
        <w:rPr>
          <w:rFonts w:hint="eastAsia" w:hAnsi="宋体" w:cs="宋体"/>
          <w:b/>
          <w:color w:val="auto"/>
          <w:highlight w:val="none"/>
        </w:rPr>
        <w:t>七、</w:t>
      </w:r>
      <w:bookmarkEnd w:id="36"/>
      <w:bookmarkEnd w:id="37"/>
      <w:r>
        <w:rPr>
          <w:rFonts w:hint="eastAsia" w:hAnsi="宋体" w:cs="宋体"/>
          <w:b/>
          <w:color w:val="auto"/>
          <w:highlight w:val="none"/>
        </w:rPr>
        <w:t>对本次招标提出询问，请按以下方式联系</w:t>
      </w:r>
    </w:p>
    <w:p w14:paraId="3888F661">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1.采购人信息</w:t>
      </w:r>
    </w:p>
    <w:p w14:paraId="2236201D">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名    称：</w:t>
      </w:r>
      <w:r>
        <w:rPr>
          <w:rFonts w:hint="eastAsia" w:ascii="宋体" w:hAnsi="宋体" w:eastAsia="宋体" w:cs="宋体"/>
          <w:color w:val="auto"/>
          <w:kern w:val="2"/>
          <w:sz w:val="21"/>
          <w:szCs w:val="21"/>
          <w:highlight w:val="none"/>
          <w:u w:val="single"/>
          <w:lang w:val="en-US" w:eastAsia="zh-CN" w:bidi="ar-SA"/>
        </w:rPr>
        <w:t>长春汽车经济技术开发区城市管理局</w:t>
      </w:r>
    </w:p>
    <w:p w14:paraId="75214EC6">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地    址：</w:t>
      </w:r>
      <w:r>
        <w:rPr>
          <w:rFonts w:hint="eastAsia" w:ascii="宋体" w:hAnsi="宋体" w:eastAsia="宋体" w:cs="宋体"/>
          <w:color w:val="auto"/>
          <w:kern w:val="2"/>
          <w:sz w:val="21"/>
          <w:szCs w:val="21"/>
          <w:highlight w:val="none"/>
          <w:u w:val="single"/>
          <w:lang w:val="en-US" w:eastAsia="zh-CN" w:bidi="ar-SA"/>
        </w:rPr>
        <w:t>长春市通达路</w:t>
      </w:r>
    </w:p>
    <w:p w14:paraId="6F4F30FE">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联系方式：</w:t>
      </w:r>
      <w:r>
        <w:rPr>
          <w:rFonts w:hint="eastAsia" w:ascii="宋体" w:hAnsi="宋体" w:eastAsia="宋体" w:cs="宋体"/>
          <w:color w:val="auto"/>
          <w:kern w:val="2"/>
          <w:sz w:val="21"/>
          <w:szCs w:val="21"/>
          <w:highlight w:val="none"/>
          <w:u w:val="single"/>
          <w:lang w:val="en-US" w:eastAsia="zh-CN" w:bidi="ar-SA"/>
        </w:rPr>
        <w:t>齐帅18143057570</w:t>
      </w:r>
    </w:p>
    <w:p w14:paraId="5E454A90">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2.采购代理机构信息</w:t>
      </w:r>
    </w:p>
    <w:p w14:paraId="145DB7C7">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名    称：</w:t>
      </w:r>
      <w:r>
        <w:rPr>
          <w:rFonts w:hint="eastAsia" w:ascii="宋体" w:hAnsi="宋体" w:eastAsia="宋体" w:cs="宋体"/>
          <w:color w:val="auto"/>
          <w:kern w:val="2"/>
          <w:sz w:val="21"/>
          <w:szCs w:val="21"/>
          <w:highlight w:val="none"/>
          <w:u w:val="single"/>
          <w:lang w:val="en-US" w:eastAsia="zh-CN" w:bidi="ar-SA"/>
        </w:rPr>
        <w:t xml:space="preserve">中科天一工程管理有限公司 </w:t>
      </w:r>
    </w:p>
    <w:p w14:paraId="1690AC43">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地    址：长春市南关区生态大街华荣泰时代7#号楼</w:t>
      </w:r>
    </w:p>
    <w:p w14:paraId="28B0A81A">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联系方式：</w:t>
      </w:r>
      <w:r>
        <w:rPr>
          <w:rFonts w:hint="eastAsia" w:ascii="宋体" w:hAnsi="宋体" w:eastAsia="宋体" w:cs="宋体"/>
          <w:color w:val="auto"/>
          <w:kern w:val="2"/>
          <w:sz w:val="21"/>
          <w:szCs w:val="21"/>
          <w:highlight w:val="none"/>
          <w:u w:val="single"/>
          <w:lang w:val="en-US" w:eastAsia="zh-CN" w:bidi="ar-SA"/>
        </w:rPr>
        <w:t>赵强 18514308960（办公电话）</w:t>
      </w:r>
    </w:p>
    <w:p w14:paraId="5B5A2C64">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3.项目联系方式</w:t>
      </w:r>
    </w:p>
    <w:p w14:paraId="21392D1A">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项目联系人：</w:t>
      </w:r>
      <w:r>
        <w:rPr>
          <w:rFonts w:hint="eastAsia" w:ascii="宋体" w:hAnsi="宋体" w:eastAsia="宋体" w:cs="宋体"/>
          <w:color w:val="auto"/>
          <w:kern w:val="2"/>
          <w:sz w:val="21"/>
          <w:szCs w:val="21"/>
          <w:highlight w:val="none"/>
          <w:u w:val="single"/>
          <w:lang w:val="en-US" w:eastAsia="zh-CN" w:bidi="ar-SA"/>
        </w:rPr>
        <w:t>赵强 18514308960（办公电话）</w:t>
      </w:r>
    </w:p>
    <w:p w14:paraId="25094EC7">
      <w:pPr>
        <w:pStyle w:val="3"/>
        <w:rPr>
          <w:rFonts w:hint="eastAsia" w:ascii="宋体" w:hAnsi="宋体" w:eastAsia="宋体" w:cs="宋体"/>
          <w:b w:val="0"/>
          <w:bCs w:val="0"/>
          <w:color w:val="auto"/>
          <w:kern w:val="2"/>
          <w:sz w:val="21"/>
          <w:szCs w:val="21"/>
          <w:highlight w:val="none"/>
          <w:lang w:val="en-US" w:eastAsia="zh-CN" w:bidi="ar-SA"/>
        </w:rPr>
      </w:pPr>
      <w:bookmarkStart w:id="38" w:name="_Toc21368"/>
      <w:r>
        <w:rPr>
          <w:rFonts w:hint="eastAsia" w:ascii="宋体" w:hAnsi="宋体" w:eastAsia="宋体" w:cs="宋体"/>
          <w:b w:val="0"/>
          <w:bCs w:val="0"/>
          <w:color w:val="auto"/>
          <w:kern w:val="2"/>
          <w:sz w:val="21"/>
          <w:szCs w:val="21"/>
          <w:highlight w:val="none"/>
          <w:lang w:val="en-US" w:eastAsia="zh-CN" w:bidi="ar-SA"/>
        </w:rPr>
        <w:t>监督人：</w:t>
      </w:r>
      <w:r>
        <w:rPr>
          <w:rFonts w:hint="eastAsia" w:ascii="宋体" w:hAnsi="宋体" w:eastAsia="宋体" w:cs="宋体"/>
          <w:b w:val="0"/>
          <w:bCs w:val="0"/>
          <w:color w:val="auto"/>
          <w:kern w:val="2"/>
          <w:sz w:val="21"/>
          <w:szCs w:val="21"/>
          <w:highlight w:val="none"/>
          <w:u w:val="single"/>
          <w:lang w:val="en-US" w:eastAsia="zh-CN" w:bidi="ar-SA"/>
        </w:rPr>
        <w:t>长春汽车经济技术开发区财政局</w:t>
      </w:r>
      <w:bookmarkEnd w:id="38"/>
    </w:p>
    <w:p w14:paraId="5F5E123D">
      <w:pPr>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联系方式：</w:t>
      </w:r>
      <w:r>
        <w:rPr>
          <w:rFonts w:hint="eastAsia" w:ascii="宋体" w:hAnsi="宋体" w:eastAsia="宋体" w:cs="宋体"/>
          <w:b w:val="0"/>
          <w:bCs w:val="0"/>
          <w:color w:val="auto"/>
          <w:kern w:val="2"/>
          <w:sz w:val="21"/>
          <w:szCs w:val="21"/>
          <w:highlight w:val="none"/>
          <w:u w:val="single"/>
          <w:lang w:val="en-US" w:eastAsia="zh-CN" w:bidi="ar-SA"/>
        </w:rPr>
        <w:t>0431-81501632</w:t>
      </w:r>
    </w:p>
    <w:p w14:paraId="302B9706">
      <w:pPr>
        <w:rPr>
          <w:color w:val="auto"/>
          <w:highlight w:val="none"/>
        </w:rPr>
      </w:pPr>
    </w:p>
    <w:p w14:paraId="67F031DA">
      <w:pPr>
        <w:rPr>
          <w:rFonts w:hint="default" w:ascii="宋体" w:hAnsi="宋体" w:eastAsia="宋体" w:cs="宋体"/>
          <w:b w:val="0"/>
          <w:bCs w:val="0"/>
          <w:color w:val="auto"/>
          <w:kern w:val="2"/>
          <w:sz w:val="21"/>
          <w:szCs w:val="21"/>
          <w:highlight w:val="none"/>
          <w:lang w:val="en-US" w:eastAsia="zh-CN" w:bidi="ar-SA"/>
        </w:rPr>
      </w:pPr>
    </w:p>
    <w:p w14:paraId="1FEE1FE0">
      <w:pPr>
        <w:pStyle w:val="17"/>
        <w:ind w:firstLine="480" w:firstLineChars="200"/>
        <w:jc w:val="right"/>
        <w:rPr>
          <w:rFonts w:ascii="Times New Roman" w:hAnsi="Times New Roman" w:cs="Times New Roman"/>
          <w:color w:val="auto"/>
          <w:sz w:val="24"/>
          <w:szCs w:val="24"/>
          <w:highlight w:val="none"/>
        </w:rPr>
      </w:pPr>
      <w:r>
        <w:rPr>
          <w:rFonts w:hint="eastAsia" w:ascii="Times New Roman" w:hAnsi="Times New Roman"/>
          <w:color w:val="auto"/>
          <w:sz w:val="24"/>
          <w:szCs w:val="24"/>
          <w:highlight w:val="none"/>
        </w:rPr>
        <w:br w:type="page"/>
      </w:r>
    </w:p>
    <w:p w14:paraId="405532A1">
      <w:pPr>
        <w:pStyle w:val="3"/>
        <w:jc w:val="center"/>
        <w:rPr>
          <w:color w:val="auto"/>
          <w:highlight w:val="none"/>
        </w:rPr>
      </w:pPr>
      <w:bookmarkStart w:id="39" w:name="_Toc57294095"/>
      <w:bookmarkStart w:id="40" w:name="_Toc57294206"/>
      <w:bookmarkStart w:id="41" w:name="_Toc14512"/>
      <w:r>
        <w:rPr>
          <w:rFonts w:hint="eastAsia"/>
          <w:color w:val="auto"/>
          <w:highlight w:val="none"/>
        </w:rPr>
        <w:t>第二章　投标人须知</w:t>
      </w:r>
      <w:bookmarkEnd w:id="39"/>
      <w:bookmarkEnd w:id="40"/>
      <w:bookmarkEnd w:id="41"/>
    </w:p>
    <w:p w14:paraId="02B22058">
      <w:pPr>
        <w:jc w:val="center"/>
        <w:rPr>
          <w:color w:val="auto"/>
          <w:highlight w:val="none"/>
        </w:rPr>
      </w:pPr>
      <w:r>
        <w:rPr>
          <w:rFonts w:hint="eastAsia"/>
          <w:color w:val="auto"/>
          <w:highlight w:val="none"/>
        </w:rPr>
        <w:t>投标人须知前附表</w:t>
      </w:r>
    </w:p>
    <w:tbl>
      <w:tblPr>
        <w:tblStyle w:val="29"/>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035"/>
        <w:gridCol w:w="6284"/>
      </w:tblGrid>
      <w:tr w14:paraId="6027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Align w:val="center"/>
          </w:tcPr>
          <w:p w14:paraId="62E2B0A5">
            <w:pPr>
              <w:pStyle w:val="17"/>
              <w:jc w:val="center"/>
              <w:rPr>
                <w:rFonts w:hAnsi="宋体" w:cs="宋体"/>
                <w:color w:val="auto"/>
                <w:highlight w:val="none"/>
              </w:rPr>
            </w:pPr>
            <w:r>
              <w:rPr>
                <w:rFonts w:hint="eastAsia" w:hAnsi="宋体" w:cs="宋体"/>
                <w:color w:val="auto"/>
                <w:highlight w:val="none"/>
              </w:rPr>
              <w:t>序号</w:t>
            </w:r>
          </w:p>
        </w:tc>
        <w:tc>
          <w:tcPr>
            <w:tcW w:w="2035" w:type="dxa"/>
            <w:vAlign w:val="center"/>
          </w:tcPr>
          <w:p w14:paraId="39A196B0">
            <w:pPr>
              <w:pStyle w:val="17"/>
              <w:jc w:val="center"/>
              <w:rPr>
                <w:rFonts w:hAnsi="宋体" w:cs="宋体"/>
                <w:color w:val="auto"/>
                <w:highlight w:val="none"/>
              </w:rPr>
            </w:pPr>
            <w:r>
              <w:rPr>
                <w:rFonts w:hint="eastAsia" w:hAnsi="宋体" w:cs="宋体"/>
                <w:color w:val="auto"/>
                <w:highlight w:val="none"/>
              </w:rPr>
              <w:t>条款名称</w:t>
            </w:r>
          </w:p>
        </w:tc>
        <w:tc>
          <w:tcPr>
            <w:tcW w:w="6284" w:type="dxa"/>
            <w:vAlign w:val="center"/>
          </w:tcPr>
          <w:p w14:paraId="6A452E83">
            <w:pPr>
              <w:pStyle w:val="17"/>
              <w:jc w:val="center"/>
              <w:rPr>
                <w:rFonts w:hAnsi="宋体" w:cs="宋体"/>
                <w:color w:val="auto"/>
                <w:highlight w:val="none"/>
              </w:rPr>
            </w:pPr>
            <w:r>
              <w:rPr>
                <w:rFonts w:hint="eastAsia" w:hAnsi="宋体" w:cs="宋体"/>
                <w:color w:val="auto"/>
                <w:highlight w:val="none"/>
              </w:rPr>
              <w:t>编列内容规定</w:t>
            </w:r>
          </w:p>
        </w:tc>
      </w:tr>
      <w:tr w14:paraId="73D5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90" w:type="dxa"/>
            <w:vMerge w:val="restart"/>
            <w:vAlign w:val="center"/>
          </w:tcPr>
          <w:p w14:paraId="12704F50">
            <w:pPr>
              <w:pStyle w:val="17"/>
              <w:jc w:val="center"/>
              <w:rPr>
                <w:rFonts w:hAnsi="宋体" w:cs="宋体"/>
                <w:color w:val="auto"/>
                <w:highlight w:val="none"/>
              </w:rPr>
            </w:pPr>
            <w:r>
              <w:rPr>
                <w:rFonts w:hint="eastAsia" w:hAnsi="宋体" w:cs="宋体"/>
                <w:color w:val="auto"/>
                <w:highlight w:val="none"/>
              </w:rPr>
              <w:t>1</w:t>
            </w:r>
          </w:p>
        </w:tc>
        <w:tc>
          <w:tcPr>
            <w:tcW w:w="2035" w:type="dxa"/>
            <w:vAlign w:val="center"/>
          </w:tcPr>
          <w:p w14:paraId="5CF93752">
            <w:pPr>
              <w:pStyle w:val="17"/>
              <w:jc w:val="left"/>
              <w:rPr>
                <w:rFonts w:hAnsi="宋体" w:cs="宋体"/>
                <w:color w:val="auto"/>
                <w:highlight w:val="none"/>
              </w:rPr>
            </w:pPr>
            <w:r>
              <w:rPr>
                <w:rFonts w:hint="eastAsia" w:hAnsi="宋体" w:cs="宋体"/>
                <w:color w:val="auto"/>
                <w:highlight w:val="none"/>
              </w:rPr>
              <w:t>采购项目</w:t>
            </w:r>
          </w:p>
        </w:tc>
        <w:tc>
          <w:tcPr>
            <w:tcW w:w="6284" w:type="dxa"/>
            <w:vAlign w:val="center"/>
          </w:tcPr>
          <w:p w14:paraId="36B4149F">
            <w:pPr>
              <w:pStyle w:val="17"/>
              <w:jc w:val="left"/>
              <w:rPr>
                <w:rFonts w:hint="eastAsia" w:hAnsi="宋体" w:eastAsia="宋体" w:cs="宋体"/>
                <w:color w:val="auto"/>
                <w:highlight w:val="none"/>
                <w:lang w:eastAsia="zh-CN"/>
              </w:rPr>
            </w:pPr>
            <w:r>
              <w:rPr>
                <w:rFonts w:hint="eastAsia" w:hAnsi="宋体" w:cs="宋体"/>
                <w:color w:val="auto"/>
                <w:highlight w:val="none"/>
                <w:lang w:eastAsia="zh-CN"/>
              </w:rPr>
              <w:t>2025-2027年度长春汽车经济技术开发区夏季扫保服务</w:t>
            </w:r>
          </w:p>
        </w:tc>
      </w:tr>
      <w:tr w14:paraId="2F31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90" w:type="dxa"/>
            <w:vMerge w:val="continue"/>
            <w:vAlign w:val="center"/>
          </w:tcPr>
          <w:p w14:paraId="0366A857">
            <w:pPr>
              <w:pStyle w:val="17"/>
              <w:jc w:val="center"/>
              <w:rPr>
                <w:rFonts w:hAnsi="宋体" w:cs="宋体"/>
                <w:color w:val="auto"/>
                <w:highlight w:val="none"/>
              </w:rPr>
            </w:pPr>
          </w:p>
        </w:tc>
        <w:tc>
          <w:tcPr>
            <w:tcW w:w="2035" w:type="dxa"/>
            <w:vAlign w:val="center"/>
          </w:tcPr>
          <w:p w14:paraId="400FF8FD">
            <w:pPr>
              <w:pStyle w:val="17"/>
              <w:jc w:val="left"/>
              <w:rPr>
                <w:rFonts w:hAnsi="宋体" w:cs="宋体"/>
                <w:color w:val="auto"/>
                <w:highlight w:val="none"/>
              </w:rPr>
            </w:pPr>
            <w:r>
              <w:rPr>
                <w:rFonts w:hint="eastAsia" w:hAnsi="宋体" w:cs="宋体"/>
                <w:color w:val="auto"/>
                <w:highlight w:val="none"/>
              </w:rPr>
              <w:t>采购预算</w:t>
            </w:r>
          </w:p>
        </w:tc>
        <w:tc>
          <w:tcPr>
            <w:tcW w:w="6284" w:type="dxa"/>
            <w:vAlign w:val="center"/>
          </w:tcPr>
          <w:p w14:paraId="6B56D95F">
            <w:pPr>
              <w:pStyle w:val="17"/>
              <w:jc w:val="left"/>
              <w:rPr>
                <w:rFonts w:hint="default" w:hAnsi="宋体" w:eastAsia="宋体" w:cs="宋体"/>
                <w:color w:val="auto"/>
                <w:highlight w:val="none"/>
                <w:lang w:val="en-US" w:eastAsia="zh-CN"/>
              </w:rPr>
            </w:pPr>
            <w:r>
              <w:rPr>
                <w:rFonts w:hint="eastAsia" w:hAnsi="宋体" w:cs="宋体"/>
                <w:color w:val="auto"/>
                <w:highlight w:val="none"/>
                <w:lang w:val="en-US" w:eastAsia="zh-CN"/>
              </w:rPr>
              <w:t>一标段：</w:t>
            </w:r>
            <w:r>
              <w:rPr>
                <w:rFonts w:hint="eastAsia" w:ascii="宋体" w:hAnsi="宋体" w:eastAsia="宋体" w:cs="宋体"/>
                <w:color w:val="auto"/>
                <w:kern w:val="2"/>
                <w:sz w:val="21"/>
                <w:szCs w:val="21"/>
                <w:highlight w:val="none"/>
                <w:lang w:val="zh-CN" w:eastAsia="zh-CN" w:bidi="ar-SA"/>
              </w:rPr>
              <w:t>100</w:t>
            </w:r>
            <w:r>
              <w:rPr>
                <w:rFonts w:hint="eastAsia"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zh-CN" w:eastAsia="zh-CN" w:bidi="ar-SA"/>
              </w:rPr>
              <w:t>708</w:t>
            </w:r>
            <w:r>
              <w:rPr>
                <w:rFonts w:hint="eastAsia"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zh-CN" w:eastAsia="zh-CN" w:bidi="ar-SA"/>
              </w:rPr>
              <w:t>645.78</w:t>
            </w:r>
            <w:r>
              <w:rPr>
                <w:rFonts w:hint="eastAsia" w:hAnsi="宋体" w:cs="宋体"/>
                <w:color w:val="auto"/>
                <w:kern w:val="2"/>
                <w:sz w:val="21"/>
                <w:szCs w:val="21"/>
                <w:highlight w:val="none"/>
                <w:lang w:val="en-US" w:eastAsia="zh-CN" w:bidi="ar-SA"/>
              </w:rPr>
              <w:t>元/年；二标段：42,621,617.74元/年</w:t>
            </w:r>
          </w:p>
        </w:tc>
      </w:tr>
      <w:tr w14:paraId="62D8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0" w:type="dxa"/>
            <w:vMerge w:val="continue"/>
            <w:vAlign w:val="center"/>
          </w:tcPr>
          <w:p w14:paraId="6D957540">
            <w:pPr>
              <w:pStyle w:val="17"/>
              <w:jc w:val="center"/>
              <w:rPr>
                <w:rFonts w:hAnsi="宋体" w:cs="宋体"/>
                <w:color w:val="auto"/>
                <w:highlight w:val="none"/>
              </w:rPr>
            </w:pPr>
          </w:p>
        </w:tc>
        <w:tc>
          <w:tcPr>
            <w:tcW w:w="2035" w:type="dxa"/>
            <w:vAlign w:val="center"/>
          </w:tcPr>
          <w:p w14:paraId="01A8E5F8">
            <w:pPr>
              <w:pStyle w:val="17"/>
              <w:jc w:val="left"/>
              <w:rPr>
                <w:rFonts w:ascii="Times New Roman" w:hAnsi="Times New Roman" w:cs="Times New Roman"/>
                <w:color w:val="auto"/>
                <w:highlight w:val="none"/>
              </w:rPr>
            </w:pPr>
            <w:r>
              <w:rPr>
                <w:rFonts w:hint="eastAsia" w:ascii="Times New Roman" w:hAnsi="Times New Roman" w:cs="Times New Roman"/>
                <w:color w:val="auto"/>
                <w:highlight w:val="none"/>
              </w:rPr>
              <w:t>本项目设定的最高限价</w:t>
            </w:r>
          </w:p>
        </w:tc>
        <w:tc>
          <w:tcPr>
            <w:tcW w:w="6284" w:type="dxa"/>
            <w:vAlign w:val="center"/>
          </w:tcPr>
          <w:p w14:paraId="277F9FD2">
            <w:pPr>
              <w:pStyle w:val="17"/>
              <w:jc w:val="left"/>
              <w:rPr>
                <w:rFonts w:ascii="Times New Roman" w:hAnsi="Times New Roman" w:cs="Times New Roman"/>
                <w:color w:val="auto"/>
                <w:highlight w:val="none"/>
              </w:rPr>
            </w:pPr>
            <w:r>
              <w:rPr>
                <w:rFonts w:hint="eastAsia" w:hAnsi="宋体" w:cs="Times New Roman"/>
                <w:color w:val="auto"/>
                <w:highlight w:val="none"/>
              </w:rPr>
              <w:t>□</w:t>
            </w:r>
            <w:r>
              <w:rPr>
                <w:rFonts w:hint="eastAsia" w:ascii="Times New Roman" w:hAnsi="Times New Roman" w:cs="Times New Roman"/>
                <w:color w:val="auto"/>
                <w:highlight w:val="none"/>
              </w:rPr>
              <w:t>无</w:t>
            </w:r>
          </w:p>
          <w:p w14:paraId="35CB6369">
            <w:pPr>
              <w:pStyle w:val="17"/>
              <w:jc w:val="left"/>
              <w:rPr>
                <w:rFonts w:ascii="MingLiU_HKSCS" w:hAnsi="MingLiU_HKSCS" w:eastAsia="MingLiU_HKSCS" w:cs="MingLiU_HKSCS"/>
                <w:color w:val="auto"/>
                <w:highlight w:val="none"/>
              </w:rPr>
            </w:pPr>
            <w:r>
              <w:rPr>
                <w:rFonts w:hint="eastAsia" w:ascii="MS Mincho" w:hAnsi="MS Mincho" w:eastAsia="MS Mincho" w:cs="MS Mincho"/>
                <w:color w:val="auto"/>
                <w:highlight w:val="none"/>
              </w:rPr>
              <w:t>☑</w:t>
            </w:r>
            <w:r>
              <w:rPr>
                <w:rFonts w:hint="eastAsia" w:ascii="Times New Roman" w:hAnsi="Times New Roman" w:cs="Times New Roman"/>
                <w:color w:val="auto"/>
                <w:highlight w:val="none"/>
              </w:rPr>
              <w:t>有</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金额：</w:t>
            </w:r>
            <w:r>
              <w:rPr>
                <w:rFonts w:hint="eastAsia" w:hAnsi="宋体" w:cs="宋体"/>
                <w:color w:val="auto"/>
                <w:highlight w:val="none"/>
                <w:lang w:val="en-US" w:eastAsia="zh-CN"/>
              </w:rPr>
              <w:t>一标段：</w:t>
            </w:r>
            <w:r>
              <w:rPr>
                <w:rFonts w:hint="eastAsia" w:ascii="宋体" w:hAnsi="宋体" w:eastAsia="宋体" w:cs="宋体"/>
                <w:color w:val="auto"/>
                <w:kern w:val="2"/>
                <w:sz w:val="21"/>
                <w:szCs w:val="21"/>
                <w:highlight w:val="none"/>
                <w:lang w:val="zh-CN" w:eastAsia="zh-CN" w:bidi="ar-SA"/>
              </w:rPr>
              <w:t>100</w:t>
            </w:r>
            <w:r>
              <w:rPr>
                <w:rFonts w:hint="eastAsia"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zh-CN" w:eastAsia="zh-CN" w:bidi="ar-SA"/>
              </w:rPr>
              <w:t>708</w:t>
            </w:r>
            <w:r>
              <w:rPr>
                <w:rFonts w:hint="eastAsia"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zh-CN" w:eastAsia="zh-CN" w:bidi="ar-SA"/>
              </w:rPr>
              <w:t>645.78</w:t>
            </w:r>
            <w:r>
              <w:rPr>
                <w:rFonts w:hint="eastAsia" w:hAnsi="宋体" w:cs="宋体"/>
                <w:color w:val="auto"/>
                <w:kern w:val="2"/>
                <w:sz w:val="21"/>
                <w:szCs w:val="21"/>
                <w:highlight w:val="none"/>
                <w:lang w:val="en-US" w:eastAsia="zh-CN" w:bidi="ar-SA"/>
              </w:rPr>
              <w:t>元/年；二标段：42,621,617.74元/年</w:t>
            </w:r>
          </w:p>
        </w:tc>
      </w:tr>
      <w:tr w14:paraId="2E67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90" w:type="dxa"/>
            <w:vMerge w:val="continue"/>
            <w:vAlign w:val="center"/>
          </w:tcPr>
          <w:p w14:paraId="687A5780">
            <w:pPr>
              <w:pStyle w:val="17"/>
              <w:jc w:val="center"/>
              <w:rPr>
                <w:rFonts w:hAnsi="宋体" w:cs="宋体"/>
                <w:color w:val="auto"/>
                <w:highlight w:val="none"/>
              </w:rPr>
            </w:pPr>
          </w:p>
        </w:tc>
        <w:tc>
          <w:tcPr>
            <w:tcW w:w="2035" w:type="dxa"/>
            <w:vAlign w:val="center"/>
          </w:tcPr>
          <w:p w14:paraId="0C9EA92F">
            <w:pPr>
              <w:pStyle w:val="17"/>
              <w:jc w:val="left"/>
              <w:rPr>
                <w:rFonts w:hAnsi="宋体" w:cs="宋体"/>
                <w:color w:val="auto"/>
                <w:highlight w:val="none"/>
              </w:rPr>
            </w:pPr>
            <w:r>
              <w:rPr>
                <w:rFonts w:hint="eastAsia" w:hAnsi="宋体" w:cs="宋体"/>
                <w:color w:val="auto"/>
                <w:highlight w:val="none"/>
              </w:rPr>
              <w:t>公告媒体</w:t>
            </w:r>
          </w:p>
        </w:tc>
        <w:tc>
          <w:tcPr>
            <w:tcW w:w="6284" w:type="dxa"/>
            <w:vAlign w:val="center"/>
          </w:tcPr>
          <w:p w14:paraId="6DAB6333">
            <w:pPr>
              <w:pStyle w:val="17"/>
              <w:jc w:val="left"/>
              <w:rPr>
                <w:rFonts w:hAnsi="宋体" w:cs="宋体"/>
                <w:color w:val="auto"/>
                <w:highlight w:val="none"/>
              </w:rPr>
            </w:pPr>
            <w:r>
              <w:rPr>
                <w:rFonts w:hint="eastAsia" w:ascii="宋体" w:hAnsi="宋体" w:eastAsia="宋体" w:cs="宋体"/>
                <w:b w:val="0"/>
                <w:bCs w:val="0"/>
                <w:color w:val="auto"/>
                <w:kern w:val="2"/>
                <w:sz w:val="21"/>
                <w:szCs w:val="21"/>
                <w:highlight w:val="none"/>
                <w:lang w:val="zh-CN" w:eastAsia="zh-CN" w:bidi="ar-SA"/>
              </w:rPr>
              <w:t>政府采购云平台（网址：http://www.zcygov.cn）、中国政府采购网、中国招投标公共服务平台上</w:t>
            </w:r>
          </w:p>
        </w:tc>
      </w:tr>
      <w:tr w14:paraId="0DAF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090" w:type="dxa"/>
            <w:vAlign w:val="center"/>
          </w:tcPr>
          <w:p w14:paraId="1B3AA2CD">
            <w:pPr>
              <w:pStyle w:val="17"/>
              <w:jc w:val="center"/>
              <w:rPr>
                <w:rFonts w:hAnsi="宋体" w:cs="宋体"/>
                <w:color w:val="auto"/>
                <w:highlight w:val="none"/>
              </w:rPr>
            </w:pPr>
            <w:r>
              <w:rPr>
                <w:rFonts w:hint="eastAsia" w:hAnsi="宋体" w:cs="宋体"/>
                <w:color w:val="auto"/>
                <w:highlight w:val="none"/>
              </w:rPr>
              <w:t>2</w:t>
            </w:r>
          </w:p>
        </w:tc>
        <w:tc>
          <w:tcPr>
            <w:tcW w:w="2035" w:type="dxa"/>
            <w:vAlign w:val="center"/>
          </w:tcPr>
          <w:p w14:paraId="6EC02659">
            <w:pPr>
              <w:pStyle w:val="17"/>
              <w:jc w:val="left"/>
              <w:rPr>
                <w:rFonts w:hAnsi="宋体" w:cs="宋体"/>
                <w:color w:val="auto"/>
                <w:highlight w:val="none"/>
              </w:rPr>
            </w:pPr>
            <w:r>
              <w:rPr>
                <w:rFonts w:hint="eastAsia" w:hAnsi="宋体" w:cs="宋体"/>
                <w:color w:val="auto"/>
                <w:highlight w:val="none"/>
              </w:rPr>
              <w:t>采购人</w:t>
            </w:r>
          </w:p>
        </w:tc>
        <w:tc>
          <w:tcPr>
            <w:tcW w:w="6284" w:type="dxa"/>
            <w:vAlign w:val="center"/>
          </w:tcPr>
          <w:p w14:paraId="40777521">
            <w:pPr>
              <w:pStyle w:val="17"/>
              <w:jc w:val="left"/>
              <w:rPr>
                <w:rFonts w:hint="eastAsia" w:hAnsi="宋体" w:cs="宋体"/>
                <w:color w:val="auto"/>
                <w:highlight w:val="none"/>
              </w:rPr>
            </w:pPr>
            <w:r>
              <w:rPr>
                <w:rFonts w:hint="eastAsia" w:hAnsi="宋体" w:cs="宋体"/>
                <w:color w:val="auto"/>
                <w:highlight w:val="none"/>
              </w:rPr>
              <w:t>名    称：　</w:t>
            </w:r>
            <w:r>
              <w:rPr>
                <w:rFonts w:hint="eastAsia" w:hAnsi="宋体" w:cs="宋体"/>
                <w:color w:val="auto"/>
                <w:highlight w:val="none"/>
                <w:lang w:eastAsia="zh-CN"/>
              </w:rPr>
              <w:t>长春汽车经济技术开发区城市管理局</w:t>
            </w:r>
            <w:r>
              <w:rPr>
                <w:rFonts w:hint="eastAsia" w:hAnsi="宋体" w:cs="宋体"/>
                <w:color w:val="auto"/>
                <w:highlight w:val="none"/>
              </w:rPr>
              <w:t>　</w:t>
            </w:r>
          </w:p>
          <w:p w14:paraId="2062D3AA">
            <w:pPr>
              <w:pStyle w:val="17"/>
              <w:jc w:val="left"/>
              <w:rPr>
                <w:rFonts w:hint="eastAsia" w:hAnsi="宋体" w:cs="宋体"/>
                <w:color w:val="auto"/>
                <w:highlight w:val="none"/>
              </w:rPr>
            </w:pPr>
            <w:r>
              <w:rPr>
                <w:rFonts w:hint="eastAsia" w:hAnsi="宋体" w:cs="宋体"/>
                <w:color w:val="auto"/>
                <w:highlight w:val="none"/>
              </w:rPr>
              <w:t>地    址：　</w:t>
            </w:r>
            <w:r>
              <w:rPr>
                <w:rFonts w:hint="eastAsia" w:hAnsi="宋体" w:cs="宋体"/>
                <w:color w:val="auto"/>
                <w:highlight w:val="none"/>
                <w:lang w:eastAsia="zh-CN"/>
              </w:rPr>
              <w:t>长春市通达路</w:t>
            </w:r>
            <w:r>
              <w:rPr>
                <w:rFonts w:hint="eastAsia" w:hAnsi="宋体" w:cs="宋体"/>
                <w:color w:val="auto"/>
                <w:highlight w:val="none"/>
              </w:rPr>
              <w:t>　</w:t>
            </w:r>
          </w:p>
          <w:p w14:paraId="5960C99D">
            <w:pPr>
              <w:pStyle w:val="17"/>
              <w:jc w:val="left"/>
              <w:rPr>
                <w:rFonts w:hAnsi="宋体" w:cs="宋体"/>
                <w:color w:val="auto"/>
                <w:highlight w:val="none"/>
              </w:rPr>
            </w:pPr>
            <w:r>
              <w:rPr>
                <w:rFonts w:hint="eastAsia" w:hAnsi="宋体" w:cs="宋体"/>
                <w:color w:val="auto"/>
                <w:highlight w:val="none"/>
              </w:rPr>
              <w:t>联系方式：　</w:t>
            </w:r>
            <w:r>
              <w:rPr>
                <w:rFonts w:hint="eastAsia" w:hAnsi="宋体" w:cs="宋体"/>
                <w:color w:val="auto"/>
                <w:highlight w:val="none"/>
                <w:lang w:eastAsia="zh-CN"/>
              </w:rPr>
              <w:t>齐帅</w:t>
            </w:r>
            <w:r>
              <w:rPr>
                <w:rFonts w:hint="eastAsia" w:hAnsi="宋体" w:cs="宋体"/>
                <w:color w:val="auto"/>
                <w:highlight w:val="none"/>
              </w:rPr>
              <w:t>　</w:t>
            </w:r>
            <w:r>
              <w:rPr>
                <w:rFonts w:hint="eastAsia" w:hAnsi="宋体" w:cs="宋体"/>
                <w:color w:val="auto"/>
                <w:highlight w:val="none"/>
                <w:lang w:eastAsia="zh-CN"/>
              </w:rPr>
              <w:t>18143057570</w:t>
            </w:r>
            <w:r>
              <w:rPr>
                <w:rFonts w:hint="eastAsia" w:hAnsi="宋体" w:cs="宋体"/>
                <w:color w:val="auto"/>
                <w:highlight w:val="none"/>
              </w:rPr>
              <w:t xml:space="preserve">　 </w:t>
            </w:r>
          </w:p>
        </w:tc>
      </w:tr>
      <w:tr w14:paraId="5B50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090" w:type="dxa"/>
            <w:vAlign w:val="center"/>
          </w:tcPr>
          <w:p w14:paraId="1ABAC6CD">
            <w:pPr>
              <w:pStyle w:val="17"/>
              <w:jc w:val="center"/>
              <w:rPr>
                <w:rFonts w:hAnsi="宋体" w:cs="宋体"/>
                <w:color w:val="auto"/>
                <w:highlight w:val="none"/>
              </w:rPr>
            </w:pPr>
            <w:r>
              <w:rPr>
                <w:rFonts w:hint="eastAsia" w:hAnsi="宋体" w:cs="宋体"/>
                <w:color w:val="auto"/>
                <w:highlight w:val="none"/>
              </w:rPr>
              <w:t>3</w:t>
            </w:r>
          </w:p>
        </w:tc>
        <w:tc>
          <w:tcPr>
            <w:tcW w:w="2035" w:type="dxa"/>
            <w:vAlign w:val="center"/>
          </w:tcPr>
          <w:p w14:paraId="7F0EFB1A">
            <w:pPr>
              <w:pStyle w:val="17"/>
              <w:jc w:val="left"/>
              <w:rPr>
                <w:rFonts w:hAnsi="宋体" w:cs="宋体"/>
                <w:color w:val="auto"/>
                <w:highlight w:val="none"/>
              </w:rPr>
            </w:pPr>
            <w:r>
              <w:rPr>
                <w:rFonts w:hint="eastAsia" w:hAnsi="宋体" w:cs="宋体"/>
                <w:color w:val="auto"/>
                <w:highlight w:val="none"/>
              </w:rPr>
              <w:t>采购代理机构</w:t>
            </w:r>
          </w:p>
        </w:tc>
        <w:tc>
          <w:tcPr>
            <w:tcW w:w="6284" w:type="dxa"/>
            <w:vAlign w:val="center"/>
          </w:tcPr>
          <w:p w14:paraId="5F7C6D44">
            <w:pPr>
              <w:pStyle w:val="17"/>
              <w:jc w:val="left"/>
              <w:rPr>
                <w:rFonts w:hint="eastAsia" w:hAnsi="宋体" w:cs="宋体"/>
                <w:color w:val="auto"/>
                <w:highlight w:val="none"/>
              </w:rPr>
            </w:pPr>
            <w:r>
              <w:rPr>
                <w:rFonts w:hint="eastAsia" w:hAnsi="宋体" w:cs="宋体"/>
                <w:color w:val="auto"/>
                <w:highlight w:val="none"/>
              </w:rPr>
              <w:t>名    称：　</w:t>
            </w:r>
            <w:r>
              <w:rPr>
                <w:rFonts w:hint="eastAsia" w:hAnsi="宋体" w:cs="宋体"/>
                <w:color w:val="auto"/>
                <w:highlight w:val="none"/>
                <w:lang w:eastAsia="zh-CN"/>
              </w:rPr>
              <w:t xml:space="preserve">中科天一工程管理有限公司 </w:t>
            </w:r>
            <w:r>
              <w:rPr>
                <w:rFonts w:hint="eastAsia" w:hAnsi="宋体" w:cs="宋体"/>
                <w:color w:val="auto"/>
                <w:highlight w:val="none"/>
              </w:rPr>
              <w:t>　</w:t>
            </w:r>
          </w:p>
          <w:p w14:paraId="574BEA5F">
            <w:pPr>
              <w:pStyle w:val="17"/>
              <w:jc w:val="left"/>
              <w:rPr>
                <w:rFonts w:hint="eastAsia" w:hAnsi="宋体" w:cs="宋体"/>
                <w:color w:val="auto"/>
                <w:highlight w:val="none"/>
              </w:rPr>
            </w:pPr>
            <w:r>
              <w:rPr>
                <w:rFonts w:hint="eastAsia" w:hAnsi="宋体" w:cs="宋体"/>
                <w:color w:val="auto"/>
                <w:highlight w:val="none"/>
              </w:rPr>
              <w:t>地　　址：　</w:t>
            </w:r>
            <w:r>
              <w:rPr>
                <w:rFonts w:hint="eastAsia" w:hAnsi="宋体" w:cs="宋体"/>
                <w:color w:val="auto"/>
                <w:highlight w:val="none"/>
                <w:lang w:val="en-US" w:eastAsia="zh-CN"/>
              </w:rPr>
              <w:t>长春市南关区生态大街华荣泰时代7号楼</w:t>
            </w:r>
            <w:r>
              <w:rPr>
                <w:rFonts w:hint="eastAsia" w:hAnsi="宋体" w:cs="宋体"/>
                <w:color w:val="auto"/>
                <w:highlight w:val="none"/>
              </w:rPr>
              <w:t>　</w:t>
            </w:r>
          </w:p>
          <w:p w14:paraId="284CA8D8">
            <w:pPr>
              <w:pStyle w:val="17"/>
              <w:jc w:val="left"/>
              <w:rPr>
                <w:rFonts w:hAnsi="宋体" w:cs="宋体"/>
                <w:color w:val="auto"/>
                <w:highlight w:val="none"/>
              </w:rPr>
            </w:pPr>
            <w:r>
              <w:rPr>
                <w:rFonts w:hint="eastAsia" w:hAnsi="宋体" w:cs="宋体"/>
                <w:color w:val="auto"/>
                <w:highlight w:val="none"/>
              </w:rPr>
              <w:t>联系方式：　</w:t>
            </w:r>
            <w:r>
              <w:rPr>
                <w:rFonts w:hint="eastAsia" w:hAnsi="宋体" w:cs="宋体"/>
                <w:color w:val="auto"/>
                <w:kern w:val="2"/>
                <w:sz w:val="21"/>
                <w:szCs w:val="21"/>
                <w:highlight w:val="none"/>
                <w:u w:val="single"/>
                <w:lang w:val="en-US" w:eastAsia="zh-CN" w:bidi="ar-SA"/>
              </w:rPr>
              <w:t>赵强 18514308960</w:t>
            </w:r>
            <w:r>
              <w:rPr>
                <w:rFonts w:hint="eastAsia" w:hAnsi="宋体" w:cs="宋体"/>
                <w:color w:val="auto"/>
                <w:highlight w:val="none"/>
              </w:rPr>
              <w:t>　</w:t>
            </w:r>
          </w:p>
        </w:tc>
      </w:tr>
      <w:tr w14:paraId="12DC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090" w:type="dxa"/>
            <w:vAlign w:val="center"/>
          </w:tcPr>
          <w:p w14:paraId="315B74E1">
            <w:pPr>
              <w:pStyle w:val="17"/>
              <w:jc w:val="center"/>
              <w:rPr>
                <w:rFonts w:hAnsi="宋体" w:cs="宋体"/>
                <w:color w:val="auto"/>
                <w:highlight w:val="none"/>
              </w:rPr>
            </w:pPr>
            <w:r>
              <w:rPr>
                <w:rFonts w:hint="eastAsia" w:hAnsi="宋体" w:cs="宋体"/>
                <w:color w:val="auto"/>
                <w:highlight w:val="none"/>
              </w:rPr>
              <w:t>4</w:t>
            </w:r>
          </w:p>
        </w:tc>
        <w:tc>
          <w:tcPr>
            <w:tcW w:w="2035" w:type="dxa"/>
            <w:vAlign w:val="center"/>
          </w:tcPr>
          <w:p w14:paraId="261AABBE">
            <w:pPr>
              <w:pStyle w:val="17"/>
              <w:jc w:val="left"/>
              <w:rPr>
                <w:rFonts w:hint="eastAsia" w:hAnsi="宋体" w:cs="宋体"/>
                <w:color w:val="auto"/>
                <w:highlight w:val="none"/>
              </w:rPr>
            </w:pPr>
            <w:r>
              <w:rPr>
                <w:rFonts w:hint="eastAsia" w:hAnsi="宋体" w:cs="宋体"/>
                <w:color w:val="auto"/>
                <w:highlight w:val="none"/>
              </w:rPr>
              <w:t>投标人资格条件</w:t>
            </w:r>
          </w:p>
        </w:tc>
        <w:tc>
          <w:tcPr>
            <w:tcW w:w="6284" w:type="dxa"/>
            <w:vAlign w:val="center"/>
          </w:tcPr>
          <w:p w14:paraId="38F4C737">
            <w:pPr>
              <w:pStyle w:val="17"/>
              <w:numPr>
                <w:ilvl w:val="0"/>
                <w:numId w:val="1"/>
              </w:numPr>
              <w:autoSpaceDE w:val="0"/>
              <w:spacing w:line="360" w:lineRule="auto"/>
              <w:ind w:left="0" w:right="187" w:rightChars="89" w:firstLine="420" w:firstLineChars="200"/>
              <w:rPr>
                <w:rFonts w:hAnsi="宋体" w:cs="宋体"/>
                <w:color w:val="auto"/>
                <w:highlight w:val="none"/>
              </w:rPr>
            </w:pPr>
            <w:r>
              <w:rPr>
                <w:rFonts w:hint="eastAsia" w:hAnsi="宋体" w:cs="宋体"/>
                <w:color w:val="auto"/>
                <w:highlight w:val="none"/>
              </w:rPr>
              <w:t>1参加本招标项目的投标申请人符合《中华人民共和国政府采购法》第二十二条规定；</w:t>
            </w:r>
          </w:p>
          <w:p w14:paraId="6E6EC573">
            <w:pPr>
              <w:pStyle w:val="17"/>
              <w:numPr>
                <w:ilvl w:val="0"/>
                <w:numId w:val="1"/>
              </w:numPr>
              <w:autoSpaceDE w:val="0"/>
              <w:spacing w:line="360" w:lineRule="auto"/>
              <w:ind w:left="0" w:right="-31" w:rightChars="-15" w:firstLine="420" w:firstLineChars="200"/>
              <w:rPr>
                <w:rFonts w:hAnsi="宋体" w:cs="宋体"/>
                <w:color w:val="auto"/>
                <w:highlight w:val="none"/>
              </w:rPr>
            </w:pPr>
            <w:r>
              <w:rPr>
                <w:rFonts w:hint="eastAsia" w:hAnsi="宋体" w:cs="宋体"/>
                <w:color w:val="auto"/>
                <w:highlight w:val="none"/>
              </w:rPr>
              <w:t>2落实政府采购政策需满足的资格要求：本项目</w:t>
            </w:r>
            <w:r>
              <w:rPr>
                <w:rFonts w:hint="eastAsia" w:hAnsi="宋体" w:cs="宋体"/>
                <w:color w:val="auto"/>
                <w:highlight w:val="none"/>
                <w:lang w:val="en-US" w:eastAsia="zh-CN"/>
              </w:rPr>
              <w:t>是</w:t>
            </w:r>
            <w:r>
              <w:rPr>
                <w:rFonts w:hint="eastAsia" w:hAnsi="宋体" w:cs="宋体"/>
                <w:color w:val="auto"/>
                <w:highlight w:val="none"/>
              </w:rPr>
              <w:t>专门面向中小企业的项目。</w:t>
            </w:r>
          </w:p>
          <w:p w14:paraId="59F2389B">
            <w:pPr>
              <w:pStyle w:val="17"/>
              <w:numPr>
                <w:ilvl w:val="0"/>
                <w:numId w:val="1"/>
              </w:numPr>
              <w:autoSpaceDE w:val="0"/>
              <w:spacing w:line="360" w:lineRule="auto"/>
              <w:ind w:left="0" w:right="-483" w:rightChars="-230" w:firstLine="420" w:firstLineChars="200"/>
              <w:rPr>
                <w:rFonts w:hAnsi="宋体" w:cs="宋体"/>
                <w:color w:val="auto"/>
                <w:highlight w:val="none"/>
              </w:rPr>
            </w:pPr>
            <w:r>
              <w:rPr>
                <w:rFonts w:hint="eastAsia" w:hAnsi="宋体" w:cs="宋体"/>
                <w:color w:val="auto"/>
                <w:highlight w:val="none"/>
              </w:rPr>
              <w:t>3本项目的特定资格要求：</w:t>
            </w:r>
          </w:p>
          <w:p w14:paraId="229B6010">
            <w:pPr>
              <w:pStyle w:val="17"/>
              <w:autoSpaceDE w:val="0"/>
              <w:spacing w:line="360" w:lineRule="auto"/>
              <w:ind w:right="-31" w:rightChars="-15" w:firstLine="315" w:firstLineChars="150"/>
              <w:rPr>
                <w:rFonts w:hAnsi="宋体" w:cs="宋体"/>
                <w:color w:val="auto"/>
                <w:highlight w:val="none"/>
              </w:rPr>
            </w:pPr>
            <w:r>
              <w:rPr>
                <w:rFonts w:hint="eastAsia" w:hAnsi="宋体" w:cs="宋体"/>
                <w:color w:val="auto"/>
                <w:highlight w:val="none"/>
              </w:rPr>
              <w:t>（</w:t>
            </w:r>
            <w:r>
              <w:rPr>
                <w:rFonts w:hAnsi="宋体" w:cs="宋体"/>
                <w:color w:val="auto"/>
                <w:highlight w:val="none"/>
              </w:rPr>
              <w:t>1</w:t>
            </w:r>
            <w:r>
              <w:rPr>
                <w:rFonts w:hint="eastAsia" w:hAnsi="宋体" w:cs="宋体"/>
                <w:color w:val="auto"/>
                <w:highlight w:val="none"/>
              </w:rPr>
              <w:t>）投标人须</w:t>
            </w:r>
            <w:r>
              <w:rPr>
                <w:rFonts w:hint="eastAsia" w:hAnsi="宋体" w:cs="宋体"/>
                <w:color w:val="auto"/>
                <w:highlight w:val="none"/>
                <w:lang w:val="en-US" w:eastAsia="zh-CN"/>
              </w:rPr>
              <w:t>具有</w:t>
            </w:r>
            <w:r>
              <w:rPr>
                <w:rFonts w:hint="eastAsia" w:hAnsi="宋体" w:cs="宋体"/>
                <w:color w:val="auto"/>
                <w:highlight w:val="none"/>
                <w:lang w:eastAsia="zh-CN"/>
              </w:rPr>
              <w:t>独立承担民事责任能力的企业法人，具有有效的营业执照</w:t>
            </w:r>
            <w:r>
              <w:rPr>
                <w:rFonts w:hint="eastAsia" w:hAnsi="宋体" w:cs="宋体"/>
                <w:color w:val="auto"/>
                <w:highlight w:val="none"/>
              </w:rPr>
              <w:t>，并在人员、设备、资金等方面具有承担本服务项目的能力；</w:t>
            </w:r>
          </w:p>
          <w:p w14:paraId="2D46563A">
            <w:pPr>
              <w:pStyle w:val="17"/>
              <w:autoSpaceDE w:val="0"/>
              <w:spacing w:line="360" w:lineRule="auto"/>
              <w:ind w:right="-31" w:rightChars="-15" w:firstLine="315" w:firstLineChars="150"/>
              <w:rPr>
                <w:rFonts w:hAnsi="宋体" w:cs="宋体"/>
                <w:color w:val="auto"/>
                <w:highlight w:val="none"/>
              </w:rPr>
            </w:pPr>
            <w:r>
              <w:rPr>
                <w:rFonts w:hint="eastAsia" w:hAnsi="宋体" w:cs="宋体"/>
                <w:color w:val="auto"/>
                <w:highlight w:val="none"/>
              </w:rPr>
              <w:t>（</w:t>
            </w:r>
            <w:r>
              <w:rPr>
                <w:rFonts w:hint="eastAsia" w:hAnsi="宋体" w:cs="宋体"/>
                <w:color w:val="auto"/>
                <w:highlight w:val="none"/>
                <w:lang w:val="en-US" w:eastAsia="zh-CN"/>
              </w:rPr>
              <w:t>2</w:t>
            </w:r>
            <w:r>
              <w:rPr>
                <w:rFonts w:hint="eastAsia" w:hAnsi="宋体" w:cs="宋体"/>
                <w:color w:val="auto"/>
                <w:highlight w:val="none"/>
              </w:rPr>
              <w:t>）</w:t>
            </w:r>
            <w:r>
              <w:rPr>
                <w:rFonts w:hint="eastAsia" w:hAnsi="宋体" w:cs="宋体"/>
                <w:color w:val="auto"/>
                <w:highlight w:val="none"/>
                <w:lang w:eastAsia="zh-CN"/>
              </w:rPr>
              <w:t>投标人须具有会计师事务所或审计机构出具的近三年（2021年、2022年、2023年）财务审计报告或财务报表，（新成立不足三年的企业提供自成立之日起至2023年的财务审计报告，2023年12月31日之后成立企业提供财务状况良好承诺书）</w:t>
            </w:r>
            <w:r>
              <w:rPr>
                <w:rFonts w:hint="eastAsia" w:hAnsi="宋体" w:cs="宋体"/>
                <w:color w:val="auto"/>
                <w:highlight w:val="none"/>
              </w:rPr>
              <w:t>；</w:t>
            </w:r>
          </w:p>
          <w:p w14:paraId="4DF776F1">
            <w:pPr>
              <w:pStyle w:val="17"/>
              <w:autoSpaceDE w:val="0"/>
              <w:spacing w:line="360" w:lineRule="auto"/>
              <w:ind w:right="-31" w:rightChars="-15" w:firstLine="315" w:firstLineChars="150"/>
              <w:rPr>
                <w:rFonts w:hAnsi="宋体" w:cs="宋体"/>
                <w:color w:val="auto"/>
                <w:highlight w:val="none"/>
              </w:rPr>
            </w:pPr>
            <w:r>
              <w:rPr>
                <w:rFonts w:hint="eastAsia" w:hAnsi="宋体" w:cs="宋体"/>
                <w:color w:val="auto"/>
                <w:highlight w:val="none"/>
              </w:rPr>
              <w:t>（</w:t>
            </w:r>
            <w:r>
              <w:rPr>
                <w:rFonts w:hint="eastAsia" w:hAnsi="宋体" w:cs="宋体"/>
                <w:color w:val="auto"/>
                <w:highlight w:val="none"/>
                <w:lang w:val="en-US" w:eastAsia="zh-CN"/>
              </w:rPr>
              <w:t>3</w:t>
            </w:r>
            <w:r>
              <w:rPr>
                <w:rFonts w:hint="eastAsia" w:hAnsi="宋体" w:cs="宋体"/>
                <w:color w:val="auto"/>
                <w:highlight w:val="none"/>
              </w:rPr>
              <w:t>）投标人具有依法缴纳税收和社会保障资金的良好记录提供近</w:t>
            </w:r>
            <w:r>
              <w:rPr>
                <w:rFonts w:hint="eastAsia" w:hAnsi="宋体" w:cs="宋体"/>
                <w:color w:val="auto"/>
                <w:highlight w:val="none"/>
                <w:lang w:eastAsia="zh-CN"/>
              </w:rPr>
              <w:t>一年内任意一个月</w:t>
            </w:r>
            <w:r>
              <w:rPr>
                <w:rFonts w:hint="eastAsia" w:hAnsi="宋体" w:cs="宋体"/>
                <w:color w:val="auto"/>
                <w:highlight w:val="none"/>
              </w:rPr>
              <w:t>的缴税凭证，依法免税的应提供相应证明资料；提供近</w:t>
            </w:r>
            <w:r>
              <w:rPr>
                <w:rFonts w:hint="eastAsia" w:hAnsi="宋体" w:cs="宋体"/>
                <w:color w:val="auto"/>
                <w:highlight w:val="none"/>
                <w:lang w:eastAsia="zh-CN"/>
              </w:rPr>
              <w:t>三个月内任意一</w:t>
            </w:r>
            <w:r>
              <w:rPr>
                <w:rFonts w:hint="eastAsia" w:hAnsi="宋体" w:cs="宋体"/>
                <w:color w:val="auto"/>
                <w:highlight w:val="none"/>
              </w:rPr>
              <w:t>个</w:t>
            </w:r>
            <w:r>
              <w:rPr>
                <w:rFonts w:hint="eastAsia" w:hAnsi="宋体" w:cs="宋体"/>
                <w:color w:val="auto"/>
                <w:highlight w:val="none"/>
                <w:lang w:eastAsia="zh-CN"/>
              </w:rPr>
              <w:t>月</w:t>
            </w:r>
            <w:r>
              <w:rPr>
                <w:rFonts w:hint="eastAsia" w:hAnsi="宋体" w:cs="宋体"/>
                <w:color w:val="auto"/>
                <w:highlight w:val="none"/>
              </w:rPr>
              <w:t>企业依法为员工缴纳社会保障资金的证明资料）；</w:t>
            </w:r>
          </w:p>
          <w:p w14:paraId="10FE2E97">
            <w:pPr>
              <w:pStyle w:val="17"/>
              <w:autoSpaceDE w:val="0"/>
              <w:spacing w:line="360" w:lineRule="auto"/>
              <w:ind w:right="-31" w:rightChars="-15" w:firstLine="315" w:firstLineChars="150"/>
              <w:rPr>
                <w:rFonts w:hint="eastAsia" w:hAnsi="宋体" w:cs="宋体"/>
                <w:color w:val="auto"/>
                <w:highlight w:val="none"/>
              </w:rPr>
            </w:pPr>
            <w:r>
              <w:rPr>
                <w:rFonts w:hint="eastAsia" w:hAnsi="宋体" w:cs="宋体"/>
                <w:color w:val="auto"/>
                <w:highlight w:val="none"/>
              </w:rPr>
              <w:t>（</w:t>
            </w:r>
            <w:r>
              <w:rPr>
                <w:rFonts w:hint="eastAsia" w:hAnsi="宋体" w:cs="宋体"/>
                <w:color w:val="auto"/>
                <w:highlight w:val="none"/>
                <w:lang w:val="en-US" w:eastAsia="zh-CN"/>
              </w:rPr>
              <w:t>4</w:t>
            </w:r>
            <w:r>
              <w:rPr>
                <w:rFonts w:hint="eastAsia" w:hAnsi="宋体" w:cs="宋体"/>
                <w:color w:val="auto"/>
                <w:highlight w:val="none"/>
              </w:rPr>
              <w:t>）投标人不得为“信用中国”网站（</w:t>
            </w:r>
            <w:r>
              <w:rPr>
                <w:color w:val="auto"/>
                <w:highlight w:val="none"/>
              </w:rPr>
              <w:fldChar w:fldCharType="begin"/>
            </w:r>
            <w:r>
              <w:rPr>
                <w:color w:val="auto"/>
                <w:highlight w:val="none"/>
              </w:rPr>
              <w:instrText xml:space="preserve"> HYPERLINK "http://www.creditchina.gov.cn/" \t "_blank" </w:instrText>
            </w:r>
            <w:r>
              <w:rPr>
                <w:color w:val="auto"/>
                <w:highlight w:val="none"/>
              </w:rPr>
              <w:fldChar w:fldCharType="separate"/>
            </w:r>
            <w:r>
              <w:rPr>
                <w:rFonts w:hint="eastAsia" w:hAnsi="宋体" w:cs="宋体"/>
                <w:color w:val="auto"/>
                <w:highlight w:val="none"/>
              </w:rPr>
              <w:t>www.creditchina.gov.cn</w:t>
            </w:r>
            <w:r>
              <w:rPr>
                <w:rFonts w:hint="eastAsia" w:hAnsi="宋体" w:cs="宋体"/>
                <w:color w:val="auto"/>
                <w:highlight w:val="none"/>
              </w:rPr>
              <w:fldChar w:fldCharType="end"/>
            </w:r>
            <w:r>
              <w:rPr>
                <w:rFonts w:hint="eastAsia" w:hAnsi="宋体" w:cs="宋体"/>
                <w:color w:val="auto"/>
                <w:highlight w:val="none"/>
              </w:rPr>
              <w:t>）中列入失信被执行人和重大税收违法案件当事人名单的投标人，不得为中国政府采购网（</w:t>
            </w:r>
            <w:r>
              <w:rPr>
                <w:color w:val="auto"/>
                <w:highlight w:val="none"/>
              </w:rPr>
              <w:fldChar w:fldCharType="begin"/>
            </w:r>
            <w:r>
              <w:rPr>
                <w:color w:val="auto"/>
                <w:highlight w:val="none"/>
              </w:rPr>
              <w:instrText xml:space="preserve"> HYPERLINK "http://www.ccgp.gov.cn/" \t "_blank" </w:instrText>
            </w:r>
            <w:r>
              <w:rPr>
                <w:color w:val="auto"/>
                <w:highlight w:val="none"/>
              </w:rPr>
              <w:fldChar w:fldCharType="separate"/>
            </w:r>
            <w:r>
              <w:rPr>
                <w:rFonts w:hint="eastAsia" w:hAnsi="宋体" w:cs="宋体"/>
                <w:color w:val="auto"/>
                <w:highlight w:val="none"/>
              </w:rPr>
              <w:t>www.ccgp.gov.cn</w:t>
            </w:r>
            <w:r>
              <w:rPr>
                <w:rFonts w:hint="eastAsia" w:hAnsi="宋体" w:cs="宋体"/>
                <w:color w:val="auto"/>
                <w:highlight w:val="none"/>
              </w:rPr>
              <w:fldChar w:fldCharType="end"/>
            </w:r>
            <w:r>
              <w:rPr>
                <w:rFonts w:hint="eastAsia" w:hAnsi="宋体" w:cs="宋体"/>
                <w:color w:val="auto"/>
                <w:highlight w:val="none"/>
              </w:rPr>
              <w:t>）政府采购严重违法失信行为记录名单中被财政部门禁止参加政府采购活动的投标人（在处罚决定规定的时间和地域范围内）（详见财库【2016】125号文）；</w:t>
            </w:r>
          </w:p>
          <w:p w14:paraId="4AFA6504">
            <w:pPr>
              <w:pStyle w:val="17"/>
              <w:autoSpaceDE w:val="0"/>
              <w:spacing w:line="360" w:lineRule="auto"/>
              <w:ind w:right="-31" w:rightChars="-15" w:firstLine="315" w:firstLineChars="150"/>
              <w:rPr>
                <w:rFonts w:hint="default" w:hAnsi="宋体" w:eastAsia="宋体" w:cs="宋体"/>
                <w:color w:val="auto"/>
                <w:highlight w:val="none"/>
                <w:lang w:val="en-US" w:eastAsia="zh-CN"/>
              </w:rPr>
            </w:pPr>
            <w:r>
              <w:rPr>
                <w:rFonts w:hint="eastAsia"/>
                <w:color w:val="auto"/>
                <w:szCs w:val="21"/>
                <w:highlight w:val="none"/>
                <w:shd w:val="clear" w:color="auto" w:fill="FFFFFF"/>
                <w:lang w:eastAsia="zh-CN"/>
              </w:rPr>
              <w:t>（</w:t>
            </w:r>
            <w:r>
              <w:rPr>
                <w:rFonts w:hint="eastAsia"/>
                <w:color w:val="auto"/>
                <w:szCs w:val="21"/>
                <w:highlight w:val="none"/>
                <w:shd w:val="clear" w:color="auto" w:fill="FFFFFF"/>
                <w:lang w:val="en-US" w:eastAsia="zh-CN"/>
              </w:rPr>
              <w:t>5</w:t>
            </w:r>
            <w:r>
              <w:rPr>
                <w:rFonts w:hint="eastAsia"/>
                <w:color w:val="auto"/>
                <w:szCs w:val="21"/>
                <w:highlight w:val="none"/>
                <w:shd w:val="clear" w:color="auto" w:fill="FFFFFF"/>
                <w:lang w:eastAsia="zh-CN"/>
              </w:rPr>
              <w:t>）</w:t>
            </w:r>
            <w:r>
              <w:rPr>
                <w:rFonts w:hint="eastAsia" w:ascii="宋体"/>
                <w:color w:val="auto"/>
                <w:szCs w:val="21"/>
                <w:highlight w:val="none"/>
                <w:shd w:val="clear" w:color="auto" w:fill="FFFFFF"/>
              </w:rPr>
              <w:t>供应商必须为其服务人员购买意外伤害保险</w:t>
            </w:r>
            <w:r>
              <w:rPr>
                <w:rFonts w:hint="eastAsia"/>
                <w:color w:val="auto"/>
                <w:szCs w:val="21"/>
                <w:highlight w:val="none"/>
                <w:shd w:val="clear" w:color="auto" w:fill="FFFFFF"/>
                <w:lang w:eastAsia="zh-CN"/>
              </w:rPr>
              <w:t>，</w:t>
            </w:r>
            <w:r>
              <w:rPr>
                <w:rFonts w:hint="eastAsia"/>
                <w:color w:val="auto"/>
                <w:szCs w:val="21"/>
                <w:highlight w:val="none"/>
                <w:shd w:val="clear" w:color="auto" w:fill="FFFFFF"/>
                <w:lang w:val="en-US" w:eastAsia="zh-CN"/>
              </w:rPr>
              <w:t>提供意外伤害险</w:t>
            </w:r>
            <w:r>
              <w:rPr>
                <w:rFonts w:hint="eastAsia" w:hAnsi="宋体" w:cs="宋体"/>
                <w:color w:val="auto"/>
                <w:highlight w:val="none"/>
              </w:rPr>
              <w:t>相应证明资料</w:t>
            </w:r>
            <w:r>
              <w:rPr>
                <w:rFonts w:hint="eastAsia" w:hAnsi="宋体" w:cs="宋体"/>
                <w:color w:val="auto"/>
                <w:highlight w:val="none"/>
                <w:lang w:val="en-US" w:eastAsia="zh-CN"/>
              </w:rPr>
              <w:t>或承诺函</w:t>
            </w:r>
            <w:r>
              <w:rPr>
                <w:rFonts w:hint="eastAsia"/>
                <w:color w:val="auto"/>
                <w:szCs w:val="21"/>
                <w:highlight w:val="none"/>
                <w:shd w:val="clear" w:color="auto" w:fill="FFFFFF"/>
                <w:lang w:val="en-US" w:eastAsia="zh-CN"/>
              </w:rPr>
              <w:t>；</w:t>
            </w:r>
          </w:p>
          <w:p w14:paraId="7EE35637">
            <w:pPr>
              <w:pStyle w:val="17"/>
              <w:autoSpaceDE w:val="0"/>
              <w:spacing w:line="360" w:lineRule="auto"/>
              <w:ind w:right="-483" w:rightChars="-230" w:firstLine="315" w:firstLineChars="150"/>
              <w:rPr>
                <w:rFonts w:hAnsi="宋体" w:cs="宋体"/>
                <w:color w:val="auto"/>
                <w:highlight w:val="none"/>
              </w:rPr>
            </w:pPr>
            <w:r>
              <w:rPr>
                <w:rFonts w:hint="eastAsia" w:hAnsi="宋体" w:cs="宋体"/>
                <w:color w:val="auto"/>
                <w:highlight w:val="none"/>
              </w:rPr>
              <w:t>（</w:t>
            </w:r>
            <w:r>
              <w:rPr>
                <w:rFonts w:hint="eastAsia" w:hAnsi="宋体" w:cs="宋体"/>
                <w:color w:val="auto"/>
                <w:highlight w:val="none"/>
                <w:lang w:val="en-US" w:eastAsia="zh-CN"/>
              </w:rPr>
              <w:t>6</w:t>
            </w:r>
            <w:r>
              <w:rPr>
                <w:rFonts w:hint="eastAsia" w:hAnsi="宋体" w:cs="宋体"/>
                <w:color w:val="auto"/>
                <w:highlight w:val="none"/>
              </w:rPr>
              <w:t>）参加采购活动前三年内，在经营活动中没有重大违法记录；拒绝列入政府取消投标资格记录期间的企业或个人投标；</w:t>
            </w:r>
          </w:p>
          <w:p w14:paraId="3CB5EAB5">
            <w:pPr>
              <w:pStyle w:val="17"/>
              <w:autoSpaceDE w:val="0"/>
              <w:spacing w:line="360" w:lineRule="auto"/>
              <w:ind w:right="-31" w:rightChars="-15" w:firstLine="315" w:firstLineChars="150"/>
              <w:rPr>
                <w:rFonts w:hAnsi="宋体" w:cs="宋体"/>
                <w:color w:val="auto"/>
                <w:highlight w:val="none"/>
              </w:rPr>
            </w:pPr>
            <w:r>
              <w:rPr>
                <w:rFonts w:hint="eastAsia" w:hAnsi="宋体" w:cs="宋体"/>
                <w:color w:val="auto"/>
                <w:highlight w:val="none"/>
              </w:rPr>
              <w:t>（</w:t>
            </w:r>
            <w:r>
              <w:rPr>
                <w:rFonts w:hint="eastAsia" w:hAnsi="宋体" w:cs="宋体"/>
                <w:color w:val="auto"/>
                <w:highlight w:val="none"/>
                <w:lang w:val="en-US" w:eastAsia="zh-CN"/>
              </w:rPr>
              <w:t>7</w:t>
            </w:r>
            <w:r>
              <w:rPr>
                <w:rFonts w:hint="eastAsia" w:hAnsi="宋体" w:cs="宋体"/>
                <w:color w:val="auto"/>
                <w:highlight w:val="none"/>
              </w:rPr>
              <w:t>）投标人需提供中国裁判文书网（http://wenshu.court.gov.cn/）的无行贿犯罪查询证明网站截图并加盖单位公章（提供的查询结果网页截图需体现企业及法定代表人）；</w:t>
            </w:r>
          </w:p>
          <w:p w14:paraId="76504801">
            <w:pPr>
              <w:pStyle w:val="17"/>
              <w:autoSpaceDE w:val="0"/>
              <w:spacing w:line="360" w:lineRule="auto"/>
              <w:ind w:right="-31" w:rightChars="-15" w:firstLine="315" w:firstLineChars="150"/>
              <w:rPr>
                <w:rFonts w:hint="eastAsia" w:hAnsi="宋体" w:cs="宋体"/>
                <w:color w:val="auto"/>
                <w:highlight w:val="none"/>
              </w:rPr>
            </w:pPr>
            <w:r>
              <w:rPr>
                <w:rFonts w:hint="eastAsia" w:hAnsi="宋体" w:cs="宋体"/>
                <w:color w:val="auto"/>
                <w:highlight w:val="none"/>
              </w:rPr>
              <w:t>（</w:t>
            </w:r>
            <w:r>
              <w:rPr>
                <w:rFonts w:hint="eastAsia" w:hAnsi="宋体" w:cs="宋体"/>
                <w:color w:val="auto"/>
                <w:highlight w:val="none"/>
                <w:lang w:val="en-US" w:eastAsia="zh-CN"/>
              </w:rPr>
              <w:t>8</w:t>
            </w:r>
            <w:r>
              <w:rPr>
                <w:rFonts w:hint="eastAsia" w:hAnsi="宋体" w:cs="宋体"/>
                <w:color w:val="auto"/>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5131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0" w:type="dxa"/>
            <w:vAlign w:val="center"/>
          </w:tcPr>
          <w:p w14:paraId="451BD40C">
            <w:pPr>
              <w:pStyle w:val="17"/>
              <w:jc w:val="center"/>
              <w:rPr>
                <w:rFonts w:hAnsi="宋体" w:cs="宋体"/>
                <w:color w:val="auto"/>
                <w:highlight w:val="none"/>
              </w:rPr>
            </w:pPr>
            <w:r>
              <w:rPr>
                <w:rFonts w:hint="eastAsia" w:hAnsi="宋体" w:cs="宋体"/>
                <w:color w:val="auto"/>
                <w:highlight w:val="none"/>
              </w:rPr>
              <w:t>5</w:t>
            </w:r>
          </w:p>
        </w:tc>
        <w:tc>
          <w:tcPr>
            <w:tcW w:w="2035" w:type="dxa"/>
            <w:vAlign w:val="center"/>
          </w:tcPr>
          <w:p w14:paraId="63DA8EA5">
            <w:pPr>
              <w:pStyle w:val="17"/>
              <w:jc w:val="left"/>
              <w:rPr>
                <w:rFonts w:hAnsi="宋体" w:cs="宋体"/>
                <w:color w:val="auto"/>
                <w:highlight w:val="none"/>
              </w:rPr>
            </w:pPr>
            <w:r>
              <w:rPr>
                <w:rFonts w:hint="eastAsia" w:hAnsi="宋体" w:cs="宋体"/>
                <w:color w:val="auto"/>
                <w:highlight w:val="none"/>
              </w:rPr>
              <w:t>项目现场勘察</w:t>
            </w:r>
          </w:p>
        </w:tc>
        <w:tc>
          <w:tcPr>
            <w:tcW w:w="6284" w:type="dxa"/>
            <w:vAlign w:val="center"/>
          </w:tcPr>
          <w:p w14:paraId="62B43880">
            <w:pPr>
              <w:pStyle w:val="17"/>
              <w:jc w:val="left"/>
              <w:rPr>
                <w:rFonts w:hAnsi="宋体" w:cs="宋体"/>
                <w:color w:val="auto"/>
                <w:highlight w:val="none"/>
              </w:rPr>
            </w:pPr>
            <w:r>
              <w:rPr>
                <w:rFonts w:hint="eastAsia" w:ascii="MS Mincho" w:hAnsi="MS Mincho" w:eastAsia="MS Mincho" w:cs="MS Mincho"/>
                <w:color w:val="auto"/>
                <w:highlight w:val="none"/>
              </w:rPr>
              <w:t>☑</w:t>
            </w:r>
            <w:r>
              <w:rPr>
                <w:rFonts w:hint="eastAsia" w:hAnsi="宋体" w:cs="宋体"/>
                <w:color w:val="auto"/>
                <w:highlight w:val="none"/>
              </w:rPr>
              <w:t>不组织</w:t>
            </w:r>
          </w:p>
          <w:p w14:paraId="74B10A7A">
            <w:pPr>
              <w:pStyle w:val="17"/>
              <w:jc w:val="left"/>
              <w:rPr>
                <w:rFonts w:hAnsi="宋体" w:cs="宋体"/>
                <w:color w:val="auto"/>
                <w:highlight w:val="none"/>
              </w:rPr>
            </w:pPr>
            <w:r>
              <w:rPr>
                <w:rFonts w:hint="eastAsia" w:hAnsi="宋体" w:cs="宋体"/>
                <w:color w:val="auto"/>
                <w:highlight w:val="none"/>
              </w:rPr>
              <w:t>□组织：____________________</w:t>
            </w:r>
          </w:p>
        </w:tc>
      </w:tr>
      <w:tr w14:paraId="138F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0" w:type="dxa"/>
            <w:vAlign w:val="center"/>
          </w:tcPr>
          <w:p w14:paraId="1608B7DC">
            <w:pPr>
              <w:pStyle w:val="17"/>
              <w:jc w:val="center"/>
              <w:rPr>
                <w:rFonts w:hAnsi="宋体" w:cs="宋体"/>
                <w:color w:val="auto"/>
                <w:highlight w:val="none"/>
              </w:rPr>
            </w:pPr>
            <w:r>
              <w:rPr>
                <w:rFonts w:hint="eastAsia" w:hAnsi="宋体" w:cs="宋体"/>
                <w:color w:val="auto"/>
                <w:highlight w:val="none"/>
              </w:rPr>
              <w:t>6</w:t>
            </w:r>
          </w:p>
        </w:tc>
        <w:tc>
          <w:tcPr>
            <w:tcW w:w="2035" w:type="dxa"/>
            <w:vAlign w:val="center"/>
          </w:tcPr>
          <w:p w14:paraId="02DE1FAC">
            <w:pPr>
              <w:pStyle w:val="70"/>
              <w:shd w:val="clear"/>
              <w:spacing w:before="147"/>
              <w:ind w:left="86" w:leftChars="0" w:right="78" w:rightChars="0"/>
              <w:jc w:val="center"/>
              <w:rPr>
                <w:rFonts w:hAnsi="宋体" w:cs="宋体"/>
                <w:color w:val="auto"/>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val="en-US" w:eastAsia="zh-CN"/>
              </w:rPr>
              <w:t>标</w:t>
            </w:r>
            <w:r>
              <w:rPr>
                <w:rFonts w:hint="eastAsia" w:ascii="宋体" w:hAnsi="宋体" w:eastAsia="宋体" w:cs="宋体"/>
                <w:color w:val="auto"/>
                <w:sz w:val="21"/>
                <w:szCs w:val="21"/>
                <w:highlight w:val="none"/>
              </w:rPr>
              <w:t>小组组成</w:t>
            </w:r>
          </w:p>
        </w:tc>
        <w:tc>
          <w:tcPr>
            <w:tcW w:w="6284" w:type="dxa"/>
            <w:vAlign w:val="top"/>
          </w:tcPr>
          <w:p w14:paraId="704825FB">
            <w:pPr>
              <w:pStyle w:val="70"/>
              <w:numPr>
                <w:ilvl w:val="0"/>
                <w:numId w:val="0"/>
              </w:numPr>
              <w:shd w:val="clear"/>
              <w:tabs>
                <w:tab w:val="left" w:pos="319"/>
              </w:tabs>
              <w:spacing w:before="0" w:after="0" w:line="240" w:lineRule="auto"/>
              <w:ind w:left="106"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lang w:val="en-US" w:eastAsia="zh-CN"/>
              </w:rPr>
              <w:t>1.</w:t>
            </w:r>
            <w:r>
              <w:rPr>
                <w:rFonts w:hint="eastAsia" w:ascii="宋体" w:hAnsi="宋体" w:eastAsia="宋体" w:cs="宋体"/>
                <w:color w:val="auto"/>
                <w:spacing w:val="-10"/>
                <w:sz w:val="21"/>
                <w:szCs w:val="21"/>
                <w:highlight w:val="none"/>
              </w:rPr>
              <w:t>评审小组共</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pacing w:val="-13"/>
                <w:sz w:val="21"/>
                <w:szCs w:val="21"/>
                <w:highlight w:val="none"/>
              </w:rPr>
              <w:t>人，其中：</w:t>
            </w:r>
            <w:r>
              <w:rPr>
                <w:rFonts w:hint="eastAsia" w:ascii="宋体" w:hAnsi="宋体" w:eastAsia="宋体" w:cs="宋体"/>
                <w:color w:val="auto"/>
                <w:spacing w:val="-13"/>
                <w:sz w:val="21"/>
                <w:szCs w:val="21"/>
                <w:highlight w:val="none"/>
                <w:lang w:val="en-US" w:eastAsia="zh-CN"/>
              </w:rPr>
              <w:t>招标人</w:t>
            </w:r>
            <w:r>
              <w:rPr>
                <w:rFonts w:hint="eastAsia" w:ascii="宋体" w:hAnsi="宋体" w:eastAsia="宋体" w:cs="宋体"/>
                <w:color w:val="auto"/>
                <w:spacing w:val="-13"/>
                <w:sz w:val="21"/>
                <w:szCs w:val="21"/>
                <w:highlight w:val="none"/>
              </w:rPr>
              <w:t>代表</w:t>
            </w:r>
            <w:r>
              <w:rPr>
                <w:rFonts w:hint="eastAsia" w:ascii="宋体" w:hAnsi="宋体" w:eastAsia="宋体" w:cs="宋体"/>
                <w:color w:val="auto"/>
                <w:spacing w:val="-13"/>
                <w:sz w:val="21"/>
                <w:szCs w:val="21"/>
                <w:highlight w:val="none"/>
                <w:u w:val="single"/>
                <w:lang w:val="en-US" w:eastAsia="zh-CN"/>
              </w:rPr>
              <w:t>0</w:t>
            </w:r>
            <w:r>
              <w:rPr>
                <w:rFonts w:hint="eastAsia" w:ascii="宋体" w:hAnsi="宋体" w:eastAsia="宋体" w:cs="宋体"/>
                <w:color w:val="auto"/>
                <w:spacing w:val="-10"/>
                <w:sz w:val="21"/>
                <w:szCs w:val="21"/>
                <w:highlight w:val="none"/>
              </w:rPr>
              <w:t>人，</w:t>
            </w:r>
            <w:r>
              <w:rPr>
                <w:rFonts w:hint="eastAsia" w:cs="宋体"/>
                <w:color w:val="auto"/>
                <w:spacing w:val="-10"/>
                <w:sz w:val="21"/>
                <w:szCs w:val="21"/>
                <w:highlight w:val="none"/>
                <w:lang w:val="en-US" w:eastAsia="zh-CN"/>
              </w:rPr>
              <w:t>技术</w:t>
            </w:r>
            <w:r>
              <w:rPr>
                <w:rFonts w:hint="eastAsia" w:ascii="宋体" w:hAnsi="宋体" w:eastAsia="宋体" w:cs="宋体"/>
                <w:color w:val="auto"/>
                <w:spacing w:val="-10"/>
                <w:sz w:val="21"/>
                <w:szCs w:val="21"/>
                <w:highlight w:val="none"/>
                <w:lang w:eastAsia="zh-CN"/>
              </w:rPr>
              <w:t>、经济类等</w:t>
            </w:r>
            <w:r>
              <w:rPr>
                <w:rFonts w:hint="eastAsia" w:ascii="宋体" w:hAnsi="宋体" w:eastAsia="宋体" w:cs="宋体"/>
                <w:color w:val="auto"/>
                <w:spacing w:val="-10"/>
                <w:sz w:val="21"/>
                <w:szCs w:val="21"/>
                <w:highlight w:val="none"/>
              </w:rPr>
              <w:t>评</w:t>
            </w:r>
            <w:r>
              <w:rPr>
                <w:rFonts w:hint="eastAsia" w:ascii="宋体" w:hAnsi="宋体" w:eastAsia="宋体" w:cs="宋体"/>
                <w:color w:val="auto"/>
                <w:sz w:val="21"/>
                <w:szCs w:val="21"/>
                <w:highlight w:val="none"/>
              </w:rPr>
              <w:t>审专家</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rPr>
              <w:t>人；</w:t>
            </w:r>
          </w:p>
          <w:p w14:paraId="7E69E1A6">
            <w:pPr>
              <w:pStyle w:val="70"/>
              <w:shd w:val="clear"/>
              <w:spacing w:before="4" w:line="250" w:lineRule="exact"/>
              <w:ind w:left="107" w:leftChars="0"/>
              <w:rPr>
                <w:rFonts w:hAnsi="宋体" w:cs="宋体"/>
                <w:color w:val="auto"/>
                <w:highlight w:val="none"/>
              </w:rPr>
            </w:pPr>
            <w:r>
              <w:rPr>
                <w:rFonts w:hint="eastAsia" w:ascii="宋体" w:hAnsi="宋体" w:eastAsia="宋体" w:cs="宋体"/>
                <w:color w:val="auto"/>
                <w:spacing w:val="-3"/>
                <w:sz w:val="21"/>
                <w:szCs w:val="21"/>
                <w:highlight w:val="none"/>
                <w:lang w:val="en-US" w:eastAsia="zh-CN"/>
              </w:rPr>
              <w:t>2.</w:t>
            </w:r>
            <w:r>
              <w:rPr>
                <w:rFonts w:hint="eastAsia" w:ascii="宋体" w:hAnsi="宋体" w:eastAsia="宋体" w:cs="宋体"/>
                <w:color w:val="auto"/>
                <w:spacing w:val="-3"/>
                <w:sz w:val="21"/>
                <w:szCs w:val="21"/>
                <w:highlight w:val="none"/>
              </w:rPr>
              <w:t>评审专家确定方式：按专业配置要求，在</w:t>
            </w:r>
            <w:r>
              <w:rPr>
                <w:rFonts w:hint="eastAsia" w:ascii="宋体" w:hAnsi="宋体" w:eastAsia="宋体" w:cs="宋体"/>
                <w:color w:val="auto"/>
                <w:spacing w:val="0"/>
                <w:kern w:val="2"/>
                <w:position w:val="0"/>
                <w:sz w:val="21"/>
                <w:szCs w:val="21"/>
                <w:highlight w:val="none"/>
                <w:lang w:val="en-US" w:eastAsia="zh-CN" w:bidi="ar-SA"/>
              </w:rPr>
              <w:t>政采云平台</w:t>
            </w:r>
            <w:r>
              <w:rPr>
                <w:rFonts w:hint="eastAsia" w:cs="宋体"/>
                <w:color w:val="auto"/>
                <w:spacing w:val="0"/>
                <w:kern w:val="2"/>
                <w:position w:val="0"/>
                <w:sz w:val="21"/>
                <w:szCs w:val="21"/>
                <w:highlight w:val="none"/>
                <w:lang w:val="en-US" w:eastAsia="zh-CN" w:bidi="ar-SA"/>
              </w:rPr>
              <w:t>随机抽取。</w:t>
            </w:r>
          </w:p>
        </w:tc>
      </w:tr>
      <w:tr w14:paraId="5914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90" w:type="dxa"/>
            <w:vMerge w:val="restart"/>
            <w:vAlign w:val="center"/>
          </w:tcPr>
          <w:p w14:paraId="0033EAE0">
            <w:pPr>
              <w:pStyle w:val="17"/>
              <w:jc w:val="center"/>
              <w:rPr>
                <w:rFonts w:hAnsi="宋体" w:cs="宋体"/>
                <w:color w:val="auto"/>
                <w:highlight w:val="none"/>
              </w:rPr>
            </w:pPr>
            <w:r>
              <w:rPr>
                <w:rFonts w:hint="eastAsia" w:hAnsi="宋体" w:cs="宋体"/>
                <w:color w:val="auto"/>
                <w:highlight w:val="none"/>
              </w:rPr>
              <w:t>7</w:t>
            </w:r>
          </w:p>
        </w:tc>
        <w:tc>
          <w:tcPr>
            <w:tcW w:w="2035" w:type="dxa"/>
            <w:vAlign w:val="center"/>
          </w:tcPr>
          <w:p w14:paraId="770E14A2">
            <w:pPr>
              <w:pStyle w:val="17"/>
              <w:jc w:val="left"/>
              <w:rPr>
                <w:rFonts w:hAnsi="宋体" w:cs="宋体"/>
                <w:color w:val="auto"/>
                <w:highlight w:val="none"/>
              </w:rPr>
            </w:pPr>
            <w:r>
              <w:rPr>
                <w:rFonts w:hint="eastAsia" w:hAnsi="宋体" w:cs="宋体"/>
                <w:color w:val="auto"/>
                <w:highlight w:val="none"/>
              </w:rPr>
              <w:t>联合体投标</w:t>
            </w:r>
          </w:p>
        </w:tc>
        <w:tc>
          <w:tcPr>
            <w:tcW w:w="6284" w:type="dxa"/>
            <w:vAlign w:val="center"/>
          </w:tcPr>
          <w:p w14:paraId="2D94DB18">
            <w:pPr>
              <w:pStyle w:val="17"/>
              <w:jc w:val="left"/>
              <w:rPr>
                <w:rFonts w:hAnsi="宋体" w:cs="宋体"/>
                <w:color w:val="auto"/>
                <w:highlight w:val="none"/>
              </w:rPr>
            </w:pPr>
            <w:r>
              <w:rPr>
                <w:rFonts w:hint="eastAsia" w:ascii="MS Mincho" w:hAnsi="MS Mincho" w:eastAsia="MS Mincho" w:cs="MS Mincho"/>
                <w:color w:val="auto"/>
                <w:highlight w:val="none"/>
              </w:rPr>
              <w:t>☑</w:t>
            </w:r>
            <w:r>
              <w:rPr>
                <w:rFonts w:hint="eastAsia" w:hAnsi="宋体" w:cs="宋体"/>
                <w:color w:val="auto"/>
                <w:highlight w:val="none"/>
              </w:rPr>
              <w:t>不接受</w:t>
            </w:r>
          </w:p>
          <w:p w14:paraId="06B1F054">
            <w:pPr>
              <w:pStyle w:val="17"/>
              <w:jc w:val="left"/>
              <w:rPr>
                <w:rFonts w:hAnsi="宋体" w:cs="宋体"/>
                <w:color w:val="auto"/>
                <w:highlight w:val="none"/>
              </w:rPr>
            </w:pPr>
            <w:r>
              <w:rPr>
                <w:rFonts w:hint="eastAsia" w:hAnsi="宋体" w:cs="宋体"/>
                <w:color w:val="auto"/>
                <w:highlight w:val="none"/>
              </w:rPr>
              <w:t>□接受</w:t>
            </w:r>
          </w:p>
        </w:tc>
      </w:tr>
      <w:tr w14:paraId="438F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90" w:type="dxa"/>
            <w:vMerge w:val="continue"/>
            <w:vAlign w:val="center"/>
          </w:tcPr>
          <w:p w14:paraId="48E3700F">
            <w:pPr>
              <w:pStyle w:val="17"/>
              <w:jc w:val="center"/>
              <w:rPr>
                <w:rFonts w:hAnsi="宋体" w:cs="宋体"/>
                <w:color w:val="auto"/>
                <w:highlight w:val="none"/>
              </w:rPr>
            </w:pPr>
          </w:p>
        </w:tc>
        <w:tc>
          <w:tcPr>
            <w:tcW w:w="2035" w:type="dxa"/>
            <w:vAlign w:val="center"/>
          </w:tcPr>
          <w:p w14:paraId="2C6C41A1">
            <w:pPr>
              <w:pStyle w:val="17"/>
              <w:jc w:val="left"/>
              <w:rPr>
                <w:rFonts w:hAnsi="宋体" w:cs="宋体"/>
                <w:color w:val="auto"/>
                <w:highlight w:val="none"/>
              </w:rPr>
            </w:pPr>
            <w:r>
              <w:rPr>
                <w:rFonts w:hint="eastAsia" w:hAnsi="宋体" w:cs="宋体"/>
                <w:color w:val="auto"/>
                <w:highlight w:val="none"/>
              </w:rPr>
              <w:t>分包</w:t>
            </w:r>
          </w:p>
        </w:tc>
        <w:tc>
          <w:tcPr>
            <w:tcW w:w="6284" w:type="dxa"/>
            <w:vAlign w:val="center"/>
          </w:tcPr>
          <w:p w14:paraId="7B6901D9">
            <w:pPr>
              <w:pStyle w:val="17"/>
              <w:jc w:val="left"/>
              <w:rPr>
                <w:rFonts w:hAnsi="宋体" w:cs="宋体"/>
                <w:color w:val="auto"/>
                <w:highlight w:val="none"/>
              </w:rPr>
            </w:pPr>
            <w:r>
              <w:rPr>
                <w:rFonts w:hint="eastAsia" w:ascii="MS Mincho" w:hAnsi="MS Mincho" w:eastAsia="MS Mincho" w:cs="MS Mincho"/>
                <w:color w:val="auto"/>
                <w:highlight w:val="none"/>
              </w:rPr>
              <w:t>☑</w:t>
            </w:r>
            <w:r>
              <w:rPr>
                <w:rFonts w:hint="eastAsia" w:hAnsi="宋体" w:cs="宋体"/>
                <w:color w:val="auto"/>
                <w:highlight w:val="none"/>
              </w:rPr>
              <w:t>不接受</w:t>
            </w:r>
          </w:p>
          <w:p w14:paraId="043DDEAB">
            <w:pPr>
              <w:pStyle w:val="17"/>
              <w:jc w:val="left"/>
              <w:rPr>
                <w:rFonts w:hAnsi="宋体" w:cs="宋体"/>
                <w:color w:val="auto"/>
                <w:highlight w:val="none"/>
              </w:rPr>
            </w:pPr>
            <w:r>
              <w:rPr>
                <w:rFonts w:hint="eastAsia" w:hAnsi="宋体" w:cs="宋体"/>
                <w:color w:val="auto"/>
                <w:highlight w:val="none"/>
              </w:rPr>
              <w:t>□接受：分包要求详见第六章项目采购需求</w:t>
            </w:r>
          </w:p>
        </w:tc>
      </w:tr>
      <w:tr w14:paraId="0787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1090" w:type="dxa"/>
            <w:vAlign w:val="center"/>
          </w:tcPr>
          <w:p w14:paraId="6CA21D1C">
            <w:pPr>
              <w:pStyle w:val="17"/>
              <w:jc w:val="center"/>
              <w:rPr>
                <w:rFonts w:hAnsi="宋体" w:cs="宋体"/>
                <w:color w:val="auto"/>
                <w:highlight w:val="none"/>
              </w:rPr>
            </w:pPr>
            <w:r>
              <w:rPr>
                <w:rFonts w:hint="eastAsia" w:hAnsi="宋体" w:cs="宋体"/>
                <w:color w:val="auto"/>
                <w:highlight w:val="none"/>
              </w:rPr>
              <w:t>8</w:t>
            </w:r>
          </w:p>
        </w:tc>
        <w:tc>
          <w:tcPr>
            <w:tcW w:w="2035" w:type="dxa"/>
            <w:vAlign w:val="center"/>
          </w:tcPr>
          <w:p w14:paraId="1753BE15">
            <w:pPr>
              <w:pStyle w:val="17"/>
              <w:jc w:val="left"/>
              <w:rPr>
                <w:rFonts w:hAnsi="宋体" w:cs="宋体"/>
                <w:color w:val="auto"/>
                <w:highlight w:val="none"/>
              </w:rPr>
            </w:pPr>
            <w:r>
              <w:rPr>
                <w:rFonts w:hint="eastAsia" w:hAnsi="宋体" w:cs="宋体"/>
                <w:color w:val="auto"/>
                <w:highlight w:val="none"/>
              </w:rPr>
              <w:t>支持中小企业发展</w:t>
            </w:r>
          </w:p>
        </w:tc>
        <w:tc>
          <w:tcPr>
            <w:tcW w:w="6284" w:type="dxa"/>
            <w:vAlign w:val="center"/>
          </w:tcPr>
          <w:p w14:paraId="1474EE55">
            <w:pPr>
              <w:pStyle w:val="17"/>
              <w:jc w:val="left"/>
              <w:rPr>
                <w:rFonts w:hAnsi="宋体" w:cs="宋体"/>
                <w:color w:val="auto"/>
                <w:highlight w:val="none"/>
              </w:rPr>
            </w:pPr>
            <w:r>
              <w:rPr>
                <w:rFonts w:hint="eastAsia" w:hAnsi="宋体" w:cs="宋体"/>
                <w:color w:val="auto"/>
                <w:highlight w:val="none"/>
                <w:lang w:eastAsia="zh-CN"/>
              </w:rPr>
              <w:t>☑</w:t>
            </w:r>
            <w:r>
              <w:rPr>
                <w:rFonts w:hint="eastAsia" w:hAnsi="宋体" w:cs="宋体"/>
                <w:color w:val="auto"/>
                <w:highlight w:val="none"/>
              </w:rPr>
              <w:t>专门面向中小企业采购项目</w:t>
            </w:r>
          </w:p>
          <w:p w14:paraId="491F0F09">
            <w:pPr>
              <w:pStyle w:val="17"/>
              <w:jc w:val="left"/>
              <w:rPr>
                <w:rFonts w:hAnsi="宋体" w:cs="宋体"/>
                <w:color w:val="auto"/>
                <w:highlight w:val="none"/>
              </w:rPr>
            </w:pPr>
            <w:r>
              <w:rPr>
                <w:rFonts w:hint="eastAsia" w:ascii="MS Mincho" w:hAnsi="MS Mincho" w:eastAsia="宋体" w:cs="MS Mincho"/>
                <w:color w:val="auto"/>
                <w:highlight w:val="none"/>
                <w:lang w:eastAsia="zh-CN"/>
              </w:rPr>
              <w:t>□</w:t>
            </w:r>
            <w:r>
              <w:rPr>
                <w:rFonts w:hint="eastAsia" w:hAnsi="宋体" w:cs="宋体"/>
                <w:color w:val="auto"/>
                <w:highlight w:val="none"/>
              </w:rPr>
              <w:t>非专门面向中小企业采购项目(价格扣除)：</w:t>
            </w:r>
          </w:p>
          <w:p w14:paraId="2ECEC70B">
            <w:pPr>
              <w:pStyle w:val="17"/>
              <w:jc w:val="left"/>
              <w:rPr>
                <w:rFonts w:hAnsi="宋体" w:cs="宋体"/>
                <w:color w:val="auto"/>
                <w:highlight w:val="none"/>
              </w:rPr>
            </w:pPr>
            <w:r>
              <w:rPr>
                <w:rFonts w:hint="eastAsia" w:hAnsi="宋体" w:cs="宋体"/>
                <w:color w:val="auto"/>
                <w:highlight w:val="none"/>
              </w:rPr>
              <w:t>①对小型和微型企业产品的价格给予</w:t>
            </w:r>
            <w:r>
              <w:rPr>
                <w:rFonts w:hint="eastAsia" w:hAnsi="宋体" w:cs="宋体"/>
                <w:color w:val="auto"/>
                <w:highlight w:val="none"/>
                <w:lang w:val="en-US" w:eastAsia="zh-CN"/>
              </w:rPr>
              <w:t>10</w:t>
            </w:r>
            <w:r>
              <w:rPr>
                <w:rFonts w:hint="eastAsia" w:hAnsi="宋体" w:cs="宋体"/>
                <w:color w:val="auto"/>
                <w:highlight w:val="none"/>
              </w:rPr>
              <w:t>%～</w:t>
            </w:r>
            <w:r>
              <w:rPr>
                <w:rFonts w:hint="eastAsia" w:hAnsi="宋体" w:cs="宋体"/>
                <w:color w:val="auto"/>
                <w:highlight w:val="none"/>
                <w:lang w:val="en-US" w:eastAsia="zh-CN"/>
              </w:rPr>
              <w:t>20</w:t>
            </w:r>
            <w:r>
              <w:rPr>
                <w:rFonts w:hint="eastAsia" w:hAnsi="宋体" w:cs="宋体"/>
                <w:color w:val="auto"/>
                <w:highlight w:val="none"/>
              </w:rPr>
              <w:t>%的扣除，用扣除后的价格参与评审。本项目的扣除比例为：小型企业扣除</w:t>
            </w:r>
            <w:r>
              <w:rPr>
                <w:rFonts w:hint="eastAsia" w:hAnsi="宋体" w:cs="宋体"/>
                <w:color w:val="auto"/>
                <w:highlight w:val="none"/>
                <w:lang w:val="en-US" w:eastAsia="zh-CN"/>
              </w:rPr>
              <w:t>10</w:t>
            </w:r>
            <w:r>
              <w:rPr>
                <w:rFonts w:hint="eastAsia" w:hAnsi="宋体" w:cs="宋体"/>
                <w:color w:val="auto"/>
                <w:highlight w:val="none"/>
              </w:rPr>
              <w:t>%，微型企业扣除</w:t>
            </w:r>
            <w:r>
              <w:rPr>
                <w:rFonts w:hint="eastAsia" w:hAnsi="宋体" w:cs="宋体"/>
                <w:color w:val="auto"/>
                <w:highlight w:val="none"/>
                <w:lang w:val="en-US" w:eastAsia="zh-CN"/>
              </w:rPr>
              <w:t>10</w:t>
            </w:r>
            <w:r>
              <w:rPr>
                <w:rFonts w:hint="eastAsia" w:hAnsi="宋体" w:cs="宋体"/>
                <w:color w:val="auto"/>
                <w:highlight w:val="none"/>
              </w:rPr>
              <w:t>%。</w:t>
            </w:r>
          </w:p>
        </w:tc>
      </w:tr>
      <w:tr w14:paraId="66BF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Align w:val="center"/>
          </w:tcPr>
          <w:p w14:paraId="7F25826A">
            <w:pPr>
              <w:pStyle w:val="17"/>
              <w:jc w:val="center"/>
              <w:rPr>
                <w:rFonts w:hAnsi="宋体" w:cs="宋体"/>
                <w:color w:val="auto"/>
                <w:highlight w:val="none"/>
              </w:rPr>
            </w:pPr>
            <w:r>
              <w:rPr>
                <w:rFonts w:hint="eastAsia" w:hAnsi="宋体" w:cs="宋体"/>
                <w:color w:val="auto"/>
                <w:highlight w:val="none"/>
              </w:rPr>
              <w:t>9</w:t>
            </w:r>
          </w:p>
        </w:tc>
        <w:tc>
          <w:tcPr>
            <w:tcW w:w="2035" w:type="dxa"/>
            <w:vAlign w:val="center"/>
          </w:tcPr>
          <w:p w14:paraId="1ADE4C55">
            <w:pPr>
              <w:pStyle w:val="17"/>
              <w:jc w:val="left"/>
              <w:rPr>
                <w:rFonts w:hAnsi="宋体" w:cs="宋体"/>
                <w:color w:val="auto"/>
                <w:highlight w:val="none"/>
              </w:rPr>
            </w:pPr>
            <w:r>
              <w:rPr>
                <w:rFonts w:hint="eastAsia" w:hAnsi="宋体" w:cs="宋体"/>
                <w:color w:val="auto"/>
                <w:highlight w:val="none"/>
              </w:rPr>
              <w:t>其他法律法规强制性规定或扶持政策</w:t>
            </w:r>
          </w:p>
        </w:tc>
        <w:tc>
          <w:tcPr>
            <w:tcW w:w="6284" w:type="dxa"/>
            <w:vAlign w:val="center"/>
          </w:tcPr>
          <w:p w14:paraId="37E6CB74">
            <w:pPr>
              <w:pStyle w:val="17"/>
              <w:jc w:val="left"/>
              <w:rPr>
                <w:rFonts w:hAnsi="宋体" w:cs="宋体"/>
                <w:color w:val="auto"/>
                <w:highlight w:val="none"/>
              </w:rPr>
            </w:pPr>
            <w:r>
              <w:rPr>
                <w:rFonts w:hint="eastAsia" w:hAnsi="宋体" w:cs="宋体"/>
                <w:color w:val="auto"/>
                <w:highlight w:val="none"/>
              </w:rPr>
              <w:t>鼓励开展信用担保等政府采购政策</w:t>
            </w:r>
          </w:p>
        </w:tc>
      </w:tr>
      <w:tr w14:paraId="5E70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Align w:val="center"/>
          </w:tcPr>
          <w:p w14:paraId="6FE83CF2">
            <w:pPr>
              <w:pStyle w:val="17"/>
              <w:jc w:val="center"/>
              <w:rPr>
                <w:rFonts w:hAnsi="宋体" w:cs="宋体"/>
                <w:color w:val="auto"/>
                <w:highlight w:val="none"/>
              </w:rPr>
            </w:pPr>
            <w:r>
              <w:rPr>
                <w:rFonts w:hint="eastAsia" w:hAnsi="宋体" w:cs="宋体"/>
                <w:color w:val="auto"/>
                <w:highlight w:val="none"/>
              </w:rPr>
              <w:t>10</w:t>
            </w:r>
          </w:p>
        </w:tc>
        <w:tc>
          <w:tcPr>
            <w:tcW w:w="2035" w:type="dxa"/>
            <w:vAlign w:val="center"/>
          </w:tcPr>
          <w:p w14:paraId="78A6145A">
            <w:pPr>
              <w:pStyle w:val="17"/>
              <w:jc w:val="left"/>
              <w:rPr>
                <w:rFonts w:hAnsi="宋体" w:cs="宋体"/>
                <w:color w:val="auto"/>
                <w:highlight w:val="none"/>
              </w:rPr>
            </w:pPr>
            <w:r>
              <w:rPr>
                <w:rFonts w:hint="eastAsia" w:hAnsi="宋体" w:cs="宋体"/>
                <w:b/>
                <w:bCs/>
                <w:color w:val="auto"/>
                <w:highlight w:val="none"/>
              </w:rPr>
              <w:t>投标人须提供的其他资料</w:t>
            </w:r>
          </w:p>
        </w:tc>
        <w:tc>
          <w:tcPr>
            <w:tcW w:w="6284" w:type="dxa"/>
            <w:vAlign w:val="center"/>
          </w:tcPr>
          <w:p w14:paraId="2F4B8828">
            <w:pPr>
              <w:pStyle w:val="17"/>
              <w:jc w:val="left"/>
              <w:rPr>
                <w:rFonts w:hint="eastAsia" w:hAnsi="宋体" w:eastAsia="宋体" w:cs="宋体"/>
                <w:color w:val="auto"/>
                <w:highlight w:val="none"/>
                <w:lang w:eastAsia="zh-CN"/>
              </w:rPr>
            </w:pPr>
            <w:r>
              <w:rPr>
                <w:rFonts w:hint="eastAsia" w:hAnsi="宋体" w:cs="宋体"/>
                <w:color w:val="auto"/>
                <w:highlight w:val="none"/>
                <w:lang w:val="en-US" w:eastAsia="zh-CN"/>
              </w:rPr>
              <w:t>/</w:t>
            </w:r>
          </w:p>
        </w:tc>
      </w:tr>
      <w:tr w14:paraId="2DBA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Align w:val="center"/>
          </w:tcPr>
          <w:p w14:paraId="03E5155D">
            <w:pPr>
              <w:pStyle w:val="17"/>
              <w:jc w:val="center"/>
              <w:rPr>
                <w:rFonts w:hAnsi="宋体" w:cs="宋体"/>
                <w:color w:val="auto"/>
                <w:highlight w:val="none"/>
              </w:rPr>
            </w:pPr>
            <w:r>
              <w:rPr>
                <w:rFonts w:hint="eastAsia" w:hAnsi="宋体" w:cs="宋体"/>
                <w:color w:val="auto"/>
                <w:highlight w:val="none"/>
              </w:rPr>
              <w:t>11</w:t>
            </w:r>
          </w:p>
        </w:tc>
        <w:tc>
          <w:tcPr>
            <w:tcW w:w="2035" w:type="dxa"/>
            <w:vAlign w:val="center"/>
          </w:tcPr>
          <w:p w14:paraId="3CDFA1A5">
            <w:pPr>
              <w:pStyle w:val="17"/>
              <w:jc w:val="left"/>
              <w:rPr>
                <w:rFonts w:hAnsi="宋体" w:cs="宋体"/>
                <w:color w:val="auto"/>
                <w:highlight w:val="none"/>
              </w:rPr>
            </w:pPr>
            <w:r>
              <w:rPr>
                <w:rFonts w:hint="eastAsia" w:hAnsi="宋体" w:cs="宋体"/>
                <w:color w:val="auto"/>
                <w:highlight w:val="none"/>
              </w:rPr>
              <w:t>澄清或者修改时间</w:t>
            </w:r>
          </w:p>
        </w:tc>
        <w:tc>
          <w:tcPr>
            <w:tcW w:w="6284" w:type="dxa"/>
            <w:vAlign w:val="center"/>
          </w:tcPr>
          <w:p w14:paraId="035F38BA">
            <w:pPr>
              <w:pStyle w:val="17"/>
              <w:jc w:val="left"/>
              <w:rPr>
                <w:rFonts w:hint="eastAsia" w:hAnsi="宋体" w:cs="宋体"/>
                <w:color w:val="auto"/>
                <w:highlight w:val="none"/>
              </w:rPr>
            </w:pPr>
            <w:r>
              <w:rPr>
                <w:rFonts w:hint="eastAsia" w:hAnsi="宋体" w:cs="宋体"/>
                <w:color w:val="auto"/>
                <w:highlight w:val="none"/>
              </w:rPr>
              <w:t>在“政采云”平台（https://www.zcygov.cn/）中发布，</w:t>
            </w:r>
            <w:r>
              <w:rPr>
                <w:rFonts w:hint="eastAsia" w:hAnsi="宋体" w:cs="宋体"/>
                <w:color w:val="auto"/>
                <w:highlight w:val="none"/>
                <w:lang w:eastAsia="zh-CN"/>
              </w:rPr>
              <w:t>供应商</w:t>
            </w:r>
            <w:r>
              <w:rPr>
                <w:rFonts w:hint="eastAsia" w:hAnsi="宋体" w:cs="宋体"/>
                <w:color w:val="auto"/>
                <w:highlight w:val="none"/>
              </w:rPr>
              <w:t>无需回复确认。因</w:t>
            </w:r>
            <w:r>
              <w:rPr>
                <w:rFonts w:hint="eastAsia" w:hAnsi="宋体" w:cs="宋体"/>
                <w:color w:val="auto"/>
                <w:highlight w:val="none"/>
                <w:lang w:eastAsia="zh-CN"/>
              </w:rPr>
              <w:t>供应商</w:t>
            </w:r>
            <w:r>
              <w:rPr>
                <w:rFonts w:hint="eastAsia" w:hAnsi="宋体" w:cs="宋体"/>
                <w:color w:val="auto"/>
                <w:highlight w:val="none"/>
              </w:rPr>
              <w:t>自身原因未能及时查阅所导致的对本项目有关文件理解错误由</w:t>
            </w:r>
            <w:r>
              <w:rPr>
                <w:rFonts w:hint="eastAsia" w:hAnsi="宋体" w:cs="宋体"/>
                <w:color w:val="auto"/>
                <w:highlight w:val="none"/>
                <w:lang w:eastAsia="zh-CN"/>
              </w:rPr>
              <w:t>供应商</w:t>
            </w:r>
            <w:r>
              <w:rPr>
                <w:rFonts w:hint="eastAsia" w:hAnsi="宋体" w:cs="宋体"/>
                <w:color w:val="auto"/>
                <w:highlight w:val="none"/>
              </w:rPr>
              <w:t>自行承担。</w:t>
            </w:r>
          </w:p>
          <w:p w14:paraId="687550BC">
            <w:pPr>
              <w:pStyle w:val="17"/>
              <w:jc w:val="left"/>
              <w:rPr>
                <w:rFonts w:hint="eastAsia" w:hAnsi="宋体" w:cs="宋体"/>
                <w:color w:val="auto"/>
                <w:highlight w:val="none"/>
              </w:rPr>
            </w:pPr>
            <w:r>
              <w:rPr>
                <w:rFonts w:hint="eastAsia" w:hAnsi="宋体" w:cs="宋体"/>
                <w:color w:val="auto"/>
                <w:highlight w:val="none"/>
              </w:rPr>
              <w:t>采购人和采购代理机构对已发出的招标文件进行澄清或修改且可能影响投标文件编制的，在投标截止时间至少15日前，不足15日的，采购人和采购代理机构将顺延提交投标文件截止时间</w:t>
            </w:r>
          </w:p>
        </w:tc>
      </w:tr>
      <w:tr w14:paraId="1BB5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090" w:type="dxa"/>
            <w:vAlign w:val="center"/>
          </w:tcPr>
          <w:p w14:paraId="7AD87443">
            <w:pPr>
              <w:pStyle w:val="17"/>
              <w:jc w:val="center"/>
              <w:rPr>
                <w:rFonts w:hAnsi="宋体" w:cs="宋体"/>
                <w:color w:val="auto"/>
                <w:highlight w:val="none"/>
              </w:rPr>
            </w:pPr>
            <w:r>
              <w:rPr>
                <w:rFonts w:hint="eastAsia" w:hAnsi="宋体" w:cs="宋体"/>
                <w:color w:val="auto"/>
                <w:highlight w:val="none"/>
              </w:rPr>
              <w:t>12</w:t>
            </w:r>
          </w:p>
        </w:tc>
        <w:tc>
          <w:tcPr>
            <w:tcW w:w="2035" w:type="dxa"/>
            <w:vAlign w:val="center"/>
          </w:tcPr>
          <w:p w14:paraId="23B70929">
            <w:pPr>
              <w:pStyle w:val="17"/>
              <w:jc w:val="left"/>
              <w:rPr>
                <w:rFonts w:hAnsi="宋体" w:cs="宋体"/>
                <w:color w:val="auto"/>
                <w:highlight w:val="none"/>
              </w:rPr>
            </w:pPr>
            <w:r>
              <w:rPr>
                <w:rFonts w:hint="eastAsia" w:hAnsi="宋体" w:cs="宋体"/>
                <w:color w:val="auto"/>
                <w:highlight w:val="none"/>
              </w:rPr>
              <w:t>提交投标文件的截止时间、地点</w:t>
            </w:r>
          </w:p>
        </w:tc>
        <w:tc>
          <w:tcPr>
            <w:tcW w:w="6284" w:type="dxa"/>
            <w:vAlign w:val="center"/>
          </w:tcPr>
          <w:p w14:paraId="41DBCEA1">
            <w:pPr>
              <w:pStyle w:val="17"/>
              <w:jc w:val="left"/>
              <w:rPr>
                <w:rFonts w:hint="eastAsia" w:hAnsi="宋体" w:cs="宋体"/>
                <w:color w:val="auto"/>
                <w:highlight w:val="none"/>
              </w:rPr>
            </w:pPr>
            <w:r>
              <w:rPr>
                <w:rFonts w:hint="eastAsia" w:hAnsi="宋体" w:cs="宋体"/>
                <w:color w:val="auto"/>
                <w:highlight w:val="none"/>
              </w:rPr>
              <w:t>时间：</w:t>
            </w:r>
            <w:r>
              <w:rPr>
                <w:rFonts w:hint="eastAsia" w:hAnsi="宋体" w:cs="宋体"/>
                <w:color w:val="auto"/>
                <w:szCs w:val="21"/>
                <w:highlight w:val="none"/>
                <w:lang w:eastAsia="zh-CN"/>
              </w:rPr>
              <w:t>2025年1月8日上午9时00分</w:t>
            </w:r>
            <w:r>
              <w:rPr>
                <w:rFonts w:hint="eastAsia" w:hAnsi="宋体" w:cs="宋体"/>
                <w:color w:val="auto"/>
                <w:highlight w:val="none"/>
              </w:rPr>
              <w:t>(北京时间)</w:t>
            </w:r>
          </w:p>
          <w:p w14:paraId="6674E7D7">
            <w:pPr>
              <w:pStyle w:val="17"/>
              <w:jc w:val="left"/>
              <w:rPr>
                <w:rFonts w:hint="eastAsia" w:hAnsi="宋体" w:cs="宋体"/>
                <w:color w:val="auto"/>
                <w:highlight w:val="none"/>
                <w:lang w:eastAsia="zh-CN"/>
              </w:rPr>
            </w:pPr>
            <w:r>
              <w:rPr>
                <w:rFonts w:hint="eastAsia" w:hAnsi="宋体" w:cs="宋体"/>
                <w:color w:val="auto"/>
                <w:highlight w:val="none"/>
              </w:rPr>
              <w:t>地点：</w:t>
            </w:r>
            <w:r>
              <w:rPr>
                <w:rFonts w:hint="eastAsia" w:hAnsi="宋体" w:cs="宋体"/>
                <w:color w:val="auto"/>
                <w:highlight w:val="none"/>
                <w:lang w:eastAsia="zh-CN"/>
              </w:rPr>
              <w:t>长春市二道区洋浦大街凯利中心AB栋101开标二室</w:t>
            </w:r>
          </w:p>
          <w:p w14:paraId="47944887">
            <w:pPr>
              <w:pStyle w:val="17"/>
              <w:jc w:val="left"/>
              <w:rPr>
                <w:rFonts w:hint="eastAsia" w:hAnsi="宋体" w:eastAsia="宋体" w:cs="宋体"/>
                <w:color w:val="auto"/>
                <w:highlight w:val="none"/>
                <w:lang w:eastAsia="zh-CN"/>
              </w:rPr>
            </w:pPr>
            <w:r>
              <w:rPr>
                <w:rFonts w:hint="eastAsia" w:hAnsi="宋体" w:cs="宋体"/>
                <w:color w:val="auto"/>
                <w:highlight w:val="none"/>
                <w:lang w:val="en-US" w:eastAsia="zh-CN"/>
              </w:rPr>
              <w:t>注：</w:t>
            </w:r>
            <w:r>
              <w:rPr>
                <w:rFonts w:hint="eastAsia" w:hAnsi="宋体" w:cs="宋体"/>
                <w:color w:val="auto"/>
                <w:highlight w:val="none"/>
              </w:rPr>
              <w:t>本项目采取</w:t>
            </w:r>
            <w:r>
              <w:rPr>
                <w:rFonts w:hint="eastAsia" w:hAnsi="宋体" w:cs="宋体"/>
                <w:color w:val="auto"/>
                <w:highlight w:val="none"/>
                <w:lang w:val="en-US" w:eastAsia="zh-CN"/>
              </w:rPr>
              <w:t>政采云平台线上</w:t>
            </w:r>
            <w:r>
              <w:rPr>
                <w:rFonts w:hint="eastAsia" w:hAnsi="宋体" w:cs="宋体"/>
                <w:color w:val="auto"/>
                <w:highlight w:val="none"/>
              </w:rPr>
              <w:t>开标形式，纸质文件</w:t>
            </w:r>
            <w:r>
              <w:rPr>
                <w:rFonts w:hint="eastAsia" w:hAnsi="宋体" w:cs="宋体"/>
                <w:color w:val="auto"/>
                <w:highlight w:val="none"/>
                <w:lang w:val="en-US" w:eastAsia="zh-CN"/>
              </w:rPr>
              <w:t>同时</w:t>
            </w:r>
            <w:r>
              <w:rPr>
                <w:rFonts w:hint="eastAsia" w:hAnsi="宋体" w:cs="宋体"/>
                <w:color w:val="auto"/>
                <w:highlight w:val="none"/>
              </w:rPr>
              <w:t>递交</w:t>
            </w:r>
            <w:r>
              <w:rPr>
                <w:rFonts w:hint="eastAsia" w:hAnsi="宋体" w:cs="宋体"/>
                <w:color w:val="auto"/>
                <w:highlight w:val="none"/>
                <w:lang w:val="en-US" w:eastAsia="zh-CN"/>
              </w:rPr>
              <w:t>开标地点。</w:t>
            </w:r>
          </w:p>
        </w:tc>
      </w:tr>
      <w:tr w14:paraId="1B68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90" w:type="dxa"/>
            <w:vAlign w:val="center"/>
          </w:tcPr>
          <w:p w14:paraId="256751F0">
            <w:pPr>
              <w:pStyle w:val="17"/>
              <w:jc w:val="center"/>
              <w:rPr>
                <w:rFonts w:hAnsi="宋体" w:cs="宋体"/>
                <w:color w:val="auto"/>
                <w:highlight w:val="none"/>
              </w:rPr>
            </w:pPr>
            <w:r>
              <w:rPr>
                <w:rFonts w:hint="eastAsia" w:hAnsi="宋体" w:cs="宋体"/>
                <w:color w:val="auto"/>
                <w:highlight w:val="none"/>
              </w:rPr>
              <w:t>13</w:t>
            </w:r>
          </w:p>
        </w:tc>
        <w:tc>
          <w:tcPr>
            <w:tcW w:w="2035" w:type="dxa"/>
            <w:vAlign w:val="center"/>
          </w:tcPr>
          <w:p w14:paraId="7C9D9ADC">
            <w:pPr>
              <w:pStyle w:val="17"/>
              <w:jc w:val="left"/>
              <w:rPr>
                <w:rFonts w:hAnsi="宋体" w:cs="宋体"/>
                <w:color w:val="auto"/>
                <w:highlight w:val="none"/>
              </w:rPr>
            </w:pPr>
            <w:r>
              <w:rPr>
                <w:rFonts w:hint="eastAsia" w:hAnsi="宋体" w:cs="宋体"/>
                <w:color w:val="auto"/>
                <w:highlight w:val="none"/>
              </w:rPr>
              <w:t>开标时间、地点</w:t>
            </w:r>
          </w:p>
        </w:tc>
        <w:tc>
          <w:tcPr>
            <w:tcW w:w="6284" w:type="dxa"/>
            <w:vAlign w:val="center"/>
          </w:tcPr>
          <w:p w14:paraId="73DC43C6">
            <w:pPr>
              <w:pStyle w:val="17"/>
              <w:jc w:val="left"/>
              <w:rPr>
                <w:rFonts w:hint="eastAsia" w:hAnsi="宋体" w:cs="宋体"/>
                <w:color w:val="auto"/>
                <w:highlight w:val="none"/>
              </w:rPr>
            </w:pPr>
            <w:r>
              <w:rPr>
                <w:rFonts w:hint="eastAsia" w:hAnsi="宋体" w:cs="宋体"/>
                <w:color w:val="auto"/>
                <w:highlight w:val="none"/>
              </w:rPr>
              <w:t>时间：</w:t>
            </w:r>
            <w:r>
              <w:rPr>
                <w:rFonts w:hint="eastAsia" w:hAnsi="宋体" w:cs="宋体"/>
                <w:color w:val="auto"/>
                <w:szCs w:val="21"/>
                <w:highlight w:val="none"/>
                <w:lang w:eastAsia="zh-CN"/>
              </w:rPr>
              <w:t>2025年1月8日上午9时00分</w:t>
            </w:r>
            <w:r>
              <w:rPr>
                <w:rFonts w:hint="eastAsia" w:hAnsi="宋体" w:cs="宋体"/>
                <w:color w:val="auto"/>
                <w:highlight w:val="none"/>
              </w:rPr>
              <w:t>(北京时间)</w:t>
            </w:r>
          </w:p>
          <w:p w14:paraId="5F9A0F2C">
            <w:pPr>
              <w:pStyle w:val="17"/>
              <w:jc w:val="left"/>
              <w:rPr>
                <w:rFonts w:hint="eastAsia" w:hAnsi="宋体" w:cs="宋体"/>
                <w:color w:val="auto"/>
                <w:highlight w:val="none"/>
                <w:lang w:eastAsia="zh-CN"/>
              </w:rPr>
            </w:pPr>
            <w:r>
              <w:rPr>
                <w:rFonts w:hint="eastAsia" w:hAnsi="宋体" w:cs="宋体"/>
                <w:color w:val="auto"/>
                <w:highlight w:val="none"/>
              </w:rPr>
              <w:t>地点：</w:t>
            </w:r>
            <w:r>
              <w:rPr>
                <w:rFonts w:hint="eastAsia" w:hAnsi="宋体" w:cs="宋体"/>
                <w:color w:val="auto"/>
                <w:highlight w:val="none"/>
                <w:lang w:eastAsia="zh-CN"/>
              </w:rPr>
              <w:t>长春市二道区洋浦大街凯利中心AB栋101开标二室</w:t>
            </w:r>
          </w:p>
          <w:p w14:paraId="28547374">
            <w:pPr>
              <w:pStyle w:val="17"/>
              <w:jc w:val="left"/>
              <w:rPr>
                <w:rFonts w:hint="eastAsia" w:hAnsi="宋体" w:eastAsia="宋体" w:cs="宋体"/>
                <w:color w:val="auto"/>
                <w:highlight w:val="none"/>
                <w:lang w:eastAsia="zh-CN"/>
              </w:rPr>
            </w:pPr>
            <w:r>
              <w:rPr>
                <w:rFonts w:hint="eastAsia" w:hAnsi="宋体" w:cs="宋体"/>
                <w:color w:val="auto"/>
                <w:highlight w:val="none"/>
                <w:lang w:val="en-US" w:eastAsia="zh-CN"/>
              </w:rPr>
              <w:t>注：</w:t>
            </w:r>
            <w:r>
              <w:rPr>
                <w:rFonts w:hint="eastAsia" w:hAnsi="宋体" w:cs="宋体"/>
                <w:color w:val="auto"/>
                <w:highlight w:val="none"/>
              </w:rPr>
              <w:t>本项目采取</w:t>
            </w:r>
            <w:r>
              <w:rPr>
                <w:rFonts w:hint="eastAsia" w:hAnsi="宋体" w:cs="宋体"/>
                <w:color w:val="auto"/>
                <w:highlight w:val="none"/>
                <w:lang w:val="en-US" w:eastAsia="zh-CN"/>
              </w:rPr>
              <w:t>政采云平台线上</w:t>
            </w:r>
            <w:r>
              <w:rPr>
                <w:rFonts w:hint="eastAsia" w:hAnsi="宋体" w:cs="宋体"/>
                <w:color w:val="auto"/>
                <w:highlight w:val="none"/>
              </w:rPr>
              <w:t>开标形式，纸质文件</w:t>
            </w:r>
            <w:r>
              <w:rPr>
                <w:rFonts w:hint="eastAsia" w:hAnsi="宋体" w:cs="宋体"/>
                <w:color w:val="auto"/>
                <w:highlight w:val="none"/>
                <w:lang w:val="en-US" w:eastAsia="zh-CN"/>
              </w:rPr>
              <w:t>同时</w:t>
            </w:r>
            <w:r>
              <w:rPr>
                <w:rFonts w:hint="eastAsia" w:hAnsi="宋体" w:cs="宋体"/>
                <w:color w:val="auto"/>
                <w:highlight w:val="none"/>
              </w:rPr>
              <w:t>递交</w:t>
            </w:r>
            <w:r>
              <w:rPr>
                <w:rFonts w:hint="eastAsia" w:hAnsi="宋体" w:cs="宋体"/>
                <w:color w:val="auto"/>
                <w:highlight w:val="none"/>
                <w:lang w:val="en-US" w:eastAsia="zh-CN"/>
              </w:rPr>
              <w:t>开标地点。</w:t>
            </w:r>
          </w:p>
        </w:tc>
      </w:tr>
      <w:tr w14:paraId="3C85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90" w:type="dxa"/>
            <w:vAlign w:val="center"/>
          </w:tcPr>
          <w:p w14:paraId="482BAA2A">
            <w:pPr>
              <w:pStyle w:val="17"/>
              <w:jc w:val="center"/>
              <w:rPr>
                <w:rFonts w:hAnsi="宋体" w:cs="宋体"/>
                <w:color w:val="auto"/>
                <w:highlight w:val="none"/>
              </w:rPr>
            </w:pPr>
            <w:r>
              <w:rPr>
                <w:rFonts w:hint="eastAsia" w:hAnsi="宋体" w:cs="宋体"/>
                <w:color w:val="auto"/>
                <w:highlight w:val="none"/>
              </w:rPr>
              <w:t>14</w:t>
            </w:r>
          </w:p>
        </w:tc>
        <w:tc>
          <w:tcPr>
            <w:tcW w:w="2035" w:type="dxa"/>
            <w:vAlign w:val="center"/>
          </w:tcPr>
          <w:p w14:paraId="3A76FDB0">
            <w:pPr>
              <w:pStyle w:val="17"/>
              <w:jc w:val="left"/>
              <w:rPr>
                <w:rFonts w:hAnsi="宋体" w:cs="宋体"/>
                <w:color w:val="auto"/>
                <w:highlight w:val="none"/>
              </w:rPr>
            </w:pPr>
            <w:r>
              <w:rPr>
                <w:rFonts w:hint="eastAsia" w:hAnsi="宋体" w:cs="宋体"/>
                <w:color w:val="auto"/>
                <w:highlight w:val="none"/>
              </w:rPr>
              <w:t>投标保证金</w:t>
            </w:r>
          </w:p>
        </w:tc>
        <w:tc>
          <w:tcPr>
            <w:tcW w:w="6284" w:type="dxa"/>
            <w:vAlign w:val="center"/>
          </w:tcPr>
          <w:p w14:paraId="58E863FB">
            <w:pPr>
              <w:pStyle w:val="17"/>
              <w:jc w:val="left"/>
              <w:rPr>
                <w:rFonts w:hint="eastAsia" w:hAnsi="宋体" w:cs="宋体"/>
                <w:color w:val="auto"/>
                <w:highlight w:val="none"/>
                <w:lang w:eastAsia="zh-CN"/>
              </w:rPr>
            </w:pPr>
            <w:r>
              <w:rPr>
                <w:rFonts w:hint="eastAsia" w:hAnsi="宋体" w:cs="宋体"/>
                <w:color w:val="auto"/>
                <w:highlight w:val="none"/>
                <w:lang w:eastAsia="zh-CN"/>
              </w:rPr>
              <w:t>根据长财采购【2021】695号文件中的相关规定，本项目对于诚信记录良好的供应商无需缴纳</w:t>
            </w:r>
            <w:r>
              <w:rPr>
                <w:rFonts w:hint="eastAsia" w:hAnsi="宋体" w:cs="宋体"/>
                <w:color w:val="auto"/>
                <w:highlight w:val="none"/>
                <w:lang w:val="en-US" w:eastAsia="zh-CN"/>
              </w:rPr>
              <w:t>投标</w:t>
            </w:r>
            <w:r>
              <w:rPr>
                <w:rFonts w:hint="eastAsia" w:hAnsi="宋体" w:cs="宋体"/>
                <w:color w:val="auto"/>
                <w:highlight w:val="none"/>
                <w:lang w:eastAsia="zh-CN"/>
              </w:rPr>
              <w:t>保证金，但对于满足《中华人民共和国政府采购法》第二十二条有关规定，经“信用中国”网站查询存在行政处罚信息的供应商，按以下要求收取</w:t>
            </w:r>
            <w:r>
              <w:rPr>
                <w:rFonts w:hint="eastAsia" w:hAnsi="宋体" w:cs="宋体"/>
                <w:color w:val="auto"/>
                <w:highlight w:val="none"/>
                <w:lang w:val="en-US" w:eastAsia="zh-CN"/>
              </w:rPr>
              <w:t>投标</w:t>
            </w:r>
            <w:r>
              <w:rPr>
                <w:rFonts w:hint="eastAsia" w:hAnsi="宋体" w:cs="宋体"/>
                <w:color w:val="auto"/>
                <w:highlight w:val="none"/>
                <w:lang w:eastAsia="zh-CN"/>
              </w:rPr>
              <w:t>保证金。</w:t>
            </w:r>
          </w:p>
          <w:p w14:paraId="1A902E12">
            <w:pPr>
              <w:pStyle w:val="17"/>
              <w:jc w:val="left"/>
              <w:rPr>
                <w:rFonts w:hint="default" w:hAnsi="宋体" w:cs="宋体"/>
                <w:color w:val="auto"/>
                <w:highlight w:val="none"/>
                <w:lang w:val="en-US" w:eastAsia="zh-CN"/>
              </w:rPr>
            </w:pPr>
            <w:r>
              <w:rPr>
                <w:rFonts w:hint="eastAsia" w:hAnsi="宋体" w:cs="宋体"/>
                <w:color w:val="auto"/>
                <w:highlight w:val="none"/>
                <w:lang w:val="en-US" w:eastAsia="zh-CN"/>
              </w:rPr>
              <w:t>投标</w:t>
            </w:r>
            <w:r>
              <w:rPr>
                <w:rFonts w:hint="eastAsia" w:hAnsi="宋体" w:cs="宋体"/>
                <w:color w:val="auto"/>
                <w:highlight w:val="none"/>
                <w:lang w:eastAsia="zh-CN"/>
              </w:rPr>
              <w:t>保证金的金额：</w:t>
            </w:r>
            <w:r>
              <w:rPr>
                <w:rFonts w:hint="eastAsia" w:hAnsi="宋体" w:cs="宋体"/>
                <w:color w:val="auto"/>
                <w:highlight w:val="none"/>
                <w:lang w:val="en-US" w:eastAsia="zh-CN"/>
              </w:rPr>
              <w:t>一标段</w:t>
            </w:r>
            <w:r>
              <w:rPr>
                <w:rFonts w:hint="eastAsia" w:hAnsi="宋体" w:cs="宋体"/>
                <w:color w:val="auto"/>
                <w:highlight w:val="none"/>
                <w:lang w:eastAsia="zh-CN"/>
              </w:rPr>
              <w:t>人民币</w:t>
            </w:r>
            <w:r>
              <w:rPr>
                <w:rFonts w:hint="eastAsia" w:hAnsi="宋体" w:cs="宋体"/>
                <w:color w:val="auto"/>
                <w:highlight w:val="none"/>
                <w:lang w:val="en-US" w:eastAsia="zh-CN"/>
              </w:rPr>
              <w:t>500000</w:t>
            </w:r>
            <w:r>
              <w:rPr>
                <w:rFonts w:hint="eastAsia" w:hAnsi="宋体" w:cs="宋体"/>
                <w:color w:val="auto"/>
                <w:highlight w:val="none"/>
                <w:lang w:eastAsia="zh-CN"/>
              </w:rPr>
              <w:t>元，</w:t>
            </w:r>
            <w:r>
              <w:rPr>
                <w:rFonts w:hint="eastAsia" w:hAnsi="宋体" w:cs="宋体"/>
                <w:color w:val="auto"/>
                <w:highlight w:val="none"/>
                <w:lang w:val="en-US" w:eastAsia="zh-CN"/>
              </w:rPr>
              <w:t>二标段300000元</w:t>
            </w:r>
          </w:p>
          <w:p w14:paraId="6382F5F8">
            <w:pPr>
              <w:pStyle w:val="17"/>
              <w:jc w:val="left"/>
              <w:rPr>
                <w:rFonts w:hint="eastAsia" w:hAnsi="宋体" w:cs="宋体"/>
                <w:color w:val="auto"/>
                <w:highlight w:val="none"/>
                <w:lang w:eastAsia="zh-CN"/>
              </w:rPr>
            </w:pPr>
            <w:r>
              <w:rPr>
                <w:rFonts w:hint="eastAsia" w:hAnsi="宋体" w:cs="宋体"/>
                <w:color w:val="auto"/>
                <w:highlight w:val="none"/>
                <w:lang w:eastAsia="zh-CN"/>
              </w:rPr>
              <w:t>递交形式：转账、现金支票、保兑支票、银行汇票及保函，以到账为准。</w:t>
            </w:r>
          </w:p>
          <w:p w14:paraId="621BB7E2">
            <w:pPr>
              <w:pStyle w:val="17"/>
              <w:jc w:val="left"/>
              <w:rPr>
                <w:rFonts w:hint="default" w:hAnsi="宋体" w:cs="宋体"/>
                <w:color w:val="auto"/>
                <w:highlight w:val="none"/>
                <w:lang w:val="en-US" w:eastAsia="zh-CN"/>
              </w:rPr>
            </w:pPr>
            <w:r>
              <w:rPr>
                <w:rFonts w:hint="eastAsia" w:hAnsi="宋体" w:cs="宋体"/>
                <w:color w:val="auto"/>
                <w:highlight w:val="none"/>
                <w:lang w:val="en-US" w:eastAsia="zh-CN"/>
              </w:rPr>
              <w:t>账户名称：中科天一工程管理有限公司长春分公司</w:t>
            </w:r>
          </w:p>
          <w:p w14:paraId="0AD53409">
            <w:pPr>
              <w:pStyle w:val="17"/>
              <w:jc w:val="left"/>
              <w:rPr>
                <w:rFonts w:hint="eastAsia" w:hAnsi="宋体" w:cs="宋体"/>
                <w:color w:val="auto"/>
                <w:highlight w:val="none"/>
                <w:lang w:eastAsia="zh-CN"/>
              </w:rPr>
            </w:pPr>
            <w:r>
              <w:rPr>
                <w:rFonts w:hint="eastAsia" w:hAnsi="宋体" w:cs="宋体"/>
                <w:color w:val="auto"/>
                <w:highlight w:val="none"/>
                <w:lang w:eastAsia="zh-CN"/>
              </w:rPr>
              <w:t>开户银行：中信银行股份有限公司长春高新支行</w:t>
            </w:r>
          </w:p>
          <w:p w14:paraId="0034E92A">
            <w:pPr>
              <w:pStyle w:val="17"/>
              <w:jc w:val="left"/>
              <w:rPr>
                <w:rFonts w:hint="eastAsia" w:hAnsi="宋体" w:cs="宋体"/>
                <w:color w:val="auto"/>
                <w:highlight w:val="none"/>
                <w:lang w:eastAsia="zh-CN"/>
              </w:rPr>
            </w:pPr>
            <w:r>
              <w:rPr>
                <w:rFonts w:hint="eastAsia" w:hAnsi="宋体" w:cs="宋体"/>
                <w:color w:val="auto"/>
                <w:highlight w:val="none"/>
                <w:lang w:eastAsia="zh-CN"/>
              </w:rPr>
              <w:t>账号：8113601012700335320</w:t>
            </w:r>
          </w:p>
          <w:p w14:paraId="3EEAFF09">
            <w:pPr>
              <w:pStyle w:val="17"/>
              <w:jc w:val="left"/>
              <w:rPr>
                <w:rFonts w:hint="eastAsia" w:hAnsi="宋体" w:cs="宋体"/>
                <w:color w:val="auto"/>
                <w:highlight w:val="none"/>
                <w:lang w:eastAsia="zh-CN"/>
              </w:rPr>
            </w:pPr>
            <w:r>
              <w:rPr>
                <w:rFonts w:hint="eastAsia" w:hAnsi="宋体" w:cs="宋体"/>
                <w:color w:val="auto"/>
                <w:highlight w:val="none"/>
                <w:lang w:eastAsia="zh-CN"/>
              </w:rPr>
              <w:t>1、供应商以转账或现金支票形式提交的</w:t>
            </w:r>
            <w:r>
              <w:rPr>
                <w:rFonts w:hint="eastAsia" w:hAnsi="宋体" w:cs="宋体"/>
                <w:color w:val="auto"/>
                <w:highlight w:val="none"/>
                <w:lang w:val="en-US" w:eastAsia="zh-CN"/>
              </w:rPr>
              <w:t>投标</w:t>
            </w:r>
            <w:r>
              <w:rPr>
                <w:rFonts w:hint="eastAsia" w:hAnsi="宋体" w:cs="宋体"/>
                <w:color w:val="auto"/>
                <w:highlight w:val="none"/>
                <w:lang w:eastAsia="zh-CN"/>
              </w:rPr>
              <w:t>保证金应当从投标单位的基本账户转出。</w:t>
            </w:r>
          </w:p>
          <w:p w14:paraId="4ABACF67">
            <w:pPr>
              <w:pStyle w:val="17"/>
              <w:jc w:val="left"/>
              <w:rPr>
                <w:rFonts w:hint="eastAsia" w:hAnsi="宋体" w:cs="宋体"/>
                <w:color w:val="auto"/>
                <w:highlight w:val="none"/>
                <w:lang w:eastAsia="zh-CN"/>
              </w:rPr>
            </w:pPr>
            <w:r>
              <w:rPr>
                <w:rFonts w:hint="eastAsia" w:hAnsi="宋体" w:cs="宋体"/>
                <w:color w:val="auto"/>
                <w:highlight w:val="none"/>
                <w:lang w:eastAsia="zh-CN"/>
              </w:rPr>
              <w:t>2、供应商以保函方式提交</w:t>
            </w:r>
            <w:r>
              <w:rPr>
                <w:rFonts w:hint="eastAsia" w:hAnsi="宋体" w:cs="宋体"/>
                <w:color w:val="auto"/>
                <w:highlight w:val="none"/>
                <w:lang w:val="en-US" w:eastAsia="zh-CN"/>
              </w:rPr>
              <w:t>投标</w:t>
            </w:r>
            <w:r>
              <w:rPr>
                <w:rFonts w:hint="eastAsia" w:hAnsi="宋体" w:cs="宋体"/>
                <w:color w:val="auto"/>
                <w:highlight w:val="none"/>
                <w:lang w:eastAsia="zh-CN"/>
              </w:rPr>
              <w:t>保证金的，须将保函原件（无需密封）在提交响应文件截止时间前随响应文件一同递交，并将扫描件在提交响应文件截止前发送到采购代理机构邮箱</w:t>
            </w:r>
            <w:r>
              <w:rPr>
                <w:rFonts w:hint="eastAsia" w:hAnsi="宋体" w:cs="宋体"/>
                <w:color w:val="auto"/>
                <w:highlight w:val="none"/>
                <w:lang w:val="en-US" w:eastAsia="zh-CN"/>
              </w:rPr>
              <w:t>1967460301@qq.com</w:t>
            </w:r>
            <w:r>
              <w:rPr>
                <w:rFonts w:hint="eastAsia" w:hAnsi="宋体" w:cs="宋体"/>
                <w:color w:val="auto"/>
                <w:highlight w:val="none"/>
                <w:lang w:eastAsia="zh-CN"/>
              </w:rPr>
              <w:t>（以便核查）。</w:t>
            </w:r>
          </w:p>
          <w:p w14:paraId="153EAB57">
            <w:pPr>
              <w:pStyle w:val="17"/>
              <w:jc w:val="left"/>
              <w:rPr>
                <w:rFonts w:hint="eastAsia" w:hAnsi="宋体" w:cs="宋体"/>
                <w:color w:val="auto"/>
                <w:highlight w:val="none"/>
                <w:lang w:eastAsia="zh-CN"/>
              </w:rPr>
            </w:pPr>
            <w:r>
              <w:rPr>
                <w:rFonts w:hint="eastAsia" w:hAnsi="宋体" w:cs="宋体"/>
                <w:color w:val="auto"/>
                <w:highlight w:val="none"/>
                <w:lang w:eastAsia="zh-CN"/>
              </w:rPr>
              <w:t>3、符合长财采购【2021】695号文件中的相关规定，诚信记录良好的供应商无需缴纳</w:t>
            </w:r>
            <w:r>
              <w:rPr>
                <w:rFonts w:hint="eastAsia" w:hAnsi="宋体" w:cs="宋体"/>
                <w:color w:val="auto"/>
                <w:highlight w:val="none"/>
                <w:lang w:val="en-US" w:eastAsia="zh-CN"/>
              </w:rPr>
              <w:t>投标</w:t>
            </w:r>
            <w:r>
              <w:rPr>
                <w:rFonts w:hint="eastAsia" w:hAnsi="宋体" w:cs="宋体"/>
                <w:color w:val="auto"/>
                <w:highlight w:val="none"/>
                <w:lang w:eastAsia="zh-CN"/>
              </w:rPr>
              <w:t>保证金的供应商须提供“信用中国”网站查询无行政处罚信息证明材料截图证明材料（完整清晰）在提交响应文件截止前发送到采购代理机构邮箱</w:t>
            </w:r>
            <w:r>
              <w:rPr>
                <w:rFonts w:hint="eastAsia" w:hAnsi="宋体" w:cs="宋体"/>
                <w:color w:val="auto"/>
                <w:highlight w:val="none"/>
                <w:lang w:val="en-US" w:eastAsia="zh-CN"/>
              </w:rPr>
              <w:t>1967460301@qq.com</w:t>
            </w:r>
            <w:r>
              <w:rPr>
                <w:rFonts w:hint="eastAsia" w:hAnsi="宋体" w:cs="宋体"/>
                <w:color w:val="auto"/>
                <w:highlight w:val="none"/>
                <w:lang w:eastAsia="zh-CN"/>
              </w:rPr>
              <w:t>（以便核查）。</w:t>
            </w:r>
          </w:p>
          <w:p w14:paraId="214ED25A">
            <w:pPr>
              <w:pStyle w:val="17"/>
              <w:jc w:val="left"/>
              <w:rPr>
                <w:rFonts w:hint="eastAsia" w:hAnsi="宋体" w:cs="宋体"/>
                <w:color w:val="auto"/>
                <w:highlight w:val="none"/>
                <w:lang w:eastAsia="zh-CN"/>
              </w:rPr>
            </w:pPr>
            <w:r>
              <w:rPr>
                <w:rFonts w:hint="eastAsia" w:hAnsi="宋体" w:cs="宋体"/>
                <w:color w:val="auto"/>
                <w:highlight w:val="none"/>
                <w:lang w:eastAsia="zh-CN"/>
              </w:rPr>
              <w:t>4、未按</w:t>
            </w:r>
            <w:r>
              <w:rPr>
                <w:rFonts w:hint="eastAsia" w:hAnsi="宋体" w:cs="宋体"/>
                <w:color w:val="auto"/>
                <w:highlight w:val="none"/>
                <w:lang w:val="en-US" w:eastAsia="zh-CN"/>
              </w:rPr>
              <w:t>招标</w:t>
            </w:r>
            <w:r>
              <w:rPr>
                <w:rFonts w:hint="eastAsia" w:hAnsi="宋体" w:cs="宋体"/>
                <w:color w:val="auto"/>
                <w:highlight w:val="none"/>
                <w:lang w:eastAsia="zh-CN"/>
              </w:rPr>
              <w:t>文件要求提交</w:t>
            </w:r>
            <w:r>
              <w:rPr>
                <w:rFonts w:hint="eastAsia" w:hAnsi="宋体" w:cs="宋体"/>
                <w:color w:val="auto"/>
                <w:highlight w:val="none"/>
                <w:lang w:val="en-US" w:eastAsia="zh-CN"/>
              </w:rPr>
              <w:t>投标</w:t>
            </w:r>
            <w:r>
              <w:rPr>
                <w:rFonts w:hint="eastAsia" w:hAnsi="宋体" w:cs="宋体"/>
                <w:color w:val="auto"/>
                <w:highlight w:val="none"/>
                <w:lang w:eastAsia="zh-CN"/>
              </w:rPr>
              <w:t>保证金，或提交</w:t>
            </w:r>
            <w:r>
              <w:rPr>
                <w:rFonts w:hint="eastAsia" w:hAnsi="宋体" w:cs="宋体"/>
                <w:color w:val="auto"/>
                <w:highlight w:val="none"/>
                <w:lang w:val="en-US" w:eastAsia="zh-CN"/>
              </w:rPr>
              <w:t>投标</w:t>
            </w:r>
            <w:r>
              <w:rPr>
                <w:rFonts w:hint="eastAsia" w:hAnsi="宋体" w:cs="宋体"/>
                <w:color w:val="auto"/>
                <w:highlight w:val="none"/>
                <w:lang w:eastAsia="zh-CN"/>
              </w:rPr>
              <w:t>保证金的账户名称与供应商名称不一致，按照无效投标处理。</w:t>
            </w:r>
          </w:p>
          <w:p w14:paraId="0AE8BC1D">
            <w:pPr>
              <w:pStyle w:val="17"/>
              <w:jc w:val="left"/>
              <w:rPr>
                <w:rFonts w:hint="eastAsia" w:hAnsi="宋体" w:eastAsia="宋体" w:cs="宋体"/>
                <w:color w:val="auto"/>
                <w:highlight w:val="none"/>
                <w:lang w:eastAsia="zh-CN"/>
              </w:rPr>
            </w:pPr>
            <w:r>
              <w:rPr>
                <w:rFonts w:hint="eastAsia" w:hAnsi="宋体" w:cs="宋体"/>
                <w:color w:val="auto"/>
                <w:highlight w:val="none"/>
                <w:lang w:eastAsia="zh-CN"/>
              </w:rPr>
              <w:t>注：供应商应在电汇或转账凭证上明确用途、投标项目名称，并于提交响应文件截止时间前将电汇或转账凭证、基本账户信息（完整清晰）以电子档扫描发送到采购代理机构邮箱</w:t>
            </w:r>
            <w:r>
              <w:rPr>
                <w:rFonts w:hint="eastAsia" w:hAnsi="宋体" w:cs="宋体"/>
                <w:color w:val="0000FF"/>
                <w:highlight w:val="none"/>
                <w:lang w:val="en-US" w:eastAsia="zh-CN"/>
              </w:rPr>
              <w:t xml:space="preserve">  </w:t>
            </w:r>
            <w:r>
              <w:rPr>
                <w:rFonts w:hint="eastAsia" w:hAnsi="宋体" w:cs="宋体"/>
                <w:color w:val="auto"/>
                <w:highlight w:val="none"/>
                <w:lang w:eastAsia="zh-CN"/>
              </w:rPr>
              <w:t>@qq.com。</w:t>
            </w:r>
          </w:p>
        </w:tc>
      </w:tr>
      <w:tr w14:paraId="4E4AD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Align w:val="center"/>
          </w:tcPr>
          <w:p w14:paraId="2B0DBB4E">
            <w:pPr>
              <w:pStyle w:val="17"/>
              <w:jc w:val="center"/>
              <w:rPr>
                <w:rFonts w:hAnsi="宋体" w:cs="宋体"/>
                <w:color w:val="auto"/>
                <w:highlight w:val="none"/>
              </w:rPr>
            </w:pPr>
            <w:r>
              <w:rPr>
                <w:rFonts w:hint="eastAsia" w:hAnsi="宋体" w:cs="宋体"/>
                <w:color w:val="auto"/>
                <w:highlight w:val="none"/>
              </w:rPr>
              <w:t>15</w:t>
            </w:r>
          </w:p>
        </w:tc>
        <w:tc>
          <w:tcPr>
            <w:tcW w:w="2035" w:type="dxa"/>
            <w:vAlign w:val="center"/>
          </w:tcPr>
          <w:p w14:paraId="37FAEB42">
            <w:pPr>
              <w:pStyle w:val="17"/>
              <w:jc w:val="left"/>
              <w:rPr>
                <w:rFonts w:hAnsi="宋体" w:cs="宋体"/>
                <w:color w:val="auto"/>
                <w:highlight w:val="none"/>
              </w:rPr>
            </w:pPr>
            <w:r>
              <w:rPr>
                <w:rFonts w:hint="eastAsia" w:hAnsi="宋体" w:cs="宋体"/>
                <w:color w:val="auto"/>
                <w:highlight w:val="none"/>
              </w:rPr>
              <w:t>投标有效期</w:t>
            </w:r>
          </w:p>
        </w:tc>
        <w:tc>
          <w:tcPr>
            <w:tcW w:w="6284" w:type="dxa"/>
            <w:vAlign w:val="center"/>
          </w:tcPr>
          <w:p w14:paraId="2C8FBD3A">
            <w:pPr>
              <w:pStyle w:val="17"/>
              <w:jc w:val="left"/>
              <w:rPr>
                <w:rFonts w:hAnsi="宋体" w:cs="宋体"/>
                <w:color w:val="auto"/>
                <w:highlight w:val="none"/>
              </w:rPr>
            </w:pPr>
            <w:r>
              <w:rPr>
                <w:rFonts w:hint="eastAsia" w:hAnsi="宋体" w:cs="宋体"/>
                <w:color w:val="auto"/>
                <w:highlight w:val="none"/>
              </w:rPr>
              <w:t>自投标文件截止时间起</w:t>
            </w:r>
            <w:r>
              <w:rPr>
                <w:rFonts w:hint="eastAsia" w:hAnsi="宋体" w:cs="宋体"/>
                <w:color w:val="auto"/>
                <w:highlight w:val="none"/>
                <w:u w:val="single"/>
              </w:rPr>
              <w:t>90</w:t>
            </w:r>
            <w:r>
              <w:rPr>
                <w:rFonts w:hint="eastAsia" w:hAnsi="宋体" w:cs="宋体"/>
                <w:color w:val="auto"/>
                <w:highlight w:val="none"/>
              </w:rPr>
              <w:t>日(日历日)</w:t>
            </w:r>
          </w:p>
        </w:tc>
      </w:tr>
      <w:tr w14:paraId="4DBF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90" w:type="dxa"/>
            <w:vAlign w:val="center"/>
          </w:tcPr>
          <w:p w14:paraId="081B9FB2">
            <w:pPr>
              <w:pStyle w:val="17"/>
              <w:jc w:val="center"/>
              <w:rPr>
                <w:rFonts w:hAnsi="宋体" w:cs="宋体"/>
                <w:color w:val="auto"/>
                <w:highlight w:val="none"/>
              </w:rPr>
            </w:pPr>
            <w:r>
              <w:rPr>
                <w:rFonts w:hint="eastAsia" w:hAnsi="宋体" w:cs="宋体"/>
                <w:color w:val="auto"/>
                <w:highlight w:val="none"/>
              </w:rPr>
              <w:t>16</w:t>
            </w:r>
          </w:p>
        </w:tc>
        <w:tc>
          <w:tcPr>
            <w:tcW w:w="2035" w:type="dxa"/>
            <w:vAlign w:val="center"/>
          </w:tcPr>
          <w:p w14:paraId="55AABD90">
            <w:pPr>
              <w:pStyle w:val="17"/>
              <w:jc w:val="left"/>
              <w:rPr>
                <w:rFonts w:hAnsi="宋体" w:cs="宋体"/>
                <w:color w:val="auto"/>
                <w:highlight w:val="none"/>
              </w:rPr>
            </w:pPr>
            <w:r>
              <w:rPr>
                <w:rFonts w:hint="eastAsia" w:hAnsi="宋体" w:cs="宋体"/>
                <w:bCs/>
                <w:color w:val="auto"/>
                <w:highlight w:val="none"/>
              </w:rPr>
              <w:t>投标文件份数</w:t>
            </w:r>
          </w:p>
        </w:tc>
        <w:tc>
          <w:tcPr>
            <w:tcW w:w="6284" w:type="dxa"/>
            <w:vAlign w:val="center"/>
          </w:tcPr>
          <w:p w14:paraId="7DEB2A64">
            <w:pPr>
              <w:pStyle w:val="17"/>
              <w:jc w:val="left"/>
              <w:rPr>
                <w:rFonts w:hAnsi="宋体" w:cs="宋体"/>
                <w:color w:val="auto"/>
                <w:highlight w:val="none"/>
              </w:rPr>
            </w:pPr>
            <w:r>
              <w:rPr>
                <w:rFonts w:hint="eastAsia" w:hAnsi="宋体" w:cs="宋体"/>
                <w:color w:val="auto"/>
                <w:highlight w:val="none"/>
              </w:rPr>
              <w:t>正本1份</w:t>
            </w:r>
          </w:p>
          <w:p w14:paraId="60E18F17">
            <w:pPr>
              <w:pStyle w:val="17"/>
              <w:jc w:val="left"/>
              <w:rPr>
                <w:rFonts w:hAnsi="宋体" w:cs="宋体"/>
                <w:color w:val="auto"/>
                <w:highlight w:val="none"/>
              </w:rPr>
            </w:pPr>
            <w:r>
              <w:rPr>
                <w:rFonts w:hint="eastAsia" w:hAnsi="宋体" w:cs="宋体"/>
                <w:color w:val="auto"/>
                <w:highlight w:val="none"/>
              </w:rPr>
              <w:t>副本</w:t>
            </w:r>
            <w:r>
              <w:rPr>
                <w:rFonts w:hint="eastAsia" w:hAnsi="宋体" w:cs="宋体"/>
                <w:color w:val="auto"/>
                <w:highlight w:val="none"/>
                <w:lang w:val="en-US" w:eastAsia="zh-CN"/>
              </w:rPr>
              <w:t>2</w:t>
            </w:r>
            <w:r>
              <w:rPr>
                <w:rFonts w:hint="eastAsia" w:hAnsi="宋体" w:cs="宋体"/>
                <w:color w:val="auto"/>
                <w:highlight w:val="none"/>
              </w:rPr>
              <w:t>份</w:t>
            </w:r>
          </w:p>
          <w:p w14:paraId="27D86EC7">
            <w:pPr>
              <w:pStyle w:val="17"/>
              <w:jc w:val="left"/>
              <w:rPr>
                <w:rFonts w:hint="default" w:hAnsi="宋体" w:cs="宋体"/>
                <w:color w:val="auto"/>
                <w:highlight w:val="none"/>
                <w:lang w:val="en-US"/>
              </w:rPr>
            </w:pPr>
            <w:r>
              <w:rPr>
                <w:rFonts w:hint="eastAsia" w:hAnsi="宋体" w:cs="宋体"/>
                <w:color w:val="auto"/>
                <w:highlight w:val="none"/>
              </w:rPr>
              <w:t>电子文件2份(</w:t>
            </w:r>
            <w:r>
              <w:rPr>
                <w:rFonts w:hint="eastAsia" w:ascii="MS Mincho" w:hAnsi="MS Mincho" w:eastAsia="MS Mincho" w:cs="MS Mincho"/>
                <w:color w:val="auto"/>
                <w:highlight w:val="none"/>
              </w:rPr>
              <w:t>☑</w:t>
            </w:r>
            <w:r>
              <w:rPr>
                <w:rFonts w:hint="eastAsia" w:hAnsi="宋体" w:cs="宋体"/>
                <w:color w:val="auto"/>
                <w:highlight w:val="none"/>
              </w:rPr>
              <w:t>扫描件，</w:t>
            </w:r>
            <w:r>
              <w:rPr>
                <w:rFonts w:hint="eastAsia" w:ascii="MS Mincho" w:hAnsi="MS Mincho" w:eastAsia="MS Mincho" w:cs="MS Mincho"/>
                <w:color w:val="auto"/>
                <w:highlight w:val="none"/>
              </w:rPr>
              <w:t>☑</w:t>
            </w:r>
            <w:r>
              <w:rPr>
                <w:rFonts w:hint="eastAsia" w:hAnsi="宋体" w:cs="宋体"/>
                <w:color w:val="auto"/>
                <w:highlight w:val="none"/>
              </w:rPr>
              <w:t xml:space="preserve"> Word)</w:t>
            </w:r>
            <w:r>
              <w:rPr>
                <w:rFonts w:hint="eastAsia" w:hAnsi="宋体" w:cs="宋体"/>
                <w:color w:val="auto"/>
                <w:highlight w:val="none"/>
                <w:lang w:val="en-US" w:eastAsia="zh-CN"/>
              </w:rPr>
              <w:t>电子版可政采云打印版</w:t>
            </w:r>
          </w:p>
        </w:tc>
      </w:tr>
      <w:tr w14:paraId="0567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090" w:type="dxa"/>
            <w:vAlign w:val="center"/>
          </w:tcPr>
          <w:p w14:paraId="4631689D">
            <w:pPr>
              <w:pStyle w:val="17"/>
              <w:jc w:val="center"/>
              <w:rPr>
                <w:rFonts w:hAnsi="宋体" w:cs="宋体"/>
                <w:color w:val="auto"/>
                <w:highlight w:val="none"/>
              </w:rPr>
            </w:pPr>
            <w:r>
              <w:rPr>
                <w:rFonts w:hint="eastAsia" w:hAnsi="宋体" w:cs="宋体"/>
                <w:color w:val="auto"/>
                <w:highlight w:val="none"/>
              </w:rPr>
              <w:t>17</w:t>
            </w:r>
          </w:p>
        </w:tc>
        <w:tc>
          <w:tcPr>
            <w:tcW w:w="2035" w:type="dxa"/>
            <w:vAlign w:val="center"/>
          </w:tcPr>
          <w:p w14:paraId="6B5F5321">
            <w:pPr>
              <w:pStyle w:val="17"/>
              <w:jc w:val="left"/>
              <w:rPr>
                <w:rFonts w:hAnsi="宋体" w:cs="宋体"/>
                <w:color w:val="auto"/>
                <w:highlight w:val="none"/>
              </w:rPr>
            </w:pPr>
            <w:r>
              <w:rPr>
                <w:rFonts w:hint="eastAsia" w:hAnsi="宋体" w:cs="宋体"/>
                <w:color w:val="auto"/>
                <w:highlight w:val="none"/>
              </w:rPr>
              <w:t>封套上应载明的信息</w:t>
            </w:r>
          </w:p>
        </w:tc>
        <w:tc>
          <w:tcPr>
            <w:tcW w:w="6284" w:type="dxa"/>
            <w:vAlign w:val="center"/>
          </w:tcPr>
          <w:p w14:paraId="6D247EBC">
            <w:pPr>
              <w:pStyle w:val="17"/>
              <w:jc w:val="left"/>
              <w:rPr>
                <w:rFonts w:hAnsi="宋体" w:cs="宋体"/>
                <w:color w:val="auto"/>
                <w:highlight w:val="none"/>
              </w:rPr>
            </w:pPr>
            <w:r>
              <w:rPr>
                <w:rFonts w:hint="eastAsia" w:hAnsi="宋体" w:cs="宋体"/>
                <w:color w:val="auto"/>
                <w:highlight w:val="none"/>
              </w:rPr>
              <w:t>____________________(项目名称)投标文件</w:t>
            </w:r>
          </w:p>
          <w:p w14:paraId="70B91D26">
            <w:pPr>
              <w:pStyle w:val="17"/>
              <w:jc w:val="left"/>
              <w:rPr>
                <w:rFonts w:hAnsi="宋体" w:cs="宋体"/>
                <w:color w:val="auto"/>
                <w:highlight w:val="none"/>
              </w:rPr>
            </w:pPr>
            <w:r>
              <w:rPr>
                <w:rFonts w:hint="eastAsia" w:hAnsi="宋体" w:cs="宋体"/>
                <w:color w:val="auto"/>
                <w:highlight w:val="none"/>
              </w:rPr>
              <w:t>项目编号：____________________</w:t>
            </w:r>
          </w:p>
          <w:p w14:paraId="66AD1B52">
            <w:pPr>
              <w:pStyle w:val="17"/>
              <w:jc w:val="left"/>
              <w:rPr>
                <w:rFonts w:hAnsi="宋体" w:cs="宋体"/>
                <w:color w:val="auto"/>
                <w:highlight w:val="none"/>
              </w:rPr>
            </w:pPr>
            <w:r>
              <w:rPr>
                <w:rFonts w:hint="eastAsia" w:hAnsi="宋体" w:cs="宋体"/>
                <w:color w:val="auto"/>
                <w:highlight w:val="none"/>
              </w:rPr>
              <w:t>在______年____月____日____时____分之前不得启封</w:t>
            </w:r>
          </w:p>
          <w:p w14:paraId="1737FD5E">
            <w:pPr>
              <w:pStyle w:val="17"/>
              <w:jc w:val="left"/>
              <w:rPr>
                <w:rFonts w:hAnsi="宋体" w:cs="宋体"/>
                <w:color w:val="auto"/>
                <w:highlight w:val="none"/>
              </w:rPr>
            </w:pPr>
            <w:r>
              <w:rPr>
                <w:rFonts w:hint="eastAsia" w:hAnsi="宋体" w:cs="宋体"/>
                <w:color w:val="auto"/>
                <w:highlight w:val="none"/>
              </w:rPr>
              <w:t>投标人名称：____________________</w:t>
            </w:r>
          </w:p>
          <w:p w14:paraId="08AE798F">
            <w:pPr>
              <w:pStyle w:val="17"/>
              <w:jc w:val="left"/>
              <w:rPr>
                <w:rFonts w:hAnsi="宋体" w:cs="宋体"/>
                <w:color w:val="auto"/>
                <w:highlight w:val="none"/>
              </w:rPr>
            </w:pPr>
            <w:r>
              <w:rPr>
                <w:rFonts w:hint="eastAsia" w:hAnsi="宋体" w:cs="宋体"/>
                <w:color w:val="auto"/>
                <w:highlight w:val="none"/>
              </w:rPr>
              <w:t>其他____________________</w:t>
            </w:r>
          </w:p>
        </w:tc>
      </w:tr>
      <w:tr w14:paraId="4EC0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090" w:type="dxa"/>
            <w:vAlign w:val="center"/>
          </w:tcPr>
          <w:p w14:paraId="033C3CD3">
            <w:pPr>
              <w:pStyle w:val="17"/>
              <w:jc w:val="center"/>
              <w:rPr>
                <w:rFonts w:hAnsi="宋体" w:cs="宋体"/>
                <w:color w:val="auto"/>
                <w:highlight w:val="none"/>
              </w:rPr>
            </w:pPr>
            <w:r>
              <w:rPr>
                <w:rFonts w:hint="eastAsia" w:hAnsi="宋体" w:cs="宋体"/>
                <w:color w:val="auto"/>
                <w:highlight w:val="none"/>
              </w:rPr>
              <w:t>18</w:t>
            </w:r>
          </w:p>
        </w:tc>
        <w:tc>
          <w:tcPr>
            <w:tcW w:w="2035" w:type="dxa"/>
            <w:vAlign w:val="center"/>
          </w:tcPr>
          <w:p w14:paraId="02397F8C">
            <w:pPr>
              <w:pStyle w:val="17"/>
              <w:jc w:val="left"/>
              <w:rPr>
                <w:rFonts w:hAnsi="宋体" w:cs="宋体"/>
                <w:color w:val="auto"/>
                <w:highlight w:val="none"/>
              </w:rPr>
            </w:pPr>
            <w:r>
              <w:rPr>
                <w:rFonts w:hint="eastAsia" w:hAnsi="宋体" w:cs="宋体"/>
                <w:color w:val="auto"/>
                <w:highlight w:val="none"/>
              </w:rPr>
              <w:t>信用查询</w:t>
            </w:r>
          </w:p>
        </w:tc>
        <w:tc>
          <w:tcPr>
            <w:tcW w:w="6284" w:type="dxa"/>
            <w:vAlign w:val="center"/>
          </w:tcPr>
          <w:p w14:paraId="2A13F28F">
            <w:pPr>
              <w:pStyle w:val="17"/>
              <w:jc w:val="left"/>
              <w:rPr>
                <w:rFonts w:hAnsi="宋体" w:cs="宋体"/>
                <w:color w:val="auto"/>
                <w:highlight w:val="none"/>
              </w:rPr>
            </w:pPr>
            <w:r>
              <w:rPr>
                <w:rFonts w:hint="eastAsia" w:hAnsi="宋体" w:cs="宋体"/>
                <w:color w:val="auto"/>
                <w:highlight w:val="none"/>
              </w:rPr>
              <w:t>采购人或采购代理机构将通过“信用中国”网站</w:t>
            </w:r>
            <w:r>
              <w:rPr>
                <w:rFonts w:hAnsi="宋体" w:cs="宋体"/>
                <w:color w:val="auto"/>
                <w:highlight w:val="none"/>
              </w:rPr>
              <w:t>(www.creditchina.gov.cn)、中国政府采购网(www.ccgp.gov.cn)查询相关主体信用记录。本次查询的信用记录打印的网页版将留存在评标报告中。</w:t>
            </w:r>
          </w:p>
        </w:tc>
      </w:tr>
      <w:tr w14:paraId="176C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90" w:type="dxa"/>
            <w:vAlign w:val="center"/>
          </w:tcPr>
          <w:p w14:paraId="03E6233C">
            <w:pPr>
              <w:pStyle w:val="17"/>
              <w:jc w:val="center"/>
              <w:rPr>
                <w:rFonts w:hAnsi="宋体" w:cs="宋体"/>
                <w:color w:val="auto"/>
                <w:highlight w:val="none"/>
              </w:rPr>
            </w:pPr>
            <w:r>
              <w:rPr>
                <w:rFonts w:hint="eastAsia" w:hAnsi="宋体" w:cs="宋体"/>
                <w:color w:val="auto"/>
                <w:highlight w:val="none"/>
              </w:rPr>
              <w:t>19</w:t>
            </w:r>
          </w:p>
        </w:tc>
        <w:tc>
          <w:tcPr>
            <w:tcW w:w="2035" w:type="dxa"/>
            <w:vAlign w:val="center"/>
          </w:tcPr>
          <w:p w14:paraId="4113C441">
            <w:pPr>
              <w:pStyle w:val="17"/>
              <w:jc w:val="left"/>
              <w:rPr>
                <w:rFonts w:hAnsi="宋体" w:cs="宋体"/>
                <w:color w:val="auto"/>
                <w:highlight w:val="none"/>
              </w:rPr>
            </w:pPr>
            <w:r>
              <w:rPr>
                <w:rFonts w:hint="eastAsia" w:hAnsi="宋体" w:cs="宋体"/>
                <w:color w:val="auto"/>
                <w:highlight w:val="none"/>
              </w:rPr>
              <w:t>评标原则</w:t>
            </w:r>
          </w:p>
        </w:tc>
        <w:tc>
          <w:tcPr>
            <w:tcW w:w="6284" w:type="dxa"/>
            <w:vAlign w:val="center"/>
          </w:tcPr>
          <w:p w14:paraId="7DB0FCF0">
            <w:pPr>
              <w:pStyle w:val="17"/>
              <w:jc w:val="left"/>
              <w:rPr>
                <w:rFonts w:hAnsi="宋体" w:cs="宋体"/>
                <w:color w:val="auto"/>
                <w:highlight w:val="none"/>
              </w:rPr>
            </w:pPr>
            <w:r>
              <w:rPr>
                <w:rFonts w:hint="eastAsia" w:hAnsi="宋体" w:cs="宋体"/>
                <w:color w:val="auto"/>
                <w:highlight w:val="none"/>
              </w:rPr>
              <w:t>“综合评分法，投标文件满足招标文件全部实质性要求，且按照评审因素的量化指标评审得分排名最高的投标人为中标候选人的评标方法。</w:t>
            </w:r>
          </w:p>
        </w:tc>
      </w:tr>
      <w:tr w14:paraId="7AD6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90" w:type="dxa"/>
            <w:vAlign w:val="center"/>
          </w:tcPr>
          <w:p w14:paraId="6F5E8494">
            <w:pPr>
              <w:pStyle w:val="17"/>
              <w:jc w:val="center"/>
              <w:rPr>
                <w:rFonts w:hAnsi="宋体" w:cs="宋体"/>
                <w:color w:val="auto"/>
                <w:highlight w:val="none"/>
              </w:rPr>
            </w:pPr>
            <w:r>
              <w:rPr>
                <w:rFonts w:hint="eastAsia" w:hAnsi="宋体" w:cs="宋体"/>
                <w:color w:val="auto"/>
                <w:highlight w:val="none"/>
              </w:rPr>
              <w:t>20</w:t>
            </w:r>
          </w:p>
        </w:tc>
        <w:tc>
          <w:tcPr>
            <w:tcW w:w="2035" w:type="dxa"/>
            <w:vAlign w:val="center"/>
          </w:tcPr>
          <w:p w14:paraId="0EC22503">
            <w:pPr>
              <w:pStyle w:val="17"/>
              <w:jc w:val="left"/>
              <w:rPr>
                <w:rFonts w:ascii="Times New Roman" w:hAnsi="Times New Roman" w:cs="Times New Roman"/>
                <w:color w:val="auto"/>
                <w:highlight w:val="none"/>
              </w:rPr>
            </w:pPr>
            <w:r>
              <w:rPr>
                <w:rFonts w:hint="eastAsia" w:ascii="Times New Roman" w:hAnsi="Times New Roman" w:cs="Times New Roman"/>
                <w:color w:val="auto"/>
                <w:highlight w:val="none"/>
              </w:rPr>
              <w:t>定标原则</w:t>
            </w:r>
          </w:p>
        </w:tc>
        <w:tc>
          <w:tcPr>
            <w:tcW w:w="6284" w:type="dxa"/>
            <w:vAlign w:val="center"/>
          </w:tcPr>
          <w:p w14:paraId="57BED0D5">
            <w:pPr>
              <w:pStyle w:val="17"/>
              <w:jc w:val="left"/>
              <w:rPr>
                <w:rFonts w:hAnsi="宋体" w:cs="宋体"/>
                <w:color w:val="auto"/>
                <w:highlight w:val="none"/>
              </w:rPr>
            </w:pPr>
            <w:r>
              <w:rPr>
                <w:rFonts w:hAnsi="宋体" w:cs="宋体"/>
                <w:color w:val="auto"/>
                <w:highlight w:val="none"/>
              </w:rPr>
              <w:t>1.</w:t>
            </w:r>
            <w:r>
              <w:rPr>
                <w:rFonts w:hint="eastAsia" w:hAnsi="宋体" w:cs="宋体"/>
                <w:color w:val="auto"/>
                <w:highlight w:val="none"/>
              </w:rPr>
              <w:t>采购人在评标报告确定的中标候选人名单中按顺序确定中标人。</w:t>
            </w:r>
          </w:p>
          <w:p w14:paraId="5B650E05">
            <w:pPr>
              <w:pStyle w:val="17"/>
              <w:jc w:val="left"/>
              <w:rPr>
                <w:rFonts w:hAnsi="宋体" w:cs="宋体"/>
                <w:color w:val="auto"/>
                <w:highlight w:val="none"/>
              </w:rPr>
            </w:pPr>
            <w:r>
              <w:rPr>
                <w:rFonts w:hAnsi="宋体" w:cs="宋体"/>
                <w:color w:val="auto"/>
                <w:highlight w:val="none"/>
              </w:rPr>
              <w:t>2.</w:t>
            </w:r>
            <w:r>
              <w:rPr>
                <w:rFonts w:hint="eastAsia" w:hAnsi="宋体" w:cs="宋体"/>
                <w:color w:val="auto"/>
                <w:highlight w:val="none"/>
              </w:rPr>
              <w:t>中标候选人并列的，由采购人自行选择。</w:t>
            </w:r>
          </w:p>
        </w:tc>
      </w:tr>
      <w:tr w14:paraId="26BF6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90" w:type="dxa"/>
            <w:vAlign w:val="center"/>
          </w:tcPr>
          <w:p w14:paraId="4EA55FF8">
            <w:pPr>
              <w:pStyle w:val="17"/>
              <w:jc w:val="center"/>
              <w:rPr>
                <w:rFonts w:hAnsi="宋体" w:cs="宋体"/>
                <w:color w:val="auto"/>
                <w:highlight w:val="none"/>
              </w:rPr>
            </w:pPr>
            <w:r>
              <w:rPr>
                <w:rFonts w:hint="eastAsia" w:hAnsi="宋体" w:cs="宋体"/>
                <w:color w:val="auto"/>
                <w:highlight w:val="none"/>
              </w:rPr>
              <w:t>21</w:t>
            </w:r>
          </w:p>
        </w:tc>
        <w:tc>
          <w:tcPr>
            <w:tcW w:w="2035" w:type="dxa"/>
            <w:vAlign w:val="center"/>
          </w:tcPr>
          <w:p w14:paraId="4DACD30B">
            <w:pPr>
              <w:pStyle w:val="17"/>
              <w:jc w:val="left"/>
              <w:rPr>
                <w:rFonts w:hAnsi="宋体" w:cs="宋体"/>
                <w:color w:val="auto"/>
                <w:highlight w:val="none"/>
              </w:rPr>
            </w:pPr>
            <w:r>
              <w:rPr>
                <w:rFonts w:hint="eastAsia" w:ascii="Times New Roman" w:hAnsi="Times New Roman" w:cs="Times New Roman"/>
                <w:color w:val="auto"/>
                <w:highlight w:val="none"/>
              </w:rPr>
              <w:t>项目服务期限</w:t>
            </w:r>
          </w:p>
        </w:tc>
        <w:tc>
          <w:tcPr>
            <w:tcW w:w="6284" w:type="dxa"/>
            <w:vAlign w:val="center"/>
          </w:tcPr>
          <w:p w14:paraId="64197670">
            <w:pPr>
              <w:pStyle w:val="17"/>
              <w:jc w:val="left"/>
              <w:rPr>
                <w:rFonts w:hAnsi="宋体" w:cs="宋体"/>
                <w:color w:val="auto"/>
                <w:highlight w:val="none"/>
              </w:rPr>
            </w:pPr>
            <w:r>
              <w:rPr>
                <w:rFonts w:hint="eastAsia" w:ascii="宋体" w:hAnsi="宋体" w:eastAsia="宋体" w:cs="宋体"/>
                <w:color w:val="auto"/>
                <w:szCs w:val="21"/>
                <w:highlight w:val="none"/>
                <w:lang w:eastAsia="zh-CN"/>
              </w:rPr>
              <w:t>自</w:t>
            </w:r>
            <w:r>
              <w:rPr>
                <w:rFonts w:hint="eastAsia" w:ascii="宋体" w:hAnsi="宋体" w:eastAsia="宋体" w:cs="宋体"/>
                <w:color w:val="auto"/>
                <w:szCs w:val="21"/>
                <w:highlight w:val="none"/>
                <w:lang w:val="en-US" w:eastAsia="zh-CN"/>
              </w:rPr>
              <w:t>合同签订之日</w:t>
            </w:r>
            <w:r>
              <w:rPr>
                <w:rFonts w:hint="eastAsia" w:ascii="宋体" w:hAnsi="宋体" w:eastAsia="宋体" w:cs="宋体"/>
                <w:color w:val="auto"/>
                <w:szCs w:val="21"/>
                <w:highlight w:val="none"/>
                <w:lang w:eastAsia="zh-CN"/>
              </w:rPr>
              <w:t>起至2027年12月31日止</w:t>
            </w:r>
          </w:p>
        </w:tc>
      </w:tr>
      <w:tr w14:paraId="5401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90" w:type="dxa"/>
            <w:vAlign w:val="center"/>
          </w:tcPr>
          <w:p w14:paraId="11EAC2DD">
            <w:pPr>
              <w:pStyle w:val="17"/>
              <w:jc w:val="center"/>
              <w:rPr>
                <w:rFonts w:hAnsi="宋体" w:cs="宋体"/>
                <w:color w:val="auto"/>
                <w:highlight w:val="none"/>
              </w:rPr>
            </w:pPr>
            <w:r>
              <w:rPr>
                <w:rFonts w:hint="eastAsia" w:hAnsi="宋体" w:cs="宋体"/>
                <w:color w:val="auto"/>
                <w:highlight w:val="none"/>
              </w:rPr>
              <w:t>22</w:t>
            </w:r>
          </w:p>
        </w:tc>
        <w:tc>
          <w:tcPr>
            <w:tcW w:w="2035" w:type="dxa"/>
            <w:vAlign w:val="center"/>
          </w:tcPr>
          <w:p w14:paraId="7F2D91D0">
            <w:pPr>
              <w:pStyle w:val="17"/>
              <w:jc w:val="left"/>
              <w:rPr>
                <w:rFonts w:hAnsi="宋体" w:cs="宋体"/>
                <w:color w:val="auto"/>
                <w:highlight w:val="none"/>
              </w:rPr>
            </w:pPr>
            <w:r>
              <w:rPr>
                <w:rFonts w:hint="eastAsia" w:ascii="Times New Roman" w:hAnsi="Times New Roman" w:cs="Times New Roman"/>
                <w:color w:val="auto"/>
                <w:highlight w:val="none"/>
              </w:rPr>
              <w:t>采购资金的支付方式及时间</w:t>
            </w:r>
          </w:p>
        </w:tc>
        <w:tc>
          <w:tcPr>
            <w:tcW w:w="6284" w:type="dxa"/>
            <w:vAlign w:val="center"/>
          </w:tcPr>
          <w:p w14:paraId="6D7FE8B4">
            <w:pPr>
              <w:pStyle w:val="17"/>
              <w:jc w:val="left"/>
              <w:rPr>
                <w:rFonts w:hint="eastAsia" w:hAnsi="宋体" w:eastAsia="宋体" w:cs="宋体"/>
                <w:color w:val="auto"/>
                <w:highlight w:val="none"/>
                <w:lang w:eastAsia="zh-CN"/>
              </w:rPr>
            </w:pPr>
            <w:r>
              <w:rPr>
                <w:rFonts w:hint="eastAsia" w:hAnsi="宋体"/>
                <w:color w:val="auto"/>
                <w:highlight w:val="none"/>
                <w:lang w:eastAsia="zh-CN"/>
              </w:rPr>
              <w:t>按实际合同约定执行</w:t>
            </w:r>
          </w:p>
        </w:tc>
      </w:tr>
      <w:tr w14:paraId="61A6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90" w:type="dxa"/>
            <w:vAlign w:val="center"/>
          </w:tcPr>
          <w:p w14:paraId="6DB3EC55">
            <w:pPr>
              <w:pStyle w:val="17"/>
              <w:jc w:val="center"/>
              <w:rPr>
                <w:rFonts w:hAnsi="宋体" w:cs="宋体"/>
                <w:color w:val="auto"/>
                <w:highlight w:val="none"/>
              </w:rPr>
            </w:pPr>
            <w:r>
              <w:rPr>
                <w:rFonts w:hint="eastAsia" w:hAnsi="宋体" w:cs="宋体"/>
                <w:color w:val="auto"/>
                <w:highlight w:val="none"/>
              </w:rPr>
              <w:t>23</w:t>
            </w:r>
          </w:p>
        </w:tc>
        <w:tc>
          <w:tcPr>
            <w:tcW w:w="2035" w:type="dxa"/>
            <w:vAlign w:val="center"/>
          </w:tcPr>
          <w:p w14:paraId="5E5C081F">
            <w:pPr>
              <w:pStyle w:val="17"/>
              <w:jc w:val="left"/>
              <w:rPr>
                <w:rFonts w:hAnsi="宋体" w:cs="宋体"/>
                <w:color w:val="auto"/>
                <w:highlight w:val="none"/>
              </w:rPr>
            </w:pPr>
            <w:r>
              <w:rPr>
                <w:rFonts w:hint="eastAsia" w:ascii="Times New Roman" w:hAnsi="Times New Roman" w:cs="Times New Roman"/>
                <w:color w:val="auto"/>
                <w:highlight w:val="none"/>
              </w:rPr>
              <w:t>履约保证金</w:t>
            </w:r>
          </w:p>
        </w:tc>
        <w:tc>
          <w:tcPr>
            <w:tcW w:w="6284" w:type="dxa"/>
            <w:vAlign w:val="center"/>
          </w:tcPr>
          <w:p w14:paraId="370FC19F">
            <w:pPr>
              <w:pStyle w:val="17"/>
              <w:jc w:val="left"/>
              <w:rPr>
                <w:rFonts w:hAnsi="宋体" w:cs="宋体"/>
                <w:color w:val="auto"/>
                <w:highlight w:val="none"/>
              </w:rPr>
            </w:pPr>
            <w:r>
              <w:rPr>
                <w:rFonts w:hint="eastAsia" w:ascii="MS Mincho" w:hAnsi="MS Mincho" w:eastAsia="MS Mincho" w:cs="MS Mincho"/>
                <w:color w:val="auto"/>
                <w:highlight w:val="none"/>
              </w:rPr>
              <w:t>☑</w:t>
            </w:r>
            <w:r>
              <w:rPr>
                <w:rFonts w:hint="eastAsia" w:hAnsi="宋体" w:cs="宋体"/>
                <w:color w:val="auto"/>
                <w:highlight w:val="none"/>
              </w:rPr>
              <w:t>不要求提供</w:t>
            </w:r>
          </w:p>
        </w:tc>
      </w:tr>
      <w:tr w14:paraId="58D8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Align w:val="center"/>
          </w:tcPr>
          <w:p w14:paraId="17E32D00">
            <w:pPr>
              <w:pStyle w:val="17"/>
              <w:jc w:val="center"/>
              <w:rPr>
                <w:rFonts w:hAnsi="宋体" w:cs="宋体"/>
                <w:color w:val="auto"/>
                <w:highlight w:val="none"/>
              </w:rPr>
            </w:pPr>
            <w:r>
              <w:rPr>
                <w:rFonts w:hint="eastAsia" w:hAnsi="宋体" w:cs="宋体"/>
                <w:color w:val="auto"/>
                <w:highlight w:val="none"/>
              </w:rPr>
              <w:t>24</w:t>
            </w:r>
          </w:p>
        </w:tc>
        <w:tc>
          <w:tcPr>
            <w:tcW w:w="2035" w:type="dxa"/>
            <w:vAlign w:val="center"/>
          </w:tcPr>
          <w:p w14:paraId="6EAC8929">
            <w:pPr>
              <w:pStyle w:val="17"/>
              <w:jc w:val="left"/>
              <w:rPr>
                <w:rFonts w:hAnsi="宋体" w:cs="宋体"/>
                <w:color w:val="auto"/>
                <w:highlight w:val="none"/>
              </w:rPr>
            </w:pPr>
            <w:r>
              <w:rPr>
                <w:rFonts w:hint="eastAsia" w:hAnsi="宋体" w:cs="宋体"/>
                <w:color w:val="auto"/>
                <w:highlight w:val="none"/>
              </w:rPr>
              <w:t>招标代理服务费</w:t>
            </w:r>
          </w:p>
        </w:tc>
        <w:tc>
          <w:tcPr>
            <w:tcW w:w="6284" w:type="dxa"/>
            <w:vAlign w:val="center"/>
          </w:tcPr>
          <w:p w14:paraId="2EBEBD54">
            <w:pPr>
              <w:pStyle w:val="17"/>
              <w:jc w:val="left"/>
              <w:rPr>
                <w:rFonts w:hAnsi="宋体" w:cs="宋体"/>
                <w:color w:val="auto"/>
                <w:highlight w:val="none"/>
              </w:rPr>
            </w:pPr>
            <w:r>
              <w:rPr>
                <w:rFonts w:hint="eastAsia" w:ascii="宋体" w:hAnsi="宋体" w:eastAsia="宋体" w:cs="宋体"/>
                <w:color w:val="auto"/>
                <w:highlight w:val="none"/>
                <w:lang w:val="zh-CN"/>
              </w:rPr>
              <w:t>招标代理服务费参照国家计委计价格[2002]1980号文件及国家发改委发改办价格[2003]857号文件</w:t>
            </w:r>
            <w:r>
              <w:rPr>
                <w:rFonts w:hint="eastAsia" w:ascii="宋体" w:hAnsi="宋体" w:eastAsia="宋体" w:cs="宋体"/>
                <w:color w:val="auto"/>
                <w:highlight w:val="none"/>
                <w:lang w:val="en-US" w:eastAsia="zh-CN"/>
              </w:rPr>
              <w:t>及</w:t>
            </w:r>
            <w:r>
              <w:rPr>
                <w:rFonts w:hint="eastAsia" w:ascii="宋体" w:hAnsi="宋体" w:eastAsia="宋体" w:cs="宋体"/>
                <w:color w:val="auto"/>
                <w:highlight w:val="none"/>
                <w:lang w:eastAsia="zh-CN"/>
              </w:rPr>
              <w:t>国家发改委发改价格[2015]299号文件</w:t>
            </w:r>
            <w:r>
              <w:rPr>
                <w:rFonts w:hint="eastAsia" w:ascii="宋体" w:hAnsi="宋体" w:eastAsia="宋体" w:cs="宋体"/>
                <w:color w:val="auto"/>
                <w:highlight w:val="none"/>
                <w:lang w:val="zh-CN"/>
              </w:rPr>
              <w:t>规定，向中标人收取招标代理服务费。</w:t>
            </w:r>
          </w:p>
        </w:tc>
      </w:tr>
      <w:tr w14:paraId="2A8D5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Align w:val="center"/>
          </w:tcPr>
          <w:p w14:paraId="3EA7AC4F">
            <w:pPr>
              <w:pStyle w:val="17"/>
              <w:jc w:val="center"/>
              <w:rPr>
                <w:rFonts w:hint="default" w:hAnsi="宋体" w:eastAsia="宋体" w:cs="宋体"/>
                <w:color w:val="auto"/>
                <w:highlight w:val="none"/>
                <w:lang w:val="en-US" w:eastAsia="zh-CN"/>
              </w:rPr>
            </w:pPr>
            <w:r>
              <w:rPr>
                <w:rFonts w:hint="eastAsia" w:hAnsi="宋体" w:cs="宋体"/>
                <w:color w:val="auto"/>
                <w:highlight w:val="none"/>
                <w:lang w:val="en-US" w:eastAsia="zh-CN"/>
              </w:rPr>
              <w:t>25</w:t>
            </w:r>
          </w:p>
        </w:tc>
        <w:tc>
          <w:tcPr>
            <w:tcW w:w="2035" w:type="dxa"/>
            <w:vAlign w:val="center"/>
          </w:tcPr>
          <w:p w14:paraId="53CE3BE9">
            <w:pPr>
              <w:pStyle w:val="17"/>
              <w:jc w:val="left"/>
              <w:rPr>
                <w:rFonts w:hint="eastAsia" w:hAnsi="宋体" w:eastAsia="宋体" w:cs="宋体"/>
                <w:color w:val="auto"/>
                <w:highlight w:val="none"/>
                <w:lang w:eastAsia="zh-CN"/>
              </w:rPr>
            </w:pPr>
            <w:r>
              <w:rPr>
                <w:rFonts w:hint="eastAsia" w:hAnsi="宋体" w:cs="宋体"/>
                <w:color w:val="auto"/>
                <w:highlight w:val="none"/>
                <w:lang w:eastAsia="zh-CN"/>
              </w:rPr>
              <w:t>其他</w:t>
            </w:r>
          </w:p>
        </w:tc>
        <w:tc>
          <w:tcPr>
            <w:tcW w:w="6284" w:type="dxa"/>
            <w:vAlign w:val="center"/>
          </w:tcPr>
          <w:p w14:paraId="10E2E875">
            <w:pPr>
              <w:pStyle w:val="17"/>
              <w:ind w:right="386" w:rightChars="184"/>
              <w:jc w:val="left"/>
              <w:rPr>
                <w:rFonts w:hint="eastAsia" w:hAnsi="宋体" w:cs="宋体"/>
                <w:color w:val="auto"/>
                <w:highlight w:val="none"/>
                <w:lang w:val="zh-CN"/>
              </w:rPr>
            </w:pPr>
            <w:r>
              <w:rPr>
                <w:rFonts w:hint="eastAsia" w:hAnsi="宋体" w:cs="宋体"/>
                <w:color w:val="auto"/>
                <w:highlight w:val="none"/>
                <w:lang w:val="zh-CN"/>
              </w:rPr>
              <w:t>本项目可兼投不可兼中，即潜在投标人可同时报名参加本采购项目一标段二标段，评标委员会评审顺序为依次评审一标段、二标段，一标段中标人不参与二标段评审。</w:t>
            </w:r>
          </w:p>
        </w:tc>
      </w:tr>
      <w:tr w14:paraId="2596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Align w:val="center"/>
          </w:tcPr>
          <w:p w14:paraId="4942F445">
            <w:pPr>
              <w:pStyle w:val="17"/>
              <w:jc w:val="center"/>
              <w:rPr>
                <w:rFonts w:hint="default" w:hAnsi="宋体" w:cs="宋体"/>
                <w:color w:val="auto"/>
                <w:highlight w:val="none"/>
                <w:lang w:val="en-US" w:eastAsia="zh-CN"/>
              </w:rPr>
            </w:pPr>
            <w:r>
              <w:rPr>
                <w:rFonts w:hint="eastAsia" w:hAnsi="宋体" w:cs="宋体"/>
                <w:color w:val="auto"/>
                <w:highlight w:val="none"/>
                <w:lang w:val="en-US" w:eastAsia="zh-CN"/>
              </w:rPr>
              <w:t>26</w:t>
            </w:r>
          </w:p>
        </w:tc>
        <w:tc>
          <w:tcPr>
            <w:tcW w:w="2035" w:type="dxa"/>
            <w:vAlign w:val="top"/>
          </w:tcPr>
          <w:p w14:paraId="4DBCC164">
            <w:pPr>
              <w:pStyle w:val="68"/>
              <w:spacing w:before="300" w:line="360" w:lineRule="auto"/>
              <w:ind w:left="129" w:lef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供应商代表出席开标会</w:t>
            </w:r>
          </w:p>
        </w:tc>
        <w:tc>
          <w:tcPr>
            <w:tcW w:w="6284" w:type="dxa"/>
            <w:vAlign w:val="center"/>
          </w:tcPr>
          <w:p w14:paraId="7CFA5483">
            <w:pPr>
              <w:pStyle w:val="68"/>
              <w:spacing w:before="144" w:line="360" w:lineRule="auto"/>
              <w:ind w:left="114" w:leftChars="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本项目采取网上招标、网上投标、CA锁可以远程解密的方式进行；在开标当天，供应商拟派代表务必于开标前提前进入政采云平台开标大厅，迟到者将按无效投标处理。纸质文件同时递交开标地点。</w:t>
            </w:r>
          </w:p>
        </w:tc>
      </w:tr>
      <w:tr w14:paraId="2C68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0" w:type="dxa"/>
            <w:vAlign w:val="center"/>
          </w:tcPr>
          <w:p w14:paraId="4FFFF2CA">
            <w:pPr>
              <w:pStyle w:val="17"/>
              <w:jc w:val="center"/>
              <w:rPr>
                <w:rFonts w:hint="default" w:hAnsi="宋体" w:cs="宋体"/>
                <w:color w:val="auto"/>
                <w:highlight w:val="none"/>
                <w:lang w:val="en-US" w:eastAsia="zh-CN"/>
              </w:rPr>
            </w:pPr>
            <w:r>
              <w:rPr>
                <w:rFonts w:hint="eastAsia" w:hAnsi="宋体" w:cs="宋体"/>
                <w:color w:val="auto"/>
                <w:highlight w:val="none"/>
                <w:lang w:val="en-US" w:eastAsia="zh-CN"/>
              </w:rPr>
              <w:t>27</w:t>
            </w:r>
          </w:p>
        </w:tc>
        <w:tc>
          <w:tcPr>
            <w:tcW w:w="2035" w:type="dxa"/>
            <w:vAlign w:val="top"/>
          </w:tcPr>
          <w:p w14:paraId="274F750B">
            <w:pPr>
              <w:pStyle w:val="68"/>
              <w:spacing w:before="300" w:line="360" w:lineRule="auto"/>
              <w:ind w:left="129" w:leftChars="0"/>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本项目所属行业</w:t>
            </w:r>
          </w:p>
        </w:tc>
        <w:tc>
          <w:tcPr>
            <w:tcW w:w="6284" w:type="dxa"/>
            <w:vAlign w:val="center"/>
          </w:tcPr>
          <w:p w14:paraId="212DD97E">
            <w:pPr>
              <w:pStyle w:val="68"/>
              <w:spacing w:before="144" w:line="360" w:lineRule="auto"/>
              <w:ind w:left="114" w:leftChars="0"/>
              <w:jc w:val="left"/>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其他未列明行业</w:t>
            </w:r>
          </w:p>
        </w:tc>
      </w:tr>
      <w:tr w14:paraId="1F47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9" w:type="dxa"/>
            <w:gridSpan w:val="3"/>
            <w:vAlign w:val="center"/>
          </w:tcPr>
          <w:p w14:paraId="4E04A9FC">
            <w:pPr>
              <w:pStyle w:val="68"/>
              <w:spacing w:before="144" w:line="360" w:lineRule="auto"/>
              <w:ind w:left="114" w:leftChars="0"/>
              <w:jc w:val="left"/>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招标文件与招标公告不符以招标文件为准。</w:t>
            </w:r>
          </w:p>
        </w:tc>
      </w:tr>
    </w:tbl>
    <w:p w14:paraId="3858AF74">
      <w:pPr>
        <w:rPr>
          <w:rFonts w:ascii="Times New Roman" w:hAnsi="Times New Roman" w:cs="Times New Roman"/>
          <w:color w:val="auto"/>
          <w:highlight w:val="none"/>
        </w:rPr>
      </w:pPr>
      <w:r>
        <w:rPr>
          <w:rFonts w:ascii="Times New Roman" w:hAnsi="Times New Roman" w:cs="Times New Roman"/>
          <w:color w:val="auto"/>
          <w:highlight w:val="none"/>
        </w:rPr>
        <w:br w:type="page"/>
      </w:r>
    </w:p>
    <w:p w14:paraId="35F34683">
      <w:pPr>
        <w:pStyle w:val="4"/>
        <w:jc w:val="center"/>
        <w:rPr>
          <w:color w:val="auto"/>
          <w:sz w:val="24"/>
          <w:szCs w:val="24"/>
          <w:highlight w:val="none"/>
        </w:rPr>
      </w:pPr>
      <w:bookmarkStart w:id="42" w:name="_Toc57294096"/>
      <w:bookmarkStart w:id="43" w:name="_Toc57294207"/>
      <w:r>
        <w:rPr>
          <w:rFonts w:hint="eastAsia"/>
          <w:color w:val="auto"/>
          <w:sz w:val="24"/>
          <w:szCs w:val="24"/>
          <w:highlight w:val="none"/>
        </w:rPr>
        <w:t>投标人须知正文</w:t>
      </w:r>
      <w:bookmarkEnd w:id="42"/>
      <w:bookmarkEnd w:id="43"/>
    </w:p>
    <w:p w14:paraId="68FC427A">
      <w:pPr>
        <w:pStyle w:val="17"/>
        <w:ind w:firstLine="420" w:firstLineChars="200"/>
        <w:rPr>
          <w:rFonts w:ascii="Times New Roman" w:hAnsi="Times New Roman" w:eastAsia="MingLiU_HKSCS" w:cs="Times New Roman"/>
          <w:color w:val="auto"/>
          <w:highlight w:val="none"/>
        </w:rPr>
      </w:pPr>
      <w:r>
        <w:rPr>
          <w:rFonts w:hint="eastAsia" w:ascii="Times New Roman" w:hAnsi="Times New Roman" w:cs="Times New Roman"/>
          <w:color w:val="auto"/>
          <w:highlight w:val="none"/>
        </w:rPr>
        <w:t>一、总则</w:t>
      </w:r>
    </w:p>
    <w:p w14:paraId="32AECFC1">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定义</w:t>
      </w:r>
    </w:p>
    <w:p w14:paraId="7447ADC0">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1.1</w:t>
      </w:r>
      <w:r>
        <w:rPr>
          <w:rFonts w:hint="eastAsia" w:ascii="Times New Roman" w:hAnsi="Times New Roman" w:cs="Times New Roman"/>
          <w:color w:val="auto"/>
          <w:highlight w:val="none"/>
        </w:rPr>
        <w:t>　</w:t>
      </w:r>
      <w:r>
        <w:rPr>
          <w:rFonts w:hint="eastAsia" w:hAnsi="宋体" w:cs="Times New Roman"/>
          <w:color w:val="auto"/>
          <w:highlight w:val="none"/>
        </w:rPr>
        <w:t>“</w:t>
      </w:r>
      <w:r>
        <w:rPr>
          <w:rFonts w:hint="eastAsia" w:ascii="Times New Roman" w:hAnsi="Times New Roman" w:cs="Times New Roman"/>
          <w:color w:val="auto"/>
          <w:highlight w:val="none"/>
        </w:rPr>
        <w:t>采购人</w:t>
      </w:r>
      <w:r>
        <w:rPr>
          <w:rFonts w:hint="eastAsia" w:hAnsi="宋体" w:cs="Times New Roman"/>
          <w:color w:val="auto"/>
          <w:highlight w:val="none"/>
        </w:rPr>
        <w:t>”</w:t>
      </w:r>
      <w:r>
        <w:rPr>
          <w:rFonts w:hint="eastAsia" w:ascii="Times New Roman" w:hAnsi="Times New Roman" w:cs="Times New Roman"/>
          <w:color w:val="auto"/>
          <w:highlight w:val="none"/>
        </w:rPr>
        <w:t>是指依法进行政府采购的国家机关、事业单位、团体组织。本次政府采购的采购人名称、地址、电话、联系人见</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w:t>
      </w:r>
    </w:p>
    <w:p w14:paraId="1EA7174F">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1.2</w:t>
      </w:r>
      <w:r>
        <w:rPr>
          <w:rFonts w:hint="eastAsia" w:ascii="Times New Roman" w:hAnsi="Times New Roman" w:cs="Times New Roman"/>
          <w:color w:val="auto"/>
          <w:highlight w:val="none"/>
        </w:rPr>
        <w:t>　</w:t>
      </w:r>
      <w:r>
        <w:rPr>
          <w:rFonts w:hint="eastAsia" w:hAnsi="宋体" w:cs="Times New Roman"/>
          <w:color w:val="auto"/>
          <w:highlight w:val="none"/>
        </w:rPr>
        <w:t>“</w:t>
      </w:r>
      <w:r>
        <w:rPr>
          <w:rFonts w:hint="eastAsia" w:ascii="Times New Roman" w:hAnsi="Times New Roman" w:cs="Times New Roman"/>
          <w:color w:val="auto"/>
          <w:highlight w:val="none"/>
        </w:rPr>
        <w:t>采购代理机构</w:t>
      </w:r>
      <w:r>
        <w:rPr>
          <w:rFonts w:hint="eastAsia" w:hAnsi="宋体" w:cs="Times New Roman"/>
          <w:color w:val="auto"/>
          <w:highlight w:val="none"/>
        </w:rPr>
        <w:t>”</w:t>
      </w:r>
      <w:r>
        <w:rPr>
          <w:rFonts w:hint="eastAsia" w:ascii="Times New Roman" w:hAnsi="Times New Roman" w:cs="Times New Roman"/>
          <w:color w:val="auto"/>
          <w:highlight w:val="none"/>
        </w:rPr>
        <w:t>是指集中采购机构和集中采购机构以外的采购代理机构。本次政府采购的采购代理机构名称、地址、电话、联系人见</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w:t>
      </w:r>
    </w:p>
    <w:p w14:paraId="4E24421B">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1.3</w:t>
      </w:r>
      <w:r>
        <w:rPr>
          <w:rFonts w:hint="eastAsia" w:ascii="Times New Roman" w:hAnsi="Times New Roman" w:cs="Times New Roman"/>
          <w:color w:val="auto"/>
          <w:highlight w:val="none"/>
        </w:rPr>
        <w:t>　</w:t>
      </w:r>
      <w:r>
        <w:rPr>
          <w:rFonts w:hint="eastAsia" w:hAnsi="宋体" w:cs="Times New Roman"/>
          <w:color w:val="auto"/>
          <w:highlight w:val="none"/>
        </w:rPr>
        <w:t>“</w:t>
      </w:r>
      <w:r>
        <w:rPr>
          <w:rFonts w:hint="eastAsia" w:ascii="Times New Roman" w:hAnsi="Times New Roman" w:cs="Times New Roman"/>
          <w:color w:val="auto"/>
          <w:highlight w:val="none"/>
        </w:rPr>
        <w:t>投标人</w:t>
      </w:r>
      <w:r>
        <w:rPr>
          <w:rFonts w:hint="eastAsia" w:hAnsi="宋体" w:cs="Times New Roman"/>
          <w:color w:val="auto"/>
          <w:highlight w:val="none"/>
        </w:rPr>
        <w:t>”</w:t>
      </w:r>
      <w:r>
        <w:rPr>
          <w:rFonts w:hint="eastAsia" w:ascii="Times New Roman" w:hAnsi="Times New Roman" w:cs="Times New Roman"/>
          <w:color w:val="auto"/>
          <w:highlight w:val="none"/>
        </w:rPr>
        <w:t>是响应招标文件并且符合招标文件规定资格条件和参加投标竞争的法人、其他组织或者自然人。</w:t>
      </w:r>
    </w:p>
    <w:p w14:paraId="369AAF21">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1.4</w:t>
      </w:r>
      <w:r>
        <w:rPr>
          <w:rFonts w:hint="eastAsia" w:ascii="Times New Roman" w:hAnsi="Times New Roman" w:cs="Times New Roman"/>
          <w:color w:val="auto"/>
          <w:highlight w:val="none"/>
        </w:rPr>
        <w:t>　</w:t>
      </w:r>
      <w:r>
        <w:rPr>
          <w:rFonts w:hint="eastAsia" w:hAnsi="宋体" w:cs="Times New Roman"/>
          <w:color w:val="auto"/>
          <w:highlight w:val="none"/>
        </w:rPr>
        <w:t>“</w:t>
      </w:r>
      <w:r>
        <w:rPr>
          <w:rFonts w:hint="eastAsia" w:ascii="Times New Roman" w:hAnsi="Times New Roman" w:cs="Times New Roman"/>
          <w:color w:val="auto"/>
          <w:highlight w:val="none"/>
        </w:rPr>
        <w:t>供应商</w:t>
      </w:r>
      <w:r>
        <w:rPr>
          <w:rFonts w:hint="eastAsia" w:hAnsi="宋体" w:cs="Times New Roman"/>
          <w:color w:val="auto"/>
          <w:highlight w:val="none"/>
        </w:rPr>
        <w:t>”</w:t>
      </w:r>
      <w:r>
        <w:rPr>
          <w:rFonts w:hint="eastAsia" w:ascii="Times New Roman" w:hAnsi="Times New Roman" w:cs="Times New Roman"/>
          <w:color w:val="auto"/>
          <w:highlight w:val="none"/>
        </w:rPr>
        <w:t>是指向采购人提供货物、工程或者服务的法人、其他组织或者自然人。</w:t>
      </w:r>
    </w:p>
    <w:p w14:paraId="3168AE68">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1.5</w:t>
      </w:r>
      <w:r>
        <w:rPr>
          <w:rFonts w:hint="eastAsia" w:ascii="Times New Roman" w:hAnsi="Times New Roman" w:cs="Times New Roman"/>
          <w:color w:val="auto"/>
          <w:highlight w:val="none"/>
        </w:rPr>
        <w:t>　</w:t>
      </w:r>
      <w:r>
        <w:rPr>
          <w:rFonts w:hint="eastAsia" w:hAnsi="宋体" w:cs="Times New Roman"/>
          <w:color w:val="auto"/>
          <w:highlight w:val="none"/>
        </w:rPr>
        <w:t>“</w:t>
      </w:r>
      <w:r>
        <w:rPr>
          <w:rFonts w:hint="eastAsia" w:ascii="Times New Roman" w:hAnsi="Times New Roman" w:cs="Times New Roman"/>
          <w:color w:val="auto"/>
          <w:highlight w:val="none"/>
        </w:rPr>
        <w:t>评标委员会</w:t>
      </w:r>
      <w:r>
        <w:rPr>
          <w:rFonts w:hint="eastAsia" w:hAnsi="宋体" w:cs="Times New Roman"/>
          <w:color w:val="auto"/>
          <w:highlight w:val="none"/>
        </w:rPr>
        <w:t>”</w:t>
      </w:r>
      <w:r>
        <w:rPr>
          <w:rFonts w:hint="eastAsia" w:ascii="Times New Roman" w:hAnsi="Times New Roman" w:cs="Times New Roman"/>
          <w:color w:val="auto"/>
          <w:highlight w:val="none"/>
        </w:rPr>
        <w:t>是依据《政府采购货物和服务招标投标管理办法》有关规定组建</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依法履行评审采购活动职责的评审成员。</w:t>
      </w:r>
    </w:p>
    <w:p w14:paraId="1B7653EF">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1.6</w:t>
      </w:r>
      <w:r>
        <w:rPr>
          <w:rFonts w:hint="eastAsia" w:ascii="Times New Roman" w:hAnsi="Times New Roman" w:cs="Times New Roman"/>
          <w:color w:val="auto"/>
          <w:highlight w:val="none"/>
        </w:rPr>
        <w:t>　</w:t>
      </w:r>
      <w:r>
        <w:rPr>
          <w:rFonts w:hint="eastAsia" w:hAnsi="宋体" w:cs="Times New Roman"/>
          <w:color w:val="auto"/>
          <w:highlight w:val="none"/>
        </w:rPr>
        <w:t>“</w:t>
      </w:r>
      <w:r>
        <w:rPr>
          <w:rFonts w:hint="eastAsia" w:ascii="Times New Roman" w:hAnsi="Times New Roman" w:cs="Times New Roman"/>
          <w:color w:val="auto"/>
          <w:highlight w:val="none"/>
        </w:rPr>
        <w:t>货物</w:t>
      </w:r>
      <w:r>
        <w:rPr>
          <w:rFonts w:hint="eastAsia" w:hAnsi="宋体" w:cs="Times New Roman"/>
          <w:color w:val="auto"/>
          <w:highlight w:val="none"/>
        </w:rPr>
        <w:t>”</w:t>
      </w:r>
      <w:r>
        <w:rPr>
          <w:rFonts w:hint="eastAsia" w:ascii="Times New Roman" w:hAnsi="Times New Roman" w:cs="Times New Roman"/>
          <w:color w:val="auto"/>
          <w:highlight w:val="none"/>
        </w:rPr>
        <w:t>是指各种形态和种类的物品</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包括原材料、燃料、设备、产品等。</w:t>
      </w:r>
    </w:p>
    <w:p w14:paraId="52AB7C5A">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1.7</w:t>
      </w:r>
      <w:r>
        <w:rPr>
          <w:rFonts w:hint="eastAsia" w:ascii="Times New Roman" w:hAnsi="Times New Roman" w:cs="Times New Roman"/>
          <w:color w:val="auto"/>
          <w:highlight w:val="none"/>
        </w:rPr>
        <w:t>　</w:t>
      </w:r>
      <w:r>
        <w:rPr>
          <w:rFonts w:hint="eastAsia" w:hAnsi="宋体" w:cs="Times New Roman"/>
          <w:color w:val="auto"/>
          <w:highlight w:val="none"/>
        </w:rPr>
        <w:t>“</w:t>
      </w:r>
      <w:r>
        <w:rPr>
          <w:rFonts w:hint="eastAsia" w:ascii="Times New Roman" w:hAnsi="Times New Roman" w:cs="Times New Roman"/>
          <w:color w:val="auto"/>
          <w:highlight w:val="none"/>
        </w:rPr>
        <w:t>服务</w:t>
      </w:r>
      <w:r>
        <w:rPr>
          <w:rFonts w:hint="eastAsia" w:hAnsi="宋体" w:cs="Times New Roman"/>
          <w:color w:val="auto"/>
          <w:highlight w:val="none"/>
        </w:rPr>
        <w:t>”</w:t>
      </w:r>
      <w:r>
        <w:rPr>
          <w:rFonts w:hint="eastAsia" w:ascii="Times New Roman" w:hAnsi="Times New Roman" w:cs="Times New Roman"/>
          <w:color w:val="auto"/>
          <w:highlight w:val="none"/>
        </w:rPr>
        <w:t>是指除货物和工程以外的其他政府采购对象。</w:t>
      </w:r>
    </w:p>
    <w:p w14:paraId="7B68F172">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1.8</w:t>
      </w:r>
      <w:r>
        <w:rPr>
          <w:rFonts w:hint="eastAsia" w:ascii="Times New Roman" w:hAnsi="Times New Roman" w:cs="Times New Roman"/>
          <w:color w:val="auto"/>
          <w:highlight w:val="none"/>
        </w:rPr>
        <w:t>　</w:t>
      </w:r>
      <w:r>
        <w:rPr>
          <w:rFonts w:hint="eastAsia" w:hAnsi="宋体" w:cs="Times New Roman"/>
          <w:color w:val="auto"/>
          <w:highlight w:val="none"/>
        </w:rPr>
        <w:t>“</w:t>
      </w:r>
      <w:r>
        <w:rPr>
          <w:rFonts w:hint="eastAsia" w:ascii="Times New Roman" w:hAnsi="Times New Roman" w:cs="Times New Roman"/>
          <w:color w:val="auto"/>
          <w:highlight w:val="none"/>
        </w:rPr>
        <w:t>节能产品</w:t>
      </w:r>
      <w:r>
        <w:rPr>
          <w:rFonts w:hint="eastAsia" w:hAnsi="宋体" w:cs="Times New Roman"/>
          <w:color w:val="auto"/>
          <w:highlight w:val="none"/>
        </w:rPr>
        <w:t>”</w:t>
      </w:r>
      <w:r>
        <w:rPr>
          <w:rFonts w:hint="eastAsia" w:ascii="Times New Roman" w:hAnsi="Times New Roman" w:cs="Times New Roman"/>
          <w:color w:val="auto"/>
          <w:highlight w:val="none"/>
        </w:rPr>
        <w:t>或者</w:t>
      </w:r>
      <w:r>
        <w:rPr>
          <w:rFonts w:hint="eastAsia" w:hAnsi="宋体" w:cs="Times New Roman"/>
          <w:color w:val="auto"/>
          <w:highlight w:val="none"/>
        </w:rPr>
        <w:t>“</w:t>
      </w:r>
      <w:r>
        <w:rPr>
          <w:rFonts w:hint="eastAsia" w:ascii="Times New Roman" w:hAnsi="Times New Roman" w:cs="Times New Roman"/>
          <w:color w:val="auto"/>
          <w:highlight w:val="none"/>
        </w:rPr>
        <w:t>环保产品</w:t>
      </w:r>
      <w:r>
        <w:rPr>
          <w:rFonts w:hint="eastAsia" w:hAnsi="宋体" w:cs="Times New Roman"/>
          <w:color w:val="auto"/>
          <w:highlight w:val="none"/>
        </w:rPr>
        <w:t>”</w:t>
      </w:r>
      <w:r>
        <w:rPr>
          <w:rFonts w:hint="eastAsia" w:ascii="Times New Roman" w:hAnsi="Times New Roman" w:cs="Times New Roman"/>
          <w:color w:val="auto"/>
          <w:highlight w:val="none"/>
        </w:rPr>
        <w:t>是指国务院有关部门发布的最新一期《节能产品政府采购清单》或者《环境标志产品政府采购清单》内的产品。</w:t>
      </w:r>
    </w:p>
    <w:p w14:paraId="2D49C038">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1.9</w:t>
      </w:r>
      <w:r>
        <w:rPr>
          <w:rFonts w:hint="eastAsia" w:ascii="Times New Roman" w:hAnsi="Times New Roman" w:cs="Times New Roman"/>
          <w:color w:val="auto"/>
          <w:highlight w:val="none"/>
        </w:rPr>
        <w:t>　</w:t>
      </w:r>
      <w:r>
        <w:rPr>
          <w:rFonts w:hint="eastAsia" w:hAnsi="宋体" w:cs="Times New Roman"/>
          <w:color w:val="auto"/>
          <w:highlight w:val="none"/>
        </w:rPr>
        <w:t>“</w:t>
      </w:r>
      <w:r>
        <w:rPr>
          <w:rFonts w:hint="eastAsia" w:ascii="Times New Roman" w:hAnsi="Times New Roman" w:cs="Times New Roman"/>
          <w:color w:val="auto"/>
          <w:highlight w:val="none"/>
        </w:rPr>
        <w:t>进口产品</w:t>
      </w:r>
      <w:r>
        <w:rPr>
          <w:rFonts w:hint="eastAsia" w:hAnsi="宋体" w:cs="Times New Roman"/>
          <w:color w:val="auto"/>
          <w:highlight w:val="none"/>
        </w:rPr>
        <w:t>”</w:t>
      </w:r>
      <w:r>
        <w:rPr>
          <w:rFonts w:hint="eastAsia" w:ascii="Times New Roman" w:hAnsi="Times New Roman" w:cs="Times New Roman"/>
          <w:color w:val="auto"/>
          <w:highlight w:val="none"/>
        </w:rPr>
        <w:t>是指通过中国海关报关验放进入中国境内且产自关境外的产品。</w:t>
      </w:r>
    </w:p>
    <w:p w14:paraId="6A9647C2">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w:t>
      </w:r>
      <w:r>
        <w:rPr>
          <w:rFonts w:hint="eastAsia" w:ascii="Times New Roman" w:hAnsi="Times New Roman" w:cs="Times New Roman"/>
          <w:color w:val="auto"/>
          <w:highlight w:val="none"/>
        </w:rPr>
        <w:t>采购项目预算及最高限价</w:t>
      </w:r>
    </w:p>
    <w:p w14:paraId="7D871E98">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2.1</w:t>
      </w:r>
      <w:r>
        <w:rPr>
          <w:rFonts w:hint="eastAsia" w:ascii="Times New Roman" w:hAnsi="Times New Roman" w:cs="Times New Roman"/>
          <w:color w:val="auto"/>
          <w:highlight w:val="none"/>
        </w:rPr>
        <w:t>　本项目采购资金已列入政府采购预算</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预算金额见</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w:t>
      </w:r>
    </w:p>
    <w:p w14:paraId="4583E86C">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2.2</w:t>
      </w:r>
      <w:r>
        <w:rPr>
          <w:rFonts w:hint="eastAsia" w:ascii="Times New Roman" w:hAnsi="Times New Roman" w:cs="Times New Roman"/>
          <w:color w:val="auto"/>
          <w:highlight w:val="none"/>
        </w:rPr>
        <w:t>　本项目最高限价要求见</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w:t>
      </w:r>
    </w:p>
    <w:p w14:paraId="753F610D">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供应商的资格要求</w:t>
      </w:r>
    </w:p>
    <w:p w14:paraId="3C89CD7A">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3.1</w:t>
      </w:r>
      <w:r>
        <w:rPr>
          <w:rFonts w:hint="eastAsia" w:ascii="Times New Roman" w:hAnsi="Times New Roman" w:cs="Times New Roman"/>
          <w:color w:val="auto"/>
          <w:highlight w:val="none"/>
        </w:rPr>
        <w:t>　供应商应当符合</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中规定的下列资格条件要求：</w:t>
      </w:r>
    </w:p>
    <w:p w14:paraId="4ACA16DA">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3.1.1</w:t>
      </w:r>
      <w:r>
        <w:rPr>
          <w:rFonts w:hint="eastAsia" w:ascii="Times New Roman" w:hAnsi="Times New Roman" w:cs="Times New Roman"/>
          <w:color w:val="auto"/>
          <w:highlight w:val="none"/>
        </w:rPr>
        <w:t>　符合《政府采购法》第二十二条规定的供应商条件：</w:t>
      </w:r>
    </w:p>
    <w:p w14:paraId="015E07BC">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具有独立承担民事责任的能力；</w:t>
      </w:r>
    </w:p>
    <w:p w14:paraId="04047A5A">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w:t>
      </w:r>
      <w:r>
        <w:rPr>
          <w:rFonts w:hint="eastAsia" w:ascii="Times New Roman" w:hAnsi="Times New Roman" w:cs="Times New Roman"/>
          <w:color w:val="auto"/>
          <w:highlight w:val="none"/>
        </w:rPr>
        <w:t>具有良好的商业信誉和健全的财务会计制度；</w:t>
      </w:r>
    </w:p>
    <w:p w14:paraId="4FB52737">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具有履行合同所必需的设备和专业技术能力；</w:t>
      </w:r>
    </w:p>
    <w:p w14:paraId="49AAFDBE">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(4)</w:t>
      </w:r>
      <w:r>
        <w:rPr>
          <w:rFonts w:hint="eastAsia" w:ascii="Times New Roman" w:hAnsi="Times New Roman" w:cs="Times New Roman"/>
          <w:color w:val="auto"/>
          <w:highlight w:val="none"/>
        </w:rPr>
        <w:t>有依法缴纳税收和社会保障资金的良好记录；</w:t>
      </w:r>
    </w:p>
    <w:p w14:paraId="7C322A52">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(5)</w:t>
      </w:r>
      <w:r>
        <w:rPr>
          <w:rFonts w:hint="eastAsia" w:ascii="Times New Roman" w:hAnsi="Times New Roman" w:cs="Times New Roman"/>
          <w:color w:val="auto"/>
          <w:highlight w:val="none"/>
        </w:rPr>
        <w:t>参加政府采购活动前三年内</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在经营活动中没有重大违法记录；</w:t>
      </w:r>
    </w:p>
    <w:p w14:paraId="566283C0">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政府采购法律法规相关规定的其他条件。</w:t>
      </w:r>
    </w:p>
    <w:p w14:paraId="20018904">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3.1.2</w:t>
      </w:r>
      <w:r>
        <w:rPr>
          <w:rFonts w:hint="eastAsia" w:ascii="Times New Roman" w:hAnsi="Times New Roman" w:cs="Times New Roman"/>
          <w:color w:val="auto"/>
          <w:highlight w:val="none"/>
        </w:rPr>
        <w:t>　其他特定资格条件。</w:t>
      </w:r>
      <w:r>
        <w:rPr>
          <w:rFonts w:ascii="Times New Roman" w:hAnsi="Times New Roman" w:cs="Times New Roman"/>
          <w:color w:val="auto"/>
          <w:highlight w:val="none"/>
        </w:rPr>
        <w:t>(</w:t>
      </w:r>
      <w:r>
        <w:rPr>
          <w:rFonts w:hint="eastAsia" w:ascii="Times New Roman" w:hAnsi="Times New Roman" w:cs="Times New Roman"/>
          <w:color w:val="auto"/>
          <w:highlight w:val="none"/>
        </w:rPr>
        <w:t>详见</w:t>
      </w:r>
      <w:r>
        <w:rPr>
          <w:rFonts w:hint="eastAsia" w:ascii="Times New Roman" w:hAnsi="Times New Roman" w:eastAsia="黑体" w:cs="Times New Roman"/>
          <w:color w:val="auto"/>
          <w:highlight w:val="none"/>
        </w:rPr>
        <w:t>投标人须知前附表</w:t>
      </w:r>
      <w:r>
        <w:rPr>
          <w:rFonts w:ascii="Times New Roman" w:hAnsi="Times New Roman" w:cs="Times New Roman"/>
          <w:color w:val="auto"/>
          <w:highlight w:val="none"/>
        </w:rPr>
        <w:t>)</w:t>
      </w:r>
    </w:p>
    <w:p w14:paraId="502CBB3E">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3.2</w:t>
      </w:r>
      <w:r>
        <w:rPr>
          <w:rFonts w:hint="eastAsia" w:ascii="Times New Roman" w:hAnsi="Times New Roman" w:cs="Times New Roman"/>
          <w:color w:val="auto"/>
          <w:highlight w:val="none"/>
        </w:rPr>
        <w:t>　供应商存在下列情形之一的不得参加投标：</w:t>
      </w:r>
    </w:p>
    <w:p w14:paraId="58430AAA">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3.2.1</w:t>
      </w:r>
      <w:r>
        <w:rPr>
          <w:rFonts w:hint="eastAsia" w:ascii="Times New Roman" w:hAnsi="Times New Roman" w:cs="Times New Roman"/>
          <w:color w:val="auto"/>
          <w:highlight w:val="none"/>
        </w:rPr>
        <w:t>　单位负责人为同一人或者存在直接控股、管理关系的不同供应商</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不得参加同一合同项下的政府采购活动。为采购项目提供整体设计、规范编制或者项目管理、监理、检测等服务的供应商</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不得再参加该采购项目的其他采购活动。</w:t>
      </w:r>
    </w:p>
    <w:p w14:paraId="5100210D">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3.2.2</w:t>
      </w:r>
      <w:r>
        <w:rPr>
          <w:rFonts w:hint="eastAsia" w:ascii="Times New Roman" w:hAnsi="Times New Roman" w:cs="Times New Roman"/>
          <w:color w:val="auto"/>
          <w:highlight w:val="none"/>
        </w:rPr>
        <w:t>因违法经营受到刑事处罚或者责令停产停业、吊销许可证或者执照、较大数额罚款等行政处罚</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或者存在财政部门认定的其他重大违法记录</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以及在财政部门禁止参加政府采购活动期限以内的。</w:t>
      </w:r>
    </w:p>
    <w:p w14:paraId="0139604B">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4.</w:t>
      </w:r>
      <w:r>
        <w:rPr>
          <w:rFonts w:hint="eastAsia" w:ascii="Times New Roman" w:hAnsi="Times New Roman" w:cs="Times New Roman"/>
          <w:color w:val="auto"/>
          <w:highlight w:val="none"/>
        </w:rPr>
        <w:t>投标费用</w:t>
      </w:r>
    </w:p>
    <w:p w14:paraId="297926FB">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4.1</w:t>
      </w:r>
      <w:r>
        <w:rPr>
          <w:rFonts w:hint="eastAsia" w:ascii="Times New Roman" w:hAnsi="Times New Roman" w:cs="Times New Roman"/>
          <w:color w:val="auto"/>
          <w:highlight w:val="none"/>
        </w:rPr>
        <w:t>　投标人应自行承担所有参与投标的相关费用</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不论投标的结果如何</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采购人或者采购代理机构均无义务和责任承担这些费用。</w:t>
      </w:r>
    </w:p>
    <w:p w14:paraId="6C3896EC">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联合体投标</w:t>
      </w:r>
    </w:p>
    <w:p w14:paraId="795BF4AD">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6.1</w:t>
      </w:r>
      <w:r>
        <w:rPr>
          <w:rFonts w:hint="eastAsia" w:ascii="Times New Roman" w:hAnsi="Times New Roman" w:cs="Times New Roman"/>
          <w:color w:val="auto"/>
          <w:highlight w:val="none"/>
        </w:rPr>
        <w:t>　本项目是否接受联合体形式参与详见</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w:t>
      </w:r>
    </w:p>
    <w:p w14:paraId="4B0AA86B">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6.2</w:t>
      </w:r>
      <w:r>
        <w:rPr>
          <w:rFonts w:hint="eastAsia" w:ascii="Times New Roman" w:hAnsi="Times New Roman" w:cs="Times New Roman"/>
          <w:color w:val="auto"/>
          <w:highlight w:val="none"/>
        </w:rPr>
        <w:t>　供应商为联合体形式的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应遵守以下规定：</w:t>
      </w:r>
    </w:p>
    <w:p w14:paraId="062D7F87">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联合体各方必须签订联合体协议书</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明确联合体牵头人和各方权利、义务及分工、合同工作量比例；</w:t>
      </w:r>
    </w:p>
    <w:p w14:paraId="54B273CB">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w:t>
      </w:r>
      <w:r>
        <w:rPr>
          <w:rFonts w:hint="eastAsia" w:ascii="Times New Roman" w:hAnsi="Times New Roman" w:cs="Times New Roman"/>
          <w:color w:val="auto"/>
          <w:highlight w:val="none"/>
        </w:rPr>
        <w:t>联合体各方均应当符合</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规定的供应商基本资格条件；</w:t>
      </w:r>
    </w:p>
    <w:p w14:paraId="51E55BF3">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除另有规定外</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联合体各方中至少有一方应当符合投标须知前附表规定的供应商特定资格条件；</w:t>
      </w:r>
    </w:p>
    <w:p w14:paraId="18E1427E">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(4)</w:t>
      </w:r>
      <w:r>
        <w:rPr>
          <w:rFonts w:hint="eastAsia" w:ascii="Times New Roman" w:hAnsi="Times New Roman" w:cs="Times New Roman"/>
          <w:color w:val="auto"/>
          <w:highlight w:val="none"/>
        </w:rPr>
        <w:t>联合体中有同类资质的供应商按照联合体分工承担相同工作的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应当按照资质等级较低的供应商确定资质等级；</w:t>
      </w:r>
    </w:p>
    <w:p w14:paraId="5CF1C83B">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(5)</w:t>
      </w:r>
      <w:r>
        <w:rPr>
          <w:rFonts w:hint="eastAsia" w:ascii="Times New Roman" w:hAnsi="Times New Roman" w:cs="Times New Roman"/>
          <w:color w:val="auto"/>
          <w:highlight w:val="none"/>
        </w:rPr>
        <w:t>联合体各方不得再单独或与其他供应商组成新的联合体参加同一项目的采购活动。</w:t>
      </w:r>
    </w:p>
    <w:p w14:paraId="0B61FED0">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7.</w:t>
      </w:r>
      <w:r>
        <w:rPr>
          <w:rFonts w:hint="eastAsia" w:ascii="Times New Roman" w:hAnsi="Times New Roman" w:cs="Times New Roman"/>
          <w:color w:val="auto"/>
          <w:highlight w:val="none"/>
        </w:rPr>
        <w:t>项目现场考察</w:t>
      </w:r>
    </w:p>
    <w:p w14:paraId="675A7162">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7.1</w:t>
      </w:r>
      <w:r>
        <w:rPr>
          <w:rFonts w:hint="eastAsia" w:ascii="Times New Roman" w:hAnsi="Times New Roman" w:cs="Times New Roman"/>
          <w:color w:val="auto"/>
          <w:highlight w:val="none"/>
        </w:rPr>
        <w:t>　本项目是否组织现场考察详见</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w:t>
      </w:r>
    </w:p>
    <w:p w14:paraId="00E2E6F9">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7.2</w:t>
      </w:r>
      <w:r>
        <w:rPr>
          <w:rFonts w:hint="eastAsia" w:ascii="Times New Roman" w:hAnsi="Times New Roman" w:cs="Times New Roman"/>
          <w:color w:val="auto"/>
          <w:highlight w:val="none"/>
        </w:rPr>
        <w:t>　供应商应按</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中规定的时间及地点</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对采购项目现场和周围环境进行考察。供应商未在指定时间进行考察的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采购人不再另行组织。</w:t>
      </w:r>
    </w:p>
    <w:p w14:paraId="5A2F0BAC">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7.3</w:t>
      </w:r>
      <w:r>
        <w:rPr>
          <w:rFonts w:hint="eastAsia" w:ascii="Times New Roman" w:hAnsi="Times New Roman" w:cs="Times New Roman"/>
          <w:color w:val="auto"/>
          <w:highlight w:val="none"/>
        </w:rPr>
        <w:t>　考察现场的费用由供应商自己承担</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考察期间所发生的人身伤害及财产损失由供应商自己负责。</w:t>
      </w:r>
    </w:p>
    <w:p w14:paraId="5A26D726">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7.4</w:t>
      </w:r>
      <w:r>
        <w:rPr>
          <w:rFonts w:hint="eastAsia" w:ascii="Times New Roman" w:hAnsi="Times New Roman" w:cs="Times New Roman"/>
          <w:color w:val="auto"/>
          <w:highlight w:val="none"/>
        </w:rPr>
        <w:t>　采购人不对供应商据此而做出的推论、理解和结论负责。一旦中标</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供应商不得以任何借口</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提出额外补偿</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或延长合同期限的要求。</w:t>
      </w:r>
    </w:p>
    <w:p w14:paraId="5C03018A">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8.</w:t>
      </w:r>
      <w:r>
        <w:rPr>
          <w:rFonts w:hint="eastAsia" w:ascii="Times New Roman" w:hAnsi="Times New Roman" w:cs="Times New Roman"/>
          <w:color w:val="auto"/>
          <w:highlight w:val="none"/>
        </w:rPr>
        <w:t>采购进口产品</w:t>
      </w:r>
    </w:p>
    <w:p w14:paraId="4CA2A5B8">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8.1</w:t>
      </w:r>
      <w:r>
        <w:rPr>
          <w:rFonts w:hint="eastAsia" w:ascii="Times New Roman" w:hAnsi="Times New Roman" w:cs="Times New Roman"/>
          <w:color w:val="auto"/>
          <w:highlight w:val="none"/>
        </w:rPr>
        <w:t>　本项目是否采购进口产品及相关要求见</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w:t>
      </w:r>
    </w:p>
    <w:p w14:paraId="62A528CA">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9.</w:t>
      </w:r>
      <w:r>
        <w:rPr>
          <w:rFonts w:hint="eastAsia" w:ascii="Times New Roman" w:hAnsi="Times New Roman" w:cs="Times New Roman"/>
          <w:color w:val="auto"/>
          <w:highlight w:val="none"/>
        </w:rPr>
        <w:t>政策与其他规定</w:t>
      </w:r>
    </w:p>
    <w:p w14:paraId="5D57CA4C">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9.1</w:t>
      </w:r>
      <w:r>
        <w:rPr>
          <w:rFonts w:hint="eastAsia" w:ascii="Times New Roman" w:hAnsi="Times New Roman" w:cs="Times New Roman"/>
          <w:color w:val="auto"/>
          <w:highlight w:val="none"/>
        </w:rPr>
        <w:t>　产品属于政府强制采购节能产品范围</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必须将是否列入最新一期节能清单作为采购产品的资格条件。本项目的详细要求见</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w:t>
      </w:r>
    </w:p>
    <w:p w14:paraId="61213673">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9.2</w:t>
      </w:r>
      <w:r>
        <w:rPr>
          <w:rFonts w:hint="eastAsia" w:ascii="Times New Roman" w:hAnsi="Times New Roman" w:cs="Times New Roman"/>
          <w:color w:val="auto"/>
          <w:highlight w:val="none"/>
        </w:rPr>
        <w:t>　对列入最新一期节能清单</w:t>
      </w:r>
      <w:r>
        <w:rPr>
          <w:rFonts w:ascii="Times New Roman" w:hAnsi="Times New Roman" w:cs="Times New Roman"/>
          <w:color w:val="auto"/>
          <w:highlight w:val="none"/>
        </w:rPr>
        <w:t>(</w:t>
      </w:r>
      <w:r>
        <w:rPr>
          <w:rFonts w:hint="eastAsia" w:ascii="Times New Roman" w:hAnsi="Times New Roman" w:cs="Times New Roman"/>
          <w:color w:val="auto"/>
          <w:highlight w:val="none"/>
        </w:rPr>
        <w:t>非强制类</w:t>
      </w:r>
      <w:r>
        <w:rPr>
          <w:rFonts w:ascii="Times New Roman" w:hAnsi="Times New Roman" w:cs="Times New Roman"/>
          <w:color w:val="auto"/>
          <w:highlight w:val="none"/>
        </w:rPr>
        <w:t>)</w:t>
      </w:r>
      <w:r>
        <w:rPr>
          <w:rFonts w:hint="eastAsia" w:ascii="Times New Roman" w:hAnsi="Times New Roman" w:cs="Times New Roman"/>
          <w:color w:val="auto"/>
          <w:highlight w:val="none"/>
        </w:rPr>
        <w:t>、环保清单内的产品</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分别予以相应的加分或价格扣除；对于同时列入</w:t>
      </w:r>
      <w:r>
        <w:rPr>
          <w:rFonts w:hint="eastAsia" w:hAnsi="宋体" w:cs="Times New Roman"/>
          <w:color w:val="auto"/>
          <w:highlight w:val="none"/>
        </w:rPr>
        <w:t>“</w:t>
      </w:r>
      <w:r>
        <w:rPr>
          <w:rFonts w:hint="eastAsia" w:ascii="Times New Roman" w:hAnsi="Times New Roman" w:cs="Times New Roman"/>
          <w:color w:val="auto"/>
          <w:highlight w:val="none"/>
        </w:rPr>
        <w:t>两个清单</w:t>
      </w:r>
      <w:r>
        <w:rPr>
          <w:rFonts w:hint="eastAsia" w:hAnsi="宋体" w:cs="Times New Roman"/>
          <w:color w:val="auto"/>
          <w:highlight w:val="none"/>
        </w:rPr>
        <w:t>”</w:t>
      </w:r>
      <w:r>
        <w:rPr>
          <w:rFonts w:hint="eastAsia" w:ascii="Times New Roman" w:hAnsi="Times New Roman" w:cs="Times New Roman"/>
          <w:color w:val="auto"/>
          <w:highlight w:val="none"/>
        </w:rPr>
        <w:t>的产品</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优先于只获得其中一项认证的产品。本项目的详细要求见</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w:t>
      </w:r>
    </w:p>
    <w:p w14:paraId="11E481FD">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9.3</w:t>
      </w:r>
      <w:r>
        <w:rPr>
          <w:rFonts w:hint="eastAsia" w:ascii="Times New Roman" w:hAnsi="Times New Roman" w:cs="Times New Roman"/>
          <w:color w:val="auto"/>
          <w:highlight w:val="none"/>
        </w:rPr>
        <w:t>　供应商享受支持中小企业发展政策优惠的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可用扣除后的最后报价参与价格比较。本项目价格扣除比例及相关要求见</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w:t>
      </w:r>
    </w:p>
    <w:p w14:paraId="054D1287">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9.4</w:t>
      </w:r>
      <w:r>
        <w:rPr>
          <w:rFonts w:hint="eastAsia" w:ascii="Times New Roman" w:hAnsi="Times New Roman" w:cs="Times New Roman"/>
          <w:color w:val="auto"/>
          <w:highlight w:val="none"/>
        </w:rPr>
        <w:t>　监狱企业及</w:t>
      </w:r>
      <w:r>
        <w:rPr>
          <w:rFonts w:hint="eastAsia" w:hAnsi="宋体" w:cs="宋体"/>
          <w:color w:val="auto"/>
          <w:highlight w:val="none"/>
        </w:rPr>
        <w:t>残疾人福利单位</w:t>
      </w:r>
      <w:r>
        <w:rPr>
          <w:rFonts w:hint="eastAsia" w:ascii="Times New Roman" w:hAnsi="Times New Roman" w:cs="Times New Roman"/>
          <w:color w:val="auto"/>
          <w:highlight w:val="none"/>
        </w:rPr>
        <w:t>视同小型、微型企业</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享受促进中小企业发展政策优惠</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可用扣除后的最后报价参与价格比较。本项目价格扣除比例及相关要求见</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w:t>
      </w:r>
    </w:p>
    <w:p w14:paraId="253B73F0">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9.5</w:t>
      </w:r>
      <w:r>
        <w:rPr>
          <w:rFonts w:hint="eastAsia" w:ascii="Times New Roman" w:hAnsi="Times New Roman" w:cs="Times New Roman"/>
          <w:color w:val="auto"/>
          <w:highlight w:val="none"/>
        </w:rPr>
        <w:t>其他法律法规强制性规定或扶持政策。本项目的详细要求见</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w:t>
      </w:r>
    </w:p>
    <w:p w14:paraId="3DFBF001">
      <w:pPr>
        <w:pStyle w:val="17"/>
        <w:ind w:firstLine="420" w:firstLineChars="200"/>
        <w:rPr>
          <w:rFonts w:ascii="Times New Roman" w:hAnsi="Times New Roman" w:eastAsia="MingLiU_HKSCS" w:cs="Times New Roman"/>
          <w:color w:val="auto"/>
          <w:highlight w:val="none"/>
        </w:rPr>
      </w:pPr>
      <w:r>
        <w:rPr>
          <w:rFonts w:hint="eastAsia" w:ascii="Times New Roman" w:hAnsi="Times New Roman" w:cs="Times New Roman"/>
          <w:color w:val="auto"/>
          <w:highlight w:val="none"/>
        </w:rPr>
        <w:t>二、招标文件</w:t>
      </w:r>
    </w:p>
    <w:p w14:paraId="310426EB">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10.</w:t>
      </w:r>
      <w:r>
        <w:rPr>
          <w:rFonts w:hint="eastAsia" w:ascii="Times New Roman" w:hAnsi="Times New Roman" w:cs="Times New Roman"/>
          <w:color w:val="auto"/>
          <w:highlight w:val="none"/>
        </w:rPr>
        <w:t>招标文件的构成</w:t>
      </w:r>
    </w:p>
    <w:p w14:paraId="3161BEB1">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10.1</w:t>
      </w:r>
      <w:r>
        <w:rPr>
          <w:rFonts w:hint="eastAsia" w:ascii="Times New Roman" w:hAnsi="Times New Roman" w:cs="Times New Roman"/>
          <w:color w:val="auto"/>
          <w:highlight w:val="none"/>
        </w:rPr>
        <w:t>　招标文件各章节的内容如下：</w:t>
      </w:r>
    </w:p>
    <w:p w14:paraId="3AC76718">
      <w:pPr>
        <w:pStyle w:val="17"/>
        <w:ind w:firstLine="420" w:firstLineChars="200"/>
        <w:rPr>
          <w:rFonts w:ascii="Times New Roman" w:hAnsi="Times New Roman" w:eastAsia="MingLiU_HKSCS" w:cs="Times New Roman"/>
          <w:color w:val="auto"/>
          <w:highlight w:val="none"/>
        </w:rPr>
      </w:pPr>
      <w:r>
        <w:rPr>
          <w:rFonts w:hint="eastAsia" w:ascii="Times New Roman" w:hAnsi="Times New Roman" w:cs="Times New Roman"/>
          <w:color w:val="auto"/>
          <w:highlight w:val="none"/>
        </w:rPr>
        <w:t>第一部分　商务部分</w:t>
      </w:r>
    </w:p>
    <w:p w14:paraId="2A4960B8">
      <w:pPr>
        <w:pStyle w:val="17"/>
        <w:ind w:firstLine="420" w:firstLineChars="200"/>
        <w:rPr>
          <w:rFonts w:ascii="Times New Roman" w:hAnsi="Times New Roman" w:eastAsia="MingLiU_HKSCS" w:cs="Times New Roman"/>
          <w:color w:val="auto"/>
          <w:highlight w:val="none"/>
        </w:rPr>
      </w:pPr>
      <w:r>
        <w:rPr>
          <w:rFonts w:hint="eastAsia" w:ascii="Times New Roman" w:hAnsi="Times New Roman" w:cs="Times New Roman"/>
          <w:color w:val="auto"/>
          <w:highlight w:val="none"/>
        </w:rPr>
        <w:t>第一章　招标公告</w:t>
      </w:r>
    </w:p>
    <w:p w14:paraId="750067CD">
      <w:pPr>
        <w:pStyle w:val="17"/>
        <w:ind w:firstLine="420" w:firstLineChars="200"/>
        <w:rPr>
          <w:rFonts w:ascii="Times New Roman" w:hAnsi="Times New Roman" w:eastAsia="MingLiU_HKSCS" w:cs="Times New Roman"/>
          <w:color w:val="auto"/>
          <w:highlight w:val="none"/>
        </w:rPr>
      </w:pPr>
      <w:r>
        <w:rPr>
          <w:rFonts w:hint="eastAsia" w:ascii="Times New Roman" w:hAnsi="Times New Roman" w:cs="Times New Roman"/>
          <w:color w:val="auto"/>
          <w:highlight w:val="none"/>
        </w:rPr>
        <w:t>第二章　投标人须知</w:t>
      </w:r>
    </w:p>
    <w:p w14:paraId="40F0C68D">
      <w:pPr>
        <w:pStyle w:val="17"/>
        <w:ind w:firstLine="420" w:firstLineChars="200"/>
        <w:rPr>
          <w:rFonts w:ascii="Times New Roman" w:hAnsi="Times New Roman" w:eastAsia="MingLiU_HKSCS" w:cs="Times New Roman"/>
          <w:color w:val="auto"/>
          <w:highlight w:val="none"/>
        </w:rPr>
      </w:pPr>
      <w:r>
        <w:rPr>
          <w:rFonts w:hint="eastAsia" w:ascii="Times New Roman" w:hAnsi="Times New Roman" w:cs="Times New Roman"/>
          <w:color w:val="auto"/>
          <w:highlight w:val="none"/>
        </w:rPr>
        <w:t>第三章　评标办法及标准</w:t>
      </w:r>
    </w:p>
    <w:p w14:paraId="34754FFB">
      <w:pPr>
        <w:pStyle w:val="17"/>
        <w:ind w:firstLine="420" w:firstLineChars="200"/>
        <w:rPr>
          <w:rFonts w:ascii="Times New Roman" w:hAnsi="Times New Roman" w:eastAsia="MingLiU_HKSCS" w:cs="Times New Roman"/>
          <w:color w:val="auto"/>
          <w:highlight w:val="none"/>
        </w:rPr>
      </w:pPr>
      <w:r>
        <w:rPr>
          <w:rFonts w:hint="eastAsia" w:ascii="Times New Roman" w:hAnsi="Times New Roman" w:cs="Times New Roman"/>
          <w:color w:val="auto"/>
          <w:highlight w:val="none"/>
        </w:rPr>
        <w:t>第四章　拟签订的合同文本</w:t>
      </w:r>
    </w:p>
    <w:p w14:paraId="44C1B789">
      <w:pPr>
        <w:pStyle w:val="17"/>
        <w:ind w:firstLine="420" w:firstLineChars="200"/>
        <w:rPr>
          <w:rFonts w:ascii="Times New Roman" w:hAnsi="Times New Roman" w:eastAsia="MingLiU_HKSCS" w:cs="Times New Roman"/>
          <w:color w:val="auto"/>
          <w:highlight w:val="none"/>
        </w:rPr>
      </w:pPr>
      <w:r>
        <w:rPr>
          <w:rFonts w:hint="eastAsia" w:ascii="Times New Roman" w:hAnsi="Times New Roman" w:cs="Times New Roman"/>
          <w:color w:val="auto"/>
          <w:highlight w:val="none"/>
        </w:rPr>
        <w:t>第五章　投标文件组成</w:t>
      </w:r>
    </w:p>
    <w:p w14:paraId="37A51633">
      <w:pPr>
        <w:pStyle w:val="17"/>
        <w:ind w:firstLine="420" w:firstLineChars="200"/>
        <w:rPr>
          <w:rFonts w:ascii="Times New Roman" w:hAnsi="Times New Roman" w:eastAsia="MingLiU_HKSCS" w:cs="Times New Roman"/>
          <w:color w:val="auto"/>
          <w:highlight w:val="none"/>
        </w:rPr>
      </w:pPr>
      <w:r>
        <w:rPr>
          <w:rFonts w:hint="eastAsia" w:ascii="Times New Roman" w:hAnsi="Times New Roman" w:cs="Times New Roman"/>
          <w:color w:val="auto"/>
          <w:highlight w:val="none"/>
        </w:rPr>
        <w:t>第二部分　技术部分</w:t>
      </w:r>
    </w:p>
    <w:p w14:paraId="37073239">
      <w:pPr>
        <w:pStyle w:val="17"/>
        <w:ind w:firstLine="420" w:firstLineChars="200"/>
        <w:rPr>
          <w:rFonts w:ascii="Times New Roman" w:hAnsi="Times New Roman" w:eastAsia="MingLiU_HKSCS" w:cs="Times New Roman"/>
          <w:color w:val="auto"/>
          <w:highlight w:val="none"/>
        </w:rPr>
      </w:pPr>
      <w:r>
        <w:rPr>
          <w:rFonts w:hint="eastAsia" w:ascii="Times New Roman" w:hAnsi="Times New Roman" w:cs="Times New Roman"/>
          <w:color w:val="auto"/>
          <w:highlight w:val="none"/>
        </w:rPr>
        <w:t>第六章　项目采购需求</w:t>
      </w:r>
    </w:p>
    <w:p w14:paraId="0D778AE8">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10.2</w:t>
      </w:r>
      <w:r>
        <w:rPr>
          <w:rFonts w:hint="eastAsia" w:ascii="Times New Roman" w:hAnsi="Times New Roman" w:cs="Times New Roman"/>
          <w:color w:val="auto"/>
          <w:highlight w:val="none"/>
        </w:rPr>
        <w:t>　投标人应仔细阅读招标文件的全部内容</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按照招标文件要求编制投标文件。任何对招标文件的忽略或误解</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不能作为投标文件存在缺陷或瑕疵的理由</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其风险由投标人承担。</w:t>
      </w:r>
    </w:p>
    <w:p w14:paraId="279B00EE">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11.</w:t>
      </w:r>
      <w:r>
        <w:rPr>
          <w:rFonts w:hint="eastAsia" w:ascii="Times New Roman" w:hAnsi="Times New Roman" w:cs="Times New Roman"/>
          <w:color w:val="auto"/>
          <w:highlight w:val="none"/>
        </w:rPr>
        <w:t>招标文件的澄清与修改</w:t>
      </w:r>
    </w:p>
    <w:p w14:paraId="34B8A361">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11.1</w:t>
      </w:r>
      <w:r>
        <w:rPr>
          <w:rFonts w:hint="eastAsia" w:ascii="Times New Roman" w:hAnsi="Times New Roman" w:cs="Times New Roman"/>
          <w:color w:val="auto"/>
          <w:highlight w:val="none"/>
        </w:rPr>
        <w:t>　采购人或采购代理机构对已发出的招标文件进行必要澄清或者修改的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应当在</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规定的提交投标文件截止时间</w:t>
      </w:r>
      <w:r>
        <w:rPr>
          <w:rFonts w:ascii="Times New Roman" w:hAnsi="Times New Roman" w:cs="Times New Roman"/>
          <w:color w:val="auto"/>
          <w:highlight w:val="none"/>
        </w:rPr>
        <w:t>15</w:t>
      </w:r>
      <w:r>
        <w:rPr>
          <w:rFonts w:hint="eastAsia" w:ascii="Times New Roman" w:hAnsi="Times New Roman" w:cs="Times New Roman"/>
          <w:color w:val="auto"/>
          <w:highlight w:val="none"/>
        </w:rPr>
        <w:t>日前</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在原刊登招标公告的媒体上发布更正公告</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并以书面形式通知所有招标文件收受人。</w:t>
      </w:r>
    </w:p>
    <w:p w14:paraId="3CD11B49">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11.2</w:t>
      </w:r>
      <w:r>
        <w:rPr>
          <w:rFonts w:hint="eastAsia" w:ascii="Times New Roman" w:hAnsi="Times New Roman" w:cs="Times New Roman"/>
          <w:color w:val="auto"/>
          <w:highlight w:val="none"/>
        </w:rPr>
        <w:t>　如果澄清或者修改时间距本章</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规定的投标截止时间不足</w:t>
      </w:r>
      <w:r>
        <w:rPr>
          <w:rFonts w:ascii="Times New Roman" w:hAnsi="Times New Roman" w:cs="Times New Roman"/>
          <w:color w:val="auto"/>
          <w:highlight w:val="none"/>
        </w:rPr>
        <w:t>15</w:t>
      </w:r>
      <w:r>
        <w:rPr>
          <w:rFonts w:hint="eastAsia" w:ascii="Times New Roman" w:hAnsi="Times New Roman" w:cs="Times New Roman"/>
          <w:color w:val="auto"/>
          <w:highlight w:val="none"/>
        </w:rPr>
        <w:t>日</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将相应顺延提交投标文件的截止时间</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澄清或者修改时间具体见</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w:t>
      </w:r>
    </w:p>
    <w:p w14:paraId="78348EF2">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11.3</w:t>
      </w:r>
      <w:r>
        <w:rPr>
          <w:rFonts w:hint="eastAsia" w:ascii="Times New Roman" w:hAnsi="Times New Roman" w:cs="Times New Roman"/>
          <w:color w:val="auto"/>
          <w:highlight w:val="none"/>
        </w:rPr>
        <w:t>　澄清或者修改内容为招标文件的组成部分</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对所有领取了招标文件的潜在投标人均具有约束力。</w:t>
      </w:r>
    </w:p>
    <w:p w14:paraId="4987661E">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12.</w:t>
      </w:r>
      <w:r>
        <w:rPr>
          <w:rFonts w:hint="eastAsia" w:ascii="Times New Roman" w:hAnsi="Times New Roman" w:cs="Times New Roman"/>
          <w:color w:val="auto"/>
          <w:highlight w:val="none"/>
        </w:rPr>
        <w:t>偏离</w:t>
      </w:r>
    </w:p>
    <w:p w14:paraId="5A93CE16">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12.1</w:t>
      </w:r>
      <w:r>
        <w:rPr>
          <w:rFonts w:hint="eastAsia" w:ascii="Times New Roman" w:hAnsi="Times New Roman" w:cs="Times New Roman"/>
          <w:color w:val="auto"/>
          <w:highlight w:val="none"/>
        </w:rPr>
        <w:t>　本条所称偏离为投标文件对招标文件的偏离</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即不满足或不响应招标文件的要求。</w:t>
      </w:r>
    </w:p>
    <w:p w14:paraId="709AADE8">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12.2</w:t>
      </w:r>
      <w:r>
        <w:rPr>
          <w:rFonts w:hint="eastAsia" w:ascii="Times New Roman" w:hAnsi="Times New Roman" w:cs="Times New Roman"/>
          <w:color w:val="auto"/>
          <w:highlight w:val="none"/>
        </w:rPr>
        <w:t>　除法律、法规和规章规定外</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招标文件中用</w:t>
      </w:r>
      <w:r>
        <w:rPr>
          <w:rFonts w:hint="eastAsia" w:hAnsi="宋体" w:cs="Times New Roman"/>
          <w:color w:val="auto"/>
          <w:highlight w:val="none"/>
        </w:rPr>
        <w:t>“</w:t>
      </w:r>
      <w:r>
        <w:rPr>
          <w:rFonts w:hint="eastAsia" w:ascii="Times New Roman" w:hAnsi="Times New Roman" w:cs="Times New Roman"/>
          <w:color w:val="auto"/>
          <w:highlight w:val="none"/>
        </w:rPr>
        <w:t>拒绝</w:t>
      </w:r>
      <w:r>
        <w:rPr>
          <w:rFonts w:hint="eastAsia" w:hAnsi="宋体" w:cs="Times New Roman"/>
          <w:color w:val="auto"/>
          <w:highlight w:val="none"/>
        </w:rPr>
        <w:t>”“</w:t>
      </w:r>
      <w:r>
        <w:rPr>
          <w:rFonts w:hint="eastAsia" w:ascii="Times New Roman" w:hAnsi="Times New Roman" w:cs="Times New Roman"/>
          <w:color w:val="auto"/>
          <w:highlight w:val="none"/>
        </w:rPr>
        <w:t>不接受</w:t>
      </w:r>
      <w:r>
        <w:rPr>
          <w:rFonts w:hint="eastAsia" w:hAnsi="宋体" w:cs="Times New Roman"/>
          <w:color w:val="auto"/>
          <w:highlight w:val="none"/>
        </w:rPr>
        <w:t>”“</w:t>
      </w:r>
      <w:r>
        <w:rPr>
          <w:rFonts w:hint="eastAsia" w:ascii="Times New Roman" w:hAnsi="Times New Roman" w:cs="Times New Roman"/>
          <w:color w:val="auto"/>
          <w:highlight w:val="none"/>
        </w:rPr>
        <w:t>无效</w:t>
      </w:r>
      <w:r>
        <w:rPr>
          <w:rFonts w:hint="eastAsia" w:hAnsi="宋体" w:cs="Times New Roman"/>
          <w:color w:val="auto"/>
          <w:highlight w:val="none"/>
        </w:rPr>
        <w:t>”“</w:t>
      </w:r>
      <w:r>
        <w:rPr>
          <w:rFonts w:hint="eastAsia" w:ascii="Times New Roman" w:hAnsi="Times New Roman" w:cs="Times New Roman"/>
          <w:color w:val="auto"/>
          <w:highlight w:val="none"/>
        </w:rPr>
        <w:t>不得</w:t>
      </w:r>
      <w:r>
        <w:rPr>
          <w:rFonts w:hint="eastAsia" w:hAnsi="宋体" w:cs="Times New Roman"/>
          <w:color w:val="auto"/>
          <w:highlight w:val="none"/>
        </w:rPr>
        <w:t>”“</w:t>
      </w:r>
      <w:r>
        <w:rPr>
          <w:rFonts w:hint="eastAsia" w:ascii="Times New Roman" w:hAnsi="Times New Roman" w:cs="Times New Roman"/>
          <w:color w:val="auto"/>
          <w:highlight w:val="none"/>
        </w:rPr>
        <w:t>必须</w:t>
      </w:r>
      <w:r>
        <w:rPr>
          <w:rFonts w:hint="eastAsia" w:hAnsi="宋体" w:cs="Times New Roman"/>
          <w:color w:val="auto"/>
          <w:highlight w:val="none"/>
        </w:rPr>
        <w:t>”“</w:t>
      </w:r>
      <w:r>
        <w:rPr>
          <w:rFonts w:hint="eastAsia" w:ascii="Times New Roman" w:hAnsi="Times New Roman" w:cs="Times New Roman"/>
          <w:color w:val="auto"/>
          <w:highlight w:val="none"/>
        </w:rPr>
        <w:t>应当</w:t>
      </w:r>
      <w:r>
        <w:rPr>
          <w:rFonts w:hint="eastAsia" w:hAnsi="宋体" w:cs="Times New Roman"/>
          <w:color w:val="auto"/>
          <w:highlight w:val="none"/>
        </w:rPr>
        <w:t>”</w:t>
      </w:r>
      <w:r>
        <w:rPr>
          <w:rFonts w:hint="eastAsia" w:ascii="Times New Roman" w:hAnsi="Times New Roman" w:cs="Times New Roman"/>
          <w:color w:val="auto"/>
          <w:highlight w:val="none"/>
        </w:rPr>
        <w:t>等文字规定</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对其中任何一条的偏离</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在评标时将其视为无效投标。</w:t>
      </w:r>
    </w:p>
    <w:p w14:paraId="3BAE3512">
      <w:pPr>
        <w:pStyle w:val="17"/>
        <w:ind w:firstLine="420" w:firstLineChars="200"/>
        <w:rPr>
          <w:rFonts w:ascii="Times New Roman" w:hAnsi="Times New Roman" w:eastAsia="MingLiU_HKSCS" w:cs="Times New Roman"/>
          <w:color w:val="auto"/>
          <w:highlight w:val="none"/>
        </w:rPr>
      </w:pPr>
      <w:r>
        <w:rPr>
          <w:rFonts w:hint="eastAsia" w:ascii="Times New Roman" w:hAnsi="Times New Roman" w:cs="Times New Roman"/>
          <w:color w:val="auto"/>
          <w:highlight w:val="none"/>
        </w:rPr>
        <w:t>三、投标文件</w:t>
      </w:r>
    </w:p>
    <w:p w14:paraId="0CE9A144">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13.</w:t>
      </w:r>
      <w:r>
        <w:rPr>
          <w:rFonts w:hint="eastAsia" w:ascii="Times New Roman" w:hAnsi="Times New Roman" w:cs="Times New Roman"/>
          <w:color w:val="auto"/>
          <w:highlight w:val="none"/>
        </w:rPr>
        <w:t>　一般要求</w:t>
      </w:r>
    </w:p>
    <w:p w14:paraId="3F46DA8B">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13.1</w:t>
      </w:r>
      <w:r>
        <w:rPr>
          <w:rFonts w:hint="eastAsia" w:ascii="Times New Roman" w:hAnsi="Times New Roman" w:cs="Times New Roman"/>
          <w:color w:val="auto"/>
          <w:highlight w:val="none"/>
        </w:rPr>
        <w:t>　投标人应仔细阅读招标文件的所有内容</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按招标文件的要求编制投标文件</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并保证所提供的全部资料的真实性</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以使其投标文件对招标文件做出实质性的响应。</w:t>
      </w:r>
    </w:p>
    <w:p w14:paraId="3409059B">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13.2</w:t>
      </w:r>
      <w:r>
        <w:rPr>
          <w:rFonts w:hint="eastAsia" w:ascii="Times New Roman" w:hAnsi="Times New Roman" w:cs="Times New Roman"/>
          <w:color w:val="auto"/>
          <w:highlight w:val="none"/>
        </w:rPr>
        <w:t>　投标人提交的投标文件及投标人与采购人或采购代理机构、评标委员会就有关投标的所有来往函电必须使用中文。投标人可以提交其他语言的资料</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但应附有中文注释</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有差异时以中文为准。</w:t>
      </w:r>
    </w:p>
    <w:p w14:paraId="0A517BC4">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13.3</w:t>
      </w:r>
      <w:r>
        <w:rPr>
          <w:rFonts w:hint="eastAsia" w:ascii="Times New Roman" w:hAnsi="Times New Roman" w:cs="Times New Roman"/>
          <w:color w:val="auto"/>
          <w:highlight w:val="none"/>
        </w:rPr>
        <w:t>　除技术要求另有规定外</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本文件所要求使用的计量单位均采用国家法定的度、量、衡标准单位计量。未列明时亦默认为我国法定计量单位。</w:t>
      </w:r>
    </w:p>
    <w:p w14:paraId="17064159">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13.4</w:t>
      </w:r>
      <w:r>
        <w:rPr>
          <w:rFonts w:hint="eastAsia" w:ascii="Times New Roman" w:hAnsi="Times New Roman" w:cs="Times New Roman"/>
          <w:color w:val="auto"/>
          <w:highlight w:val="none"/>
        </w:rPr>
        <w:t>　供应商应按招标文件中提供的投标文件格式填写。</w:t>
      </w:r>
    </w:p>
    <w:p w14:paraId="0A181D8D">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13.5</w:t>
      </w:r>
      <w:r>
        <w:rPr>
          <w:rFonts w:hint="eastAsia" w:ascii="Times New Roman" w:hAnsi="Times New Roman" w:cs="Times New Roman"/>
          <w:color w:val="auto"/>
          <w:highlight w:val="none"/>
        </w:rPr>
        <w:t>　投标文件应采用书面形式</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招标文件中要求提供电子版的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必须按要求提供。</w:t>
      </w:r>
    </w:p>
    <w:p w14:paraId="0C2E8D66">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14.</w:t>
      </w:r>
      <w:r>
        <w:rPr>
          <w:rFonts w:hint="eastAsia" w:ascii="Times New Roman" w:hAnsi="Times New Roman" w:cs="Times New Roman"/>
          <w:color w:val="auto"/>
          <w:highlight w:val="none"/>
        </w:rPr>
        <w:t>投标文件的组成</w:t>
      </w:r>
      <w:r>
        <w:rPr>
          <w:rFonts w:ascii="Times New Roman" w:hAnsi="Times New Roman" w:cs="Times New Roman"/>
          <w:color w:val="auto"/>
          <w:highlight w:val="none"/>
        </w:rPr>
        <w:t>(</w:t>
      </w:r>
      <w:r>
        <w:rPr>
          <w:rFonts w:hint="eastAsia" w:ascii="Times New Roman" w:hAnsi="Times New Roman" w:eastAsia="黑体" w:cs="Times New Roman"/>
          <w:color w:val="auto"/>
          <w:highlight w:val="none"/>
        </w:rPr>
        <w:t>采购人可根据项目实际情况增加</w:t>
      </w:r>
      <w:r>
        <w:rPr>
          <w:rFonts w:hint="eastAsia" w:hAnsi="宋体" w:eastAsia="黑体" w:cs="Times New Roman"/>
          <w:color w:val="auto"/>
          <w:highlight w:val="none"/>
        </w:rPr>
        <w:t>★</w:t>
      </w:r>
      <w:r>
        <w:rPr>
          <w:rFonts w:hint="eastAsia" w:ascii="Times New Roman" w:hAnsi="Times New Roman" w:eastAsia="黑体" w:cs="Times New Roman"/>
          <w:color w:val="auto"/>
          <w:highlight w:val="none"/>
        </w:rPr>
        <w:t>条款</w:t>
      </w:r>
      <w:r>
        <w:rPr>
          <w:rFonts w:ascii="Times New Roman" w:hAnsi="Times New Roman" w:cs="Times New Roman"/>
          <w:color w:val="auto"/>
          <w:highlight w:val="none"/>
        </w:rPr>
        <w:t>)</w:t>
      </w:r>
    </w:p>
    <w:p w14:paraId="68152C30">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14.1</w:t>
      </w:r>
      <w:r>
        <w:rPr>
          <w:rFonts w:hint="eastAsia" w:ascii="Times New Roman" w:hAnsi="Times New Roman" w:cs="Times New Roman"/>
          <w:color w:val="auto"/>
          <w:highlight w:val="none"/>
        </w:rPr>
        <w:t>　投标文件包括但不限于下列内容</w:t>
      </w:r>
    </w:p>
    <w:p w14:paraId="00AA1B12">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14.1.1</w:t>
      </w:r>
      <w:r>
        <w:rPr>
          <w:rFonts w:hint="eastAsia" w:ascii="Times New Roman" w:hAnsi="Times New Roman" w:cs="Times New Roman"/>
          <w:color w:val="auto"/>
          <w:highlight w:val="none"/>
        </w:rPr>
        <w:t>　价格及商务部分：</w:t>
      </w:r>
    </w:p>
    <w:p w14:paraId="74B9FD5B">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投标函</w:t>
      </w:r>
      <w:r>
        <w:rPr>
          <w:rFonts w:ascii="Times New Roman" w:hAnsi="Times New Roman" w:cs="Times New Roman"/>
          <w:color w:val="auto"/>
          <w:highlight w:val="none"/>
        </w:rPr>
        <w:t>(</w:t>
      </w:r>
      <w:r>
        <w:rPr>
          <w:rFonts w:hint="eastAsia" w:ascii="Times New Roman" w:hAnsi="Times New Roman" w:cs="Times New Roman"/>
          <w:color w:val="auto"/>
          <w:highlight w:val="none"/>
        </w:rPr>
        <w:t>含法定代表人身份证明或授权委托书</w:t>
      </w:r>
      <w:r>
        <w:rPr>
          <w:rFonts w:ascii="Times New Roman" w:hAnsi="Times New Roman" w:cs="Times New Roman"/>
          <w:color w:val="auto"/>
          <w:highlight w:val="none"/>
        </w:rPr>
        <w:t>)</w:t>
      </w:r>
    </w:p>
    <w:p w14:paraId="4FD5B4CB">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w:t>
      </w:r>
      <w:r>
        <w:rPr>
          <w:rFonts w:hint="eastAsia" w:ascii="Times New Roman" w:hAnsi="Times New Roman" w:cs="Times New Roman"/>
          <w:color w:val="auto"/>
          <w:highlight w:val="none"/>
        </w:rPr>
        <w:t>开标一览表</w:t>
      </w:r>
    </w:p>
    <w:p w14:paraId="666C6D30">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分项价格表</w:t>
      </w:r>
    </w:p>
    <w:p w14:paraId="76763B05">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(4)</w:t>
      </w:r>
      <w:r>
        <w:rPr>
          <w:rFonts w:hint="eastAsia" w:ascii="Times New Roman" w:hAnsi="Times New Roman" w:cs="Times New Roman"/>
          <w:color w:val="auto"/>
          <w:highlight w:val="none"/>
        </w:rPr>
        <w:t>商务条款偏离表</w:t>
      </w:r>
    </w:p>
    <w:p w14:paraId="3EDD7AB6">
      <w:pPr>
        <w:pStyle w:val="17"/>
        <w:ind w:firstLine="420" w:firstLineChars="200"/>
        <w:rPr>
          <w:rFonts w:hint="eastAsia" w:ascii="Times New Roman" w:hAnsi="Times New Roman" w:cs="Times New Roman"/>
          <w:color w:val="auto"/>
          <w:highlight w:val="none"/>
        </w:rPr>
      </w:pPr>
      <w:r>
        <w:rPr>
          <w:rFonts w:ascii="Times New Roman" w:hAnsi="Times New Roman" w:cs="Times New Roman"/>
          <w:color w:val="auto"/>
          <w:highlight w:val="none"/>
        </w:rPr>
        <w:t>(5)</w:t>
      </w:r>
      <w:r>
        <w:rPr>
          <w:rFonts w:hint="eastAsia" w:ascii="Times New Roman" w:hAnsi="Times New Roman" w:cs="Times New Roman"/>
          <w:color w:val="auto"/>
          <w:highlight w:val="none"/>
        </w:rPr>
        <w:t>投标保证金</w:t>
      </w:r>
    </w:p>
    <w:p w14:paraId="3B016E6C">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供应商符合投标人资格条件的证明文件</w:t>
      </w:r>
    </w:p>
    <w:p w14:paraId="4302F000">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(7)</w:t>
      </w:r>
      <w:r>
        <w:rPr>
          <w:rFonts w:hint="eastAsia" w:ascii="Times New Roman" w:hAnsi="Times New Roman" w:cs="Times New Roman"/>
          <w:color w:val="auto"/>
          <w:highlight w:val="none"/>
        </w:rPr>
        <w:t>符合政府采购政策的证明材料</w:t>
      </w:r>
    </w:p>
    <w:p w14:paraId="68E6D91E">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(8)</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要求投标人提交的其他资料</w:t>
      </w:r>
    </w:p>
    <w:p w14:paraId="58DF569B">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(9)</w:t>
      </w:r>
      <w:r>
        <w:rPr>
          <w:rFonts w:hint="eastAsia" w:ascii="Times New Roman" w:hAnsi="Times New Roman" w:cs="Times New Roman"/>
          <w:color w:val="auto"/>
          <w:highlight w:val="none"/>
        </w:rPr>
        <w:t>供应商认为需提供的其他资料</w:t>
      </w:r>
    </w:p>
    <w:p w14:paraId="42A77345">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14.1.2</w:t>
      </w:r>
      <w:r>
        <w:rPr>
          <w:rFonts w:hint="eastAsia" w:ascii="Times New Roman" w:hAnsi="Times New Roman" w:cs="Times New Roman"/>
          <w:color w:val="auto"/>
          <w:highlight w:val="none"/>
        </w:rPr>
        <w:t>　技术部分</w:t>
      </w:r>
    </w:p>
    <w:p w14:paraId="74593FEE">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w:t>
      </w:r>
      <w:r>
        <w:rPr>
          <w:rFonts w:hint="eastAsia"/>
          <w:color w:val="auto"/>
          <w:highlight w:val="none"/>
        </w:rPr>
        <w:t>服务方案</w:t>
      </w:r>
    </w:p>
    <w:p w14:paraId="6E1CCE53">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w:t>
      </w:r>
      <w:r>
        <w:rPr>
          <w:rFonts w:hint="eastAsia" w:ascii="Times New Roman" w:hAnsi="Times New Roman" w:cs="Times New Roman"/>
          <w:color w:val="auto"/>
          <w:highlight w:val="none"/>
        </w:rPr>
        <w:t>技术响应与偏离表</w:t>
      </w:r>
    </w:p>
    <w:p w14:paraId="623706DE">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服务承诺和优惠条件</w:t>
      </w:r>
    </w:p>
    <w:p w14:paraId="693BBD5E">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(4)</w:t>
      </w:r>
      <w:r>
        <w:rPr>
          <w:rFonts w:hint="eastAsia" w:ascii="Times New Roman" w:hAnsi="Times New Roman" w:cs="Times New Roman"/>
          <w:color w:val="auto"/>
          <w:highlight w:val="none"/>
        </w:rPr>
        <w:t>拟用于本项目人员简历表</w:t>
      </w:r>
    </w:p>
    <w:p w14:paraId="4245DA96">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(5)</w:t>
      </w:r>
      <w:r>
        <w:rPr>
          <w:rFonts w:hint="eastAsia" w:ascii="Times New Roman" w:hAnsi="Times New Roman" w:cs="Times New Roman"/>
          <w:color w:val="auto"/>
          <w:highlight w:val="none"/>
        </w:rPr>
        <w:t>其他资料</w:t>
      </w:r>
    </w:p>
    <w:p w14:paraId="696057AB">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14.2</w:t>
      </w:r>
      <w:r>
        <w:rPr>
          <w:rFonts w:hint="eastAsia" w:ascii="Times New Roman" w:hAnsi="Times New Roman" w:cs="Times New Roman"/>
          <w:color w:val="auto"/>
          <w:highlight w:val="none"/>
        </w:rPr>
        <w:t>　</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规定供应商在投标时提供样品的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供应商有以下情形之一的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在投标时将其视为无效响应文件。</w:t>
      </w:r>
    </w:p>
    <w:p w14:paraId="79CAC7FB">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未在</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规定的提交时间、地点提交的；</w:t>
      </w:r>
    </w:p>
    <w:p w14:paraId="78C93C5C">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w:t>
      </w:r>
      <w:r>
        <w:rPr>
          <w:rFonts w:hint="eastAsia" w:ascii="Times New Roman" w:hAnsi="Times New Roman" w:cs="Times New Roman"/>
          <w:color w:val="auto"/>
          <w:highlight w:val="none"/>
        </w:rPr>
        <w:t>供应商提供的样品与投标文件中型号、规格不一致的。</w:t>
      </w:r>
    </w:p>
    <w:p w14:paraId="50F289FC">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14.3</w:t>
      </w:r>
      <w:r>
        <w:rPr>
          <w:rFonts w:hint="eastAsia" w:ascii="Times New Roman" w:hAnsi="Times New Roman" w:cs="Times New Roman"/>
          <w:color w:val="auto"/>
          <w:highlight w:val="none"/>
        </w:rPr>
        <w:t>　在投标过程中</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投标人根据评标委员会书面形式要求提供的澄清文件是投标文件的有效组成部分。</w:t>
      </w:r>
    </w:p>
    <w:p w14:paraId="4AB2665D">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14.4</w:t>
      </w:r>
      <w:r>
        <w:rPr>
          <w:rFonts w:hint="eastAsia" w:ascii="Times New Roman" w:hAnsi="Times New Roman" w:cs="Times New Roman"/>
          <w:color w:val="auto"/>
          <w:highlight w:val="none"/>
        </w:rPr>
        <w:t>　供应商无论中标与否</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其投标文件不予退还。</w:t>
      </w:r>
    </w:p>
    <w:p w14:paraId="13628E02">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15.</w:t>
      </w:r>
      <w:r>
        <w:rPr>
          <w:rFonts w:hint="eastAsia" w:ascii="Times New Roman" w:hAnsi="Times New Roman" w:cs="Times New Roman"/>
          <w:color w:val="auto"/>
          <w:highlight w:val="none"/>
        </w:rPr>
        <w:t>投标报价</w:t>
      </w:r>
    </w:p>
    <w:p w14:paraId="0B0C71C8">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15.1</w:t>
      </w:r>
      <w:r>
        <w:rPr>
          <w:rFonts w:hint="eastAsia" w:ascii="Times New Roman" w:hAnsi="Times New Roman" w:cs="Times New Roman"/>
          <w:color w:val="auto"/>
          <w:highlight w:val="none"/>
        </w:rPr>
        <w:t>　投标人应按招标文件规定的供货及服务要求、责任范围和合同条件以人民币形式进行报价。投标报价应为完税价。</w:t>
      </w:r>
    </w:p>
    <w:p w14:paraId="16312A93">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15.2</w:t>
      </w:r>
      <w:r>
        <w:rPr>
          <w:rFonts w:hint="eastAsia" w:ascii="Times New Roman" w:hAnsi="Times New Roman" w:cs="Times New Roman"/>
          <w:color w:val="auto"/>
          <w:highlight w:val="none"/>
        </w:rPr>
        <w:t>　投标人必须按开标一览表和分项价格表的内容和格式要求填写各项货物及服务的分项价格和总价。投标人在</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规定的投标文件截止之日前修改开标一览表中的报价的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应同时修改其分项价格表中的报价。</w:t>
      </w:r>
    </w:p>
    <w:p w14:paraId="74CC4DD6">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15.3</w:t>
      </w:r>
      <w:r>
        <w:rPr>
          <w:rFonts w:hint="eastAsia" w:ascii="Times New Roman" w:hAnsi="Times New Roman" w:cs="Times New Roman"/>
          <w:color w:val="auto"/>
          <w:highlight w:val="none"/>
        </w:rPr>
        <w:t>　投标人对每种货物及服务只允许有一个报价</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不接受可变动性报价、赠送及</w:t>
      </w:r>
      <w:r>
        <w:rPr>
          <w:rFonts w:hint="eastAsia" w:hAnsi="宋体" w:cs="Times New Roman"/>
          <w:color w:val="auto"/>
          <w:highlight w:val="none"/>
        </w:rPr>
        <w:t>“</w:t>
      </w:r>
      <w:r>
        <w:rPr>
          <w:rFonts w:hint="eastAsia" w:ascii="Times New Roman" w:hAnsi="Times New Roman" w:cs="Times New Roman"/>
          <w:color w:val="auto"/>
          <w:highlight w:val="none"/>
        </w:rPr>
        <w:t>零</w:t>
      </w:r>
      <w:r>
        <w:rPr>
          <w:rFonts w:hint="eastAsia" w:hAnsi="宋体" w:cs="Times New Roman"/>
          <w:color w:val="auto"/>
          <w:highlight w:val="none"/>
        </w:rPr>
        <w:t>”</w:t>
      </w:r>
      <w:r>
        <w:rPr>
          <w:rFonts w:hint="eastAsia" w:ascii="Times New Roman" w:hAnsi="Times New Roman" w:cs="Times New Roman"/>
          <w:color w:val="auto"/>
          <w:highlight w:val="none"/>
        </w:rPr>
        <w:t>报价</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否则</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在评标时将其视为无效投标。</w:t>
      </w:r>
    </w:p>
    <w:p w14:paraId="22360181">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15.4</w:t>
      </w:r>
      <w:r>
        <w:rPr>
          <w:rFonts w:hint="eastAsia" w:ascii="Times New Roman" w:hAnsi="Times New Roman" w:cs="Times New Roman"/>
          <w:color w:val="auto"/>
          <w:highlight w:val="none"/>
        </w:rPr>
        <w:t>　项目有特殊要求的见</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w:t>
      </w:r>
    </w:p>
    <w:p w14:paraId="242495E7">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16.</w:t>
      </w:r>
      <w:r>
        <w:rPr>
          <w:rFonts w:hint="eastAsia" w:ascii="Times New Roman" w:hAnsi="Times New Roman" w:cs="Times New Roman"/>
          <w:color w:val="auto"/>
          <w:highlight w:val="none"/>
        </w:rPr>
        <w:t>投标保证金</w:t>
      </w:r>
    </w:p>
    <w:p w14:paraId="33620551">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16.1</w:t>
      </w:r>
      <w:r>
        <w:rPr>
          <w:rFonts w:hint="eastAsia" w:ascii="Times New Roman" w:hAnsi="Times New Roman" w:cs="Times New Roman"/>
          <w:color w:val="auto"/>
          <w:highlight w:val="none"/>
        </w:rPr>
        <w:t>　本项目是否交纳投标保证金见</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w:t>
      </w:r>
    </w:p>
    <w:p w14:paraId="36B902B8">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16.2</w:t>
      </w:r>
      <w:r>
        <w:rPr>
          <w:rFonts w:hint="eastAsia" w:ascii="Times New Roman" w:hAnsi="Times New Roman" w:cs="Times New Roman"/>
          <w:color w:val="auto"/>
          <w:highlight w:val="none"/>
        </w:rPr>
        <w:t>　</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规定交纳投标保证金的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投标人应以支票、汇票、本票或金融机构、担保机构出具的保函等非现金形式</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在本章</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规定的投标截止时间前</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向采购人或采购代理机构提交</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规定的投标保证金</w:t>
      </w:r>
      <w:r>
        <w:rPr>
          <w:rFonts w:ascii="Times New Roman" w:hAnsi="Times New Roman" w:cs="Times New Roman"/>
          <w:color w:val="auto"/>
          <w:highlight w:val="none"/>
        </w:rPr>
        <w:t>(</w:t>
      </w:r>
      <w:r>
        <w:rPr>
          <w:rFonts w:hint="eastAsia" w:ascii="Times New Roman" w:hAnsi="Times New Roman" w:cs="Times New Roman"/>
          <w:color w:val="auto"/>
          <w:highlight w:val="none"/>
        </w:rPr>
        <w:t>数额采用四舍五入</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计算至元</w:t>
      </w:r>
      <w:r>
        <w:rPr>
          <w:rFonts w:ascii="Times New Roman" w:hAnsi="Times New Roman" w:cs="Times New Roman"/>
          <w:color w:val="auto"/>
          <w:highlight w:val="none"/>
        </w:rPr>
        <w:t>)</w:t>
      </w:r>
      <w:r>
        <w:rPr>
          <w:rFonts w:hint="eastAsia" w:ascii="Times New Roman" w:hAnsi="Times New Roman" w:cs="Times New Roman"/>
          <w:color w:val="auto"/>
          <w:highlight w:val="none"/>
        </w:rPr>
        <w:t>。投标保证金有效期应与本章</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规定的投标有效期一致。投标人未按照招标文件要求提交投标保证金的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采购人或采购代理机构应当拒绝接收投标人的投标文件或评标委员会在评标时将其视为无效投标。</w:t>
      </w:r>
    </w:p>
    <w:p w14:paraId="6F4ED023">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16.3</w:t>
      </w:r>
      <w:r>
        <w:rPr>
          <w:rFonts w:hint="eastAsia" w:ascii="Times New Roman" w:hAnsi="Times New Roman" w:cs="Times New Roman"/>
          <w:color w:val="auto"/>
          <w:highlight w:val="none"/>
        </w:rPr>
        <w:t>　联合体投标的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可以由联合体中的一方或者共同提交投标保证金。以一方名义提交投标保证金的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对联合体各方均具有约束力。</w:t>
      </w:r>
    </w:p>
    <w:p w14:paraId="305549AD">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16.4</w:t>
      </w:r>
      <w:r>
        <w:rPr>
          <w:rFonts w:hint="eastAsia" w:ascii="Times New Roman" w:hAnsi="Times New Roman" w:cs="Times New Roman"/>
          <w:color w:val="auto"/>
          <w:highlight w:val="none"/>
        </w:rPr>
        <w:t>　未中标的投标人的投标保证金</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将在中标通知书发出后</w:t>
      </w:r>
      <w:r>
        <w:rPr>
          <w:rFonts w:ascii="Times New Roman" w:hAnsi="Times New Roman" w:cs="Times New Roman"/>
          <w:color w:val="auto"/>
          <w:highlight w:val="none"/>
        </w:rPr>
        <w:t>5</w:t>
      </w:r>
      <w:r>
        <w:rPr>
          <w:rFonts w:hint="eastAsia" w:ascii="Times New Roman" w:hAnsi="Times New Roman" w:cs="Times New Roman"/>
          <w:color w:val="auto"/>
          <w:highlight w:val="none"/>
        </w:rPr>
        <w:t>个工作日内退还</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但因投标人自身原因导致无法及时退还的除外。</w:t>
      </w:r>
    </w:p>
    <w:p w14:paraId="185A95B5">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16.5</w:t>
      </w:r>
      <w:r>
        <w:rPr>
          <w:rFonts w:hint="eastAsia" w:ascii="Times New Roman" w:hAnsi="Times New Roman" w:cs="Times New Roman"/>
          <w:color w:val="auto"/>
          <w:highlight w:val="none"/>
        </w:rPr>
        <w:t>　中标的投标人的投标保证金</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将在政府采购合同签订后</w:t>
      </w:r>
      <w:r>
        <w:rPr>
          <w:rFonts w:ascii="Times New Roman" w:hAnsi="Times New Roman" w:cs="Times New Roman"/>
          <w:color w:val="auto"/>
          <w:highlight w:val="none"/>
        </w:rPr>
        <w:t>5</w:t>
      </w:r>
      <w:r>
        <w:rPr>
          <w:rFonts w:hint="eastAsia" w:ascii="Times New Roman" w:hAnsi="Times New Roman" w:cs="Times New Roman"/>
          <w:color w:val="auto"/>
          <w:highlight w:val="none"/>
        </w:rPr>
        <w:t>个工作日内退还或者转为中标人的履约保证金。</w:t>
      </w:r>
    </w:p>
    <w:p w14:paraId="2BE41BBD">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16.6</w:t>
      </w:r>
      <w:r>
        <w:rPr>
          <w:rFonts w:hint="eastAsia" w:ascii="Times New Roman" w:hAnsi="Times New Roman" w:cs="Times New Roman"/>
          <w:color w:val="auto"/>
          <w:highlight w:val="none"/>
        </w:rPr>
        <w:t>　投标人有以下情形之一的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投标保证金可以不予退还：</w:t>
      </w:r>
    </w:p>
    <w:p w14:paraId="1A444A1A">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在</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规定的投标有效期内撤销投标文件。</w:t>
      </w:r>
    </w:p>
    <w:p w14:paraId="1B49B431">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w:t>
      </w:r>
      <w:r>
        <w:rPr>
          <w:rFonts w:hint="eastAsia" w:ascii="Times New Roman" w:hAnsi="Times New Roman" w:cs="Times New Roman"/>
          <w:color w:val="auto"/>
          <w:highlight w:val="none"/>
        </w:rPr>
        <w:t>中标后无正当理由不与采购人签订合同的。</w:t>
      </w:r>
    </w:p>
    <w:p w14:paraId="524DED93">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17.</w:t>
      </w:r>
      <w:r>
        <w:rPr>
          <w:rFonts w:hint="eastAsia" w:ascii="Times New Roman" w:hAnsi="Times New Roman" w:cs="Times New Roman"/>
          <w:color w:val="auto"/>
          <w:highlight w:val="none"/>
        </w:rPr>
        <w:t>投标有效期</w:t>
      </w:r>
    </w:p>
    <w:p w14:paraId="4616B623">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17.1</w:t>
      </w:r>
      <w:r>
        <w:rPr>
          <w:rFonts w:hint="eastAsia" w:ascii="Times New Roman" w:hAnsi="Times New Roman" w:cs="Times New Roman"/>
          <w:color w:val="auto"/>
          <w:highlight w:val="none"/>
        </w:rPr>
        <w:t>　投标有效期见</w:t>
      </w:r>
      <w:r>
        <w:rPr>
          <w:rFonts w:hint="eastAsia" w:ascii="Times New Roman" w:hAnsi="Times New Roman" w:eastAsia="黑体" w:cs="Times New Roman"/>
          <w:color w:val="auto"/>
          <w:highlight w:val="none"/>
        </w:rPr>
        <w:t>投标人须知前附表</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在此期间投标文件对投标人具有法律约束力</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以保证采购人有足够的时间完成评标、定标以及签订合同。投标有效期从</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规定的投标截止之日起计算。投标有效期不足的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在评标时将其视为无效投标。</w:t>
      </w:r>
    </w:p>
    <w:p w14:paraId="78058382">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17.2</w:t>
      </w:r>
      <w:r>
        <w:rPr>
          <w:rFonts w:hint="eastAsia" w:ascii="Times New Roman" w:hAnsi="Times New Roman" w:cs="Times New Roman"/>
          <w:color w:val="auto"/>
          <w:highlight w:val="none"/>
        </w:rPr>
        <w:t>　特殊情况需延长投标有效期的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采购人或采购代理机构可于投标有效期届满之前</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要求投标人同意延长有效期</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采购人或采购代理机构的要求与投标人的答复均应为书面形式。投标人拒绝延长的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其投标在原投标有效期届满后将不再有效</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但有权收回其投标保证金；投标人同意延长的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应相应延长其投标保证金的有效期</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但不允许修改或撤回投标文件。</w:t>
      </w:r>
    </w:p>
    <w:p w14:paraId="04946D05">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18.</w:t>
      </w:r>
      <w:r>
        <w:rPr>
          <w:rFonts w:hint="eastAsia" w:ascii="Times New Roman" w:hAnsi="Times New Roman" w:cs="Times New Roman"/>
          <w:b/>
          <w:bCs/>
          <w:color w:val="auto"/>
          <w:highlight w:val="none"/>
        </w:rPr>
        <w:t>投标文件的签署和规定</w:t>
      </w:r>
    </w:p>
    <w:p w14:paraId="3BBD125E">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18.1</w:t>
      </w:r>
      <w:r>
        <w:rPr>
          <w:rFonts w:hint="eastAsia" w:ascii="Times New Roman" w:hAnsi="Times New Roman" w:cs="Times New Roman"/>
          <w:color w:val="auto"/>
          <w:highlight w:val="none"/>
        </w:rPr>
        <w:t>　投标人应根据</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规定提交投标文件。纸质文件的正本和副本应装订成册。正本和副本的封面应注明</w:t>
      </w:r>
      <w:r>
        <w:rPr>
          <w:rFonts w:hint="eastAsia" w:hAnsi="宋体" w:cs="Times New Roman"/>
          <w:color w:val="auto"/>
          <w:highlight w:val="none"/>
        </w:rPr>
        <w:t>“</w:t>
      </w:r>
      <w:r>
        <w:rPr>
          <w:rFonts w:hint="eastAsia" w:ascii="Times New Roman" w:hAnsi="Times New Roman" w:cs="Times New Roman"/>
          <w:color w:val="auto"/>
          <w:highlight w:val="none"/>
        </w:rPr>
        <w:t>正本</w:t>
      </w:r>
      <w:r>
        <w:rPr>
          <w:rFonts w:hint="eastAsia" w:hAnsi="宋体" w:cs="Times New Roman"/>
          <w:color w:val="auto"/>
          <w:highlight w:val="none"/>
        </w:rPr>
        <w:t>”</w:t>
      </w:r>
      <w:r>
        <w:rPr>
          <w:rFonts w:hint="eastAsia" w:ascii="Times New Roman" w:hAnsi="Times New Roman" w:cs="Times New Roman"/>
          <w:color w:val="auto"/>
          <w:highlight w:val="none"/>
        </w:rPr>
        <w:t>或</w:t>
      </w:r>
      <w:r>
        <w:rPr>
          <w:rFonts w:hint="eastAsia" w:hAnsi="宋体" w:cs="Times New Roman"/>
          <w:color w:val="auto"/>
          <w:highlight w:val="none"/>
        </w:rPr>
        <w:t>“</w:t>
      </w:r>
      <w:r>
        <w:rPr>
          <w:rFonts w:hint="eastAsia" w:ascii="Times New Roman" w:hAnsi="Times New Roman" w:cs="Times New Roman"/>
          <w:color w:val="auto"/>
          <w:highlight w:val="none"/>
        </w:rPr>
        <w:t>副本</w:t>
      </w:r>
      <w:r>
        <w:rPr>
          <w:rFonts w:hint="eastAsia" w:hAnsi="宋体" w:cs="Times New Roman"/>
          <w:color w:val="auto"/>
          <w:highlight w:val="none"/>
        </w:rPr>
        <w:t>”</w:t>
      </w:r>
      <w:r>
        <w:rPr>
          <w:rFonts w:hint="eastAsia" w:ascii="Times New Roman" w:hAnsi="Times New Roman" w:cs="Times New Roman"/>
          <w:color w:val="auto"/>
          <w:highlight w:val="none"/>
        </w:rPr>
        <w:t>的字样</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当正本和副本、电子版不一致时</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以正本为准。</w:t>
      </w:r>
    </w:p>
    <w:p w14:paraId="514657AB">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18.2</w:t>
      </w:r>
      <w:r>
        <w:rPr>
          <w:rFonts w:hint="eastAsia" w:ascii="Times New Roman" w:hAnsi="Times New Roman" w:cs="Times New Roman"/>
          <w:color w:val="auto"/>
          <w:highlight w:val="none"/>
        </w:rPr>
        <w:t>　投标文件应用不褪色的材料打印或书写</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并按招标文件要求在签字盖章处盖单位章和由法定代表人或其授权代表签字。投标文件中的任何行间插字、涂改和增删</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应加盖单位章或由投标人的法定代表人或其授权的代理人签字确认。否则</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在评标时将其视为无效投标。</w:t>
      </w:r>
    </w:p>
    <w:p w14:paraId="282205C3">
      <w:pPr>
        <w:pStyle w:val="17"/>
        <w:ind w:firstLine="420" w:firstLineChars="200"/>
        <w:rPr>
          <w:rFonts w:ascii="Times New Roman" w:hAnsi="Times New Roman" w:eastAsia="MingLiU_HKSCS" w:cs="Times New Roman"/>
          <w:b w:val="0"/>
          <w:bCs w:val="0"/>
          <w:color w:val="auto"/>
          <w:highlight w:val="none"/>
        </w:rPr>
      </w:pPr>
      <w:r>
        <w:rPr>
          <w:rFonts w:ascii="Times New Roman" w:hAnsi="Times New Roman" w:cs="Times New Roman"/>
          <w:b w:val="0"/>
          <w:bCs w:val="0"/>
          <w:color w:val="auto"/>
          <w:highlight w:val="none"/>
        </w:rPr>
        <w:t>19.</w:t>
      </w:r>
      <w:r>
        <w:rPr>
          <w:rFonts w:hint="eastAsia" w:ascii="Times New Roman" w:hAnsi="Times New Roman" w:cs="Times New Roman"/>
          <w:b w:val="0"/>
          <w:bCs w:val="0"/>
          <w:color w:val="auto"/>
          <w:highlight w:val="none"/>
        </w:rPr>
        <w:t>投标文件的密封和标记</w:t>
      </w:r>
    </w:p>
    <w:p w14:paraId="3CE42109">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19.1</w:t>
      </w:r>
      <w:r>
        <w:rPr>
          <w:rFonts w:hint="eastAsia" w:ascii="Times New Roman" w:hAnsi="Times New Roman" w:cs="Times New Roman"/>
          <w:color w:val="auto"/>
          <w:highlight w:val="none"/>
        </w:rPr>
        <w:t>　投标文件按正本和副本分别包装</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注明</w:t>
      </w:r>
      <w:r>
        <w:rPr>
          <w:rFonts w:hint="eastAsia" w:hAnsi="宋体" w:cs="Times New Roman"/>
          <w:color w:val="auto"/>
          <w:highlight w:val="none"/>
        </w:rPr>
        <w:t>“</w:t>
      </w:r>
      <w:r>
        <w:rPr>
          <w:rFonts w:hint="eastAsia" w:ascii="Times New Roman" w:hAnsi="Times New Roman" w:cs="Times New Roman"/>
          <w:color w:val="auto"/>
          <w:highlight w:val="none"/>
        </w:rPr>
        <w:t>正本</w:t>
      </w:r>
      <w:r>
        <w:rPr>
          <w:rFonts w:hint="eastAsia" w:hAnsi="宋体" w:cs="Times New Roman"/>
          <w:color w:val="auto"/>
          <w:highlight w:val="none"/>
        </w:rPr>
        <w:t>”</w:t>
      </w:r>
      <w:r>
        <w:rPr>
          <w:rFonts w:hint="eastAsia" w:ascii="Times New Roman" w:hAnsi="Times New Roman" w:cs="Times New Roman"/>
          <w:color w:val="auto"/>
          <w:highlight w:val="none"/>
        </w:rPr>
        <w:t>或</w:t>
      </w:r>
      <w:r>
        <w:rPr>
          <w:rFonts w:hint="eastAsia" w:hAnsi="宋体" w:cs="Times New Roman"/>
          <w:color w:val="auto"/>
          <w:highlight w:val="none"/>
        </w:rPr>
        <w:t>“</w:t>
      </w:r>
      <w:r>
        <w:rPr>
          <w:rFonts w:hint="eastAsia" w:ascii="Times New Roman" w:hAnsi="Times New Roman" w:cs="Times New Roman"/>
          <w:color w:val="auto"/>
          <w:highlight w:val="none"/>
        </w:rPr>
        <w:t>副本</w:t>
      </w:r>
      <w:r>
        <w:rPr>
          <w:rFonts w:hint="eastAsia" w:hAnsi="宋体" w:cs="Times New Roman"/>
          <w:color w:val="auto"/>
          <w:highlight w:val="none"/>
        </w:rPr>
        <w:t>”</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加贴封条</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并在封套的封口处加盖投标人单位公章或由法定代表人或其授权的代理人签字。</w:t>
      </w:r>
    </w:p>
    <w:p w14:paraId="3EE9988C">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19.2</w:t>
      </w:r>
      <w:r>
        <w:rPr>
          <w:rFonts w:hint="eastAsia" w:ascii="Times New Roman" w:hAnsi="Times New Roman" w:cs="Times New Roman"/>
          <w:color w:val="auto"/>
          <w:highlight w:val="none"/>
        </w:rPr>
        <w:t>　投标文件封套或外包装上应载明的内容见</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w:t>
      </w:r>
    </w:p>
    <w:p w14:paraId="381D81DD">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19.3</w:t>
      </w:r>
      <w:r>
        <w:rPr>
          <w:rFonts w:hint="eastAsia" w:ascii="Times New Roman" w:hAnsi="Times New Roman" w:cs="Times New Roman"/>
          <w:color w:val="auto"/>
          <w:highlight w:val="none"/>
        </w:rPr>
        <w:t>　投标文件如果未按上述规定密封和标记</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采购人或采购代理机构应当拒绝接收。</w:t>
      </w:r>
    </w:p>
    <w:p w14:paraId="59989A77">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19.4</w:t>
      </w:r>
      <w:r>
        <w:rPr>
          <w:rFonts w:hint="eastAsia" w:ascii="Times New Roman" w:hAnsi="Times New Roman" w:cs="Times New Roman"/>
          <w:color w:val="auto"/>
          <w:highlight w:val="none"/>
        </w:rPr>
        <w:t>　为方便开标唱标</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投标人应单独将开标一览表另行封装在同一密封套内</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并标明开标一览表字样</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投标时单独提交。</w:t>
      </w:r>
    </w:p>
    <w:p w14:paraId="69144119">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20.</w:t>
      </w:r>
      <w:r>
        <w:rPr>
          <w:rFonts w:hint="eastAsia" w:ascii="Times New Roman" w:hAnsi="Times New Roman" w:cs="Times New Roman"/>
          <w:color w:val="auto"/>
          <w:highlight w:val="none"/>
        </w:rPr>
        <w:t>投标文件的递交</w:t>
      </w:r>
    </w:p>
    <w:p w14:paraId="784AD1B4">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20.1</w:t>
      </w:r>
      <w:r>
        <w:rPr>
          <w:rFonts w:hint="eastAsia" w:ascii="Times New Roman" w:hAnsi="Times New Roman" w:cs="Times New Roman"/>
          <w:color w:val="auto"/>
          <w:highlight w:val="none"/>
        </w:rPr>
        <w:t>　投标文件应在本章</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规定的投标截止时间之前密封送到</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指定的地点。</w:t>
      </w:r>
    </w:p>
    <w:p w14:paraId="17092FE8">
      <w:pPr>
        <w:pStyle w:val="17"/>
        <w:ind w:firstLine="420" w:firstLineChars="200"/>
        <w:rPr>
          <w:rFonts w:ascii="Times New Roman" w:hAnsi="Times New Roman" w:eastAsia="MingLiU_HKSCS" w:cs="Times New Roman"/>
          <w:color w:val="auto"/>
          <w:highlight w:val="none"/>
        </w:rPr>
      </w:pPr>
      <w:r>
        <w:rPr>
          <w:rFonts w:hint="eastAsia" w:ascii="Times New Roman" w:hAnsi="Times New Roman" w:cs="Times New Roman"/>
          <w:color w:val="auto"/>
          <w:highlight w:val="none"/>
        </w:rPr>
        <w:t>采购人或者采购代理机构收到投标文件后</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应当如实记载投标文件的送达时间和密封情况</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签收保存</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并向投标人出具签收回执。任何单位和个人不得在开标前开启投标文件。</w:t>
      </w:r>
    </w:p>
    <w:p w14:paraId="74A3A10F">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20.2</w:t>
      </w:r>
      <w:r>
        <w:rPr>
          <w:rFonts w:hint="eastAsia" w:ascii="Times New Roman" w:hAnsi="Times New Roman" w:cs="Times New Roman"/>
          <w:color w:val="auto"/>
          <w:highlight w:val="none"/>
        </w:rPr>
        <w:t>　逾期送达或者未按照招标文件要求密封的投标文件</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采购人、采购代理机构应当拒收。</w:t>
      </w:r>
    </w:p>
    <w:p w14:paraId="6C9C7B4B">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21.</w:t>
      </w:r>
      <w:r>
        <w:rPr>
          <w:rFonts w:hint="eastAsia" w:ascii="Times New Roman" w:hAnsi="Times New Roman" w:cs="Times New Roman"/>
          <w:color w:val="auto"/>
          <w:highlight w:val="none"/>
        </w:rPr>
        <w:t>投标文件的修改和撤回</w:t>
      </w:r>
    </w:p>
    <w:p w14:paraId="794712E7">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21.1</w:t>
      </w:r>
      <w:r>
        <w:rPr>
          <w:rFonts w:hint="eastAsia" w:ascii="Times New Roman" w:hAnsi="Times New Roman" w:cs="Times New Roman"/>
          <w:color w:val="auto"/>
          <w:highlight w:val="none"/>
        </w:rPr>
        <w:t>　在</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规定的投标截止时间前</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投标人可以书面形式修改、补充或撤回已递交的投标文件</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但应以书面形式通知采购人或采购代理机构。</w:t>
      </w:r>
    </w:p>
    <w:p w14:paraId="0076D866">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21.2</w:t>
      </w:r>
      <w:r>
        <w:rPr>
          <w:rFonts w:hint="eastAsia" w:ascii="Times New Roman" w:hAnsi="Times New Roman" w:cs="Times New Roman"/>
          <w:color w:val="auto"/>
          <w:highlight w:val="none"/>
        </w:rPr>
        <w:t>　修改、补充的内容为投标文件的组成部分。修改、补充的投标文件应按本章第</w:t>
      </w:r>
      <w:r>
        <w:rPr>
          <w:rFonts w:ascii="Times New Roman" w:hAnsi="Times New Roman" w:cs="Times New Roman"/>
          <w:color w:val="auto"/>
          <w:highlight w:val="none"/>
        </w:rPr>
        <w:t>18</w:t>
      </w:r>
      <w:r>
        <w:rPr>
          <w:rFonts w:hint="eastAsia" w:ascii="Times New Roman" w:hAnsi="Times New Roman" w:cs="Times New Roman"/>
          <w:color w:val="auto"/>
          <w:highlight w:val="none"/>
        </w:rPr>
        <w:t>、</w:t>
      </w:r>
      <w:r>
        <w:rPr>
          <w:rFonts w:ascii="Times New Roman" w:hAnsi="Times New Roman" w:cs="Times New Roman"/>
          <w:color w:val="auto"/>
          <w:highlight w:val="none"/>
        </w:rPr>
        <w:t>19</w:t>
      </w:r>
      <w:r>
        <w:rPr>
          <w:rFonts w:hint="eastAsia" w:ascii="Times New Roman" w:hAnsi="Times New Roman" w:cs="Times New Roman"/>
          <w:color w:val="auto"/>
          <w:highlight w:val="none"/>
        </w:rPr>
        <w:t>、</w:t>
      </w:r>
      <w:r>
        <w:rPr>
          <w:rFonts w:ascii="Times New Roman" w:hAnsi="Times New Roman" w:cs="Times New Roman"/>
          <w:color w:val="auto"/>
          <w:highlight w:val="none"/>
        </w:rPr>
        <w:t>20</w:t>
      </w:r>
      <w:r>
        <w:rPr>
          <w:rFonts w:hint="eastAsia" w:ascii="Times New Roman" w:hAnsi="Times New Roman" w:cs="Times New Roman"/>
          <w:color w:val="auto"/>
          <w:highlight w:val="none"/>
        </w:rPr>
        <w:t>项规定编制、签署、密封、标记和递交</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并标明</w:t>
      </w:r>
      <w:r>
        <w:rPr>
          <w:rFonts w:hint="eastAsia" w:hAnsi="宋体" w:cs="Times New Roman"/>
          <w:color w:val="auto"/>
          <w:highlight w:val="none"/>
        </w:rPr>
        <w:t>“</w:t>
      </w:r>
      <w:r>
        <w:rPr>
          <w:rFonts w:hint="eastAsia" w:ascii="Times New Roman" w:hAnsi="Times New Roman" w:cs="Times New Roman"/>
          <w:color w:val="auto"/>
          <w:highlight w:val="none"/>
        </w:rPr>
        <w:t>修改、补充</w:t>
      </w:r>
      <w:r>
        <w:rPr>
          <w:rFonts w:hint="eastAsia" w:hAnsi="宋体" w:cs="Times New Roman"/>
          <w:color w:val="auto"/>
          <w:highlight w:val="none"/>
        </w:rPr>
        <w:t>”</w:t>
      </w:r>
      <w:r>
        <w:rPr>
          <w:rFonts w:hint="eastAsia" w:ascii="Times New Roman" w:hAnsi="Times New Roman" w:cs="Times New Roman"/>
          <w:color w:val="auto"/>
          <w:highlight w:val="none"/>
        </w:rPr>
        <w:t>字样。</w:t>
      </w:r>
    </w:p>
    <w:p w14:paraId="724DC81B">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21.3</w:t>
      </w:r>
      <w:r>
        <w:rPr>
          <w:rFonts w:hint="eastAsia" w:ascii="Times New Roman" w:hAnsi="Times New Roman" w:cs="Times New Roman"/>
          <w:color w:val="auto"/>
          <w:highlight w:val="none"/>
        </w:rPr>
        <w:t>　投标人按本章</w:t>
      </w:r>
      <w:r>
        <w:rPr>
          <w:rFonts w:ascii="Times New Roman" w:hAnsi="Times New Roman" w:cs="Times New Roman"/>
          <w:color w:val="auto"/>
          <w:highlight w:val="none"/>
        </w:rPr>
        <w:t>21.1</w:t>
      </w:r>
      <w:r>
        <w:rPr>
          <w:rFonts w:hint="eastAsia" w:ascii="Times New Roman" w:hAnsi="Times New Roman" w:cs="Times New Roman"/>
          <w:color w:val="auto"/>
          <w:highlight w:val="none"/>
        </w:rPr>
        <w:t>款撤回投标文件的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采购人或采购代理机构自收到投标人书面撤回通知之日起</w:t>
      </w:r>
      <w:r>
        <w:rPr>
          <w:rFonts w:ascii="Times New Roman" w:hAnsi="Times New Roman" w:cs="Times New Roman"/>
          <w:color w:val="auto"/>
          <w:highlight w:val="none"/>
        </w:rPr>
        <w:t>5</w:t>
      </w:r>
      <w:r>
        <w:rPr>
          <w:rFonts w:hint="eastAsia" w:ascii="Times New Roman" w:hAnsi="Times New Roman" w:cs="Times New Roman"/>
          <w:color w:val="auto"/>
          <w:highlight w:val="none"/>
        </w:rPr>
        <w:t>个工作日内</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退还已收取的投标保证金</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但因投标人自身原因导致无法及时退还的除外。</w:t>
      </w:r>
    </w:p>
    <w:p w14:paraId="09AAF342">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21.4</w:t>
      </w:r>
      <w:r>
        <w:rPr>
          <w:rFonts w:hint="eastAsia" w:ascii="Times New Roman" w:hAnsi="Times New Roman" w:cs="Times New Roman"/>
          <w:color w:val="auto"/>
          <w:highlight w:val="none"/>
        </w:rPr>
        <w:t>　投标人在投标有效期内不得修改、撤销其投标文件。</w:t>
      </w:r>
    </w:p>
    <w:p w14:paraId="49777EFE">
      <w:pPr>
        <w:pStyle w:val="17"/>
        <w:ind w:firstLine="420" w:firstLineChars="200"/>
        <w:rPr>
          <w:rFonts w:ascii="Times New Roman" w:hAnsi="Times New Roman" w:eastAsia="MingLiU_HKSCS" w:cs="Times New Roman"/>
          <w:color w:val="auto"/>
          <w:highlight w:val="none"/>
        </w:rPr>
      </w:pPr>
      <w:r>
        <w:rPr>
          <w:rFonts w:hint="eastAsia" w:ascii="Times New Roman" w:hAnsi="Times New Roman" w:cs="Times New Roman"/>
          <w:color w:val="auto"/>
          <w:highlight w:val="none"/>
        </w:rPr>
        <w:t>四、开标和评标</w:t>
      </w:r>
    </w:p>
    <w:p w14:paraId="26350AC5">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22.</w:t>
      </w:r>
      <w:r>
        <w:rPr>
          <w:rFonts w:hint="eastAsia" w:ascii="Times New Roman" w:hAnsi="Times New Roman" w:cs="Times New Roman"/>
          <w:color w:val="auto"/>
          <w:highlight w:val="none"/>
        </w:rPr>
        <w:t>开标</w:t>
      </w:r>
    </w:p>
    <w:p w14:paraId="6F335E4E">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22.1</w:t>
      </w:r>
      <w:r>
        <w:rPr>
          <w:rFonts w:hint="eastAsia" w:ascii="Times New Roman" w:hAnsi="Times New Roman" w:cs="Times New Roman"/>
          <w:color w:val="auto"/>
          <w:highlight w:val="none"/>
        </w:rPr>
        <w:t>　采购人或采购代理机构在</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规定的开标时间和开标地点组织公开开标</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邀请投标人参加。评标委员会成员不得参加开标活动。投标人不足</w:t>
      </w:r>
      <w:r>
        <w:rPr>
          <w:rFonts w:ascii="Times New Roman" w:hAnsi="Times New Roman" w:cs="Times New Roman"/>
          <w:color w:val="auto"/>
          <w:highlight w:val="none"/>
        </w:rPr>
        <w:t>3</w:t>
      </w:r>
      <w:r>
        <w:rPr>
          <w:rFonts w:hint="eastAsia" w:ascii="Times New Roman" w:hAnsi="Times New Roman" w:cs="Times New Roman"/>
          <w:color w:val="auto"/>
          <w:highlight w:val="none"/>
        </w:rPr>
        <w:t>家的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不得开标。</w:t>
      </w:r>
    </w:p>
    <w:p w14:paraId="7B8EAE7B">
      <w:pPr>
        <w:pStyle w:val="17"/>
        <w:ind w:firstLine="420" w:firstLineChars="200"/>
        <w:rPr>
          <w:rFonts w:hint="eastAsia" w:ascii="Times New Roman" w:hAnsi="Times New Roman" w:eastAsia="MingLiU_HKSCS" w:cs="Times New Roman"/>
          <w:color w:val="auto"/>
          <w:highlight w:val="none"/>
        </w:rPr>
      </w:pPr>
      <w:r>
        <w:rPr>
          <w:rFonts w:ascii="Times New Roman" w:hAnsi="Times New Roman" w:cs="Times New Roman"/>
          <w:color w:val="auto"/>
          <w:highlight w:val="none"/>
        </w:rPr>
        <w:t>22.2</w:t>
      </w:r>
      <w:r>
        <w:rPr>
          <w:rFonts w:hint="eastAsia" w:ascii="Times New Roman" w:hAnsi="Times New Roman" w:cs="Times New Roman"/>
          <w:color w:val="auto"/>
          <w:highlight w:val="none"/>
        </w:rPr>
        <w:t>　开标时</w:t>
      </w:r>
      <w:r>
        <w:rPr>
          <w:rFonts w:hint="eastAsia" w:ascii="Times New Roman" w:hAnsi="Times New Roman" w:eastAsia="MingLiU_HKSCS" w:cs="Times New Roman"/>
          <w:color w:val="auto"/>
          <w:highlight w:val="none"/>
        </w:rPr>
        <w:t>，按政采云平台电子开标系统生成顺序进行</w:t>
      </w:r>
    </w:p>
    <w:p w14:paraId="2A1203B1">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22.3</w:t>
      </w:r>
      <w:r>
        <w:rPr>
          <w:rFonts w:hint="eastAsia" w:ascii="Times New Roman" w:hAnsi="Times New Roman" w:cs="Times New Roman"/>
          <w:color w:val="auto"/>
          <w:highlight w:val="none"/>
        </w:rPr>
        <w:t>　未宣读的投标价格等实质性内容</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评标时不予承认。</w:t>
      </w:r>
    </w:p>
    <w:p w14:paraId="6018C6E4">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22.4</w:t>
      </w:r>
      <w:r>
        <w:rPr>
          <w:rFonts w:hint="eastAsia" w:ascii="Times New Roman" w:hAnsi="Times New Roman" w:cs="Times New Roman"/>
          <w:color w:val="auto"/>
          <w:highlight w:val="none"/>
        </w:rPr>
        <w:t>　投标人代表及有关人员在开标记录上签字确认。</w:t>
      </w:r>
    </w:p>
    <w:p w14:paraId="347D3DE1">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22.5</w:t>
      </w:r>
      <w:r>
        <w:rPr>
          <w:rFonts w:hint="eastAsia" w:ascii="Times New Roman" w:hAnsi="Times New Roman" w:cs="Times New Roman"/>
          <w:color w:val="auto"/>
          <w:highlight w:val="none"/>
        </w:rPr>
        <w:t>　投标人代表对开标过程和开标记录有疑义</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以及认为采购人、采购代理机构相关工作人员有需要回避的情形的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应当场提出询问或者回避申请。采购人、采购代理机构对投标人代表提出的询问或者回避申请应当及时处理。</w:t>
      </w:r>
    </w:p>
    <w:p w14:paraId="116733CC">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23.</w:t>
      </w:r>
      <w:r>
        <w:rPr>
          <w:rFonts w:hint="eastAsia" w:ascii="Times New Roman" w:hAnsi="Times New Roman" w:cs="Times New Roman"/>
          <w:color w:val="auto"/>
          <w:highlight w:val="none"/>
        </w:rPr>
        <w:t>资格审查</w:t>
      </w:r>
    </w:p>
    <w:p w14:paraId="17C23AF8">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23.1</w:t>
      </w:r>
      <w:r>
        <w:rPr>
          <w:rFonts w:hint="eastAsia" w:ascii="Times New Roman" w:hAnsi="Times New Roman" w:cs="Times New Roman"/>
          <w:color w:val="auto"/>
          <w:highlight w:val="none"/>
        </w:rPr>
        <w:t>　公开招标采购项目开标结束后</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采购人或者采购代理机构应当依法对投标人的资格进行审查。合格投标人不足</w:t>
      </w:r>
      <w:r>
        <w:rPr>
          <w:rFonts w:ascii="Times New Roman" w:hAnsi="Times New Roman" w:cs="Times New Roman"/>
          <w:color w:val="auto"/>
          <w:highlight w:val="none"/>
        </w:rPr>
        <w:t>3</w:t>
      </w:r>
      <w:r>
        <w:rPr>
          <w:rFonts w:hint="eastAsia" w:ascii="Times New Roman" w:hAnsi="Times New Roman" w:cs="Times New Roman"/>
          <w:color w:val="auto"/>
          <w:highlight w:val="none"/>
        </w:rPr>
        <w:t>家的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不得评标。</w:t>
      </w:r>
    </w:p>
    <w:p w14:paraId="0E390C13">
      <w:pPr>
        <w:pStyle w:val="17"/>
        <w:ind w:firstLine="420" w:firstLineChars="200"/>
        <w:rPr>
          <w:rFonts w:ascii="Times New Roman" w:hAnsi="Times New Roman" w:eastAsia="MingLiU_HKSCS" w:cs="Times New Roman"/>
          <w:color w:val="auto"/>
          <w:highlight w:val="none"/>
        </w:rPr>
      </w:pPr>
      <w:r>
        <w:rPr>
          <w:rFonts w:hint="eastAsia" w:ascii="Times New Roman" w:hAnsi="Times New Roman" w:cs="Times New Roman"/>
          <w:color w:val="auto"/>
          <w:highlight w:val="none"/>
        </w:rPr>
        <w:t>有下列情形之一的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应在资格审查时按照无效投标处理：</w:t>
      </w:r>
    </w:p>
    <w:p w14:paraId="57DEA4F7">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投标人未按照招标文件规定提交投标保证金的；</w:t>
      </w:r>
    </w:p>
    <w:p w14:paraId="7A7F2C0E">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w:t>
      </w:r>
      <w:r>
        <w:rPr>
          <w:rFonts w:hint="eastAsia" w:ascii="Times New Roman" w:hAnsi="Times New Roman" w:cs="Times New Roman"/>
          <w:color w:val="auto"/>
          <w:highlight w:val="none"/>
        </w:rPr>
        <w:t>投标人不具备招标文件规定的投标人资格条件的；</w:t>
      </w:r>
    </w:p>
    <w:p w14:paraId="17403C1F">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报价超过招标文件中规定的预算金额或者最高限价的；</w:t>
      </w:r>
    </w:p>
    <w:p w14:paraId="21DDED0D">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(4)</w:t>
      </w:r>
      <w:r>
        <w:rPr>
          <w:rFonts w:hint="eastAsia" w:ascii="Times New Roman" w:hAnsi="Times New Roman" w:cs="Times New Roman"/>
          <w:color w:val="auto"/>
          <w:highlight w:val="none"/>
        </w:rPr>
        <w:t>投标人存在失信记录的。</w:t>
      </w:r>
    </w:p>
    <w:p w14:paraId="151B4D8F">
      <w:pPr>
        <w:pStyle w:val="17"/>
        <w:ind w:firstLine="420" w:firstLineChars="200"/>
        <w:rPr>
          <w:rFonts w:ascii="Times New Roman" w:hAnsi="Times New Roman" w:eastAsia="MingLiU_HKSCS" w:cs="Times New Roman"/>
          <w:color w:val="auto"/>
          <w:highlight w:val="none"/>
        </w:rPr>
      </w:pPr>
      <w:r>
        <w:rPr>
          <w:rFonts w:hint="eastAsia" w:ascii="Times New Roman" w:hAnsi="Times New Roman" w:cs="Times New Roman"/>
          <w:color w:val="auto"/>
          <w:highlight w:val="none"/>
        </w:rPr>
        <w:t>失信记录是指</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通过</w:t>
      </w:r>
      <w:r>
        <w:rPr>
          <w:rFonts w:hint="eastAsia" w:hAnsi="宋体" w:cs="Times New Roman"/>
          <w:color w:val="auto"/>
          <w:highlight w:val="none"/>
        </w:rPr>
        <w:t>“</w:t>
      </w:r>
      <w:r>
        <w:rPr>
          <w:rFonts w:hint="eastAsia" w:ascii="Times New Roman" w:hAnsi="Times New Roman" w:cs="Times New Roman"/>
          <w:color w:val="auto"/>
          <w:highlight w:val="none"/>
        </w:rPr>
        <w:t>信用中国</w:t>
      </w:r>
      <w:r>
        <w:rPr>
          <w:rFonts w:hint="eastAsia" w:hAnsi="宋体" w:cs="Times New Roman"/>
          <w:color w:val="auto"/>
          <w:highlight w:val="none"/>
        </w:rPr>
        <w:t>”</w:t>
      </w:r>
      <w:r>
        <w:rPr>
          <w:rFonts w:hint="eastAsia" w:ascii="Times New Roman" w:hAnsi="Times New Roman" w:cs="Times New Roman"/>
          <w:color w:val="auto"/>
          <w:highlight w:val="none"/>
        </w:rPr>
        <w:t>网站</w:t>
      </w:r>
      <w:r>
        <w:rPr>
          <w:rFonts w:ascii="Times New Roman" w:hAnsi="Times New Roman" w:cs="Times New Roman"/>
          <w:color w:val="auto"/>
          <w:highlight w:val="none"/>
        </w:rPr>
        <w:t>(www.creditchina.gov.cn)</w:t>
      </w:r>
      <w:r>
        <w:rPr>
          <w:rFonts w:hint="eastAsia" w:ascii="Times New Roman" w:hAnsi="Times New Roman" w:cs="Times New Roman"/>
          <w:color w:val="auto"/>
          <w:highlight w:val="none"/>
        </w:rPr>
        <w:t>、中国政府采购网</w:t>
      </w:r>
      <w:r>
        <w:rPr>
          <w:rFonts w:ascii="Times New Roman" w:hAnsi="Times New Roman" w:cs="Times New Roman"/>
          <w:color w:val="auto"/>
          <w:highlight w:val="none"/>
        </w:rPr>
        <w:t>(www.ccgp.gov.cn)</w:t>
      </w:r>
      <w:r>
        <w:rPr>
          <w:rFonts w:hint="eastAsia" w:ascii="Times New Roman" w:hAnsi="Times New Roman" w:cs="Times New Roman"/>
          <w:color w:val="auto"/>
          <w:highlight w:val="none"/>
        </w:rPr>
        <w:t>查询相关主体信用记录</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列入失信被执行人、重大税收违法案件当事人名单及其他不符合《政府采购法》第二十二条规定条件的情况。两个以上的自然人、法人或者其他组织组成一个联合体</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以一个供应商的身份共同参加政府采购活动的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应当对所有联合体成员进行信用记录查询</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联合体成员存在不良信用记录的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视同联合体存在不良信用记录。失信情况查询方式详见</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w:t>
      </w:r>
    </w:p>
    <w:p w14:paraId="3647A5B4">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23.2</w:t>
      </w:r>
      <w:r>
        <w:rPr>
          <w:rFonts w:hint="eastAsia" w:ascii="Times New Roman" w:hAnsi="Times New Roman" w:cs="Times New Roman"/>
          <w:color w:val="auto"/>
          <w:highlight w:val="none"/>
        </w:rPr>
        <w:t>　已经进行资格预审的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可以不再对供应商资格进行审查</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资格预审合格的供应商在评审阶段资格发生变化的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应当通知采购人和采购代理机构。</w:t>
      </w:r>
    </w:p>
    <w:p w14:paraId="135E00C7">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24.</w:t>
      </w:r>
      <w:r>
        <w:rPr>
          <w:rFonts w:hint="eastAsia" w:ascii="Times New Roman" w:hAnsi="Times New Roman" w:cs="Times New Roman"/>
          <w:color w:val="auto"/>
          <w:highlight w:val="none"/>
        </w:rPr>
        <w:t>评标委员会</w:t>
      </w:r>
    </w:p>
    <w:p w14:paraId="742E1566">
      <w:pPr>
        <w:pStyle w:val="17"/>
        <w:ind w:firstLine="420" w:firstLineChars="200"/>
        <w:rPr>
          <w:rFonts w:ascii="Times New Roman" w:hAnsi="Times New Roman" w:eastAsia="MingLiU_HKSCS" w:cs="Times New Roman"/>
          <w:color w:val="auto"/>
          <w:highlight w:val="none"/>
        </w:rPr>
      </w:pPr>
      <w:r>
        <w:rPr>
          <w:rFonts w:hint="eastAsia" w:ascii="Times New Roman" w:hAnsi="Times New Roman" w:cs="Times New Roman"/>
          <w:color w:val="auto"/>
          <w:highlight w:val="none"/>
        </w:rPr>
        <w:t>评标由采购人或采购代理机构依法组建的评标委员会负责。评标委员会由政府采购评审专家和采购人代表组成。</w:t>
      </w:r>
    </w:p>
    <w:p w14:paraId="4E3BF858">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25.</w:t>
      </w:r>
      <w:r>
        <w:rPr>
          <w:rFonts w:hint="eastAsia" w:ascii="Times New Roman" w:hAnsi="Times New Roman" w:cs="Times New Roman"/>
          <w:color w:val="auto"/>
          <w:highlight w:val="none"/>
        </w:rPr>
        <w:t>评标方法和标准</w:t>
      </w:r>
    </w:p>
    <w:p w14:paraId="314357FE">
      <w:pPr>
        <w:pStyle w:val="17"/>
        <w:ind w:firstLine="420" w:firstLineChars="200"/>
        <w:rPr>
          <w:rFonts w:ascii="Times New Roman" w:hAnsi="Times New Roman" w:eastAsia="MingLiU_HKSCS" w:cs="Times New Roman"/>
          <w:color w:val="auto"/>
          <w:highlight w:val="none"/>
        </w:rPr>
      </w:pPr>
      <w:r>
        <w:rPr>
          <w:rFonts w:hint="eastAsia" w:ascii="Times New Roman" w:hAnsi="Times New Roman" w:cs="Times New Roman"/>
          <w:color w:val="auto"/>
          <w:highlight w:val="none"/>
        </w:rPr>
        <w:t>本项目评标方法和标准见招标文件第三章。</w:t>
      </w:r>
    </w:p>
    <w:p w14:paraId="55AF32A0">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26.</w:t>
      </w:r>
      <w:r>
        <w:rPr>
          <w:rFonts w:hint="eastAsia" w:ascii="Times New Roman" w:hAnsi="Times New Roman" w:cs="Times New Roman"/>
          <w:color w:val="auto"/>
          <w:highlight w:val="none"/>
        </w:rPr>
        <w:t>评标程序</w:t>
      </w:r>
    </w:p>
    <w:p w14:paraId="58A2002F">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26.1</w:t>
      </w:r>
      <w:r>
        <w:rPr>
          <w:rFonts w:hint="eastAsia" w:ascii="Times New Roman" w:hAnsi="Times New Roman" w:cs="Times New Roman"/>
          <w:color w:val="auto"/>
          <w:highlight w:val="none"/>
        </w:rPr>
        <w:t>　投标文件的符合性审查。</w:t>
      </w:r>
    </w:p>
    <w:p w14:paraId="25DDB5F9">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26.1.1</w:t>
      </w:r>
      <w:r>
        <w:rPr>
          <w:rFonts w:hint="eastAsia" w:ascii="Times New Roman" w:hAnsi="Times New Roman" w:cs="Times New Roman"/>
          <w:color w:val="auto"/>
          <w:highlight w:val="none"/>
        </w:rPr>
        <w:t>评标委员会应当对符合资格的投标人的投标文件进行符合性审查</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以确定其是否满足招标文件的实质性要求。</w:t>
      </w:r>
    </w:p>
    <w:p w14:paraId="337784A1">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26.1.2</w:t>
      </w:r>
      <w:r>
        <w:rPr>
          <w:rFonts w:hint="eastAsia" w:ascii="Times New Roman" w:hAnsi="Times New Roman" w:cs="Times New Roman"/>
          <w:color w:val="auto"/>
          <w:highlight w:val="none"/>
        </w:rPr>
        <w:t>　有下列情形之一的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应在符合性审查时按照无效投标处理：</w:t>
      </w:r>
    </w:p>
    <w:p w14:paraId="5FFF131A">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投标文件未按照招标文件规定要求密封、签署、盖章的；</w:t>
      </w:r>
    </w:p>
    <w:p w14:paraId="0777ECA1">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w:t>
      </w:r>
      <w:r>
        <w:rPr>
          <w:rFonts w:hint="eastAsia" w:ascii="Times New Roman" w:hAnsi="Times New Roman" w:cs="Times New Roman"/>
          <w:color w:val="auto"/>
          <w:highlight w:val="none"/>
        </w:rPr>
        <w:t>不满足本招标文件实质性条款要求的；</w:t>
      </w:r>
    </w:p>
    <w:p w14:paraId="4C2039E1">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投标有效期不足的；</w:t>
      </w:r>
    </w:p>
    <w:p w14:paraId="53843CBA">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(4)</w:t>
      </w:r>
      <w:r>
        <w:rPr>
          <w:rFonts w:hint="eastAsia" w:ascii="Times New Roman" w:hAnsi="Times New Roman" w:cs="Times New Roman"/>
          <w:color w:val="auto"/>
          <w:highlight w:val="none"/>
        </w:rPr>
        <w:t>投标文件含有采购人不能接受的附加条件的；</w:t>
      </w:r>
    </w:p>
    <w:p w14:paraId="3D977DFE">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(5)</w:t>
      </w:r>
      <w:r>
        <w:rPr>
          <w:rFonts w:hint="eastAsia" w:ascii="Times New Roman" w:hAnsi="Times New Roman" w:cs="Times New Roman"/>
          <w:color w:val="auto"/>
          <w:highlight w:val="none"/>
        </w:rPr>
        <w:t>不符合法律、法规和招标文件规定的其他无效情形的。</w:t>
      </w:r>
    </w:p>
    <w:p w14:paraId="777FE801">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26.2</w:t>
      </w:r>
      <w:r>
        <w:rPr>
          <w:rFonts w:hint="eastAsia" w:ascii="Times New Roman" w:hAnsi="Times New Roman" w:cs="Times New Roman"/>
          <w:color w:val="auto"/>
          <w:highlight w:val="none"/>
        </w:rPr>
        <w:t>　核价原则</w:t>
      </w:r>
    </w:p>
    <w:p w14:paraId="4945E132">
      <w:pPr>
        <w:pStyle w:val="17"/>
        <w:ind w:firstLine="420" w:firstLineChars="200"/>
        <w:rPr>
          <w:rFonts w:ascii="Times New Roman" w:hAnsi="Times New Roman" w:eastAsia="MingLiU_HKSCS" w:cs="Times New Roman"/>
          <w:color w:val="auto"/>
          <w:highlight w:val="none"/>
        </w:rPr>
      </w:pPr>
      <w:r>
        <w:rPr>
          <w:rFonts w:hint="eastAsia" w:ascii="Times New Roman" w:hAnsi="Times New Roman" w:cs="Times New Roman"/>
          <w:color w:val="auto"/>
          <w:highlight w:val="none"/>
        </w:rPr>
        <w:t>投标文件报价出现前后不一致的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除招标文件另有规定外</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按照下列规定修正：</w:t>
      </w:r>
    </w:p>
    <w:p w14:paraId="41AD07AE">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投标文件中开标一览表</w:t>
      </w:r>
      <w:r>
        <w:rPr>
          <w:rFonts w:ascii="Times New Roman" w:hAnsi="Times New Roman" w:cs="Times New Roman"/>
          <w:color w:val="auto"/>
          <w:highlight w:val="none"/>
        </w:rPr>
        <w:t>(</w:t>
      </w:r>
      <w:r>
        <w:rPr>
          <w:rFonts w:hint="eastAsia" w:ascii="Times New Roman" w:hAnsi="Times New Roman" w:cs="Times New Roman"/>
          <w:color w:val="auto"/>
          <w:highlight w:val="none"/>
        </w:rPr>
        <w:t>报价表</w:t>
      </w:r>
      <w:r>
        <w:rPr>
          <w:rFonts w:ascii="Times New Roman" w:hAnsi="Times New Roman" w:cs="Times New Roman"/>
          <w:color w:val="auto"/>
          <w:highlight w:val="none"/>
        </w:rPr>
        <w:t>)</w:t>
      </w:r>
      <w:r>
        <w:rPr>
          <w:rFonts w:hint="eastAsia" w:ascii="Times New Roman" w:hAnsi="Times New Roman" w:cs="Times New Roman"/>
          <w:color w:val="auto"/>
          <w:highlight w:val="none"/>
        </w:rPr>
        <w:t>内容与投标文件中相应内容不一致的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以开标一览表</w:t>
      </w:r>
      <w:r>
        <w:rPr>
          <w:rFonts w:ascii="Times New Roman" w:hAnsi="Times New Roman" w:cs="Times New Roman"/>
          <w:color w:val="auto"/>
          <w:highlight w:val="none"/>
        </w:rPr>
        <w:t>(</w:t>
      </w:r>
      <w:r>
        <w:rPr>
          <w:rFonts w:hint="eastAsia" w:ascii="Times New Roman" w:hAnsi="Times New Roman" w:cs="Times New Roman"/>
          <w:color w:val="auto"/>
          <w:highlight w:val="none"/>
        </w:rPr>
        <w:t>报价表</w:t>
      </w:r>
      <w:r>
        <w:rPr>
          <w:rFonts w:ascii="Times New Roman" w:hAnsi="Times New Roman" w:cs="Times New Roman"/>
          <w:color w:val="auto"/>
          <w:highlight w:val="none"/>
        </w:rPr>
        <w:t>)</w:t>
      </w:r>
      <w:r>
        <w:rPr>
          <w:rFonts w:hint="eastAsia" w:ascii="Times New Roman" w:hAnsi="Times New Roman" w:cs="Times New Roman"/>
          <w:color w:val="auto"/>
          <w:highlight w:val="none"/>
        </w:rPr>
        <w:t>为准；</w:t>
      </w:r>
    </w:p>
    <w:p w14:paraId="71B41A0F">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w:t>
      </w:r>
      <w:r>
        <w:rPr>
          <w:rFonts w:hint="eastAsia" w:ascii="Times New Roman" w:hAnsi="Times New Roman" w:cs="Times New Roman"/>
          <w:color w:val="auto"/>
          <w:highlight w:val="none"/>
        </w:rPr>
        <w:t>大写金额和小写金额不一致的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以大写金额为准；</w:t>
      </w:r>
    </w:p>
    <w:p w14:paraId="29F26BD2">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单价金额小数点或者百分比有明显错位的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以开标一览表的总价为准</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并修改单价；</w:t>
      </w:r>
    </w:p>
    <w:p w14:paraId="3E6F1A0A">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(4)</w:t>
      </w:r>
      <w:r>
        <w:rPr>
          <w:rFonts w:hint="eastAsia" w:ascii="Times New Roman" w:hAnsi="Times New Roman" w:cs="Times New Roman"/>
          <w:color w:val="auto"/>
          <w:highlight w:val="none"/>
        </w:rPr>
        <w:t>总价金额与按单价汇总金额不一致的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以单价金额计算结果为准。</w:t>
      </w:r>
    </w:p>
    <w:p w14:paraId="3DFFB18E">
      <w:pPr>
        <w:pStyle w:val="17"/>
        <w:ind w:firstLine="420" w:firstLineChars="200"/>
        <w:rPr>
          <w:rFonts w:ascii="Times New Roman" w:hAnsi="Times New Roman" w:eastAsia="MingLiU_HKSCS" w:cs="Times New Roman"/>
          <w:color w:val="auto"/>
          <w:highlight w:val="none"/>
        </w:rPr>
      </w:pPr>
      <w:r>
        <w:rPr>
          <w:rFonts w:hint="eastAsia" w:ascii="Times New Roman" w:hAnsi="Times New Roman" w:cs="Times New Roman"/>
          <w:color w:val="auto"/>
          <w:highlight w:val="none"/>
        </w:rPr>
        <w:t>同时出现两种以上不一致的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按照前款规定的顺序修正。修正后的报价按照上述规定经投标人确认后产生约束力</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投标人不确认的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其投标无效。</w:t>
      </w:r>
    </w:p>
    <w:p w14:paraId="3EA7FB57">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26.3</w:t>
      </w:r>
      <w:r>
        <w:rPr>
          <w:rFonts w:hint="eastAsia" w:ascii="Times New Roman" w:hAnsi="Times New Roman" w:cs="Times New Roman"/>
          <w:color w:val="auto"/>
          <w:highlight w:val="none"/>
        </w:rPr>
        <w:t>　投标文件澄清</w:t>
      </w:r>
    </w:p>
    <w:p w14:paraId="5E7792BE">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26.3.1</w:t>
      </w:r>
      <w:r>
        <w:rPr>
          <w:rFonts w:hint="eastAsia" w:ascii="Times New Roman" w:hAnsi="Times New Roman" w:cs="Times New Roman"/>
          <w:color w:val="auto"/>
          <w:highlight w:val="none"/>
        </w:rPr>
        <w:t>　对于投标文件中含义不明确、同类问题表述不一致或者有明显文字和计算错误的内容</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评标委员会应当以书面形式要求投标人作出必要的澄清、说明或者补正。</w:t>
      </w:r>
    </w:p>
    <w:p w14:paraId="5DA09C45">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26.3.2</w:t>
      </w:r>
      <w:r>
        <w:rPr>
          <w:rFonts w:hint="eastAsia" w:ascii="Times New Roman" w:hAnsi="Times New Roman" w:cs="Times New Roman"/>
          <w:color w:val="auto"/>
          <w:highlight w:val="none"/>
        </w:rPr>
        <w:t>　投标人的澄清、说明或者补正应当采用书面形式</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并加盖公章</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或者由法定代表人或其授权的代表签字。投标人的澄清、说明或者补正不得超出投标文件的范围或者改变投标文件的实质性内容。</w:t>
      </w:r>
    </w:p>
    <w:p w14:paraId="4216C110">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26.3.3</w:t>
      </w:r>
      <w:r>
        <w:rPr>
          <w:rFonts w:hint="eastAsia" w:ascii="Times New Roman" w:hAnsi="Times New Roman" w:cs="Times New Roman"/>
          <w:color w:val="auto"/>
          <w:highlight w:val="none"/>
        </w:rPr>
        <w:t>　评标委员会不接受投标人主动提出的澄清、说明。</w:t>
      </w:r>
    </w:p>
    <w:p w14:paraId="74FFDB82">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26.3.4</w:t>
      </w:r>
      <w:r>
        <w:rPr>
          <w:rFonts w:hint="eastAsia" w:ascii="Times New Roman" w:hAnsi="Times New Roman" w:cs="Times New Roman"/>
          <w:color w:val="auto"/>
          <w:highlight w:val="none"/>
        </w:rPr>
        <w:t>　有效的书面澄清材料</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是投标文件的补充材料</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成为投标文件的组成部分。</w:t>
      </w:r>
    </w:p>
    <w:p w14:paraId="2AA54C2C">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26.4</w:t>
      </w:r>
      <w:r>
        <w:rPr>
          <w:rFonts w:hint="eastAsia" w:ascii="Times New Roman" w:hAnsi="Times New Roman" w:cs="Times New Roman"/>
          <w:color w:val="auto"/>
          <w:highlight w:val="none"/>
        </w:rPr>
        <w:t>　同品牌多家投标人处理原则</w:t>
      </w:r>
    </w:p>
    <w:p w14:paraId="2309BB33">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26.4.1</w:t>
      </w:r>
      <w:r>
        <w:rPr>
          <w:rFonts w:hint="eastAsia" w:ascii="Times New Roman" w:hAnsi="Times New Roman" w:cs="Times New Roman"/>
          <w:color w:val="auto"/>
          <w:highlight w:val="none"/>
        </w:rPr>
        <w:t>　采用最低评标价法的采购项目</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提供相同品牌产品的不同投标人参加同一合同项下投标的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以其中通过资格审查、符合性审查且报价最低的参加评标；报价相同的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由采购人或者采购人委托评标委员会按照招标文件规定的方式确定一个参加评标的投标人</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招标文件未规定的采取随机抽取方式确定</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其他投标无效。</w:t>
      </w:r>
    </w:p>
    <w:p w14:paraId="42C9AD2A">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26.4.2</w:t>
      </w:r>
      <w:r>
        <w:rPr>
          <w:rFonts w:hint="eastAsia" w:ascii="Times New Roman" w:hAnsi="Times New Roman" w:cs="Times New Roman"/>
          <w:color w:val="auto"/>
          <w:highlight w:val="none"/>
        </w:rPr>
        <w:t>　使用综合评分法的采购项目</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提供相同品牌产品且通过资格审查、符合性审查的不同投标人参加同一合同项下投标的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按一家投标人计算</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评审后得分最高的同品牌投标人获得中标人推荐资格；评审得分相同的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由采购人或者采购人委托评标委员会按照招标文件规定的方式确定一个投标人获得中标人推荐资格</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招标文件未规定的采取随机抽取方式确定</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其他同品牌投标人不作为中标候选人。</w:t>
      </w:r>
    </w:p>
    <w:p w14:paraId="5B891AA7">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26.4.3</w:t>
      </w:r>
      <w:r>
        <w:rPr>
          <w:rFonts w:hint="eastAsia" w:ascii="Times New Roman" w:hAnsi="Times New Roman" w:cs="Times New Roman"/>
          <w:color w:val="auto"/>
          <w:highlight w:val="none"/>
        </w:rPr>
        <w:t>　非单一产品采购项目</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根据采购项目技术构成、产品价格比重等合理确定核心产品</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核心产品见</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。多家投标人提供的核心产品品牌相同的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按前两款规定处理。</w:t>
      </w:r>
    </w:p>
    <w:p w14:paraId="7260B06D">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26.5</w:t>
      </w:r>
      <w:r>
        <w:rPr>
          <w:rFonts w:hint="eastAsia" w:ascii="Times New Roman" w:hAnsi="Times New Roman" w:cs="Times New Roman"/>
          <w:color w:val="auto"/>
          <w:highlight w:val="none"/>
        </w:rPr>
        <w:t>　比较与评价</w:t>
      </w:r>
    </w:p>
    <w:p w14:paraId="1DAD8375">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26.5.1</w:t>
      </w:r>
      <w:r>
        <w:rPr>
          <w:rFonts w:hint="eastAsia" w:ascii="Times New Roman" w:hAnsi="Times New Roman" w:cs="Times New Roman"/>
          <w:color w:val="auto"/>
          <w:highlight w:val="none"/>
        </w:rPr>
        <w:t>　评标委员会应当按照招标文件中规定的评标方法和标准</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对符合性审查合格的投标文件进行商务和技术评估</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综合比较与评价。</w:t>
      </w:r>
    </w:p>
    <w:p w14:paraId="60B968DD">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26.5.2</w:t>
      </w:r>
      <w:r>
        <w:rPr>
          <w:rFonts w:hint="eastAsia" w:ascii="Times New Roman" w:hAnsi="Times New Roman" w:cs="Times New Roman"/>
          <w:color w:val="auto"/>
          <w:highlight w:val="none"/>
        </w:rPr>
        <w:t>　评标委员会认为投标人的报价明显低于其他通过符合性审查投标人的报价</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有可能影响产品质量或者不能诚信履约的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应当要求其在评标现场合理的时间内提供书面说明</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必要时提交相关证明材料；投标人不能证明其报价合理性的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评标委员会应当将其作为无效投标处理。</w:t>
      </w:r>
    </w:p>
    <w:p w14:paraId="53474915">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26.6</w:t>
      </w:r>
      <w:r>
        <w:rPr>
          <w:rFonts w:hint="eastAsia" w:ascii="Times New Roman" w:hAnsi="Times New Roman" w:cs="Times New Roman"/>
          <w:color w:val="auto"/>
          <w:highlight w:val="none"/>
        </w:rPr>
        <w:t>　推荐中标候选人名单</w:t>
      </w:r>
    </w:p>
    <w:p w14:paraId="490B3E11">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26.6.1</w:t>
      </w:r>
      <w:r>
        <w:rPr>
          <w:rFonts w:hint="eastAsia" w:ascii="Times New Roman" w:hAnsi="Times New Roman" w:cs="Times New Roman"/>
          <w:color w:val="auto"/>
          <w:highlight w:val="none"/>
        </w:rPr>
        <w:t>　采用最低评标价法的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评标结果按投标报价由低到高顺序排列。投标报价相同的并列。投标文件满足招标文件全部实质性要求且投标报价最低的投标人为排名第一的中标候选人。</w:t>
      </w:r>
    </w:p>
    <w:p w14:paraId="06365FFA">
      <w:pPr>
        <w:pStyle w:val="17"/>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26.6.2</w:t>
      </w:r>
      <w:r>
        <w:rPr>
          <w:rFonts w:hint="eastAsia" w:ascii="Times New Roman" w:hAnsi="Times New Roman" w:cs="Times New Roman"/>
          <w:color w:val="auto"/>
          <w:highlight w:val="none"/>
        </w:rPr>
        <w:t>　采用综合评分法的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评标结果按评审后得分由高到低顺序排列。得分相同的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按投标报价由低到高顺序排列。得分且投标报价相同的并列。投标文件满足招标文件全部实质性要求</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且按照评审因素的量化指标评审得分最高的投标人为排名第一的中标候选人。</w:t>
      </w:r>
    </w:p>
    <w:p w14:paraId="025397B1">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27.</w:t>
      </w:r>
      <w:r>
        <w:rPr>
          <w:rFonts w:hint="eastAsia" w:ascii="Times New Roman" w:hAnsi="Times New Roman" w:cs="Times New Roman"/>
          <w:color w:val="auto"/>
          <w:highlight w:val="none"/>
        </w:rPr>
        <w:t>确定中标供应商</w:t>
      </w:r>
    </w:p>
    <w:p w14:paraId="0DD3B98C">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27.1</w:t>
      </w:r>
      <w:r>
        <w:rPr>
          <w:rFonts w:hint="eastAsia" w:ascii="Times New Roman" w:hAnsi="Times New Roman" w:cs="Times New Roman"/>
          <w:color w:val="auto"/>
          <w:highlight w:val="none"/>
        </w:rPr>
        <w:t>　采购代理机构应当在评标结束之日起</w:t>
      </w:r>
      <w:r>
        <w:rPr>
          <w:rFonts w:ascii="Times New Roman" w:hAnsi="Times New Roman" w:cs="Times New Roman"/>
          <w:color w:val="auto"/>
          <w:highlight w:val="none"/>
        </w:rPr>
        <w:t>2</w:t>
      </w:r>
      <w:r>
        <w:rPr>
          <w:rFonts w:hint="eastAsia" w:ascii="Times New Roman" w:hAnsi="Times New Roman" w:cs="Times New Roman"/>
          <w:color w:val="auto"/>
          <w:highlight w:val="none"/>
        </w:rPr>
        <w:t>个工作日内将评标报告送采购人。</w:t>
      </w:r>
    </w:p>
    <w:p w14:paraId="1E86739B">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27.2</w:t>
      </w:r>
      <w:r>
        <w:rPr>
          <w:rFonts w:hint="eastAsia" w:ascii="Times New Roman" w:hAnsi="Times New Roman" w:cs="Times New Roman"/>
          <w:color w:val="auto"/>
          <w:highlight w:val="none"/>
        </w:rPr>
        <w:t>　采购人应当在收到评标报告之日起</w:t>
      </w:r>
      <w:r>
        <w:rPr>
          <w:rFonts w:ascii="Times New Roman" w:hAnsi="Times New Roman" w:cs="Times New Roman"/>
          <w:color w:val="auto"/>
          <w:highlight w:val="none"/>
        </w:rPr>
        <w:t>5</w:t>
      </w:r>
      <w:r>
        <w:rPr>
          <w:rFonts w:hint="eastAsia" w:ascii="Times New Roman" w:hAnsi="Times New Roman" w:cs="Times New Roman"/>
          <w:color w:val="auto"/>
          <w:highlight w:val="none"/>
        </w:rPr>
        <w:t>个工作日内</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在评标报告确定的中标候选人名单中按顺序确定中标人。中标候选人并列的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由采购人或者采购人委托评标委员会按照</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规定的方式确定中标人。</w:t>
      </w:r>
    </w:p>
    <w:p w14:paraId="0F093A5E">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27.3</w:t>
      </w:r>
      <w:r>
        <w:rPr>
          <w:rFonts w:hint="eastAsia" w:ascii="Times New Roman" w:hAnsi="Times New Roman" w:cs="Times New Roman"/>
          <w:color w:val="auto"/>
          <w:highlight w:val="none"/>
        </w:rPr>
        <w:t>　采购人自行组织招标的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应当在评标结束后</w:t>
      </w:r>
      <w:r>
        <w:rPr>
          <w:rFonts w:ascii="Times New Roman" w:hAnsi="Times New Roman" w:cs="Times New Roman"/>
          <w:color w:val="auto"/>
          <w:highlight w:val="none"/>
        </w:rPr>
        <w:t>5</w:t>
      </w:r>
      <w:r>
        <w:rPr>
          <w:rFonts w:hint="eastAsia" w:ascii="Times New Roman" w:hAnsi="Times New Roman" w:cs="Times New Roman"/>
          <w:color w:val="auto"/>
          <w:highlight w:val="none"/>
        </w:rPr>
        <w:t>个工作日内确定中标人。中标候选人并列的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由采购人或者采购人委托评标委员会按照</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规定的方式确定中标人。</w:t>
      </w:r>
    </w:p>
    <w:p w14:paraId="0630019A">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28.</w:t>
      </w:r>
      <w:r>
        <w:rPr>
          <w:rFonts w:hint="eastAsia" w:ascii="Times New Roman" w:hAnsi="Times New Roman" w:cs="Times New Roman"/>
          <w:color w:val="auto"/>
          <w:highlight w:val="none"/>
        </w:rPr>
        <w:t>废标</w:t>
      </w:r>
    </w:p>
    <w:p w14:paraId="5D813A3B">
      <w:pPr>
        <w:pStyle w:val="17"/>
        <w:ind w:firstLine="420" w:firstLineChars="200"/>
        <w:rPr>
          <w:rFonts w:ascii="Times New Roman" w:hAnsi="Times New Roman" w:eastAsia="MingLiU_HKSCS" w:cs="Times New Roman"/>
          <w:color w:val="auto"/>
          <w:highlight w:val="none"/>
        </w:rPr>
      </w:pPr>
      <w:r>
        <w:rPr>
          <w:rFonts w:hint="eastAsia" w:ascii="Times New Roman" w:hAnsi="Times New Roman" w:cs="Times New Roman"/>
          <w:color w:val="auto"/>
          <w:highlight w:val="none"/>
        </w:rPr>
        <w:t>有下列情形之一时</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招标采购单位应予废标</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并将废标理由通知所有投标人：</w:t>
      </w:r>
    </w:p>
    <w:p w14:paraId="07813122">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符合专业条件的投标人或者对招标文件作实质性响应的投标人不足三家的；</w:t>
      </w:r>
    </w:p>
    <w:p w14:paraId="08E5D1F4">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w:t>
      </w:r>
      <w:r>
        <w:rPr>
          <w:rFonts w:hint="eastAsia" w:ascii="Times New Roman" w:hAnsi="Times New Roman" w:cs="Times New Roman"/>
          <w:color w:val="auto"/>
          <w:highlight w:val="none"/>
        </w:rPr>
        <w:t>出现影响采购公正的违法、违规行为的；</w:t>
      </w:r>
    </w:p>
    <w:p w14:paraId="5BB9E1FA">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投标人的报价均超过了采购预算</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采购人不能支付的；</w:t>
      </w:r>
    </w:p>
    <w:p w14:paraId="0F5FC47F">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(4)</w:t>
      </w:r>
      <w:r>
        <w:rPr>
          <w:rFonts w:hint="eastAsia" w:ascii="Times New Roman" w:hAnsi="Times New Roman" w:cs="Times New Roman"/>
          <w:color w:val="auto"/>
          <w:highlight w:val="none"/>
        </w:rPr>
        <w:t>因重大变故</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采购任务取消的。</w:t>
      </w:r>
    </w:p>
    <w:p w14:paraId="1F176E64">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29.</w:t>
      </w:r>
      <w:r>
        <w:rPr>
          <w:rFonts w:hint="eastAsia" w:ascii="Times New Roman" w:hAnsi="Times New Roman" w:cs="Times New Roman"/>
          <w:color w:val="auto"/>
          <w:highlight w:val="none"/>
        </w:rPr>
        <w:t>保密</w:t>
      </w:r>
    </w:p>
    <w:p w14:paraId="5676F14E">
      <w:pPr>
        <w:pStyle w:val="17"/>
        <w:ind w:firstLine="420" w:firstLineChars="200"/>
        <w:rPr>
          <w:rFonts w:ascii="Times New Roman" w:hAnsi="Times New Roman" w:eastAsia="MingLiU_HKSCS" w:cs="Times New Roman"/>
          <w:color w:val="auto"/>
          <w:highlight w:val="none"/>
        </w:rPr>
      </w:pPr>
      <w:r>
        <w:rPr>
          <w:rFonts w:hint="eastAsia" w:ascii="Times New Roman" w:hAnsi="Times New Roman" w:cs="Times New Roman"/>
          <w:color w:val="auto"/>
          <w:highlight w:val="none"/>
        </w:rPr>
        <w:t>评标委员会成员以及与评标工作有关的人员不得泄露评标情况以及评标过程中获悉的国家秘密、商业秘密。</w:t>
      </w:r>
    </w:p>
    <w:p w14:paraId="1ADFD046">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30.</w:t>
      </w:r>
      <w:r>
        <w:rPr>
          <w:rFonts w:hint="eastAsia" w:ascii="Times New Roman" w:hAnsi="Times New Roman" w:cs="Times New Roman"/>
          <w:color w:val="auto"/>
          <w:highlight w:val="none"/>
        </w:rPr>
        <w:t>禁止行为</w:t>
      </w:r>
    </w:p>
    <w:p w14:paraId="500BF7DF">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30.1</w:t>
      </w:r>
      <w:r>
        <w:rPr>
          <w:rFonts w:hint="eastAsia" w:ascii="Times New Roman" w:hAnsi="Times New Roman" w:cs="Times New Roman"/>
          <w:color w:val="auto"/>
          <w:highlight w:val="none"/>
        </w:rPr>
        <w:t>　投标人不得与采购人、采购代理机构恶意串通；不得向采购人、采购代理机构或者评标委员会成员行贿或者提供其他不正当利益；不得提供虚假材料谋取中标；不得以任何方式干扰、影响采购工作。投标人违反政府采购法律法规相关规定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依法追究法律责任。</w:t>
      </w:r>
    </w:p>
    <w:p w14:paraId="4F91E979">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30.2</w:t>
      </w:r>
      <w:r>
        <w:rPr>
          <w:rFonts w:hint="eastAsia" w:ascii="Times New Roman" w:hAnsi="Times New Roman" w:cs="Times New Roman"/>
          <w:color w:val="auto"/>
          <w:highlight w:val="none"/>
        </w:rPr>
        <w:t>　投标人应当遵循公平竞争的原则</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不得恶意串通</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不得妨碍其他投标人的竞争行为</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不得损害采购人或者其他投标人的合法权益。</w:t>
      </w:r>
    </w:p>
    <w:p w14:paraId="2532799C">
      <w:pPr>
        <w:pStyle w:val="17"/>
        <w:ind w:firstLine="420" w:firstLineChars="200"/>
        <w:rPr>
          <w:rFonts w:ascii="Times New Roman" w:hAnsi="Times New Roman" w:eastAsia="MingLiU_HKSCS" w:cs="Times New Roman"/>
          <w:color w:val="auto"/>
          <w:highlight w:val="none"/>
        </w:rPr>
      </w:pPr>
      <w:r>
        <w:rPr>
          <w:rFonts w:hint="eastAsia" w:ascii="Times New Roman" w:hAnsi="Times New Roman" w:cs="Times New Roman"/>
          <w:color w:val="auto"/>
          <w:highlight w:val="none"/>
        </w:rPr>
        <w:t>有下列情形之一的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视为投标人串通投标</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其投标无效：</w:t>
      </w:r>
    </w:p>
    <w:p w14:paraId="431B7B36">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不同投标人的投标文件由同一单位或者个人编制；</w:t>
      </w:r>
    </w:p>
    <w:p w14:paraId="216CED30">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w:t>
      </w:r>
      <w:r>
        <w:rPr>
          <w:rFonts w:hint="eastAsia" w:ascii="Times New Roman" w:hAnsi="Times New Roman" w:cs="Times New Roman"/>
          <w:color w:val="auto"/>
          <w:highlight w:val="none"/>
        </w:rPr>
        <w:t>不同投标人委托同一单位或者个人办理投标事宜；</w:t>
      </w:r>
    </w:p>
    <w:p w14:paraId="0619EE71">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不同投标人的投标文件载明的项目管理成员或者联系人员为同一人；</w:t>
      </w:r>
    </w:p>
    <w:p w14:paraId="747D85D0">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(4)</w:t>
      </w:r>
      <w:r>
        <w:rPr>
          <w:rFonts w:hint="eastAsia" w:ascii="Times New Roman" w:hAnsi="Times New Roman" w:cs="Times New Roman"/>
          <w:color w:val="auto"/>
          <w:highlight w:val="none"/>
        </w:rPr>
        <w:t>不同投标人的投标文件异常一致或者投标报价呈规律性差异；</w:t>
      </w:r>
    </w:p>
    <w:p w14:paraId="0585DB26">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(5)</w:t>
      </w:r>
      <w:r>
        <w:rPr>
          <w:rFonts w:hint="eastAsia" w:ascii="Times New Roman" w:hAnsi="Times New Roman" w:cs="Times New Roman"/>
          <w:color w:val="auto"/>
          <w:highlight w:val="none"/>
        </w:rPr>
        <w:t>不同投标人的投标文件相互混装；</w:t>
      </w:r>
    </w:p>
    <w:p w14:paraId="65F58A36">
      <w:pPr>
        <w:pStyle w:val="17"/>
        <w:ind w:firstLine="420" w:firstLineChars="200"/>
        <w:rPr>
          <w:rFonts w:ascii="Times New Roman" w:hAnsi="Times New Roman" w:eastAsia="MingLiU_HKSCS" w:cs="Times New Roman"/>
          <w:color w:val="auto"/>
          <w:highlight w:val="none"/>
        </w:rPr>
      </w:pPr>
      <w:r>
        <w:rPr>
          <w:rFonts w:hint="eastAsia" w:ascii="Times New Roman" w:hAnsi="Times New Roman" w:cs="Times New Roman"/>
          <w:color w:val="auto"/>
          <w:highlight w:val="none"/>
        </w:rPr>
        <w:t>五、中标信息公告与签订合同</w:t>
      </w:r>
    </w:p>
    <w:p w14:paraId="2E37D703">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31.</w:t>
      </w:r>
      <w:r>
        <w:rPr>
          <w:rFonts w:hint="eastAsia" w:ascii="Times New Roman" w:hAnsi="Times New Roman" w:cs="Times New Roman"/>
          <w:color w:val="auto"/>
          <w:highlight w:val="none"/>
        </w:rPr>
        <w:t>中标信息公告</w:t>
      </w:r>
    </w:p>
    <w:p w14:paraId="4E48043B">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31.1</w:t>
      </w:r>
      <w:r>
        <w:rPr>
          <w:rFonts w:hint="eastAsia" w:ascii="Times New Roman" w:hAnsi="Times New Roman" w:cs="Times New Roman"/>
          <w:color w:val="auto"/>
          <w:highlight w:val="none"/>
        </w:rPr>
        <w:t>　中标人确定之日起</w:t>
      </w:r>
      <w:r>
        <w:rPr>
          <w:rFonts w:ascii="Times New Roman" w:hAnsi="Times New Roman" w:cs="Times New Roman"/>
          <w:color w:val="auto"/>
          <w:highlight w:val="none"/>
        </w:rPr>
        <w:t>2</w:t>
      </w:r>
      <w:r>
        <w:rPr>
          <w:rFonts w:hint="eastAsia" w:ascii="Times New Roman" w:hAnsi="Times New Roman" w:cs="Times New Roman"/>
          <w:color w:val="auto"/>
          <w:highlight w:val="none"/>
        </w:rPr>
        <w:t>个工作日内</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采购人或者采购代理机构应将中标结果在</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中规定的公告</w:t>
      </w:r>
      <w:bookmarkStart w:id="214" w:name="_GoBack"/>
      <w:r>
        <w:rPr>
          <w:rFonts w:hint="eastAsia" w:ascii="Times New Roman" w:hAnsi="Times New Roman" w:cs="Times New Roman"/>
          <w:color w:val="auto"/>
          <w:highlight w:val="none"/>
        </w:rPr>
        <w:t>媒体</w:t>
      </w:r>
      <w:bookmarkEnd w:id="214"/>
      <w:r>
        <w:rPr>
          <w:rFonts w:hint="eastAsia" w:ascii="Times New Roman" w:hAnsi="Times New Roman" w:cs="Times New Roman"/>
          <w:color w:val="auto"/>
          <w:highlight w:val="none"/>
        </w:rPr>
        <w:t>上公布。</w:t>
      </w:r>
    </w:p>
    <w:p w14:paraId="4F21694B">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31.2</w:t>
      </w:r>
      <w:r>
        <w:rPr>
          <w:rFonts w:hint="eastAsia" w:ascii="Times New Roman" w:hAnsi="Times New Roman" w:cs="Times New Roman"/>
          <w:color w:val="auto"/>
          <w:highlight w:val="none"/>
        </w:rPr>
        <w:t>　招标文件随中标结果同时公告。但中标结果公告前招标文件已公告的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不再重复公告。</w:t>
      </w:r>
    </w:p>
    <w:p w14:paraId="5F80CAFD">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32.</w:t>
      </w:r>
      <w:r>
        <w:rPr>
          <w:rFonts w:hint="eastAsia" w:ascii="Times New Roman" w:hAnsi="Times New Roman" w:cs="Times New Roman"/>
          <w:color w:val="auto"/>
          <w:highlight w:val="none"/>
        </w:rPr>
        <w:t>中标通知</w:t>
      </w:r>
    </w:p>
    <w:p w14:paraId="32CD93FB">
      <w:pPr>
        <w:pStyle w:val="17"/>
        <w:ind w:firstLine="420" w:firstLineChars="200"/>
        <w:rPr>
          <w:rFonts w:ascii="Times New Roman" w:hAnsi="Times New Roman" w:eastAsia="MingLiU_HKSCS" w:cs="Times New Roman"/>
          <w:color w:val="auto"/>
          <w:highlight w:val="none"/>
        </w:rPr>
      </w:pPr>
      <w:r>
        <w:rPr>
          <w:rFonts w:hint="eastAsia" w:ascii="Times New Roman" w:hAnsi="Times New Roman" w:cs="Times New Roman"/>
          <w:color w:val="auto"/>
          <w:highlight w:val="none"/>
        </w:rPr>
        <w:t>采购人或者采购代理机构应当自发布中标公告的同时</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发出中标通知书</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中标通知书对采购人和中标人具有同等法律效力。</w:t>
      </w:r>
    </w:p>
    <w:p w14:paraId="1AC5262D">
      <w:pPr>
        <w:pStyle w:val="17"/>
        <w:ind w:firstLine="420" w:firstLineChars="200"/>
        <w:rPr>
          <w:rFonts w:ascii="Times New Roman" w:hAnsi="Times New Roman" w:eastAsia="MingLiU_HKSCS" w:cs="Times New Roman"/>
          <w:color w:val="auto"/>
          <w:highlight w:val="none"/>
        </w:rPr>
      </w:pPr>
      <w:r>
        <w:rPr>
          <w:rFonts w:hint="eastAsia" w:ascii="Times New Roman" w:hAnsi="Times New Roman" w:cs="Times New Roman"/>
          <w:color w:val="auto"/>
          <w:highlight w:val="none"/>
        </w:rPr>
        <w:t>中标通知书发出后</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中标人无正当理由不得放弃中标。</w:t>
      </w:r>
    </w:p>
    <w:p w14:paraId="0FBF13D4">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33.</w:t>
      </w:r>
      <w:r>
        <w:rPr>
          <w:rFonts w:hint="eastAsia" w:ascii="Times New Roman" w:hAnsi="Times New Roman" w:cs="Times New Roman"/>
          <w:color w:val="auto"/>
          <w:highlight w:val="none"/>
        </w:rPr>
        <w:t>履约保证金</w:t>
      </w:r>
    </w:p>
    <w:p w14:paraId="5A12F929">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33.1</w:t>
      </w:r>
      <w:r>
        <w:rPr>
          <w:rFonts w:hint="eastAsia" w:ascii="Times New Roman" w:hAnsi="Times New Roman" w:cs="Times New Roman"/>
          <w:color w:val="auto"/>
          <w:highlight w:val="none"/>
        </w:rPr>
        <w:t>　本项目是否缴纳履约保证金见</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w:t>
      </w:r>
    </w:p>
    <w:p w14:paraId="1B265BAE">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33.2</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规定交纳履约保证金的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中标人在签订采购合同前</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向采购人提交履约保证金。联合体成交的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履约保证金以联合体各方或联合体中牵头人的名义提交。</w:t>
      </w:r>
    </w:p>
    <w:p w14:paraId="2958F1AD">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33.3</w:t>
      </w:r>
      <w:r>
        <w:rPr>
          <w:rFonts w:hint="eastAsia" w:ascii="Times New Roman" w:hAnsi="Times New Roman" w:cs="Times New Roman"/>
          <w:color w:val="auto"/>
          <w:highlight w:val="none"/>
        </w:rPr>
        <w:t>　中标人没有按照</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的规定提交履约保证金的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视为放弃中标</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其投标保证金不予退还。</w:t>
      </w:r>
    </w:p>
    <w:p w14:paraId="5F292741">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34.</w:t>
      </w:r>
      <w:r>
        <w:rPr>
          <w:rFonts w:hint="eastAsia" w:ascii="Times New Roman" w:hAnsi="Times New Roman" w:cs="Times New Roman"/>
          <w:color w:val="auto"/>
          <w:highlight w:val="none"/>
        </w:rPr>
        <w:t>签订合同</w:t>
      </w:r>
    </w:p>
    <w:p w14:paraId="71E0CCF4">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34.1</w:t>
      </w:r>
      <w:r>
        <w:rPr>
          <w:rFonts w:hint="eastAsia" w:ascii="Times New Roman" w:hAnsi="Times New Roman" w:cs="Times New Roman"/>
          <w:color w:val="auto"/>
          <w:highlight w:val="none"/>
        </w:rPr>
        <w:t>　招标文件和中标供应商的投标文件均为签订政府采购合同的依据。</w:t>
      </w:r>
    </w:p>
    <w:p w14:paraId="61091BA8">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34.2</w:t>
      </w:r>
      <w:r>
        <w:rPr>
          <w:rFonts w:hint="eastAsia" w:ascii="Times New Roman" w:hAnsi="Times New Roman" w:cs="Times New Roman"/>
          <w:color w:val="auto"/>
          <w:highlight w:val="none"/>
        </w:rPr>
        <w:t>　中标供应商应当在中标通知书发出之日起</w:t>
      </w:r>
      <w:r>
        <w:rPr>
          <w:rFonts w:ascii="Times New Roman" w:hAnsi="Times New Roman" w:cs="Times New Roman"/>
          <w:color w:val="auto"/>
          <w:highlight w:val="none"/>
        </w:rPr>
        <w:t>30</w:t>
      </w:r>
      <w:r>
        <w:rPr>
          <w:rFonts w:hint="eastAsia" w:ascii="Times New Roman" w:hAnsi="Times New Roman" w:cs="Times New Roman"/>
          <w:color w:val="auto"/>
          <w:highlight w:val="none"/>
        </w:rPr>
        <w:t>日内</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与采购人签订政府采购合同。</w:t>
      </w:r>
    </w:p>
    <w:p w14:paraId="05B9EB56">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34.3</w:t>
      </w:r>
      <w:r>
        <w:rPr>
          <w:rFonts w:hint="eastAsia" w:ascii="Times New Roman" w:hAnsi="Times New Roman" w:cs="Times New Roman"/>
          <w:color w:val="auto"/>
          <w:highlight w:val="none"/>
        </w:rPr>
        <w:t>　采购人不得向中标供应商提出超出招标文件以外的任何要求作为签订合同的条件</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不得与中标供应商订立背离招标文件确定的合同文本以及采购标的、规格型号、采购金额、采购数量、技术和服务要求等实质性内容的协议。</w:t>
      </w:r>
    </w:p>
    <w:p w14:paraId="1874219F">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34.4</w:t>
      </w:r>
      <w:r>
        <w:rPr>
          <w:rFonts w:hint="eastAsia" w:ascii="Times New Roman" w:hAnsi="Times New Roman" w:cs="Times New Roman"/>
          <w:color w:val="auto"/>
          <w:highlight w:val="none"/>
        </w:rPr>
        <w:t>　自政府采购合同签订之日起</w:t>
      </w:r>
      <w:r>
        <w:rPr>
          <w:rFonts w:ascii="Times New Roman" w:hAnsi="Times New Roman" w:cs="Times New Roman"/>
          <w:color w:val="auto"/>
          <w:highlight w:val="none"/>
        </w:rPr>
        <w:t>2</w:t>
      </w:r>
      <w:r>
        <w:rPr>
          <w:rFonts w:hint="eastAsia" w:ascii="Times New Roman" w:hAnsi="Times New Roman" w:cs="Times New Roman"/>
          <w:color w:val="auto"/>
          <w:highlight w:val="none"/>
        </w:rPr>
        <w:t>个工作日内</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本项目政府采购合同在</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规定的媒体上公告</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但政府采购合同中涉及国家秘密、商业秘密的内容除外。</w:t>
      </w:r>
    </w:p>
    <w:p w14:paraId="4FCE9F18">
      <w:pPr>
        <w:pStyle w:val="17"/>
        <w:ind w:firstLine="420" w:firstLineChars="200"/>
        <w:rPr>
          <w:rFonts w:ascii="Times New Roman" w:hAnsi="Times New Roman" w:eastAsia="MingLiU_HKSCS" w:cs="Times New Roman"/>
          <w:color w:val="auto"/>
          <w:highlight w:val="none"/>
        </w:rPr>
      </w:pPr>
      <w:r>
        <w:rPr>
          <w:rFonts w:hint="eastAsia" w:ascii="Times New Roman" w:hAnsi="Times New Roman" w:cs="Times New Roman"/>
          <w:color w:val="auto"/>
          <w:highlight w:val="none"/>
        </w:rPr>
        <w:t>六、其他规定</w:t>
      </w:r>
    </w:p>
    <w:p w14:paraId="79524A22">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35.</w:t>
      </w:r>
      <w:r>
        <w:rPr>
          <w:rFonts w:hint="eastAsia" w:ascii="Times New Roman" w:hAnsi="Times New Roman" w:cs="Times New Roman"/>
          <w:color w:val="auto"/>
          <w:highlight w:val="none"/>
        </w:rPr>
        <w:t>招标代理服务费。</w:t>
      </w:r>
    </w:p>
    <w:p w14:paraId="1229938C">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35.1</w:t>
      </w:r>
      <w:r>
        <w:rPr>
          <w:rFonts w:hint="eastAsia" w:ascii="Times New Roman" w:hAnsi="Times New Roman" w:cs="Times New Roman"/>
          <w:color w:val="auto"/>
          <w:highlight w:val="none"/>
        </w:rPr>
        <w:t>　中标人是否交纳投招标代理服务费及相关要求见</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w:t>
      </w:r>
    </w:p>
    <w:p w14:paraId="10CE1DB1">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36.</w:t>
      </w:r>
      <w:r>
        <w:rPr>
          <w:rFonts w:hint="eastAsia" w:ascii="Times New Roman" w:hAnsi="Times New Roman" w:cs="Times New Roman"/>
          <w:color w:val="auto"/>
          <w:highlight w:val="none"/>
        </w:rPr>
        <w:t>询问、质疑、投诉</w:t>
      </w:r>
    </w:p>
    <w:p w14:paraId="2966AD99">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36.1</w:t>
      </w:r>
      <w:r>
        <w:rPr>
          <w:rFonts w:hint="eastAsia" w:ascii="Times New Roman" w:hAnsi="Times New Roman" w:cs="Times New Roman"/>
          <w:color w:val="auto"/>
          <w:highlight w:val="none"/>
        </w:rPr>
        <w:t>　供应商对政府采购活动事项有疑问的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可以向采购人或采购代理机构提出询问</w:t>
      </w:r>
    </w:p>
    <w:p w14:paraId="6E1A1359">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36.2</w:t>
      </w:r>
      <w:r>
        <w:rPr>
          <w:rFonts w:hint="eastAsia" w:ascii="Times New Roman" w:hAnsi="Times New Roman" w:cs="Times New Roman"/>
          <w:color w:val="auto"/>
          <w:highlight w:val="none"/>
        </w:rPr>
        <w:t>　供应商认为招标文件、招标过程和中标结果使自己的权益受到损害的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可以在知道或者应知其权益受到损害之日起</w:t>
      </w:r>
      <w:r>
        <w:rPr>
          <w:rFonts w:ascii="Times New Roman" w:hAnsi="Times New Roman" w:cs="Times New Roman"/>
          <w:color w:val="auto"/>
          <w:highlight w:val="none"/>
        </w:rPr>
        <w:t>7</w:t>
      </w:r>
      <w:r>
        <w:rPr>
          <w:rFonts w:hint="eastAsia" w:ascii="Times New Roman" w:hAnsi="Times New Roman" w:cs="Times New Roman"/>
          <w:color w:val="auto"/>
          <w:highlight w:val="none"/>
        </w:rPr>
        <w:t>个工作日内</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以书面形式向采购人或采购代理机构提出质疑。</w:t>
      </w:r>
    </w:p>
    <w:p w14:paraId="267BD772">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36.3</w:t>
      </w:r>
      <w:r>
        <w:rPr>
          <w:rFonts w:hint="eastAsia" w:ascii="Times New Roman" w:hAnsi="Times New Roman" w:cs="Times New Roman"/>
          <w:color w:val="auto"/>
          <w:highlight w:val="none"/>
        </w:rPr>
        <w:t>　供应商提出质疑的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应提供质疑书原件。</w:t>
      </w:r>
    </w:p>
    <w:p w14:paraId="6F43A753">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36.4</w:t>
      </w:r>
      <w:r>
        <w:rPr>
          <w:rFonts w:hint="eastAsia" w:ascii="Times New Roman" w:hAnsi="Times New Roman" w:cs="Times New Roman"/>
          <w:color w:val="auto"/>
          <w:highlight w:val="none"/>
        </w:rPr>
        <w:t>　质疑书应当由投标人法定代表人或其授权的投标代表签字并加盖投标人单位章</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质疑书由授权的投标代表签字的应附投标人法定代表人委托授权书。</w:t>
      </w:r>
    </w:p>
    <w:p w14:paraId="5819E06E">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36.5</w:t>
      </w:r>
      <w:r>
        <w:rPr>
          <w:rFonts w:hint="eastAsia" w:ascii="Times New Roman" w:hAnsi="Times New Roman" w:cs="Times New Roman"/>
          <w:color w:val="auto"/>
          <w:highlight w:val="none"/>
        </w:rPr>
        <w:t>　投标人对采购人或采购代理机构的答复不满意</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或采购人或采购代理机构未在规定的期限作出答复的</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可在答复期满后</w:t>
      </w:r>
      <w:r>
        <w:rPr>
          <w:rFonts w:ascii="Times New Roman" w:hAnsi="Times New Roman" w:cs="Times New Roman"/>
          <w:color w:val="auto"/>
          <w:highlight w:val="none"/>
        </w:rPr>
        <w:t>15</w:t>
      </w:r>
      <w:r>
        <w:rPr>
          <w:rFonts w:hint="eastAsia" w:ascii="Times New Roman" w:hAnsi="Times New Roman" w:cs="Times New Roman"/>
          <w:color w:val="auto"/>
          <w:highlight w:val="none"/>
        </w:rPr>
        <w:t>个工作日内</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按政府采购法律法规规定及程序</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向财政部提出投诉。</w:t>
      </w:r>
    </w:p>
    <w:p w14:paraId="1295B1DF">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37.</w:t>
      </w:r>
      <w:r>
        <w:rPr>
          <w:rFonts w:hint="eastAsia" w:ascii="Times New Roman" w:hAnsi="Times New Roman" w:cs="Times New Roman"/>
          <w:color w:val="auto"/>
          <w:highlight w:val="none"/>
        </w:rPr>
        <w:t>发生下列情况之一</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投标人将被列入不良记录名单</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在</w:t>
      </w:r>
      <w:r>
        <w:rPr>
          <w:rFonts w:ascii="Times New Roman" w:hAnsi="Times New Roman" w:cs="Times New Roman"/>
          <w:color w:val="auto"/>
          <w:highlight w:val="none"/>
        </w:rPr>
        <w:t>1</w:t>
      </w:r>
      <w:r>
        <w:rPr>
          <w:rFonts w:hint="eastAsia" w:ascii="Times New Roman" w:hAnsi="Times New Roman" w:cs="Times New Roman"/>
          <w:color w:val="auto"/>
          <w:highlight w:val="none"/>
        </w:rPr>
        <w:t>～</w:t>
      </w:r>
      <w:r>
        <w:rPr>
          <w:rFonts w:ascii="Times New Roman" w:hAnsi="Times New Roman" w:cs="Times New Roman"/>
          <w:color w:val="auto"/>
          <w:highlight w:val="none"/>
        </w:rPr>
        <w:t>3</w:t>
      </w:r>
      <w:r>
        <w:rPr>
          <w:rFonts w:hint="eastAsia" w:ascii="Times New Roman" w:hAnsi="Times New Roman" w:cs="Times New Roman"/>
          <w:color w:val="auto"/>
          <w:highlight w:val="none"/>
        </w:rPr>
        <w:t>年内禁止参加政府采购活动</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并予以公告：</w:t>
      </w:r>
    </w:p>
    <w:p w14:paraId="646B6EF9">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开标后在投标有效期内</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投标人撤回其投标；</w:t>
      </w:r>
    </w:p>
    <w:p w14:paraId="0A4AD294">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(2)</w:t>
      </w:r>
      <w:r>
        <w:rPr>
          <w:rFonts w:hint="eastAsia" w:ascii="Times New Roman" w:hAnsi="Times New Roman" w:cs="Times New Roman"/>
          <w:color w:val="auto"/>
          <w:highlight w:val="none"/>
        </w:rPr>
        <w:t>中标后无正当理由不与采购人签订政府采购合同；</w:t>
      </w:r>
    </w:p>
    <w:p w14:paraId="30CA018F">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中标后未按照招标文件和中标供应商的投标文件订立政府采购合同</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或者与采购人另行订立背离合同实质性内容的协议的；</w:t>
      </w:r>
    </w:p>
    <w:p w14:paraId="39D67B06">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(4)</w:t>
      </w:r>
      <w:r>
        <w:rPr>
          <w:rFonts w:hint="eastAsia" w:ascii="Times New Roman" w:hAnsi="Times New Roman" w:cs="Times New Roman"/>
          <w:color w:val="auto"/>
          <w:highlight w:val="none"/>
        </w:rPr>
        <w:t>将中标项目转让给他人</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或者在投标文件中未说明</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且未经采购招标机构同意</w:t>
      </w:r>
      <w:r>
        <w:rPr>
          <w:rFonts w:hint="eastAsia" w:ascii="Times New Roman" w:hAnsi="Times New Roman" w:eastAsia="MingLiU_HKSCS" w:cs="Times New Roman"/>
          <w:color w:val="auto"/>
          <w:highlight w:val="none"/>
        </w:rPr>
        <w:t>，</w:t>
      </w:r>
      <w:r>
        <w:rPr>
          <w:rFonts w:hint="eastAsia" w:ascii="Times New Roman" w:hAnsi="Times New Roman" w:cs="Times New Roman"/>
          <w:color w:val="auto"/>
          <w:highlight w:val="none"/>
        </w:rPr>
        <w:t>将中标项目分包给他人；</w:t>
      </w:r>
    </w:p>
    <w:p w14:paraId="3C02E0A9">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(5)</w:t>
      </w:r>
      <w:r>
        <w:rPr>
          <w:rFonts w:hint="eastAsia" w:ascii="Times New Roman" w:hAnsi="Times New Roman" w:cs="Times New Roman"/>
          <w:color w:val="auto"/>
          <w:highlight w:val="none"/>
        </w:rPr>
        <w:t>拒绝履行合同义务的；</w:t>
      </w:r>
    </w:p>
    <w:p w14:paraId="52054E61">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《政府采购法》第七十七条和《政府采购法实施条例》第七十二条规定的其他情形；</w:t>
      </w:r>
    </w:p>
    <w:p w14:paraId="5BA74A1C">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(7)</w:t>
      </w:r>
      <w:r>
        <w:rPr>
          <w:rFonts w:hint="eastAsia" w:ascii="Times New Roman" w:hAnsi="Times New Roman" w:cs="Times New Roman"/>
          <w:color w:val="auto"/>
          <w:highlight w:val="none"/>
        </w:rPr>
        <w:t>其他违反法律法规相关规定的情形。</w:t>
      </w:r>
    </w:p>
    <w:p w14:paraId="08C57B9A">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38.</w:t>
      </w:r>
      <w:r>
        <w:rPr>
          <w:rFonts w:hint="eastAsia" w:ascii="Times New Roman" w:hAnsi="Times New Roman" w:cs="Times New Roman"/>
          <w:color w:val="auto"/>
          <w:highlight w:val="none"/>
        </w:rPr>
        <w:t>其他规定。</w:t>
      </w:r>
    </w:p>
    <w:p w14:paraId="0E89A0C7">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38.1</w:t>
      </w:r>
      <w:r>
        <w:rPr>
          <w:rFonts w:hint="eastAsia" w:ascii="Times New Roman" w:hAnsi="Times New Roman" w:cs="Times New Roman"/>
          <w:color w:val="auto"/>
          <w:highlight w:val="none"/>
        </w:rPr>
        <w:t>　投标文件的其他规定见</w:t>
      </w:r>
      <w:r>
        <w:rPr>
          <w:rFonts w:hint="eastAsia" w:ascii="Times New Roman" w:hAnsi="Times New Roman" w:eastAsia="黑体" w:cs="Times New Roman"/>
          <w:color w:val="auto"/>
          <w:highlight w:val="none"/>
        </w:rPr>
        <w:t>投标人须知前附表</w:t>
      </w:r>
      <w:r>
        <w:rPr>
          <w:rFonts w:hint="eastAsia" w:ascii="Times New Roman" w:hAnsi="Times New Roman" w:cs="Times New Roman"/>
          <w:color w:val="auto"/>
          <w:highlight w:val="none"/>
        </w:rPr>
        <w:t>。</w:t>
      </w:r>
    </w:p>
    <w:p w14:paraId="56BF5732">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39.</w:t>
      </w:r>
      <w:r>
        <w:rPr>
          <w:rFonts w:hint="eastAsia" w:ascii="Times New Roman" w:hAnsi="Times New Roman" w:cs="Times New Roman"/>
          <w:color w:val="auto"/>
          <w:highlight w:val="none"/>
        </w:rPr>
        <w:t>未尽事宜</w:t>
      </w:r>
    </w:p>
    <w:p w14:paraId="1B84D050">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39.1</w:t>
      </w:r>
      <w:r>
        <w:rPr>
          <w:rFonts w:hint="eastAsia" w:ascii="Times New Roman" w:hAnsi="Times New Roman" w:cs="Times New Roman"/>
          <w:color w:val="auto"/>
          <w:highlight w:val="none"/>
        </w:rPr>
        <w:t>　其他未尽事宜按政府采购法律法规的规定执行。</w:t>
      </w:r>
    </w:p>
    <w:p w14:paraId="7E0F4CEE">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40.</w:t>
      </w:r>
      <w:r>
        <w:rPr>
          <w:rFonts w:hint="eastAsia" w:ascii="Times New Roman" w:hAnsi="Times New Roman" w:cs="Times New Roman"/>
          <w:color w:val="auto"/>
          <w:highlight w:val="none"/>
        </w:rPr>
        <w:t>文件解释权</w:t>
      </w:r>
    </w:p>
    <w:p w14:paraId="6A00371B">
      <w:pPr>
        <w:pStyle w:val="17"/>
        <w:ind w:firstLine="420" w:firstLineChars="200"/>
        <w:rPr>
          <w:rFonts w:ascii="Times New Roman" w:hAnsi="Times New Roman" w:eastAsia="MingLiU_HKSCS" w:cs="Times New Roman"/>
          <w:color w:val="auto"/>
          <w:highlight w:val="none"/>
        </w:rPr>
      </w:pPr>
      <w:r>
        <w:rPr>
          <w:rFonts w:ascii="Times New Roman" w:hAnsi="Times New Roman" w:cs="Times New Roman"/>
          <w:color w:val="auto"/>
          <w:highlight w:val="none"/>
        </w:rPr>
        <w:t>40.1</w:t>
      </w:r>
      <w:r>
        <w:rPr>
          <w:rFonts w:hint="eastAsia" w:ascii="Times New Roman" w:hAnsi="Times New Roman" w:cs="Times New Roman"/>
          <w:color w:val="auto"/>
          <w:highlight w:val="none"/>
        </w:rPr>
        <w:t>　本招标文件的解释权归采购人</w:t>
      </w:r>
      <w:r>
        <w:rPr>
          <w:rFonts w:ascii="Times New Roman" w:hAnsi="Times New Roman" w:cs="Times New Roman"/>
          <w:color w:val="auto"/>
          <w:highlight w:val="none"/>
        </w:rPr>
        <w:t>(</w:t>
      </w:r>
      <w:r>
        <w:rPr>
          <w:rFonts w:hint="eastAsia" w:ascii="Times New Roman" w:hAnsi="Times New Roman" w:cs="Times New Roman"/>
          <w:color w:val="auto"/>
          <w:highlight w:val="none"/>
        </w:rPr>
        <w:t>或采购代理机构</w:t>
      </w:r>
      <w:r>
        <w:rPr>
          <w:rFonts w:ascii="Times New Roman" w:hAnsi="Times New Roman" w:cs="Times New Roman"/>
          <w:color w:val="auto"/>
          <w:highlight w:val="none"/>
        </w:rPr>
        <w:t>)</w:t>
      </w:r>
      <w:r>
        <w:rPr>
          <w:rFonts w:hint="eastAsia" w:ascii="Times New Roman" w:hAnsi="Times New Roman" w:cs="Times New Roman"/>
          <w:color w:val="auto"/>
          <w:highlight w:val="none"/>
        </w:rPr>
        <w:t>所有。</w:t>
      </w:r>
    </w:p>
    <w:p w14:paraId="6C64B371">
      <w:pPr>
        <w:pStyle w:val="17"/>
        <w:ind w:firstLine="420" w:firstLineChars="200"/>
        <w:jc w:val="center"/>
        <w:rPr>
          <w:rFonts w:ascii="Times New Roman" w:hAnsi="Times New Roman" w:cs="Times New Roman"/>
          <w:color w:val="auto"/>
          <w:highlight w:val="none"/>
        </w:rPr>
      </w:pPr>
      <w:r>
        <w:rPr>
          <w:rFonts w:ascii="Times New Roman" w:hAnsi="Times New Roman" w:cs="Times New Roman"/>
          <w:color w:val="auto"/>
          <w:highlight w:val="none"/>
        </w:rPr>
        <w:br w:type="page"/>
      </w:r>
    </w:p>
    <w:p w14:paraId="352622F7">
      <w:pPr>
        <w:pStyle w:val="3"/>
        <w:jc w:val="center"/>
        <w:rPr>
          <w:color w:val="auto"/>
          <w:highlight w:val="none"/>
        </w:rPr>
      </w:pPr>
      <w:bookmarkStart w:id="44" w:name="_Toc57294097"/>
      <w:bookmarkStart w:id="45" w:name="_Toc9825"/>
      <w:bookmarkStart w:id="46" w:name="_Toc57294208"/>
      <w:r>
        <w:rPr>
          <w:rFonts w:hint="eastAsia"/>
          <w:color w:val="auto"/>
          <w:highlight w:val="none"/>
        </w:rPr>
        <w:t>第三章　评标办法及标准</w:t>
      </w:r>
      <w:bookmarkEnd w:id="44"/>
      <w:bookmarkEnd w:id="45"/>
      <w:bookmarkEnd w:id="46"/>
    </w:p>
    <w:p w14:paraId="59DDBA49">
      <w:pPr>
        <w:widowControl/>
        <w:jc w:val="left"/>
        <w:rPr>
          <w:rFonts w:ascii="Calibri" w:hAnsi="Calibri" w:eastAsia="宋体" w:cs="Times New Roman"/>
          <w:b/>
          <w:color w:val="auto"/>
          <w:sz w:val="24"/>
          <w:szCs w:val="24"/>
          <w:highlight w:val="none"/>
        </w:rPr>
      </w:pPr>
    </w:p>
    <w:p w14:paraId="7E330975">
      <w:pPr>
        <w:pStyle w:val="4"/>
        <w:rPr>
          <w:color w:val="auto"/>
          <w:sz w:val="24"/>
          <w:szCs w:val="24"/>
          <w:highlight w:val="none"/>
        </w:rPr>
      </w:pPr>
      <w:bookmarkStart w:id="47" w:name="_Toc57294098"/>
      <w:bookmarkStart w:id="48" w:name="_Toc57294209"/>
      <w:r>
        <w:rPr>
          <w:rFonts w:hint="eastAsia"/>
          <w:color w:val="auto"/>
          <w:sz w:val="24"/>
          <w:szCs w:val="24"/>
          <w:highlight w:val="none"/>
        </w:rPr>
        <w:t>一、资格审查</w:t>
      </w:r>
      <w:bookmarkEnd w:id="47"/>
      <w:bookmarkEnd w:id="48"/>
    </w:p>
    <w:p w14:paraId="1E5AEFEE">
      <w:pPr>
        <w:spacing w:line="3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以下评审内容中，如投标人或其投标文件未满足“投标资格合格条件标准”的，按照无效投标处理。</w:t>
      </w:r>
    </w:p>
    <w:p w14:paraId="35AF6FAE">
      <w:pPr>
        <w:pStyle w:val="5"/>
        <w:jc w:val="center"/>
        <w:rPr>
          <w:rFonts w:hint="eastAsia"/>
          <w:color w:val="auto"/>
          <w:sz w:val="24"/>
          <w:szCs w:val="24"/>
          <w:highlight w:val="none"/>
        </w:rPr>
      </w:pPr>
      <w:r>
        <w:rPr>
          <w:rFonts w:hint="eastAsia"/>
          <w:color w:val="auto"/>
          <w:sz w:val="24"/>
          <w:szCs w:val="24"/>
          <w:highlight w:val="none"/>
        </w:rPr>
        <w:t>资格性评审</w:t>
      </w:r>
    </w:p>
    <w:tbl>
      <w:tblPr>
        <w:tblStyle w:val="29"/>
        <w:tblpPr w:leftFromText="180" w:rightFromText="180" w:vertAnchor="text" w:horzAnchor="margin" w:tblpXSpec="center" w:tblpY="18"/>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33"/>
        <w:gridCol w:w="5801"/>
      </w:tblGrid>
      <w:tr w14:paraId="10A955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88" w:type="dxa"/>
            <w:vAlign w:val="center"/>
          </w:tcPr>
          <w:p w14:paraId="1ED7A762">
            <w:pPr>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733" w:type="dxa"/>
            <w:vAlign w:val="center"/>
          </w:tcPr>
          <w:p w14:paraId="296D9A68">
            <w:pPr>
              <w:spacing w:line="3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评审因素</w:t>
            </w:r>
          </w:p>
        </w:tc>
        <w:tc>
          <w:tcPr>
            <w:tcW w:w="5801" w:type="dxa"/>
            <w:vAlign w:val="center"/>
          </w:tcPr>
          <w:p w14:paraId="1C5851AB">
            <w:pPr>
              <w:spacing w:line="360" w:lineRule="exact"/>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投标资格合格条件标准</w:t>
            </w:r>
          </w:p>
        </w:tc>
      </w:tr>
      <w:tr w14:paraId="7672B5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88" w:type="dxa"/>
            <w:vAlign w:val="center"/>
          </w:tcPr>
          <w:p w14:paraId="765DBAAF">
            <w:pPr>
              <w:spacing w:line="36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p>
        </w:tc>
        <w:tc>
          <w:tcPr>
            <w:tcW w:w="1733" w:type="dxa"/>
            <w:vAlign w:val="center"/>
          </w:tcPr>
          <w:p w14:paraId="791FC0D1">
            <w:pPr>
              <w:spacing w:line="36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营业执照副本</w:t>
            </w:r>
          </w:p>
        </w:tc>
        <w:tc>
          <w:tcPr>
            <w:tcW w:w="5801" w:type="dxa"/>
            <w:vAlign w:val="center"/>
          </w:tcPr>
          <w:p w14:paraId="61DA5712">
            <w:pPr>
              <w:spacing w:line="360" w:lineRule="exact"/>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投标人须</w:t>
            </w:r>
            <w:r>
              <w:rPr>
                <w:rFonts w:hint="eastAsia" w:ascii="宋体" w:hAnsi="宋体" w:eastAsia="宋体" w:cs="宋体"/>
                <w:color w:val="auto"/>
                <w:szCs w:val="21"/>
                <w:highlight w:val="none"/>
                <w:lang w:val="zh-CN" w:eastAsia="zh-CN"/>
              </w:rPr>
              <w:t>具有独立承担民事责任能力的企业法人，具有有效的营业执照</w:t>
            </w:r>
            <w:r>
              <w:rPr>
                <w:rFonts w:hint="eastAsia" w:ascii="宋体" w:hAnsi="宋体" w:eastAsia="宋体" w:cs="宋体"/>
                <w:color w:val="auto"/>
                <w:szCs w:val="21"/>
                <w:highlight w:val="none"/>
                <w:lang w:val="zh-CN"/>
              </w:rPr>
              <w:t>，并在人员、设备、资金等方面具有承担本服务项目的能力；</w:t>
            </w:r>
          </w:p>
        </w:tc>
      </w:tr>
      <w:tr w14:paraId="219215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988" w:type="dxa"/>
            <w:vAlign w:val="center"/>
          </w:tcPr>
          <w:p w14:paraId="4669780D">
            <w:pPr>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1733" w:type="dxa"/>
            <w:vAlign w:val="center"/>
          </w:tcPr>
          <w:p w14:paraId="6C013E09">
            <w:pPr>
              <w:spacing w:line="36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财务状况</w:t>
            </w:r>
          </w:p>
        </w:tc>
        <w:tc>
          <w:tcPr>
            <w:tcW w:w="5801" w:type="dxa"/>
            <w:vAlign w:val="center"/>
          </w:tcPr>
          <w:p w14:paraId="367CA753">
            <w:pPr>
              <w:spacing w:line="360" w:lineRule="exact"/>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eastAsia="zh-CN"/>
              </w:rPr>
              <w:t>投标人须具有会计师事务所或审计机构出具的近三年（2021年、2022年、2023年）财务审计报告或财务报表，（新成立不足三年的企业提供自成立之日起至2023年的财务审计报告，2023年12月31日之后成立企业提供财务状况良好承诺书）</w:t>
            </w:r>
            <w:r>
              <w:rPr>
                <w:rFonts w:hint="eastAsia" w:ascii="宋体" w:hAnsi="宋体" w:eastAsia="宋体" w:cs="宋体"/>
                <w:color w:val="auto"/>
                <w:szCs w:val="21"/>
                <w:highlight w:val="none"/>
                <w:lang w:val="zh-CN"/>
              </w:rPr>
              <w:t>投标文件内提交证明资料并加盖公章。</w:t>
            </w:r>
          </w:p>
          <w:p w14:paraId="2E05BD1B">
            <w:pPr>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2.根据[长财采购[2022]2066号文件]关于加强政府采购信用体系建设简化供应商资格条件有关事项的通知提供资格条件承诺函。</w:t>
            </w:r>
          </w:p>
          <w:p w14:paraId="3199E0B5">
            <w:pPr>
              <w:pStyle w:val="10"/>
              <w:ind w:left="0" w:leftChars="0" w:firstLine="0" w:firstLineChars="0"/>
              <w:rPr>
                <w:rFonts w:hint="default"/>
                <w:color w:val="auto"/>
                <w:lang w:val="en-US"/>
              </w:rPr>
            </w:pPr>
            <w:r>
              <w:rPr>
                <w:rFonts w:hint="eastAsia" w:ascii="宋体" w:hAnsi="宋体" w:eastAsia="宋体" w:cs="宋体"/>
                <w:color w:val="auto"/>
                <w:kern w:val="2"/>
                <w:sz w:val="21"/>
                <w:szCs w:val="21"/>
                <w:highlight w:val="none"/>
                <w:lang w:val="en-US" w:eastAsia="zh-CN" w:bidi="ar-SA"/>
              </w:rPr>
              <w:t>提供上述1或2均可。</w:t>
            </w:r>
          </w:p>
        </w:tc>
      </w:tr>
      <w:tr w14:paraId="153503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dxa"/>
            <w:vAlign w:val="center"/>
          </w:tcPr>
          <w:p w14:paraId="633975EF">
            <w:pPr>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733" w:type="dxa"/>
            <w:vAlign w:val="center"/>
          </w:tcPr>
          <w:p w14:paraId="3DA58103">
            <w:pPr>
              <w:spacing w:line="36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信用记录查询</w:t>
            </w:r>
          </w:p>
        </w:tc>
        <w:tc>
          <w:tcPr>
            <w:tcW w:w="5801" w:type="dxa"/>
            <w:vAlign w:val="center"/>
          </w:tcPr>
          <w:p w14:paraId="3722BC49">
            <w:pPr>
              <w:spacing w:line="360" w:lineRule="exact"/>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cs" w:ascii="宋体" w:hAnsi="宋体" w:eastAsia="宋体" w:cs="宋体"/>
                <w:bCs/>
                <w:color w:val="auto"/>
                <w:szCs w:val="21"/>
                <w:highlight w:val="none"/>
              </w:rPr>
              <w:t>“</w:t>
            </w:r>
            <w:r>
              <w:rPr>
                <w:rFonts w:hint="eastAsia" w:ascii="宋体" w:hAnsi="宋体" w:eastAsia="宋体" w:cs="宋体"/>
                <w:bCs/>
                <w:color w:val="auto"/>
                <w:szCs w:val="21"/>
                <w:highlight w:val="none"/>
              </w:rPr>
              <w:t>信用中国</w:t>
            </w:r>
            <w:r>
              <w:rPr>
                <w:rFonts w:hint="cs" w:ascii="宋体" w:hAnsi="宋体" w:eastAsia="宋体" w:cs="宋体"/>
                <w:bCs/>
                <w:color w:val="auto"/>
                <w:szCs w:val="21"/>
                <w:highlight w:val="none"/>
              </w:rPr>
              <w:t>”</w:t>
            </w:r>
            <w:r>
              <w:rPr>
                <w:rFonts w:hint="eastAsia" w:ascii="宋体" w:hAnsi="宋体" w:eastAsia="宋体" w:cs="宋体"/>
                <w:bCs/>
                <w:color w:val="auto"/>
                <w:szCs w:val="21"/>
                <w:highlight w:val="none"/>
              </w:rPr>
              <w:t>网站（</w:t>
            </w:r>
            <w:r>
              <w:rPr>
                <w:rFonts w:ascii="宋体" w:hAnsi="宋体" w:eastAsia="宋体" w:cs="宋体"/>
                <w:bCs/>
                <w:color w:val="auto"/>
                <w:szCs w:val="21"/>
                <w:highlight w:val="none"/>
              </w:rPr>
              <w:t>www.creditchina.gov.cn</w:t>
            </w:r>
            <w:r>
              <w:rPr>
                <w:rFonts w:hint="eastAsia" w:ascii="宋体" w:hAnsi="宋体" w:eastAsia="宋体" w:cs="宋体"/>
                <w:bCs/>
                <w:color w:val="auto"/>
                <w:szCs w:val="21"/>
                <w:highlight w:val="none"/>
              </w:rPr>
              <w:t>）未列入①失信被执行人②重大税收违法案件当事人名单的官网截图并加盖公章（以上截图须包括单位名称、查询内容及查询时间）；</w:t>
            </w:r>
          </w:p>
          <w:p w14:paraId="2CFEA227">
            <w:pPr>
              <w:spacing w:line="360" w:lineRule="exact"/>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cs" w:ascii="宋体" w:hAnsi="宋体" w:eastAsia="宋体" w:cs="宋体"/>
                <w:bCs/>
                <w:color w:val="auto"/>
                <w:szCs w:val="21"/>
                <w:highlight w:val="none"/>
              </w:rPr>
              <w:t>“</w:t>
            </w:r>
            <w:r>
              <w:rPr>
                <w:rFonts w:hint="eastAsia" w:ascii="宋体" w:hAnsi="宋体" w:eastAsia="宋体" w:cs="宋体"/>
                <w:bCs/>
                <w:color w:val="auto"/>
                <w:szCs w:val="21"/>
                <w:highlight w:val="none"/>
              </w:rPr>
              <w:t>中国政府采购网</w:t>
            </w:r>
            <w:r>
              <w:rPr>
                <w:rFonts w:hint="cs" w:ascii="宋体" w:hAnsi="宋体" w:eastAsia="宋体" w:cs="宋体"/>
                <w:bCs/>
                <w:color w:val="auto"/>
                <w:szCs w:val="21"/>
                <w:highlight w:val="none"/>
              </w:rPr>
              <w:t>”</w:t>
            </w:r>
            <w:r>
              <w:rPr>
                <w:rFonts w:hint="eastAsia" w:ascii="宋体" w:hAnsi="宋体" w:eastAsia="宋体" w:cs="宋体"/>
                <w:bCs/>
                <w:color w:val="auto"/>
                <w:szCs w:val="21"/>
                <w:highlight w:val="none"/>
              </w:rPr>
              <w:t>（</w:t>
            </w:r>
            <w:r>
              <w:rPr>
                <w:rFonts w:ascii="宋体" w:hAnsi="宋体" w:eastAsia="宋体" w:cs="宋体"/>
                <w:bCs/>
                <w:color w:val="auto"/>
                <w:szCs w:val="21"/>
                <w:highlight w:val="none"/>
              </w:rPr>
              <w:t>www.ccgp.gov.cn</w:t>
            </w:r>
            <w:r>
              <w:rPr>
                <w:rFonts w:hint="eastAsia" w:ascii="宋体" w:hAnsi="宋体" w:eastAsia="宋体" w:cs="宋体"/>
                <w:bCs/>
                <w:color w:val="auto"/>
                <w:szCs w:val="21"/>
                <w:highlight w:val="none"/>
              </w:rPr>
              <w:t>）未列入政府采购严重违法失信行为记录名单的官网截图并加盖公章（以上截图须包括单位名称、查询内容及查询时间）；</w:t>
            </w:r>
          </w:p>
          <w:p w14:paraId="3021C8BC">
            <w:pPr>
              <w:spacing w:line="360" w:lineRule="exact"/>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3.</w:t>
            </w:r>
            <w:r>
              <w:rPr>
                <w:rFonts w:hint="cs" w:ascii="宋体" w:hAnsi="宋体" w:eastAsia="宋体" w:cs="宋体"/>
                <w:bCs/>
                <w:color w:val="auto"/>
                <w:szCs w:val="21"/>
                <w:highlight w:val="none"/>
              </w:rPr>
              <w:t>“</w:t>
            </w:r>
            <w:r>
              <w:rPr>
                <w:rFonts w:hint="eastAsia" w:ascii="宋体" w:hAnsi="宋体" w:eastAsia="宋体" w:cs="宋体"/>
                <w:bCs/>
                <w:color w:val="auto"/>
                <w:szCs w:val="21"/>
                <w:highlight w:val="none"/>
              </w:rPr>
              <w:t>中国裁判文书网</w:t>
            </w:r>
            <w:r>
              <w:rPr>
                <w:rFonts w:hint="cs" w:ascii="宋体" w:hAnsi="宋体" w:eastAsia="宋体" w:cs="宋体"/>
                <w:bCs/>
                <w:color w:val="auto"/>
                <w:szCs w:val="21"/>
                <w:highlight w:val="none"/>
              </w:rPr>
              <w:t>”</w:t>
            </w:r>
            <w:r>
              <w:rPr>
                <w:rFonts w:hint="eastAsia" w:ascii="宋体" w:hAnsi="宋体" w:eastAsia="宋体" w:cs="宋体"/>
                <w:bCs/>
                <w:color w:val="auto"/>
                <w:szCs w:val="21"/>
                <w:highlight w:val="none"/>
              </w:rPr>
              <w:t>（</w:t>
            </w:r>
            <w:r>
              <w:rPr>
                <w:rFonts w:ascii="宋体" w:hAnsi="宋体" w:eastAsia="宋体" w:cs="宋体"/>
                <w:bCs/>
                <w:color w:val="auto"/>
                <w:szCs w:val="21"/>
                <w:highlight w:val="none"/>
              </w:rPr>
              <w:t>http://wenshu.court.gov.cn/</w:t>
            </w:r>
            <w:r>
              <w:rPr>
                <w:rFonts w:hint="eastAsia" w:ascii="宋体" w:hAnsi="宋体" w:eastAsia="宋体" w:cs="宋体"/>
                <w:bCs/>
                <w:color w:val="auto"/>
                <w:szCs w:val="21"/>
                <w:highlight w:val="none"/>
              </w:rPr>
              <w:t>）的无行贿犯罪查询证明网站截图并加盖单位公章（以上截图须包括单位名称、法定代表人名称、查询内容及查询时间）。</w:t>
            </w:r>
          </w:p>
          <w:p w14:paraId="794C6C2D">
            <w:pPr>
              <w:spacing w:line="360" w:lineRule="exact"/>
              <w:jc w:val="left"/>
              <w:rPr>
                <w:rFonts w:ascii="宋体" w:hAnsi="宋体" w:eastAsia="宋体" w:cs="宋体"/>
                <w:color w:val="auto"/>
                <w:szCs w:val="21"/>
                <w:highlight w:val="none"/>
              </w:rPr>
            </w:pPr>
            <w:r>
              <w:rPr>
                <w:rFonts w:hint="eastAsia" w:ascii="宋体" w:hAnsi="宋体" w:eastAsia="宋体" w:cs="宋体"/>
                <w:b/>
                <w:color w:val="auto"/>
                <w:szCs w:val="21"/>
                <w:highlight w:val="none"/>
                <w:lang w:val="zh-CN"/>
              </w:rPr>
              <w:t>投标文件内提交证明资料并加盖公章。</w:t>
            </w:r>
          </w:p>
        </w:tc>
      </w:tr>
      <w:tr w14:paraId="4DEADB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988" w:type="dxa"/>
            <w:vAlign w:val="center"/>
          </w:tcPr>
          <w:p w14:paraId="523594DB">
            <w:pPr>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1733" w:type="dxa"/>
            <w:vAlign w:val="center"/>
          </w:tcPr>
          <w:p w14:paraId="57BEFA02">
            <w:pPr>
              <w:spacing w:line="40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rPr>
              <w:t>缴纳税收和</w:t>
            </w:r>
            <w:r>
              <w:rPr>
                <w:color w:val="auto"/>
                <w:highlight w:val="none"/>
              </w:rPr>
              <w:fldChar w:fldCharType="begin"/>
            </w:r>
            <w:r>
              <w:rPr>
                <w:color w:val="auto"/>
                <w:highlight w:val="none"/>
              </w:rPr>
              <w:instrText xml:space="preserve"> HYPERLINK "http://baike.sogou.com/v65969667.htm" \t "http://baike.sogou.com/_blank" </w:instrText>
            </w:r>
            <w:r>
              <w:rPr>
                <w:color w:val="auto"/>
                <w:highlight w:val="none"/>
              </w:rPr>
              <w:fldChar w:fldCharType="separate"/>
            </w:r>
            <w:r>
              <w:rPr>
                <w:rFonts w:hint="eastAsia" w:ascii="宋体" w:hAnsi="宋体" w:eastAsia="宋体" w:cs="宋体"/>
                <w:color w:val="auto"/>
                <w:szCs w:val="21"/>
                <w:highlight w:val="none"/>
              </w:rPr>
              <w:t>社保</w:t>
            </w:r>
            <w:r>
              <w:rPr>
                <w:rFonts w:hint="eastAsia" w:ascii="宋体" w:hAnsi="宋体" w:eastAsia="宋体" w:cs="宋体"/>
                <w:color w:val="auto"/>
                <w:szCs w:val="21"/>
                <w:highlight w:val="none"/>
              </w:rPr>
              <w:fldChar w:fldCharType="end"/>
            </w:r>
          </w:p>
        </w:tc>
        <w:tc>
          <w:tcPr>
            <w:tcW w:w="5801" w:type="dxa"/>
            <w:vAlign w:val="center"/>
          </w:tcPr>
          <w:p w14:paraId="51DB8108">
            <w:pPr>
              <w:spacing w:line="360" w:lineRule="exact"/>
              <w:jc w:val="left"/>
              <w:rPr>
                <w:rFonts w:hint="eastAsia" w:ascii="宋体" w:hAnsi="宋体" w:eastAsia="宋体" w:cs="宋体"/>
                <w:b/>
                <w:color w:val="auto"/>
                <w:szCs w:val="21"/>
                <w:highlight w:val="none"/>
                <w:lang w:val="zh-CN"/>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val="zh-CN"/>
              </w:rPr>
              <w:t>依法缴纳税收和社会保障资金的相关材料</w:t>
            </w:r>
            <w:r>
              <w:rPr>
                <w:rFonts w:hint="eastAsia" w:ascii="宋体" w:hAnsi="宋体" w:eastAsia="宋体" w:cs="宋体"/>
                <w:b w:val="0"/>
                <w:bCs/>
                <w:color w:val="auto"/>
                <w:szCs w:val="21"/>
                <w:highlight w:val="none"/>
                <w:lang w:val="zh-CN" w:eastAsia="zh-CN"/>
              </w:rPr>
              <w:t>（</w:t>
            </w:r>
            <w:r>
              <w:rPr>
                <w:rFonts w:hint="eastAsia" w:ascii="宋体" w:hAnsi="宋体" w:eastAsia="宋体" w:cs="宋体"/>
                <w:b w:val="0"/>
                <w:bCs/>
                <w:color w:val="auto"/>
                <w:szCs w:val="21"/>
                <w:highlight w:val="none"/>
                <w:lang w:val="zh-CN"/>
              </w:rPr>
              <w:t>提供近</w:t>
            </w:r>
            <w:r>
              <w:rPr>
                <w:rFonts w:hint="eastAsia" w:ascii="宋体" w:hAnsi="宋体" w:eastAsia="宋体" w:cs="宋体"/>
                <w:b w:val="0"/>
                <w:bCs/>
                <w:color w:val="auto"/>
                <w:szCs w:val="21"/>
                <w:highlight w:val="none"/>
                <w:lang w:val="zh-CN" w:eastAsia="zh-CN"/>
              </w:rPr>
              <w:t>一年内任意一个月</w:t>
            </w:r>
            <w:r>
              <w:rPr>
                <w:rFonts w:hint="eastAsia" w:ascii="宋体" w:hAnsi="宋体" w:eastAsia="宋体" w:cs="宋体"/>
                <w:b w:val="0"/>
                <w:bCs/>
                <w:color w:val="auto"/>
                <w:szCs w:val="21"/>
                <w:highlight w:val="none"/>
                <w:lang w:val="zh-CN"/>
              </w:rPr>
              <w:t>的缴税凭证，依法免税的应提供相应证明资料；提供近</w:t>
            </w:r>
            <w:r>
              <w:rPr>
                <w:rFonts w:hint="eastAsia" w:ascii="宋体" w:hAnsi="宋体" w:eastAsia="宋体" w:cs="宋体"/>
                <w:b w:val="0"/>
                <w:bCs/>
                <w:color w:val="auto"/>
                <w:szCs w:val="21"/>
                <w:highlight w:val="none"/>
                <w:lang w:val="zh-CN" w:eastAsia="zh-CN"/>
              </w:rPr>
              <w:t>三个月内任意一</w:t>
            </w:r>
            <w:r>
              <w:rPr>
                <w:rFonts w:hint="eastAsia" w:ascii="宋体" w:hAnsi="宋体" w:eastAsia="宋体" w:cs="宋体"/>
                <w:b w:val="0"/>
                <w:bCs/>
                <w:color w:val="auto"/>
                <w:szCs w:val="21"/>
                <w:highlight w:val="none"/>
                <w:lang w:val="zh-CN"/>
              </w:rPr>
              <w:t>个</w:t>
            </w:r>
            <w:r>
              <w:rPr>
                <w:rFonts w:hint="eastAsia" w:ascii="宋体" w:hAnsi="宋体" w:eastAsia="宋体" w:cs="宋体"/>
                <w:b w:val="0"/>
                <w:bCs/>
                <w:color w:val="auto"/>
                <w:szCs w:val="21"/>
                <w:highlight w:val="none"/>
                <w:lang w:val="zh-CN" w:eastAsia="zh-CN"/>
              </w:rPr>
              <w:t>月</w:t>
            </w:r>
            <w:r>
              <w:rPr>
                <w:rFonts w:hint="eastAsia" w:ascii="宋体" w:hAnsi="宋体" w:eastAsia="宋体" w:cs="宋体"/>
                <w:b w:val="0"/>
                <w:bCs/>
                <w:color w:val="auto"/>
                <w:szCs w:val="21"/>
                <w:highlight w:val="none"/>
                <w:lang w:val="zh-CN"/>
              </w:rPr>
              <w:t>企业依法为员工缴纳社会保障资金的证明资料）</w:t>
            </w:r>
            <w:r>
              <w:rPr>
                <w:rFonts w:hint="eastAsia" w:ascii="宋体" w:hAnsi="宋体" w:eastAsia="宋体" w:cs="宋体"/>
                <w:b/>
                <w:color w:val="auto"/>
                <w:szCs w:val="21"/>
                <w:highlight w:val="none"/>
                <w:lang w:val="zh-CN"/>
              </w:rPr>
              <w:t>投标文件内提交证明资料并加盖公章。</w:t>
            </w:r>
          </w:p>
          <w:p w14:paraId="417E0909">
            <w:pPr>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2.根据[长财采购[2022]2066号文件]关于加强政府采购信用体系建设简化供应商资格条件有关事项的通知提供资格条件承诺函。</w:t>
            </w:r>
          </w:p>
          <w:p w14:paraId="7105FA92">
            <w:pPr>
              <w:pStyle w:val="10"/>
              <w:ind w:left="0" w:leftChars="0" w:firstLine="0" w:firstLineChars="0"/>
              <w:rPr>
                <w:rFonts w:hint="eastAsia" w:eastAsia="宋体"/>
                <w:lang w:val="en-US" w:eastAsia="zh-CN"/>
              </w:rPr>
            </w:pPr>
            <w:r>
              <w:rPr>
                <w:rFonts w:hint="eastAsia" w:ascii="宋体" w:hAnsi="宋体" w:eastAsia="宋体" w:cs="宋体"/>
                <w:color w:val="auto"/>
                <w:kern w:val="2"/>
                <w:sz w:val="21"/>
                <w:szCs w:val="21"/>
                <w:highlight w:val="none"/>
                <w:lang w:val="en-US" w:eastAsia="zh-CN" w:bidi="ar-SA"/>
              </w:rPr>
              <w:t>提供上述1或2均可。</w:t>
            </w:r>
          </w:p>
        </w:tc>
      </w:tr>
      <w:tr w14:paraId="613FF1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988" w:type="dxa"/>
            <w:vAlign w:val="center"/>
          </w:tcPr>
          <w:p w14:paraId="7AA40EE5">
            <w:pPr>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733" w:type="dxa"/>
            <w:vAlign w:val="center"/>
          </w:tcPr>
          <w:p w14:paraId="230B7C41">
            <w:pPr>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eastAsia="zh-CN"/>
              </w:rPr>
              <w:t>落实政府采购政策需满足的资格要求：</w:t>
            </w:r>
          </w:p>
        </w:tc>
        <w:tc>
          <w:tcPr>
            <w:tcW w:w="5801" w:type="dxa"/>
            <w:vAlign w:val="center"/>
          </w:tcPr>
          <w:p w14:paraId="56B7362C">
            <w:pPr>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eastAsia="zh-CN"/>
              </w:rPr>
              <w:t>落实政府采购政策需满足的资格要求：本项目专门面向中小企业</w:t>
            </w:r>
            <w:r>
              <w:rPr>
                <w:rFonts w:hint="eastAsia" w:ascii="宋体" w:hAnsi="宋体" w:eastAsia="宋体" w:cs="宋体"/>
                <w:color w:val="auto"/>
                <w:szCs w:val="21"/>
                <w:highlight w:val="none"/>
                <w:lang w:val="en-US" w:eastAsia="zh-CN"/>
              </w:rPr>
              <w:t>《政府采购促进中小企业发展管理办法》（财库[2020]46号）；《财政部、司法部关于政府采购支持监狱企业发展有关问题的通知》（财库[2014]68号）；《关于促进残疾人就业政府采购政策的通知》（财库〔2017〕141号）；《财政部国家发展改革委关于印发〈节能产品政府采购实施意见〉的通知》（财库[2004]185号）；《财政部环保总局关于环境标志产品政府采购实施的意见》（财库[2006]90号）；《关于调整优化节能产品、环境标志产品政府采购执行机制的通知》（财库[2019]9号）；《财政部关于在政府采购活动中查询及使用信用记录有关问题的通知》（财库[2016]125号）；</w:t>
            </w:r>
          </w:p>
          <w:p w14:paraId="155FA3AD">
            <w:pPr>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提供中小企业声明函并加盖公章。</w:t>
            </w:r>
          </w:p>
        </w:tc>
      </w:tr>
      <w:tr w14:paraId="04F077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049" w:hRule="atLeast"/>
        </w:trPr>
        <w:tc>
          <w:tcPr>
            <w:tcW w:w="988" w:type="dxa"/>
            <w:vAlign w:val="center"/>
          </w:tcPr>
          <w:p w14:paraId="35DAC756">
            <w:pPr>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733" w:type="dxa"/>
            <w:vAlign w:val="center"/>
          </w:tcPr>
          <w:p w14:paraId="6A633D76">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其他要求</w:t>
            </w:r>
          </w:p>
        </w:tc>
        <w:tc>
          <w:tcPr>
            <w:tcW w:w="5801" w:type="dxa"/>
            <w:vAlign w:val="center"/>
          </w:tcPr>
          <w:p w14:paraId="2863FA86">
            <w:pPr>
              <w:spacing w:line="360" w:lineRule="exact"/>
              <w:jc w:val="left"/>
              <w:rPr>
                <w:rFonts w:hint="eastAsia" w:ascii="宋体" w:hAnsi="宋体" w:eastAsia="宋体" w:cs="宋体"/>
                <w:b w:val="0"/>
                <w:bCs/>
                <w:color w:val="auto"/>
                <w:szCs w:val="21"/>
                <w:highlight w:val="none"/>
                <w:lang w:val="zh-CN"/>
              </w:rPr>
            </w:pPr>
            <w:r>
              <w:rPr>
                <w:rFonts w:hint="eastAsia" w:ascii="宋体"/>
                <w:color w:val="auto"/>
                <w:szCs w:val="21"/>
                <w:highlight w:val="none"/>
                <w:shd w:val="clear" w:color="auto" w:fill="FFFFFF"/>
              </w:rPr>
              <w:t>供应商必须为其服务人员购买意外伤害保险</w:t>
            </w:r>
            <w:r>
              <w:rPr>
                <w:rFonts w:hint="eastAsia"/>
                <w:color w:val="auto"/>
                <w:szCs w:val="21"/>
                <w:highlight w:val="none"/>
                <w:shd w:val="clear" w:color="auto" w:fill="FFFFFF"/>
                <w:lang w:eastAsia="zh-CN"/>
              </w:rPr>
              <w:t>，</w:t>
            </w:r>
            <w:r>
              <w:rPr>
                <w:rFonts w:hint="eastAsia"/>
                <w:color w:val="auto"/>
                <w:szCs w:val="21"/>
                <w:highlight w:val="none"/>
                <w:shd w:val="clear" w:color="auto" w:fill="FFFFFF"/>
                <w:lang w:val="en-US" w:eastAsia="zh-CN"/>
              </w:rPr>
              <w:t>提供意外伤害险</w:t>
            </w:r>
            <w:r>
              <w:rPr>
                <w:rFonts w:hint="eastAsia" w:hAnsi="宋体" w:cs="宋体"/>
                <w:color w:val="auto"/>
                <w:highlight w:val="none"/>
              </w:rPr>
              <w:t>相应证明资料</w:t>
            </w:r>
            <w:r>
              <w:rPr>
                <w:rFonts w:hint="eastAsia" w:hAnsi="宋体" w:cs="宋体"/>
                <w:color w:val="auto"/>
                <w:highlight w:val="none"/>
                <w:lang w:val="en-US" w:eastAsia="zh-CN"/>
              </w:rPr>
              <w:t>或承诺函</w:t>
            </w:r>
            <w:r>
              <w:rPr>
                <w:rFonts w:hint="eastAsia"/>
                <w:color w:val="auto"/>
                <w:szCs w:val="21"/>
                <w:highlight w:val="none"/>
                <w:shd w:val="clear" w:color="auto" w:fill="FFFFFF"/>
                <w:lang w:val="en-US" w:eastAsia="zh-CN"/>
              </w:rPr>
              <w:t>；</w:t>
            </w:r>
          </w:p>
        </w:tc>
      </w:tr>
      <w:tr w14:paraId="181662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522" w:type="dxa"/>
            <w:gridSpan w:val="3"/>
            <w:vAlign w:val="center"/>
          </w:tcPr>
          <w:p w14:paraId="35FBFECA">
            <w:pPr>
              <w:spacing w:line="360" w:lineRule="exact"/>
              <w:jc w:val="center"/>
              <w:rPr>
                <w:rFonts w:hint="default" w:ascii="宋体" w:eastAsiaTheme="minorEastAsia"/>
                <w:color w:val="auto"/>
                <w:szCs w:val="21"/>
                <w:highlight w:val="none"/>
                <w:shd w:val="clear" w:color="auto" w:fill="FFFFFF"/>
                <w:lang w:val="en-US" w:eastAsia="zh-CN"/>
              </w:rPr>
            </w:pPr>
            <w:r>
              <w:rPr>
                <w:rFonts w:hint="eastAsia" w:ascii="宋体"/>
                <w:color w:val="auto"/>
                <w:szCs w:val="21"/>
                <w:highlight w:val="none"/>
                <w:shd w:val="clear" w:color="auto" w:fill="FFFFFF"/>
                <w:lang w:val="en-US" w:eastAsia="zh-CN"/>
              </w:rPr>
              <w:t>符合性评审</w:t>
            </w:r>
          </w:p>
        </w:tc>
      </w:tr>
    </w:tbl>
    <w:tbl>
      <w:tblPr>
        <w:tblStyle w:val="29"/>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737"/>
        <w:gridCol w:w="5835"/>
      </w:tblGrid>
      <w:tr w14:paraId="384A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08" w:type="dxa"/>
            <w:vAlign w:val="center"/>
          </w:tcPr>
          <w:p w14:paraId="5EF13937">
            <w:pPr>
              <w:spacing w:line="40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序号</w:t>
            </w:r>
          </w:p>
        </w:tc>
        <w:tc>
          <w:tcPr>
            <w:tcW w:w="1737" w:type="dxa"/>
            <w:vAlign w:val="center"/>
          </w:tcPr>
          <w:p w14:paraId="633CDCBE">
            <w:pPr>
              <w:spacing w:line="40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评审因素</w:t>
            </w:r>
          </w:p>
        </w:tc>
        <w:tc>
          <w:tcPr>
            <w:tcW w:w="5835" w:type="dxa"/>
            <w:vAlign w:val="center"/>
          </w:tcPr>
          <w:p w14:paraId="728AB074">
            <w:pPr>
              <w:spacing w:line="40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评审标准</w:t>
            </w:r>
          </w:p>
        </w:tc>
      </w:tr>
      <w:tr w14:paraId="06BC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008" w:type="dxa"/>
            <w:vAlign w:val="center"/>
          </w:tcPr>
          <w:p w14:paraId="2F243D25">
            <w:pPr>
              <w:spacing w:line="36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p>
        </w:tc>
        <w:tc>
          <w:tcPr>
            <w:tcW w:w="1737" w:type="dxa"/>
            <w:vAlign w:val="center"/>
          </w:tcPr>
          <w:p w14:paraId="79843480">
            <w:pPr>
              <w:spacing w:line="36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法人授权委托书</w:t>
            </w:r>
          </w:p>
        </w:tc>
        <w:tc>
          <w:tcPr>
            <w:tcW w:w="5835" w:type="dxa"/>
            <w:vAlign w:val="center"/>
          </w:tcPr>
          <w:p w14:paraId="3B52156F">
            <w:pPr>
              <w:spacing w:line="360" w:lineRule="exact"/>
              <w:jc w:val="lef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法定代表人授权委托书（法定代表人直接参加投标不需要提供，须出示法定代表人身份证明）。</w:t>
            </w:r>
          </w:p>
        </w:tc>
      </w:tr>
      <w:tr w14:paraId="1FF2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008" w:type="dxa"/>
            <w:vAlign w:val="center"/>
          </w:tcPr>
          <w:p w14:paraId="4A769D2E">
            <w:pPr>
              <w:spacing w:line="36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p>
        </w:tc>
        <w:tc>
          <w:tcPr>
            <w:tcW w:w="1737" w:type="dxa"/>
            <w:vAlign w:val="center"/>
          </w:tcPr>
          <w:p w14:paraId="5B3FD921">
            <w:pPr>
              <w:spacing w:line="36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投标文件签章</w:t>
            </w:r>
          </w:p>
        </w:tc>
        <w:tc>
          <w:tcPr>
            <w:tcW w:w="5835" w:type="dxa"/>
            <w:vAlign w:val="center"/>
          </w:tcPr>
          <w:p w14:paraId="59770E9E">
            <w:pPr>
              <w:pStyle w:val="17"/>
              <w:rPr>
                <w:rFonts w:hAnsi="宋体" w:cs="宋体"/>
                <w:bCs/>
                <w:color w:val="auto"/>
                <w:highlight w:val="none"/>
                <w:lang w:val="zh-CN"/>
              </w:rPr>
            </w:pPr>
            <w:r>
              <w:rPr>
                <w:rFonts w:hint="eastAsia" w:hAnsi="宋体" w:cs="宋体"/>
                <w:bCs/>
                <w:color w:val="auto"/>
                <w:highlight w:val="none"/>
                <w:lang w:val="zh-CN"/>
              </w:rPr>
              <w:t>投标文件未按照招标文件规定要求密封、签署、盖章的。</w:t>
            </w:r>
          </w:p>
        </w:tc>
      </w:tr>
      <w:tr w14:paraId="54E0D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008" w:type="dxa"/>
            <w:vAlign w:val="center"/>
          </w:tcPr>
          <w:p w14:paraId="5796AC6B">
            <w:pPr>
              <w:spacing w:line="36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w:t>
            </w:r>
          </w:p>
        </w:tc>
        <w:tc>
          <w:tcPr>
            <w:tcW w:w="1737" w:type="dxa"/>
            <w:vAlign w:val="center"/>
          </w:tcPr>
          <w:p w14:paraId="00F4FF7F">
            <w:pPr>
              <w:spacing w:line="36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实质性条款</w:t>
            </w:r>
          </w:p>
        </w:tc>
        <w:tc>
          <w:tcPr>
            <w:tcW w:w="5835" w:type="dxa"/>
            <w:vAlign w:val="center"/>
          </w:tcPr>
          <w:p w14:paraId="26B275B0">
            <w:pPr>
              <w:pStyle w:val="17"/>
              <w:rPr>
                <w:rFonts w:hAnsi="宋体" w:cs="宋体"/>
                <w:bCs/>
                <w:color w:val="auto"/>
                <w:highlight w:val="none"/>
                <w:lang w:val="zh-CN"/>
              </w:rPr>
            </w:pPr>
            <w:r>
              <w:rPr>
                <w:rFonts w:hint="eastAsia" w:hAnsi="宋体" w:cs="宋体"/>
                <w:bCs/>
                <w:color w:val="auto"/>
                <w:highlight w:val="none"/>
                <w:lang w:val="zh-CN"/>
              </w:rPr>
              <w:t>不满足本招标文件的实质性条款要求的。</w:t>
            </w:r>
          </w:p>
        </w:tc>
      </w:tr>
      <w:tr w14:paraId="314B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008" w:type="dxa"/>
            <w:vAlign w:val="center"/>
          </w:tcPr>
          <w:p w14:paraId="64B47253">
            <w:pPr>
              <w:spacing w:line="36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w:t>
            </w:r>
          </w:p>
        </w:tc>
        <w:tc>
          <w:tcPr>
            <w:tcW w:w="1737" w:type="dxa"/>
            <w:vAlign w:val="center"/>
          </w:tcPr>
          <w:p w14:paraId="4916752F">
            <w:pPr>
              <w:spacing w:line="36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投标有效期</w:t>
            </w:r>
          </w:p>
        </w:tc>
        <w:tc>
          <w:tcPr>
            <w:tcW w:w="5835" w:type="dxa"/>
            <w:vAlign w:val="center"/>
          </w:tcPr>
          <w:p w14:paraId="162CC292">
            <w:pPr>
              <w:spacing w:line="360" w:lineRule="exact"/>
              <w:jc w:val="lef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从提交投标文件的截止之日起90日（日历天）。</w:t>
            </w:r>
          </w:p>
        </w:tc>
      </w:tr>
      <w:tr w14:paraId="6082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008" w:type="dxa"/>
            <w:vAlign w:val="center"/>
          </w:tcPr>
          <w:p w14:paraId="4D0F6F42">
            <w:pPr>
              <w:spacing w:line="36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w:t>
            </w:r>
          </w:p>
        </w:tc>
        <w:tc>
          <w:tcPr>
            <w:tcW w:w="1737" w:type="dxa"/>
            <w:vAlign w:val="center"/>
          </w:tcPr>
          <w:p w14:paraId="0C18001E">
            <w:pPr>
              <w:spacing w:line="36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服务期要求</w:t>
            </w:r>
          </w:p>
        </w:tc>
        <w:tc>
          <w:tcPr>
            <w:tcW w:w="5835" w:type="dxa"/>
            <w:vAlign w:val="center"/>
          </w:tcPr>
          <w:p w14:paraId="6CC3FA64">
            <w:pPr>
              <w:pStyle w:val="17"/>
              <w:rPr>
                <w:rFonts w:hAnsi="宋体" w:cs="宋体"/>
                <w:bCs/>
                <w:color w:val="auto"/>
                <w:highlight w:val="none"/>
                <w:lang w:val="zh-CN"/>
              </w:rPr>
            </w:pPr>
            <w:r>
              <w:rPr>
                <w:rFonts w:hint="eastAsia" w:hAnsi="宋体" w:cs="宋体"/>
                <w:bCs/>
                <w:color w:val="auto"/>
                <w:highlight w:val="none"/>
                <w:lang w:val="zh-CN"/>
              </w:rPr>
              <w:t>满足招标文件规定的服务期要求。</w:t>
            </w:r>
          </w:p>
        </w:tc>
      </w:tr>
      <w:tr w14:paraId="0EC8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008" w:type="dxa"/>
            <w:vAlign w:val="center"/>
          </w:tcPr>
          <w:p w14:paraId="6BFC170C">
            <w:pPr>
              <w:spacing w:line="36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w:t>
            </w:r>
          </w:p>
        </w:tc>
        <w:tc>
          <w:tcPr>
            <w:tcW w:w="1737" w:type="dxa"/>
            <w:vAlign w:val="center"/>
          </w:tcPr>
          <w:p w14:paraId="2AF496FE">
            <w:pPr>
              <w:spacing w:line="360" w:lineRule="exact"/>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其他情形</w:t>
            </w:r>
          </w:p>
        </w:tc>
        <w:tc>
          <w:tcPr>
            <w:tcW w:w="5835" w:type="dxa"/>
            <w:vAlign w:val="center"/>
          </w:tcPr>
          <w:p w14:paraId="0ECD5A77">
            <w:pPr>
              <w:spacing w:line="360" w:lineRule="exact"/>
              <w:jc w:val="lef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投标文件含有采购人不能接受的附加条件的；</w:t>
            </w:r>
          </w:p>
          <w:p w14:paraId="00CF2156">
            <w:pPr>
              <w:spacing w:line="360" w:lineRule="exact"/>
              <w:jc w:val="left"/>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不符合法律、法规和招标文件规定的其他无效情形的。</w:t>
            </w:r>
          </w:p>
        </w:tc>
      </w:tr>
      <w:tr w14:paraId="199A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008" w:type="dxa"/>
            <w:vAlign w:val="center"/>
          </w:tcPr>
          <w:p w14:paraId="653A9276">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1737" w:type="dxa"/>
            <w:vAlign w:val="center"/>
          </w:tcPr>
          <w:p w14:paraId="3EFA16FA">
            <w:pPr>
              <w:spacing w:line="360" w:lineRule="exact"/>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投标报价</w:t>
            </w:r>
          </w:p>
        </w:tc>
        <w:tc>
          <w:tcPr>
            <w:tcW w:w="5835" w:type="dxa"/>
            <w:vAlign w:val="center"/>
          </w:tcPr>
          <w:p w14:paraId="7CC565A3">
            <w:pPr>
              <w:spacing w:line="360" w:lineRule="exact"/>
              <w:jc w:val="left"/>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投标报价在采购预算或最高限价以内。（单项均不可超出最高限价）。</w:t>
            </w:r>
          </w:p>
        </w:tc>
      </w:tr>
    </w:tbl>
    <w:p w14:paraId="6F12881E">
      <w:pPr>
        <w:pStyle w:val="17"/>
        <w:ind w:firstLine="420" w:firstLineChars="200"/>
        <w:rPr>
          <w:rFonts w:ascii="Times New Roman" w:hAnsi="Times New Roman" w:cs="Times New Roman"/>
          <w:color w:val="auto"/>
          <w:highlight w:val="none"/>
        </w:rPr>
      </w:pPr>
    </w:p>
    <w:p w14:paraId="020E60A9">
      <w:pPr>
        <w:pStyle w:val="17"/>
        <w:ind w:firstLine="420" w:firstLineChars="200"/>
        <w:rPr>
          <w:rFonts w:ascii="Times New Roman" w:hAnsi="Times New Roman" w:cs="Times New Roman"/>
          <w:color w:val="auto"/>
          <w:highlight w:val="none"/>
        </w:rPr>
      </w:pPr>
    </w:p>
    <w:p w14:paraId="73888B72">
      <w:pPr>
        <w:pStyle w:val="17"/>
        <w:ind w:firstLine="420" w:firstLineChars="200"/>
        <w:rPr>
          <w:rFonts w:ascii="Times New Roman" w:hAnsi="Times New Roman" w:cs="Times New Roman"/>
          <w:color w:val="auto"/>
          <w:highlight w:val="none"/>
        </w:rPr>
      </w:pPr>
    </w:p>
    <w:p w14:paraId="611F7531">
      <w:pPr>
        <w:pStyle w:val="4"/>
        <w:numPr>
          <w:ilvl w:val="0"/>
          <w:numId w:val="2"/>
        </w:numPr>
        <w:spacing w:before="0" w:after="0"/>
        <w:rPr>
          <w:color w:val="auto"/>
          <w:sz w:val="24"/>
          <w:szCs w:val="24"/>
          <w:highlight w:val="none"/>
        </w:rPr>
      </w:pPr>
      <w:bookmarkStart w:id="49" w:name="_Toc57294099"/>
      <w:bookmarkStart w:id="50" w:name="_Toc57294210"/>
      <w:r>
        <w:rPr>
          <w:rFonts w:hint="eastAsia"/>
          <w:color w:val="auto"/>
          <w:sz w:val="24"/>
          <w:szCs w:val="24"/>
          <w:highlight w:val="none"/>
        </w:rPr>
        <w:t>商务及技术分评分细则：</w:t>
      </w:r>
      <w:bookmarkEnd w:id="49"/>
      <w:bookmarkEnd w:id="50"/>
    </w:p>
    <w:tbl>
      <w:tblPr>
        <w:tblStyle w:val="29"/>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405"/>
        <w:gridCol w:w="6228"/>
        <w:gridCol w:w="642"/>
      </w:tblGrid>
      <w:tr w14:paraId="2C0E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487" w:type="dxa"/>
            <w:gridSpan w:val="2"/>
            <w:vAlign w:val="center"/>
          </w:tcPr>
          <w:p w14:paraId="14A5F991">
            <w:pPr>
              <w:pStyle w:val="17"/>
              <w:jc w:val="center"/>
              <w:rPr>
                <w:rFonts w:ascii="Times New Roman" w:hAnsi="Times New Roman" w:cs="Times New Roman"/>
                <w:color w:val="auto"/>
                <w:highlight w:val="none"/>
              </w:rPr>
            </w:pPr>
            <w:r>
              <w:rPr>
                <w:rFonts w:hint="eastAsia" w:ascii="Times New Roman" w:hAnsi="Times New Roman" w:cs="Times New Roman"/>
                <w:color w:val="auto"/>
                <w:highlight w:val="none"/>
              </w:rPr>
              <w:t>评审因素</w:t>
            </w:r>
          </w:p>
        </w:tc>
        <w:tc>
          <w:tcPr>
            <w:tcW w:w="6228" w:type="dxa"/>
            <w:vAlign w:val="center"/>
          </w:tcPr>
          <w:p w14:paraId="1A037718">
            <w:pPr>
              <w:pStyle w:val="17"/>
              <w:jc w:val="center"/>
              <w:rPr>
                <w:rFonts w:ascii="Times New Roman" w:hAnsi="Times New Roman" w:cs="Times New Roman"/>
                <w:color w:val="auto"/>
                <w:highlight w:val="none"/>
              </w:rPr>
            </w:pPr>
            <w:r>
              <w:rPr>
                <w:rFonts w:hint="eastAsia" w:ascii="Times New Roman" w:hAnsi="Times New Roman" w:cs="Times New Roman"/>
                <w:color w:val="auto"/>
                <w:highlight w:val="none"/>
              </w:rPr>
              <w:t>评审细则</w:t>
            </w:r>
          </w:p>
        </w:tc>
        <w:tc>
          <w:tcPr>
            <w:tcW w:w="642" w:type="dxa"/>
            <w:vAlign w:val="center"/>
          </w:tcPr>
          <w:p w14:paraId="066275E2">
            <w:pPr>
              <w:pStyle w:val="17"/>
              <w:jc w:val="center"/>
              <w:rPr>
                <w:rFonts w:ascii="Times New Roman" w:hAnsi="Times New Roman" w:cs="Times New Roman"/>
                <w:color w:val="auto"/>
                <w:highlight w:val="none"/>
              </w:rPr>
            </w:pPr>
            <w:r>
              <w:rPr>
                <w:rFonts w:hint="eastAsia" w:ascii="Times New Roman" w:hAnsi="Times New Roman" w:cs="Times New Roman"/>
                <w:color w:val="auto"/>
                <w:highlight w:val="none"/>
              </w:rPr>
              <w:t>分值</w:t>
            </w:r>
          </w:p>
        </w:tc>
      </w:tr>
      <w:tr w14:paraId="0B33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82" w:type="dxa"/>
            <w:vMerge w:val="restart"/>
            <w:vAlign w:val="center"/>
          </w:tcPr>
          <w:p w14:paraId="1FC24B62">
            <w:pPr>
              <w:pStyle w:val="17"/>
              <w:jc w:val="center"/>
              <w:rPr>
                <w:rFonts w:ascii="Times New Roman" w:hAnsi="Times New Roman" w:cs="Times New Roman"/>
                <w:color w:val="auto"/>
                <w:highlight w:val="none"/>
              </w:rPr>
            </w:pPr>
            <w:r>
              <w:rPr>
                <w:rFonts w:hint="eastAsia" w:ascii="Times New Roman" w:hAnsi="Times New Roman" w:cs="Times New Roman"/>
                <w:color w:val="auto"/>
                <w:highlight w:val="none"/>
              </w:rPr>
              <w:t>商务部分</w:t>
            </w:r>
          </w:p>
          <w:p w14:paraId="74CA87FF">
            <w:pPr>
              <w:pStyle w:val="17"/>
              <w:jc w:val="center"/>
              <w:rPr>
                <w:rFonts w:cs="Times New Roman" w:asciiTheme="minorEastAsia" w:hAnsiTheme="minorEastAsia" w:eastAsiaTheme="minorEastAsia"/>
                <w:color w:val="auto"/>
                <w:highlight w:val="none"/>
              </w:rPr>
            </w:pPr>
            <w:r>
              <w:rPr>
                <w:rFonts w:hint="eastAsia" w:ascii="Times New Roman" w:hAnsi="Times New Roman" w:cs="Times New Roman"/>
                <w:color w:val="auto"/>
                <w:highlight w:val="none"/>
              </w:rPr>
              <w:t>（4</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rPr>
              <w:t>分）</w:t>
            </w:r>
          </w:p>
        </w:tc>
        <w:tc>
          <w:tcPr>
            <w:tcW w:w="1405" w:type="dxa"/>
            <w:vAlign w:val="center"/>
          </w:tcPr>
          <w:p w14:paraId="0448A95F">
            <w:pPr>
              <w:pStyle w:val="17"/>
              <w:jc w:val="center"/>
              <w:rPr>
                <w:rFonts w:ascii="Times New Roman" w:hAnsi="Times New Roman" w:cs="Times New Roman"/>
                <w:color w:val="auto"/>
                <w:highlight w:val="none"/>
              </w:rPr>
            </w:pPr>
            <w:r>
              <w:rPr>
                <w:rFonts w:hint="eastAsia" w:ascii="Times New Roman" w:hAnsi="Times New Roman" w:cs="Times New Roman"/>
                <w:color w:val="auto"/>
                <w:highlight w:val="none"/>
              </w:rPr>
              <w:t>投标报价</w:t>
            </w:r>
          </w:p>
        </w:tc>
        <w:tc>
          <w:tcPr>
            <w:tcW w:w="6228" w:type="dxa"/>
            <w:vAlign w:val="center"/>
          </w:tcPr>
          <w:p w14:paraId="7FC8CD84">
            <w:pPr>
              <w:pStyle w:val="17"/>
              <w:jc w:val="left"/>
              <w:rPr>
                <w:rFonts w:ascii="Times New Roman" w:hAnsi="Times New Roman" w:cs="Times New Roman"/>
                <w:color w:val="auto"/>
                <w:highlight w:val="none"/>
              </w:rPr>
            </w:pPr>
            <w:r>
              <w:rPr>
                <w:rFonts w:hint="eastAsia" w:ascii="Times New Roman" w:hAnsi="Times New Roman" w:cs="Times New Roman"/>
                <w:color w:val="auto"/>
                <w:highlight w:val="none"/>
              </w:rPr>
              <w:t>投标报价得分=（评标基准价／投标报价）×20，计算分数时四舍五入取小数点后两位。</w:t>
            </w:r>
          </w:p>
          <w:p w14:paraId="180CEF1C">
            <w:pPr>
              <w:pStyle w:val="17"/>
              <w:jc w:val="left"/>
              <w:rPr>
                <w:rFonts w:hint="eastAsia" w:ascii="Times New Roman" w:hAnsi="Times New Roman" w:cs="Times New Roman"/>
                <w:color w:val="auto"/>
                <w:highlight w:val="none"/>
              </w:rPr>
            </w:pPr>
            <w:r>
              <w:rPr>
                <w:rFonts w:hint="eastAsia" w:ascii="Times New Roman" w:hAnsi="Times New Roman" w:cs="Times New Roman"/>
                <w:color w:val="auto"/>
                <w:highlight w:val="none"/>
              </w:rPr>
              <w:t>评标基准价是指满足招标文件要求且投标价格最低的投标报价为评标基准价。</w:t>
            </w:r>
          </w:p>
          <w:p w14:paraId="3E43C2E9">
            <w:pPr>
              <w:pStyle w:val="17"/>
              <w:jc w:val="lef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1.本项目专门面向中小企业，不再进行优惠政策。</w:t>
            </w:r>
          </w:p>
          <w:p w14:paraId="700CA651">
            <w:pPr>
              <w:pStyle w:val="17"/>
              <w:jc w:val="lef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2.根据《政府采购促进中小企业发展管理办法》（财库〔2020〕46号文件）的规定，中小企业参加政府采购活动，应当出具本办法规定的《中小企业声明函》；</w:t>
            </w:r>
          </w:p>
          <w:p w14:paraId="6E65F6F2">
            <w:pPr>
              <w:pStyle w:val="17"/>
              <w:jc w:val="left"/>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3.根据财政部《关于政府采购支持监狱企业发展有关问题的通知》（财库[2014]68号）的规定，在政府采购活动中，监狱企业视同小型、微型企业。</w:t>
            </w:r>
          </w:p>
          <w:p w14:paraId="3333B66D">
            <w:pPr>
              <w:pStyle w:val="17"/>
              <w:jc w:val="left"/>
              <w:rPr>
                <w:rFonts w:hint="eastAsia" w:ascii="Times New Roman" w:hAnsi="Times New Roman" w:cs="Times New Roman"/>
                <w:color w:val="auto"/>
                <w:highlight w:val="none"/>
              </w:rPr>
            </w:pPr>
            <w:r>
              <w:rPr>
                <w:rFonts w:hint="eastAsia" w:ascii="Times New Roman" w:hAnsi="Times New Roman" w:cs="Times New Roman"/>
                <w:color w:val="auto"/>
                <w:highlight w:val="none"/>
              </w:rPr>
              <w:t>注：如果投标人年运营服务费投标报价低于年运营服务费上限控制价的85%，投标人必须在响应文件中自行提供类似项目运营业绩等有效资料证明（至少同时提供业绩证明、政府方对项目履约良好的书面签章证明、详细的成本分析、政府方审计结算等资料，提供的资料应能反映运营范围、经济指标、绩效考核等因素。以上材料应在响应文件中提供有效证明材料的复印件，同时原件备查。），未提供有效证明材料的视同为低于成本竞争，有可能影响产品质量或者不能诚信履约的，作无效投标处理。</w:t>
            </w:r>
          </w:p>
        </w:tc>
        <w:tc>
          <w:tcPr>
            <w:tcW w:w="642" w:type="dxa"/>
            <w:vAlign w:val="center"/>
          </w:tcPr>
          <w:p w14:paraId="5A580925">
            <w:pPr>
              <w:pStyle w:val="17"/>
              <w:jc w:val="center"/>
              <w:rPr>
                <w:rFonts w:ascii="Times New Roman" w:hAnsi="Times New Roman" w:cs="Times New Roman"/>
                <w:color w:val="auto"/>
                <w:highlight w:val="none"/>
              </w:rPr>
            </w:pPr>
            <w:r>
              <w:rPr>
                <w:rFonts w:hint="eastAsia" w:ascii="Times New Roman" w:hAnsi="Times New Roman" w:cs="Times New Roman"/>
                <w:color w:val="auto"/>
                <w:highlight w:val="none"/>
              </w:rPr>
              <w:t>20</w:t>
            </w:r>
          </w:p>
        </w:tc>
      </w:tr>
      <w:tr w14:paraId="32BC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82" w:type="dxa"/>
            <w:vMerge w:val="continue"/>
            <w:vAlign w:val="center"/>
          </w:tcPr>
          <w:p w14:paraId="0E9E892B">
            <w:pPr>
              <w:pStyle w:val="17"/>
              <w:jc w:val="center"/>
              <w:rPr>
                <w:rFonts w:cs="Times New Roman" w:asciiTheme="minorEastAsia" w:hAnsiTheme="minorEastAsia" w:eastAsiaTheme="minorEastAsia"/>
                <w:color w:val="auto"/>
                <w:highlight w:val="none"/>
              </w:rPr>
            </w:pPr>
          </w:p>
        </w:tc>
        <w:tc>
          <w:tcPr>
            <w:tcW w:w="1405" w:type="dxa"/>
            <w:vAlign w:val="center"/>
          </w:tcPr>
          <w:p w14:paraId="7318269C">
            <w:pPr>
              <w:pStyle w:val="17"/>
              <w:jc w:val="center"/>
              <w:rPr>
                <w:rFonts w:ascii="Times New Roman" w:hAnsi="Times New Roman" w:cs="Times New Roman"/>
                <w:color w:val="auto"/>
                <w:highlight w:val="none"/>
              </w:rPr>
            </w:pPr>
            <w:r>
              <w:rPr>
                <w:rFonts w:hint="eastAsia" w:ascii="Times New Roman" w:hAnsi="Times New Roman" w:cs="Times New Roman"/>
                <w:color w:val="auto"/>
                <w:highlight w:val="none"/>
              </w:rPr>
              <w:t>业绩</w:t>
            </w:r>
          </w:p>
        </w:tc>
        <w:tc>
          <w:tcPr>
            <w:tcW w:w="6228" w:type="dxa"/>
            <w:shd w:val="clear" w:color="auto" w:fill="auto"/>
            <w:vAlign w:val="center"/>
          </w:tcPr>
          <w:p w14:paraId="505E0F0F">
            <w:pPr>
              <w:pStyle w:val="17"/>
              <w:rPr>
                <w:rFonts w:ascii="Times New Roman" w:hAnsi="Times New Roman" w:cs="Times New Roman"/>
                <w:color w:val="auto"/>
                <w:highlight w:val="none"/>
              </w:rPr>
            </w:pPr>
            <w:r>
              <w:rPr>
                <w:rFonts w:hint="eastAsia" w:ascii="Times New Roman" w:hAnsi="Times New Roman" w:cs="Times New Roman"/>
                <w:color w:val="auto"/>
                <w:highlight w:val="none"/>
              </w:rPr>
              <w:t>投标人</w:t>
            </w:r>
            <w:r>
              <w:rPr>
                <w:rFonts w:hint="eastAsia" w:ascii="Times New Roman" w:hAnsi="Times New Roman" w:cs="Times New Roman"/>
                <w:color w:val="auto"/>
                <w:highlight w:val="none"/>
                <w:lang w:eastAsia="zh-CN"/>
              </w:rPr>
              <w:t>2021年1月1日至今完成的同类型项目业绩证明</w:t>
            </w:r>
            <w:r>
              <w:rPr>
                <w:rFonts w:ascii="Times New Roman" w:hAnsi="Times New Roman" w:cs="Times New Roman"/>
                <w:color w:val="auto"/>
                <w:highlight w:val="none"/>
              </w:rPr>
              <w:t>（附与用户签订的合同首页、服务周期页、服务内容所在页及签署页复印件</w:t>
            </w:r>
            <w:r>
              <w:rPr>
                <w:rFonts w:hint="eastAsia" w:ascii="Times New Roman" w:hAnsi="Times New Roman" w:cs="Times New Roman"/>
                <w:color w:val="auto"/>
                <w:highlight w:val="none"/>
              </w:rPr>
              <w:t>，无法认定项目类型或服务内容的合同将不计分</w:t>
            </w:r>
            <w:r>
              <w:rPr>
                <w:rFonts w:ascii="Times New Roman" w:hAnsi="Times New Roman" w:cs="Times New Roman"/>
                <w:color w:val="auto"/>
                <w:highlight w:val="none"/>
              </w:rPr>
              <w:t>）</w:t>
            </w:r>
            <w:r>
              <w:rPr>
                <w:rFonts w:hint="eastAsia" w:ascii="Times New Roman" w:hAnsi="Times New Roman" w:cs="Times New Roman"/>
                <w:color w:val="auto"/>
                <w:highlight w:val="none"/>
              </w:rPr>
              <w:t>，每提供1个满足上述要求的业绩得2分，最多得10分。</w:t>
            </w:r>
          </w:p>
        </w:tc>
        <w:tc>
          <w:tcPr>
            <w:tcW w:w="642" w:type="dxa"/>
            <w:vAlign w:val="center"/>
          </w:tcPr>
          <w:p w14:paraId="5FD7712B">
            <w:pPr>
              <w:pStyle w:val="17"/>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10</w:t>
            </w:r>
          </w:p>
        </w:tc>
      </w:tr>
      <w:tr w14:paraId="115B3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82" w:type="dxa"/>
            <w:vMerge w:val="continue"/>
            <w:vAlign w:val="center"/>
          </w:tcPr>
          <w:p w14:paraId="39C3DF4B">
            <w:pPr>
              <w:pStyle w:val="17"/>
              <w:jc w:val="center"/>
              <w:rPr>
                <w:rFonts w:cs="Times New Roman" w:asciiTheme="minorEastAsia" w:hAnsiTheme="minorEastAsia" w:eastAsiaTheme="minorEastAsia"/>
                <w:color w:val="auto"/>
                <w:highlight w:val="none"/>
              </w:rPr>
            </w:pPr>
          </w:p>
        </w:tc>
        <w:tc>
          <w:tcPr>
            <w:tcW w:w="1405" w:type="dxa"/>
            <w:vAlign w:val="center"/>
          </w:tcPr>
          <w:p w14:paraId="64D0E601">
            <w:pPr>
              <w:spacing w:line="360" w:lineRule="auto"/>
              <w:ind w:left="50" w:leftChars="0" w:right="50" w:rightChars="0"/>
              <w:jc w:val="center"/>
              <w:rPr>
                <w:rFonts w:hint="eastAsia" w:ascii="Times New Roman" w:hAnsi="Times New Roman" w:cs="Times New Roman"/>
                <w:color w:val="auto"/>
                <w:highlight w:val="none"/>
              </w:rPr>
            </w:pPr>
            <w:r>
              <w:rPr>
                <w:rFonts w:hint="eastAsia" w:ascii="宋体" w:hAnsi="宋体" w:eastAsia="宋体" w:cs="宋体"/>
                <w:color w:val="auto"/>
                <w:sz w:val="21"/>
                <w:szCs w:val="21"/>
                <w:lang w:eastAsia="zh-CN"/>
              </w:rPr>
              <w:t>项目管理人员</w:t>
            </w:r>
          </w:p>
        </w:tc>
        <w:tc>
          <w:tcPr>
            <w:tcW w:w="6228" w:type="dxa"/>
            <w:shd w:val="clear" w:color="auto" w:fill="auto"/>
            <w:vAlign w:val="center"/>
          </w:tcPr>
          <w:p w14:paraId="0C6924AE">
            <w:pPr>
              <w:spacing w:line="360" w:lineRule="auto"/>
              <w:ind w:left="50" w:leftChars="0" w:right="50" w:rightChars="0"/>
              <w:jc w:val="both"/>
              <w:rPr>
                <w:rFonts w:hint="eastAsia" w:ascii="Times New Roman" w:hAnsi="Times New Roman" w:cs="Times New Roman"/>
                <w:color w:val="auto"/>
                <w:highlight w:val="none"/>
              </w:rPr>
            </w:pPr>
            <w:r>
              <w:rPr>
                <w:rFonts w:hint="eastAsia" w:ascii="宋体" w:hAnsi="宋体" w:eastAsia="宋体"/>
                <w:color w:val="auto"/>
                <w:sz w:val="21"/>
                <w:szCs w:val="21"/>
                <w:lang w:eastAsia="zh-CN"/>
              </w:rPr>
              <w:t>供应商拟提供的项目管理人员，满足项目要求，对项目管理人员配备情况进行比较。</w:t>
            </w:r>
            <w:r>
              <w:rPr>
                <w:rFonts w:hint="eastAsia" w:ascii="宋体" w:hAnsi="宋体" w:eastAsia="宋体" w:cs="宋体"/>
                <w:color w:val="auto"/>
                <w:szCs w:val="21"/>
                <w:highlight w:val="none"/>
              </w:rPr>
              <w:t>优得</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分，良得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合理得4分，</w:t>
            </w:r>
            <w:r>
              <w:rPr>
                <w:rFonts w:hint="eastAsia" w:ascii="宋体" w:hAnsi="宋体" w:eastAsia="宋体" w:cs="宋体"/>
                <w:color w:val="auto"/>
                <w:szCs w:val="21"/>
                <w:highlight w:val="none"/>
              </w:rPr>
              <w:t>一般得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不合理得1分.</w:t>
            </w:r>
            <w:r>
              <w:rPr>
                <w:rFonts w:hint="eastAsia" w:ascii="宋体" w:hAnsi="宋体" w:eastAsia="宋体"/>
                <w:color w:val="auto"/>
                <w:sz w:val="21"/>
                <w:szCs w:val="21"/>
                <w:lang w:eastAsia="zh-CN"/>
              </w:rPr>
              <w:t>标书内附相关管理人员材料及加盖公章的复印件。</w:t>
            </w:r>
          </w:p>
        </w:tc>
        <w:tc>
          <w:tcPr>
            <w:tcW w:w="642" w:type="dxa"/>
            <w:vAlign w:val="center"/>
          </w:tcPr>
          <w:p w14:paraId="78BD77BD">
            <w:pPr>
              <w:pStyle w:val="17"/>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8</w:t>
            </w:r>
          </w:p>
        </w:tc>
      </w:tr>
      <w:tr w14:paraId="4A6B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82" w:type="dxa"/>
            <w:vMerge w:val="continue"/>
            <w:vAlign w:val="center"/>
          </w:tcPr>
          <w:p w14:paraId="2A428E36">
            <w:pPr>
              <w:pStyle w:val="17"/>
              <w:jc w:val="center"/>
              <w:rPr>
                <w:rFonts w:cs="Times New Roman" w:asciiTheme="minorEastAsia" w:hAnsiTheme="minorEastAsia" w:eastAsiaTheme="minorEastAsia"/>
                <w:color w:val="auto"/>
                <w:highlight w:val="none"/>
              </w:rPr>
            </w:pPr>
          </w:p>
        </w:tc>
        <w:tc>
          <w:tcPr>
            <w:tcW w:w="1405" w:type="dxa"/>
            <w:vAlign w:val="center"/>
          </w:tcPr>
          <w:p w14:paraId="179501BC">
            <w:pPr>
              <w:spacing w:line="360" w:lineRule="auto"/>
              <w:jc w:val="left"/>
              <w:rPr>
                <w:rFonts w:hint="eastAsia" w:ascii="Times New Roman" w:hAnsi="Times New Roman" w:cs="Times New Roman"/>
                <w:color w:val="auto"/>
                <w:highlight w:val="none"/>
              </w:rPr>
            </w:pPr>
            <w:r>
              <w:rPr>
                <w:rFonts w:hint="eastAsia" w:ascii="宋体" w:hAnsi="宋体" w:eastAsia="宋体" w:cs="宋体"/>
                <w:color w:val="auto"/>
                <w:kern w:val="2"/>
                <w:sz w:val="21"/>
                <w:szCs w:val="21"/>
                <w:highlight w:val="none"/>
                <w:lang w:val="en-US" w:eastAsia="zh-CN" w:bidi="ar-SA"/>
              </w:rPr>
              <w:t>企业设备能力</w:t>
            </w:r>
          </w:p>
        </w:tc>
        <w:tc>
          <w:tcPr>
            <w:tcW w:w="6228" w:type="dxa"/>
            <w:shd w:val="clear" w:color="auto" w:fill="auto"/>
            <w:vAlign w:val="center"/>
          </w:tcPr>
          <w:p w14:paraId="04F4501A">
            <w:pPr>
              <w:spacing w:line="360" w:lineRule="auto"/>
              <w:rPr>
                <w:rFonts w:hint="eastAsia" w:ascii="Times New Roman" w:hAnsi="Times New Roman" w:cs="Times New Roman"/>
                <w:color w:val="auto"/>
                <w:highlight w:val="none"/>
              </w:rPr>
            </w:pPr>
            <w:r>
              <w:rPr>
                <w:rFonts w:hint="eastAsia" w:ascii="宋体" w:hAnsi="宋体" w:eastAsia="宋体"/>
                <w:sz w:val="21"/>
                <w:szCs w:val="21"/>
                <w:lang w:eastAsia="zh-CN"/>
              </w:rPr>
              <w:t>供应商拟提供的机械设备能够满足项目需求，且须是供应商本单位自有设备（提供设备自有证明材料，标书内附加盖公章的复印件）。对机械设备进行综合比较。</w:t>
            </w:r>
            <w:r>
              <w:rPr>
                <w:rFonts w:hint="eastAsia" w:ascii="宋体" w:hAnsi="宋体" w:eastAsia="宋体" w:cs="宋体"/>
                <w:color w:val="auto"/>
                <w:szCs w:val="21"/>
                <w:highlight w:val="none"/>
              </w:rPr>
              <w:t>优得</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分，良得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合理得4分，</w:t>
            </w:r>
            <w:r>
              <w:rPr>
                <w:rFonts w:hint="eastAsia" w:ascii="宋体" w:hAnsi="宋体" w:eastAsia="宋体" w:cs="宋体"/>
                <w:color w:val="auto"/>
                <w:szCs w:val="21"/>
                <w:highlight w:val="none"/>
              </w:rPr>
              <w:t>一般得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不合理得1分</w:t>
            </w:r>
            <w:r>
              <w:rPr>
                <w:rFonts w:hint="eastAsia" w:ascii="宋体" w:hAnsi="宋体" w:eastAsia="宋体"/>
                <w:sz w:val="21"/>
                <w:szCs w:val="21"/>
                <w:lang w:eastAsia="zh-CN"/>
              </w:rPr>
              <w:t>。</w:t>
            </w:r>
          </w:p>
        </w:tc>
        <w:tc>
          <w:tcPr>
            <w:tcW w:w="642" w:type="dxa"/>
            <w:vAlign w:val="center"/>
          </w:tcPr>
          <w:p w14:paraId="25E6A86F">
            <w:pPr>
              <w:pStyle w:val="17"/>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8</w:t>
            </w:r>
          </w:p>
        </w:tc>
      </w:tr>
      <w:tr w14:paraId="77EF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82" w:type="dxa"/>
            <w:vMerge w:val="restart"/>
            <w:vAlign w:val="center"/>
          </w:tcPr>
          <w:p w14:paraId="034BAD16">
            <w:pPr>
              <w:pStyle w:val="17"/>
              <w:jc w:val="center"/>
              <w:rPr>
                <w:rFonts w:ascii="Times New Roman" w:hAnsi="Times New Roman" w:cs="Times New Roman"/>
                <w:color w:val="auto"/>
                <w:highlight w:val="none"/>
              </w:rPr>
            </w:pPr>
            <w:r>
              <w:rPr>
                <w:rFonts w:hint="eastAsia" w:ascii="Times New Roman" w:hAnsi="Times New Roman" w:cs="Times New Roman"/>
                <w:color w:val="auto"/>
                <w:highlight w:val="none"/>
              </w:rPr>
              <w:t>技术部分</w:t>
            </w:r>
          </w:p>
          <w:p w14:paraId="52977EAF">
            <w:pPr>
              <w:pStyle w:val="17"/>
              <w:jc w:val="center"/>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40</w:t>
            </w:r>
            <w:r>
              <w:rPr>
                <w:rFonts w:hint="eastAsia" w:ascii="Times New Roman" w:hAnsi="Times New Roman" w:cs="Times New Roman"/>
                <w:color w:val="auto"/>
                <w:highlight w:val="none"/>
              </w:rPr>
              <w:t>分）</w:t>
            </w:r>
          </w:p>
        </w:tc>
        <w:tc>
          <w:tcPr>
            <w:tcW w:w="1405" w:type="dxa"/>
            <w:vAlign w:val="center"/>
          </w:tcPr>
          <w:p w14:paraId="47B29AD5">
            <w:pPr>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内容完整性和编制水平</w:t>
            </w:r>
          </w:p>
        </w:tc>
        <w:tc>
          <w:tcPr>
            <w:tcW w:w="6228" w:type="dxa"/>
            <w:shd w:val="clear" w:color="auto" w:fill="auto"/>
            <w:vAlign w:val="center"/>
          </w:tcPr>
          <w:p w14:paraId="07F874FE">
            <w:pPr>
              <w:pStyle w:val="17"/>
              <w:rPr>
                <w:rFonts w:hint="default" w:ascii="宋体" w:hAnsi="宋体" w:eastAsia="宋体" w:cs="宋体"/>
                <w:color w:val="auto"/>
                <w:szCs w:val="21"/>
                <w:highlight w:val="none"/>
                <w:lang w:val="en-US" w:eastAsia="zh-CN"/>
              </w:rPr>
            </w:pPr>
            <w:r>
              <w:rPr>
                <w:rFonts w:hint="eastAsia" w:ascii="宋体" w:hAnsi="宋体" w:eastAsia="宋体" w:cs="宋体"/>
                <w:color w:val="auto"/>
                <w:highlight w:val="none"/>
              </w:rPr>
              <w:t>根据投标文件编制的完整性，详细性、合理性和清晰度等方面进行打分。</w:t>
            </w:r>
            <w:r>
              <w:rPr>
                <w:rFonts w:hint="eastAsia" w:ascii="宋体" w:hAnsi="宋体" w:eastAsia="宋体" w:cs="宋体"/>
                <w:color w:val="auto"/>
                <w:szCs w:val="21"/>
                <w:highlight w:val="none"/>
              </w:rPr>
              <w:t>优得</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分，良得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合理得4分，</w:t>
            </w:r>
            <w:r>
              <w:rPr>
                <w:rFonts w:hint="eastAsia" w:ascii="宋体" w:hAnsi="宋体" w:eastAsia="宋体" w:cs="宋体"/>
                <w:color w:val="auto"/>
                <w:szCs w:val="21"/>
                <w:highlight w:val="none"/>
              </w:rPr>
              <w:t>一般得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不合理得1分</w:t>
            </w:r>
            <w:r>
              <w:rPr>
                <w:rFonts w:hint="eastAsia" w:ascii="宋体" w:hAnsi="宋体" w:eastAsia="宋体" w:cs="宋体"/>
                <w:color w:val="auto"/>
                <w:highlight w:val="none"/>
                <w:lang w:val="en-US" w:eastAsia="zh-CN"/>
              </w:rPr>
              <w:t>，</w:t>
            </w:r>
          </w:p>
        </w:tc>
        <w:tc>
          <w:tcPr>
            <w:tcW w:w="642" w:type="dxa"/>
            <w:vAlign w:val="center"/>
          </w:tcPr>
          <w:p w14:paraId="53B14482">
            <w:pPr>
              <w:pStyle w:val="17"/>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cs="Times New Roman"/>
                <w:color w:val="auto"/>
                <w:highlight w:val="none"/>
                <w:lang w:val="en-US" w:eastAsia="zh-CN"/>
              </w:rPr>
              <w:t>6</w:t>
            </w:r>
          </w:p>
        </w:tc>
      </w:tr>
      <w:tr w14:paraId="09AE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082" w:type="dxa"/>
            <w:vMerge w:val="continue"/>
            <w:vAlign w:val="center"/>
          </w:tcPr>
          <w:p w14:paraId="28CE561B">
            <w:pPr>
              <w:pStyle w:val="17"/>
              <w:jc w:val="center"/>
              <w:rPr>
                <w:rFonts w:hint="eastAsia" w:ascii="Times New Roman" w:hAnsi="Times New Roman" w:cs="Times New Roman"/>
                <w:color w:val="auto"/>
                <w:highlight w:val="none"/>
              </w:rPr>
            </w:pPr>
          </w:p>
        </w:tc>
        <w:tc>
          <w:tcPr>
            <w:tcW w:w="1405" w:type="dxa"/>
            <w:vAlign w:val="center"/>
          </w:tcPr>
          <w:p w14:paraId="0F4801D7">
            <w:pPr>
              <w:autoSpaceDE w:val="0"/>
              <w:autoSpaceDN w:val="0"/>
              <w:adjustRightInd w:val="0"/>
              <w:spacing w:line="24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服务方案</w:t>
            </w:r>
          </w:p>
        </w:tc>
        <w:tc>
          <w:tcPr>
            <w:tcW w:w="6228" w:type="dxa"/>
            <w:shd w:val="clear" w:color="auto" w:fill="auto"/>
            <w:vAlign w:val="center"/>
          </w:tcPr>
          <w:p w14:paraId="0E4F0BCF">
            <w:pPr>
              <w:autoSpaceDE w:val="0"/>
              <w:autoSpaceDN w:val="0"/>
              <w:adjustRightInd w:val="0"/>
              <w:spacing w:line="24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评委根据服务方案的科学性、合理性、规范性、可操作性等，包括组织机构、工作时间进度表、工作程序和步骤、管理和协调方法、关键步骤的思路和要点等。优得</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分，良得</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合理得8分，</w:t>
            </w:r>
            <w:r>
              <w:rPr>
                <w:rFonts w:hint="eastAsia" w:ascii="宋体" w:hAnsi="宋体" w:eastAsia="宋体" w:cs="宋体"/>
                <w:color w:val="auto"/>
                <w:szCs w:val="21"/>
                <w:highlight w:val="none"/>
              </w:rPr>
              <w:t>一般得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不合理得3分</w:t>
            </w:r>
            <w:r>
              <w:rPr>
                <w:rFonts w:hint="eastAsia" w:ascii="宋体" w:hAnsi="宋体" w:eastAsia="宋体"/>
                <w:sz w:val="21"/>
                <w:szCs w:val="21"/>
                <w:lang w:eastAsia="zh-CN"/>
              </w:rPr>
              <w:t>。</w:t>
            </w:r>
          </w:p>
        </w:tc>
        <w:tc>
          <w:tcPr>
            <w:tcW w:w="642" w:type="dxa"/>
            <w:vAlign w:val="center"/>
          </w:tcPr>
          <w:p w14:paraId="258DC2D0">
            <w:pPr>
              <w:autoSpaceDE w:val="0"/>
              <w:autoSpaceDN w:val="0"/>
              <w:adjustRightInd w:val="0"/>
              <w:spacing w:line="240" w:lineRule="atLeast"/>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12</w:t>
            </w:r>
          </w:p>
        </w:tc>
      </w:tr>
      <w:tr w14:paraId="735C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082" w:type="dxa"/>
            <w:vMerge w:val="continue"/>
            <w:vAlign w:val="center"/>
          </w:tcPr>
          <w:p w14:paraId="55978A5E">
            <w:pPr>
              <w:pStyle w:val="17"/>
              <w:jc w:val="center"/>
              <w:rPr>
                <w:rFonts w:ascii="Times New Roman" w:hAnsi="Times New Roman" w:cs="Times New Roman"/>
                <w:color w:val="auto"/>
                <w:highlight w:val="none"/>
              </w:rPr>
            </w:pPr>
          </w:p>
        </w:tc>
        <w:tc>
          <w:tcPr>
            <w:tcW w:w="1405" w:type="dxa"/>
            <w:vAlign w:val="center"/>
          </w:tcPr>
          <w:p w14:paraId="02CDE64F">
            <w:pPr>
              <w:spacing w:line="360" w:lineRule="auto"/>
              <w:ind w:left="50" w:leftChars="0" w:right="50" w:rightChars="0"/>
              <w:jc w:val="center"/>
              <w:rPr>
                <w:rFonts w:hint="eastAsia" w:ascii="宋体" w:hAnsi="宋体" w:eastAsia="宋体" w:cs="宋体"/>
                <w:color w:val="auto"/>
                <w:szCs w:val="21"/>
                <w:highlight w:val="none"/>
                <w:lang w:val="en-US" w:eastAsia="zh-CN"/>
              </w:rPr>
            </w:pPr>
            <w:r>
              <w:rPr>
                <w:rFonts w:hint="eastAsia" w:ascii="宋体" w:hAnsi="宋体" w:eastAsia="宋体" w:cs="宋体"/>
                <w:sz w:val="21"/>
                <w:szCs w:val="21"/>
                <w:lang w:eastAsia="zh-CN"/>
              </w:rPr>
              <w:t>管理制度</w:t>
            </w:r>
          </w:p>
        </w:tc>
        <w:tc>
          <w:tcPr>
            <w:tcW w:w="6228" w:type="dxa"/>
            <w:shd w:val="clear" w:color="auto" w:fill="auto"/>
            <w:vAlign w:val="center"/>
          </w:tcPr>
          <w:p w14:paraId="60DDDAEB">
            <w:pPr>
              <w:spacing w:line="360" w:lineRule="auto"/>
              <w:ind w:left="50" w:leftChars="0" w:right="50" w:rightChars="0"/>
              <w:jc w:val="both"/>
              <w:rPr>
                <w:rFonts w:hint="eastAsia" w:ascii="宋体" w:hAnsi="宋体" w:eastAsia="宋体" w:cs="宋体"/>
                <w:color w:val="auto"/>
                <w:szCs w:val="21"/>
                <w:highlight w:val="none"/>
                <w:lang w:val="en-US" w:eastAsia="zh-CN"/>
              </w:rPr>
            </w:pPr>
            <w:r>
              <w:rPr>
                <w:rFonts w:hint="eastAsia" w:ascii="宋体" w:hAnsi="宋体" w:eastAsia="宋体" w:cs="宋体"/>
                <w:sz w:val="21"/>
                <w:szCs w:val="21"/>
                <w:lang w:eastAsia="zh-CN"/>
              </w:rPr>
              <w:t>针对本项目特点，供应商根据招标文件要求并结合以往自身经验，提供完善的管理制度，内容具有</w:t>
            </w:r>
            <w:r>
              <w:rPr>
                <w:rFonts w:hint="eastAsia" w:ascii="宋体" w:hAnsi="宋体" w:eastAsia="宋体"/>
                <w:sz w:val="21"/>
                <w:szCs w:val="21"/>
                <w:lang w:eastAsia="zh-CN"/>
              </w:rPr>
              <w:t>科学性、合理性、规范性、可操作性等，包括但不限于企业管理服务体系、组织架构、服务管理制度等。方案及措施</w:t>
            </w:r>
            <w:r>
              <w:rPr>
                <w:rFonts w:hint="eastAsia" w:ascii="宋体" w:hAnsi="宋体" w:eastAsia="宋体" w:cs="宋体"/>
                <w:color w:val="auto"/>
                <w:szCs w:val="21"/>
                <w:highlight w:val="none"/>
              </w:rPr>
              <w:t>优得</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分，良得</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合理得5分，</w:t>
            </w:r>
            <w:r>
              <w:rPr>
                <w:rFonts w:hint="eastAsia" w:ascii="宋体" w:hAnsi="宋体" w:eastAsia="宋体" w:cs="宋体"/>
                <w:color w:val="auto"/>
                <w:szCs w:val="21"/>
                <w:highlight w:val="none"/>
              </w:rPr>
              <w:t>一般得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不合理得1分</w:t>
            </w:r>
            <w:r>
              <w:rPr>
                <w:rFonts w:hint="eastAsia" w:ascii="宋体" w:hAnsi="宋体" w:eastAsia="宋体"/>
                <w:sz w:val="21"/>
                <w:szCs w:val="21"/>
                <w:lang w:eastAsia="zh-CN"/>
              </w:rPr>
              <w:t>。</w:t>
            </w:r>
          </w:p>
        </w:tc>
        <w:tc>
          <w:tcPr>
            <w:tcW w:w="642" w:type="dxa"/>
            <w:vAlign w:val="center"/>
          </w:tcPr>
          <w:p w14:paraId="71FAC122">
            <w:pPr>
              <w:autoSpaceDE w:val="0"/>
              <w:autoSpaceDN w:val="0"/>
              <w:adjustRightInd w:val="0"/>
              <w:spacing w:line="240" w:lineRule="atLeast"/>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8</w:t>
            </w:r>
          </w:p>
        </w:tc>
      </w:tr>
      <w:tr w14:paraId="4D31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082" w:type="dxa"/>
            <w:vMerge w:val="continue"/>
            <w:vAlign w:val="center"/>
          </w:tcPr>
          <w:p w14:paraId="36ADDC09">
            <w:pPr>
              <w:pStyle w:val="17"/>
              <w:jc w:val="center"/>
              <w:rPr>
                <w:rFonts w:ascii="Times New Roman" w:hAnsi="Times New Roman" w:cs="Times New Roman"/>
                <w:color w:val="auto"/>
                <w:highlight w:val="none"/>
              </w:rPr>
            </w:pPr>
          </w:p>
        </w:tc>
        <w:tc>
          <w:tcPr>
            <w:tcW w:w="1405" w:type="dxa"/>
            <w:vAlign w:val="center"/>
          </w:tcPr>
          <w:p w14:paraId="128677A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安全方案及保证措施</w:t>
            </w:r>
          </w:p>
        </w:tc>
        <w:tc>
          <w:tcPr>
            <w:tcW w:w="6228" w:type="dxa"/>
            <w:shd w:val="clear" w:color="auto" w:fill="auto"/>
            <w:vAlign w:val="top"/>
          </w:tcPr>
          <w:p w14:paraId="684116FB">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投标人充分考虑</w:t>
            </w:r>
            <w:r>
              <w:rPr>
                <w:rFonts w:hint="eastAsia" w:ascii="宋体" w:hAnsi="宋体" w:eastAsia="宋体" w:cs="宋体"/>
                <w:color w:val="auto"/>
                <w:szCs w:val="21"/>
                <w:highlight w:val="none"/>
                <w:lang w:val="en-US" w:eastAsia="zh-CN"/>
              </w:rPr>
              <w:t>本项目</w:t>
            </w:r>
            <w:r>
              <w:rPr>
                <w:rFonts w:hint="eastAsia" w:ascii="宋体" w:hAnsi="宋体" w:eastAsia="宋体" w:cs="宋体"/>
                <w:color w:val="auto"/>
                <w:szCs w:val="21"/>
                <w:highlight w:val="none"/>
              </w:rPr>
              <w:t>可能产生的</w:t>
            </w:r>
            <w:r>
              <w:rPr>
                <w:rFonts w:hint="eastAsia" w:ascii="宋体" w:hAnsi="宋体" w:eastAsia="宋体" w:cs="宋体"/>
                <w:color w:val="auto"/>
                <w:szCs w:val="21"/>
                <w:highlight w:val="none"/>
                <w:lang w:val="en-US" w:eastAsia="zh-CN"/>
              </w:rPr>
              <w:t>安全问题</w:t>
            </w:r>
            <w:r>
              <w:rPr>
                <w:rFonts w:hint="eastAsia" w:ascii="宋体" w:hAnsi="宋体" w:eastAsia="宋体" w:cs="宋体"/>
                <w:color w:val="auto"/>
                <w:szCs w:val="21"/>
                <w:highlight w:val="none"/>
              </w:rPr>
              <w:t>，提出合理可行，有效的</w:t>
            </w:r>
            <w:r>
              <w:rPr>
                <w:rFonts w:hint="eastAsia" w:ascii="宋体" w:hAnsi="宋体" w:eastAsia="宋体" w:cs="宋体"/>
                <w:color w:val="auto"/>
                <w:szCs w:val="21"/>
                <w:highlight w:val="none"/>
                <w:lang w:val="en-US" w:eastAsia="zh-CN"/>
              </w:rPr>
              <w:t>安全保障</w:t>
            </w:r>
            <w:r>
              <w:rPr>
                <w:rFonts w:hint="eastAsia" w:ascii="宋体" w:hAnsi="宋体" w:eastAsia="宋体" w:cs="宋体"/>
                <w:color w:val="auto"/>
                <w:szCs w:val="21"/>
                <w:highlight w:val="none"/>
              </w:rPr>
              <w:t>方案及措施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内容完整，全面，合理可行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优得</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分，良得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合理得4分，</w:t>
            </w:r>
            <w:r>
              <w:rPr>
                <w:rFonts w:hint="eastAsia" w:ascii="宋体" w:hAnsi="宋体" w:eastAsia="宋体" w:cs="宋体"/>
                <w:color w:val="auto"/>
                <w:szCs w:val="21"/>
                <w:highlight w:val="none"/>
              </w:rPr>
              <w:t>一般得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不合理得1分</w:t>
            </w:r>
            <w:r>
              <w:rPr>
                <w:rFonts w:hint="eastAsia" w:ascii="宋体" w:hAnsi="宋体" w:eastAsia="宋体"/>
                <w:sz w:val="21"/>
                <w:szCs w:val="21"/>
                <w:lang w:eastAsia="zh-CN"/>
              </w:rPr>
              <w:t>。</w:t>
            </w:r>
          </w:p>
        </w:tc>
        <w:tc>
          <w:tcPr>
            <w:tcW w:w="642" w:type="dxa"/>
            <w:vAlign w:val="center"/>
          </w:tcPr>
          <w:p w14:paraId="4AE54AF0">
            <w:pPr>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color w:val="auto"/>
                <w:szCs w:val="21"/>
                <w:highlight w:val="none"/>
                <w:lang w:val="en-US" w:eastAsia="zh-CN"/>
              </w:rPr>
              <w:t>7</w:t>
            </w:r>
          </w:p>
        </w:tc>
      </w:tr>
      <w:tr w14:paraId="006F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082" w:type="dxa"/>
            <w:vMerge w:val="continue"/>
            <w:vAlign w:val="center"/>
          </w:tcPr>
          <w:p w14:paraId="61470A10">
            <w:pPr>
              <w:pStyle w:val="17"/>
              <w:jc w:val="center"/>
              <w:rPr>
                <w:rFonts w:ascii="Times New Roman" w:hAnsi="Times New Roman" w:cs="Times New Roman"/>
                <w:color w:val="auto"/>
                <w:highlight w:val="none"/>
              </w:rPr>
            </w:pPr>
          </w:p>
        </w:tc>
        <w:tc>
          <w:tcPr>
            <w:tcW w:w="1405" w:type="dxa"/>
            <w:vAlign w:val="center"/>
          </w:tcPr>
          <w:p w14:paraId="05AF08CC">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紧急情况的处理措施、预案以及抵抗风险的措施</w:t>
            </w:r>
          </w:p>
        </w:tc>
        <w:tc>
          <w:tcPr>
            <w:tcW w:w="6228" w:type="dxa"/>
            <w:shd w:val="clear" w:color="auto" w:fill="auto"/>
            <w:vAlign w:val="top"/>
          </w:tcPr>
          <w:p w14:paraId="74686C96">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紧急情况的处理方案措施全面、有效，充分满足服务要求。内容完整，全面，合理可行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优得</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分，良得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合理得4分，</w:t>
            </w:r>
            <w:r>
              <w:rPr>
                <w:rFonts w:hint="eastAsia" w:ascii="宋体" w:hAnsi="宋体" w:eastAsia="宋体" w:cs="宋体"/>
                <w:color w:val="auto"/>
                <w:szCs w:val="21"/>
                <w:highlight w:val="none"/>
              </w:rPr>
              <w:t>一般得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不合理得1分</w:t>
            </w:r>
            <w:r>
              <w:rPr>
                <w:rFonts w:hint="eastAsia" w:ascii="宋体" w:hAnsi="宋体" w:eastAsia="宋体"/>
                <w:sz w:val="21"/>
                <w:szCs w:val="21"/>
                <w:lang w:eastAsia="zh-CN"/>
              </w:rPr>
              <w:t>。</w:t>
            </w:r>
          </w:p>
        </w:tc>
        <w:tc>
          <w:tcPr>
            <w:tcW w:w="642" w:type="dxa"/>
            <w:vAlign w:val="center"/>
          </w:tcPr>
          <w:p w14:paraId="782C3995">
            <w:pPr>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7</w:t>
            </w:r>
          </w:p>
        </w:tc>
      </w:tr>
      <w:tr w14:paraId="7F14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082" w:type="dxa"/>
            <w:vMerge w:val="restart"/>
            <w:vAlign w:val="center"/>
          </w:tcPr>
          <w:p w14:paraId="31C17F61">
            <w:pPr>
              <w:pStyle w:val="17"/>
              <w:jc w:val="center"/>
              <w:rPr>
                <w:rFonts w:ascii="Times New Roman" w:hAnsi="Times New Roman" w:cs="Times New Roman"/>
                <w:color w:val="auto"/>
                <w:highlight w:val="none"/>
              </w:rPr>
            </w:pPr>
            <w:r>
              <w:rPr>
                <w:rFonts w:hint="eastAsia" w:ascii="Times New Roman" w:hAnsi="Times New Roman" w:cs="Times New Roman"/>
                <w:color w:val="auto"/>
                <w:highlight w:val="none"/>
                <w:lang w:eastAsia="zh-CN"/>
              </w:rPr>
              <w:t>其他</w:t>
            </w:r>
            <w:r>
              <w:rPr>
                <w:rFonts w:hint="eastAsia" w:ascii="Times New Roman" w:hAnsi="Times New Roman" w:cs="Times New Roman"/>
                <w:color w:val="auto"/>
                <w:highlight w:val="none"/>
              </w:rPr>
              <w:t>部分</w:t>
            </w:r>
          </w:p>
          <w:p w14:paraId="6A3A2D30">
            <w:pPr>
              <w:pStyle w:val="17"/>
              <w:jc w:val="center"/>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14</w:t>
            </w:r>
            <w:r>
              <w:rPr>
                <w:rFonts w:hint="eastAsia" w:ascii="Times New Roman" w:hAnsi="Times New Roman" w:cs="Times New Roman"/>
                <w:color w:val="auto"/>
                <w:highlight w:val="none"/>
              </w:rPr>
              <w:t>分）</w:t>
            </w:r>
          </w:p>
        </w:tc>
        <w:tc>
          <w:tcPr>
            <w:tcW w:w="1405" w:type="dxa"/>
            <w:vAlign w:val="center"/>
          </w:tcPr>
          <w:p w14:paraId="7395402B">
            <w:pPr>
              <w:autoSpaceDE w:val="0"/>
              <w:autoSpaceDN w:val="0"/>
              <w:adjustRightInd w:val="0"/>
              <w:spacing w:line="24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服务承诺</w:t>
            </w:r>
          </w:p>
        </w:tc>
        <w:tc>
          <w:tcPr>
            <w:tcW w:w="6228" w:type="dxa"/>
            <w:shd w:val="clear" w:color="auto" w:fill="auto"/>
            <w:vAlign w:val="center"/>
          </w:tcPr>
          <w:p w14:paraId="4B1C7B89">
            <w:pPr>
              <w:autoSpaceDE w:val="0"/>
              <w:autoSpaceDN w:val="0"/>
              <w:adjustRightInd w:val="0"/>
              <w:spacing w:line="240" w:lineRule="atLeast"/>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对各投标供应商的承诺内容比较；优得</w:t>
            </w:r>
            <w:r>
              <w:rPr>
                <w:rFonts w:hint="eastAsia" w:hAnsi="宋体" w:cs="宋体"/>
                <w:color w:val="auto"/>
                <w:szCs w:val="21"/>
                <w:highlight w:val="none"/>
                <w:lang w:val="en-US" w:eastAsia="zh-CN"/>
              </w:rPr>
              <w:t>8</w:t>
            </w:r>
            <w:r>
              <w:rPr>
                <w:rFonts w:hint="eastAsia" w:ascii="宋体" w:hAnsi="宋体" w:eastAsia="宋体" w:cs="宋体"/>
                <w:color w:val="auto"/>
                <w:szCs w:val="21"/>
                <w:highlight w:val="none"/>
              </w:rPr>
              <w:t>分，良得</w:t>
            </w:r>
            <w:r>
              <w:rPr>
                <w:rFonts w:hint="eastAsia" w:hAnsi="宋体" w:cs="宋体"/>
                <w:color w:val="auto"/>
                <w:szCs w:val="21"/>
                <w:highlight w:val="none"/>
                <w:lang w:val="en-US" w:eastAsia="zh-CN"/>
              </w:rPr>
              <w:t>6</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合理得4分，</w:t>
            </w:r>
            <w:r>
              <w:rPr>
                <w:rFonts w:hint="eastAsia" w:ascii="宋体" w:hAnsi="宋体" w:eastAsia="宋体" w:cs="宋体"/>
                <w:color w:val="auto"/>
                <w:szCs w:val="21"/>
                <w:highlight w:val="none"/>
              </w:rPr>
              <w:t>一般得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不合理得1分，否则得0分。</w:t>
            </w:r>
          </w:p>
        </w:tc>
        <w:tc>
          <w:tcPr>
            <w:tcW w:w="642" w:type="dxa"/>
            <w:vAlign w:val="center"/>
          </w:tcPr>
          <w:p w14:paraId="4D68165A">
            <w:pPr>
              <w:pStyle w:val="17"/>
              <w:jc w:val="center"/>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8</w:t>
            </w:r>
          </w:p>
        </w:tc>
      </w:tr>
      <w:tr w14:paraId="4F34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082" w:type="dxa"/>
            <w:vMerge w:val="continue"/>
            <w:vAlign w:val="center"/>
          </w:tcPr>
          <w:p w14:paraId="2D2F2A72">
            <w:pPr>
              <w:pStyle w:val="17"/>
              <w:jc w:val="center"/>
              <w:rPr>
                <w:rFonts w:hint="eastAsia" w:ascii="Times New Roman" w:hAnsi="Times New Roman" w:cs="Times New Roman"/>
                <w:color w:val="auto"/>
                <w:highlight w:val="none"/>
              </w:rPr>
            </w:pPr>
          </w:p>
        </w:tc>
        <w:tc>
          <w:tcPr>
            <w:tcW w:w="1405" w:type="dxa"/>
            <w:vAlign w:val="center"/>
          </w:tcPr>
          <w:p w14:paraId="643BE65E">
            <w:pPr>
              <w:pStyle w:val="17"/>
              <w:jc w:val="center"/>
              <w:rPr>
                <w:rFonts w:hint="eastAsia" w:ascii="宋体" w:hAnsi="宋体" w:eastAsia="宋体" w:cs="宋体"/>
                <w:color w:val="auto"/>
                <w:szCs w:val="21"/>
                <w:highlight w:val="none"/>
              </w:rPr>
            </w:pPr>
            <w:r>
              <w:rPr>
                <w:rFonts w:hint="eastAsia" w:ascii="宋体" w:hAnsi="宋体" w:eastAsia="宋体" w:cs="宋体"/>
                <w:color w:val="auto"/>
                <w:highlight w:val="none"/>
              </w:rPr>
              <w:t>人员培训</w:t>
            </w:r>
          </w:p>
        </w:tc>
        <w:tc>
          <w:tcPr>
            <w:tcW w:w="6228" w:type="dxa"/>
            <w:shd w:val="clear" w:color="auto" w:fill="auto"/>
            <w:vAlign w:val="center"/>
          </w:tcPr>
          <w:p w14:paraId="787E75DC">
            <w:pPr>
              <w:pStyle w:val="17"/>
              <w:rPr>
                <w:rFonts w:hint="eastAsia" w:ascii="宋体" w:hAnsi="宋体" w:eastAsia="宋体" w:cs="宋体"/>
                <w:color w:val="auto"/>
                <w:szCs w:val="21"/>
                <w:highlight w:val="none"/>
              </w:rPr>
            </w:pPr>
            <w:r>
              <w:rPr>
                <w:rFonts w:hint="eastAsia" w:ascii="宋体" w:hAnsi="宋体" w:eastAsia="宋体" w:cs="宋体"/>
                <w:color w:val="auto"/>
                <w:highlight w:val="none"/>
              </w:rPr>
              <w:t>根据提供培训方案的合理性、针对性及培训时间等进行评分</w:t>
            </w:r>
            <w:r>
              <w:rPr>
                <w:rFonts w:hint="eastAsia" w:hAnsi="宋体" w:cs="宋体"/>
                <w:color w:val="auto"/>
                <w:highlight w:val="none"/>
                <w:lang w:eastAsia="zh-CN"/>
              </w:rPr>
              <w:t>：</w:t>
            </w:r>
            <w:r>
              <w:rPr>
                <w:rFonts w:hint="eastAsia" w:ascii="宋体" w:hAnsi="宋体" w:eastAsia="宋体" w:cs="宋体"/>
                <w:color w:val="auto"/>
                <w:highlight w:val="none"/>
              </w:rPr>
              <w:t>内容完整、详细、合理、清晰</w:t>
            </w:r>
            <w:r>
              <w:rPr>
                <w:rFonts w:hint="eastAsia" w:hAnsi="宋体" w:cs="宋体"/>
                <w:color w:val="auto"/>
                <w:highlight w:val="none"/>
                <w:lang w:eastAsia="zh-CN"/>
              </w:rPr>
              <w:t>；</w:t>
            </w:r>
            <w:r>
              <w:rPr>
                <w:rFonts w:hint="eastAsia" w:ascii="宋体" w:hAnsi="宋体" w:eastAsia="宋体" w:cs="宋体"/>
                <w:color w:val="auto"/>
                <w:szCs w:val="21"/>
                <w:highlight w:val="none"/>
              </w:rPr>
              <w:t>优得</w:t>
            </w:r>
            <w:r>
              <w:rPr>
                <w:rFonts w:hint="eastAsia" w:hAnsi="宋体" w:cs="宋体"/>
                <w:color w:val="auto"/>
                <w:szCs w:val="21"/>
                <w:highlight w:val="none"/>
                <w:lang w:val="en-US" w:eastAsia="zh-CN"/>
              </w:rPr>
              <w:t>6</w:t>
            </w:r>
            <w:r>
              <w:rPr>
                <w:rFonts w:hint="eastAsia" w:ascii="宋体" w:hAnsi="宋体" w:eastAsia="宋体" w:cs="宋体"/>
                <w:color w:val="auto"/>
                <w:szCs w:val="21"/>
                <w:highlight w:val="none"/>
              </w:rPr>
              <w:t>分，良得</w:t>
            </w:r>
            <w:r>
              <w:rPr>
                <w:rFonts w:hint="eastAsia" w:hAnsi="宋体" w:cs="宋体"/>
                <w:color w:val="auto"/>
                <w:szCs w:val="21"/>
                <w:highlight w:val="none"/>
                <w:lang w:val="en-US" w:eastAsia="zh-CN"/>
              </w:rPr>
              <w:t>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合理得4分，</w:t>
            </w:r>
            <w:r>
              <w:rPr>
                <w:rFonts w:hint="eastAsia" w:ascii="宋体" w:hAnsi="宋体" w:eastAsia="宋体" w:cs="宋体"/>
                <w:color w:val="auto"/>
                <w:szCs w:val="21"/>
                <w:highlight w:val="none"/>
              </w:rPr>
              <w:t>一般得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不合理得1分</w:t>
            </w:r>
            <w:r>
              <w:rPr>
                <w:rFonts w:hint="eastAsia" w:ascii="宋体" w:hAnsi="宋体" w:eastAsia="宋体"/>
                <w:sz w:val="21"/>
                <w:szCs w:val="21"/>
                <w:lang w:eastAsia="zh-CN"/>
              </w:rPr>
              <w:t>。</w:t>
            </w:r>
          </w:p>
        </w:tc>
        <w:tc>
          <w:tcPr>
            <w:tcW w:w="642" w:type="dxa"/>
            <w:vAlign w:val="center"/>
          </w:tcPr>
          <w:p w14:paraId="09B5197D">
            <w:pPr>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w:t>
            </w:r>
          </w:p>
        </w:tc>
      </w:tr>
    </w:tbl>
    <w:p w14:paraId="44547963">
      <w:pPr>
        <w:pStyle w:val="28"/>
        <w:tabs>
          <w:tab w:val="left" w:pos="360"/>
        </w:tabs>
        <w:ind w:left="0" w:leftChars="0" w:firstLine="0"/>
        <w:rPr>
          <w:rFonts w:hint="eastAsia" w:ascii="宋体" w:hAnsi="宋体" w:eastAsia="宋体" w:cs="宋体"/>
          <w:sz w:val="21"/>
          <w:szCs w:val="21"/>
        </w:rPr>
      </w:pPr>
      <w:r>
        <w:rPr>
          <w:rFonts w:hint="eastAsia" w:hAnsi="宋体" w:cs="Times New Roman"/>
          <w:color w:val="auto"/>
          <w:highlight w:val="none"/>
        </w:rPr>
        <w:br w:type="page"/>
      </w:r>
      <w:bookmarkStart w:id="51" w:name="_Toc152045600"/>
      <w:bookmarkStart w:id="52" w:name="_Toc1538"/>
      <w:bookmarkStart w:id="53" w:name="_Toc152042377"/>
      <w:bookmarkStart w:id="54" w:name="_Toc179632618"/>
      <w:bookmarkStart w:id="55" w:name="_Toc246996986"/>
      <w:bookmarkStart w:id="56" w:name="_Toc247085758"/>
      <w:bookmarkStart w:id="57" w:name="_Toc246996243"/>
      <w:bookmarkStart w:id="58" w:name="_Toc12528"/>
      <w:bookmarkStart w:id="59" w:name="_Toc144974567"/>
      <w:r>
        <w:rPr>
          <w:rFonts w:hint="eastAsia" w:ascii="宋体" w:hAnsi="宋体" w:eastAsia="宋体" w:cs="宋体"/>
          <w:b/>
          <w:bCs/>
          <w:sz w:val="21"/>
          <w:szCs w:val="21"/>
        </w:rPr>
        <w:t>1. 评标方法</w:t>
      </w:r>
      <w:bookmarkEnd w:id="51"/>
      <w:bookmarkEnd w:id="52"/>
      <w:bookmarkEnd w:id="53"/>
      <w:bookmarkEnd w:id="54"/>
      <w:bookmarkEnd w:id="55"/>
      <w:bookmarkEnd w:id="56"/>
      <w:bookmarkEnd w:id="57"/>
      <w:bookmarkEnd w:id="58"/>
      <w:bookmarkEnd w:id="59"/>
    </w:p>
    <w:p w14:paraId="3A577FAF">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本次评标采用综合评分法。综合评分法，是指响应文件满足</w:t>
      </w:r>
      <w:r>
        <w:rPr>
          <w:rFonts w:hint="eastAsia" w:ascii="宋体" w:hAnsi="宋体" w:eastAsia="宋体" w:cs="宋体"/>
          <w:sz w:val="21"/>
          <w:szCs w:val="21"/>
          <w:lang w:val="en-US" w:eastAsia="zh-CN"/>
        </w:rPr>
        <w:t>招标</w:t>
      </w:r>
      <w:r>
        <w:rPr>
          <w:rFonts w:hint="eastAsia" w:ascii="宋体" w:hAnsi="宋体" w:eastAsia="宋体" w:cs="宋体"/>
          <w:sz w:val="21"/>
          <w:szCs w:val="21"/>
        </w:rPr>
        <w:t>文件全部实质性要求且按评审因素的量化指标评审得分最高的供应商为</w:t>
      </w:r>
      <w:r>
        <w:rPr>
          <w:rFonts w:hint="eastAsia" w:ascii="宋体" w:hAnsi="宋体" w:eastAsia="宋体" w:cs="宋体"/>
          <w:sz w:val="21"/>
          <w:szCs w:val="21"/>
          <w:lang w:val="en-US" w:eastAsia="zh-CN"/>
        </w:rPr>
        <w:t>中标</w:t>
      </w:r>
      <w:r>
        <w:rPr>
          <w:rFonts w:hint="eastAsia" w:ascii="宋体" w:hAnsi="宋体" w:eastAsia="宋体" w:cs="宋体"/>
          <w:sz w:val="21"/>
          <w:szCs w:val="21"/>
        </w:rPr>
        <w:t>候选供应商的评审方法。</w:t>
      </w:r>
      <w:r>
        <w:rPr>
          <w:rFonts w:hint="eastAsia" w:ascii="宋体" w:hAnsi="宋体" w:eastAsia="宋体" w:cs="宋体"/>
          <w:sz w:val="21"/>
          <w:szCs w:val="21"/>
          <w:lang w:val="en-US" w:eastAsia="zh-CN"/>
        </w:rPr>
        <w:t>评标委员会</w:t>
      </w:r>
      <w:r>
        <w:rPr>
          <w:rFonts w:hint="eastAsia" w:ascii="宋体" w:hAnsi="宋体" w:eastAsia="宋体" w:cs="宋体"/>
          <w:sz w:val="21"/>
          <w:szCs w:val="21"/>
        </w:rPr>
        <w:t>对满足</w:t>
      </w:r>
      <w:r>
        <w:rPr>
          <w:rFonts w:hint="eastAsia" w:ascii="宋体" w:hAnsi="宋体" w:eastAsia="宋体" w:cs="宋体"/>
          <w:sz w:val="21"/>
          <w:szCs w:val="21"/>
          <w:lang w:val="en-US" w:eastAsia="zh-CN"/>
        </w:rPr>
        <w:t>投标</w:t>
      </w:r>
      <w:r>
        <w:rPr>
          <w:rFonts w:hint="eastAsia" w:ascii="宋体" w:hAnsi="宋体" w:eastAsia="宋体" w:cs="宋体"/>
          <w:sz w:val="21"/>
          <w:szCs w:val="21"/>
        </w:rPr>
        <w:t>文件实质性要求的响应文件，按照本章第</w:t>
      </w:r>
      <w:r>
        <w:rPr>
          <w:rFonts w:hint="eastAsia" w:ascii="宋体" w:hAnsi="宋体" w:eastAsia="宋体" w:cs="宋体"/>
          <w:sz w:val="21"/>
          <w:szCs w:val="21"/>
          <w:lang w:val="en-US" w:eastAsia="zh-CN"/>
        </w:rPr>
        <w:t>二</w:t>
      </w:r>
      <w:r>
        <w:rPr>
          <w:rFonts w:hint="eastAsia" w:ascii="宋体" w:hAnsi="宋体" w:eastAsia="宋体" w:cs="宋体"/>
          <w:sz w:val="21"/>
          <w:szCs w:val="21"/>
        </w:rPr>
        <w:t>款规定的评分标准进行打分，并按得分由高到低顺序推荐成交候选人，或根据采购人授权直接确定成交供应商，但</w:t>
      </w:r>
      <w:r>
        <w:rPr>
          <w:rFonts w:hint="eastAsia" w:ascii="宋体" w:hAnsi="宋体" w:eastAsia="宋体" w:cs="宋体"/>
          <w:sz w:val="21"/>
          <w:szCs w:val="21"/>
          <w:lang w:val="en-US" w:eastAsia="zh-CN"/>
        </w:rPr>
        <w:t>投标</w:t>
      </w:r>
      <w:r>
        <w:rPr>
          <w:rFonts w:hint="eastAsia" w:ascii="宋体" w:hAnsi="宋体" w:eastAsia="宋体" w:cs="宋体"/>
          <w:sz w:val="21"/>
          <w:szCs w:val="21"/>
        </w:rPr>
        <w:t>报价低于其成本的除外。综合评分相等时，以投标报价低的优先；投标报价也相等的，以技术部分得分高的优先；技术部分得分也相等的，由采购人采用随机抽取的方式确定成交候选人排序。由于本项目采用供应商可兼投不可兼中的原则，</w:t>
      </w:r>
      <w:r>
        <w:rPr>
          <w:rFonts w:hint="eastAsia" w:ascii="宋体" w:hAnsi="宋体" w:eastAsia="宋体" w:cs="宋体"/>
          <w:sz w:val="21"/>
          <w:szCs w:val="21"/>
          <w:lang w:val="zh-CN"/>
        </w:rPr>
        <w:t>本项目从第一标段顺次进行评标，</w:t>
      </w:r>
      <w:r>
        <w:rPr>
          <w:rFonts w:hint="eastAsia" w:ascii="宋体" w:hAnsi="宋体" w:eastAsia="宋体" w:cs="宋体"/>
          <w:sz w:val="21"/>
          <w:szCs w:val="21"/>
        </w:rPr>
        <w:t>按照标段在先的原则，若供应商在第一标段被确定为第一成交候选人，则在后续标段正常参与评标，但取消其在后续标段的第一成交候选人资格，由后续排名供应商依次递补。</w:t>
      </w:r>
    </w:p>
    <w:p w14:paraId="704188B9">
      <w:pPr>
        <w:pStyle w:val="3"/>
        <w:rPr>
          <w:rFonts w:hint="eastAsia" w:ascii="宋体" w:hAnsi="宋体" w:eastAsia="宋体" w:cs="宋体"/>
          <w:sz w:val="21"/>
          <w:szCs w:val="21"/>
        </w:rPr>
      </w:pPr>
      <w:bookmarkStart w:id="60" w:name="_Toc179632619"/>
      <w:bookmarkStart w:id="61" w:name="_Toc247085759"/>
      <w:bookmarkStart w:id="62" w:name="_Toc152042378"/>
      <w:bookmarkStart w:id="63" w:name="_Toc246996987"/>
      <w:bookmarkStart w:id="64" w:name="_Toc17350"/>
      <w:bookmarkStart w:id="65" w:name="_Toc144974568"/>
      <w:bookmarkStart w:id="66" w:name="_Toc25447"/>
      <w:bookmarkStart w:id="67" w:name="_Toc246996244"/>
      <w:bookmarkStart w:id="68" w:name="_Toc152045601"/>
      <w:bookmarkStart w:id="69" w:name="_Toc1202"/>
      <w:r>
        <w:rPr>
          <w:rFonts w:hint="eastAsia" w:ascii="宋体" w:hAnsi="宋体" w:eastAsia="宋体" w:cs="宋体"/>
          <w:sz w:val="21"/>
          <w:szCs w:val="21"/>
        </w:rPr>
        <w:t>2. 评审标准</w:t>
      </w:r>
      <w:bookmarkEnd w:id="60"/>
      <w:bookmarkEnd w:id="61"/>
      <w:bookmarkEnd w:id="62"/>
      <w:bookmarkEnd w:id="63"/>
      <w:bookmarkEnd w:id="64"/>
      <w:bookmarkEnd w:id="65"/>
      <w:bookmarkEnd w:id="66"/>
      <w:bookmarkEnd w:id="67"/>
      <w:bookmarkEnd w:id="68"/>
      <w:bookmarkEnd w:id="69"/>
    </w:p>
    <w:p w14:paraId="11D1B625">
      <w:pPr>
        <w:pStyle w:val="4"/>
        <w:rPr>
          <w:rFonts w:hint="eastAsia" w:ascii="宋体" w:hAnsi="宋体" w:eastAsia="宋体" w:cs="宋体"/>
          <w:sz w:val="21"/>
          <w:szCs w:val="21"/>
        </w:rPr>
      </w:pPr>
      <w:bookmarkStart w:id="70" w:name="_Toc21478"/>
      <w:bookmarkStart w:id="71" w:name="_Toc247085760"/>
      <w:bookmarkStart w:id="72" w:name="_Toc144974569"/>
      <w:bookmarkStart w:id="73" w:name="_Toc152045602"/>
      <w:bookmarkStart w:id="74" w:name="_Toc246996245"/>
      <w:bookmarkStart w:id="75" w:name="_Toc30858"/>
      <w:bookmarkStart w:id="76" w:name="_Toc152042379"/>
      <w:bookmarkStart w:id="77" w:name="_Toc246996988"/>
      <w:bookmarkStart w:id="78" w:name="_Toc179632620"/>
      <w:r>
        <w:rPr>
          <w:rFonts w:hint="eastAsia" w:ascii="宋体" w:hAnsi="宋体" w:eastAsia="宋体" w:cs="宋体"/>
          <w:sz w:val="21"/>
          <w:szCs w:val="21"/>
        </w:rPr>
        <w:t>2.1 初步评审标准</w:t>
      </w:r>
      <w:bookmarkEnd w:id="70"/>
      <w:bookmarkEnd w:id="71"/>
      <w:bookmarkEnd w:id="72"/>
      <w:bookmarkEnd w:id="73"/>
      <w:bookmarkEnd w:id="74"/>
      <w:bookmarkEnd w:id="75"/>
      <w:bookmarkEnd w:id="76"/>
      <w:bookmarkEnd w:id="77"/>
      <w:bookmarkEnd w:id="78"/>
    </w:p>
    <w:p w14:paraId="457C9384">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2.1.1资格评审标准：见资格评审表；</w:t>
      </w:r>
    </w:p>
    <w:p w14:paraId="5D13E768">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2.1.2符合性评审标准：见符合性评审表；</w:t>
      </w:r>
    </w:p>
    <w:p w14:paraId="359BEDD0">
      <w:pPr>
        <w:pStyle w:val="4"/>
        <w:rPr>
          <w:rFonts w:hint="eastAsia" w:ascii="宋体" w:hAnsi="宋体" w:eastAsia="宋体" w:cs="宋体"/>
          <w:sz w:val="21"/>
          <w:szCs w:val="21"/>
        </w:rPr>
      </w:pPr>
      <w:bookmarkStart w:id="79" w:name="_Toc144974570"/>
      <w:bookmarkStart w:id="80" w:name="_Toc247085761"/>
      <w:bookmarkStart w:id="81" w:name="_Toc25611"/>
      <w:bookmarkStart w:id="82" w:name="_Toc152042380"/>
      <w:bookmarkStart w:id="83" w:name="_Toc246996989"/>
      <w:bookmarkStart w:id="84" w:name="_Toc2911"/>
      <w:bookmarkStart w:id="85" w:name="_Toc179632621"/>
      <w:bookmarkStart w:id="86" w:name="_Toc246996246"/>
      <w:bookmarkStart w:id="87" w:name="_Toc152045603"/>
      <w:r>
        <w:rPr>
          <w:rFonts w:hint="eastAsia" w:ascii="宋体" w:hAnsi="宋体" w:eastAsia="宋体" w:cs="宋体"/>
          <w:sz w:val="21"/>
          <w:szCs w:val="21"/>
        </w:rPr>
        <w:t>2.2 分值构成与评分标准</w:t>
      </w:r>
      <w:bookmarkEnd w:id="79"/>
      <w:bookmarkEnd w:id="80"/>
      <w:bookmarkEnd w:id="81"/>
      <w:bookmarkEnd w:id="82"/>
      <w:bookmarkEnd w:id="83"/>
      <w:bookmarkEnd w:id="84"/>
      <w:bookmarkEnd w:id="85"/>
      <w:bookmarkEnd w:id="86"/>
      <w:bookmarkEnd w:id="87"/>
    </w:p>
    <w:p w14:paraId="1373992D">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2.2.1 分值构成</w:t>
      </w:r>
    </w:p>
    <w:p w14:paraId="5F0488AB">
      <w:pPr>
        <w:spacing w:line="400" w:lineRule="exact"/>
        <w:ind w:firstLine="718" w:firstLineChars="342"/>
        <w:rPr>
          <w:rFonts w:hint="eastAsia" w:ascii="宋体" w:hAnsi="宋体" w:eastAsia="宋体" w:cs="宋体"/>
          <w:sz w:val="21"/>
          <w:szCs w:val="21"/>
        </w:rPr>
      </w:pPr>
      <w:r>
        <w:rPr>
          <w:rFonts w:hint="eastAsia" w:ascii="宋体" w:hAnsi="宋体" w:eastAsia="宋体" w:cs="宋体"/>
          <w:sz w:val="21"/>
          <w:szCs w:val="21"/>
        </w:rPr>
        <w:t>（1）商务部分：见评标办法前附表；</w:t>
      </w:r>
    </w:p>
    <w:p w14:paraId="05AF162F">
      <w:pPr>
        <w:spacing w:line="400" w:lineRule="exact"/>
        <w:ind w:firstLine="718" w:firstLineChars="342"/>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技术部分</w:t>
      </w:r>
      <w:r>
        <w:rPr>
          <w:rFonts w:hint="eastAsia" w:ascii="宋体" w:hAnsi="宋体" w:eastAsia="宋体" w:cs="宋体"/>
          <w:sz w:val="21"/>
          <w:szCs w:val="21"/>
        </w:rPr>
        <w:t>：见评标办法前附表；</w:t>
      </w:r>
    </w:p>
    <w:p w14:paraId="22774875">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2.2.2 评标基准价计算</w:t>
      </w:r>
    </w:p>
    <w:p w14:paraId="32B092E5">
      <w:pPr>
        <w:spacing w:line="400" w:lineRule="exact"/>
        <w:ind w:firstLine="840" w:firstLineChars="400"/>
        <w:rPr>
          <w:rFonts w:hint="eastAsia" w:ascii="宋体" w:hAnsi="宋体" w:eastAsia="宋体" w:cs="宋体"/>
          <w:sz w:val="21"/>
          <w:szCs w:val="21"/>
        </w:rPr>
      </w:pPr>
      <w:r>
        <w:rPr>
          <w:rFonts w:hint="eastAsia" w:ascii="宋体" w:hAnsi="宋体" w:eastAsia="宋体" w:cs="宋体"/>
          <w:sz w:val="21"/>
          <w:szCs w:val="21"/>
        </w:rPr>
        <w:t>评标基准价计算方法：见评标办法前附表。</w:t>
      </w:r>
    </w:p>
    <w:p w14:paraId="0DE99A48">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2.2.3 </w:t>
      </w:r>
      <w:r>
        <w:rPr>
          <w:rFonts w:hint="eastAsia" w:ascii="宋体" w:hAnsi="宋体" w:eastAsia="宋体" w:cs="宋体"/>
          <w:sz w:val="21"/>
          <w:szCs w:val="21"/>
          <w:lang w:val="en-US" w:eastAsia="zh-CN"/>
        </w:rPr>
        <w:t>投标</w:t>
      </w:r>
      <w:r>
        <w:rPr>
          <w:rFonts w:hint="eastAsia" w:ascii="宋体" w:hAnsi="宋体" w:eastAsia="宋体" w:cs="宋体"/>
          <w:sz w:val="21"/>
          <w:szCs w:val="21"/>
        </w:rPr>
        <w:t>报价的得分计算</w:t>
      </w:r>
    </w:p>
    <w:p w14:paraId="4E3F7706">
      <w:pPr>
        <w:spacing w:line="400" w:lineRule="exact"/>
        <w:ind w:firstLine="840" w:firstLineChars="400"/>
        <w:rPr>
          <w:rFonts w:hint="eastAsia" w:ascii="宋体" w:hAnsi="宋体" w:eastAsia="宋体" w:cs="宋体"/>
          <w:sz w:val="21"/>
          <w:szCs w:val="21"/>
        </w:rPr>
      </w:pPr>
      <w:r>
        <w:rPr>
          <w:rFonts w:hint="eastAsia" w:ascii="宋体" w:hAnsi="宋体" w:eastAsia="宋体" w:cs="宋体"/>
          <w:sz w:val="21"/>
          <w:szCs w:val="21"/>
          <w:lang w:val="en-US" w:eastAsia="zh-CN"/>
        </w:rPr>
        <w:t>投标</w:t>
      </w:r>
      <w:r>
        <w:rPr>
          <w:rFonts w:hint="eastAsia" w:ascii="宋体" w:hAnsi="宋体" w:eastAsia="宋体" w:cs="宋体"/>
          <w:sz w:val="21"/>
          <w:szCs w:val="21"/>
        </w:rPr>
        <w:t>报价的得分计算公式：见评标办法前附表。</w:t>
      </w:r>
    </w:p>
    <w:p w14:paraId="33560BF0">
      <w:pPr>
        <w:pStyle w:val="3"/>
        <w:numPr>
          <w:ilvl w:val="0"/>
          <w:numId w:val="3"/>
        </w:numPr>
        <w:rPr>
          <w:rFonts w:hint="eastAsia" w:ascii="宋体" w:hAnsi="宋体" w:eastAsia="宋体" w:cs="宋体"/>
          <w:sz w:val="21"/>
          <w:szCs w:val="21"/>
          <w:lang w:val="en-US" w:eastAsia="zh-CN"/>
        </w:rPr>
      </w:pPr>
      <w:bookmarkStart w:id="88" w:name="_Toc144974571"/>
      <w:bookmarkStart w:id="89" w:name="_Toc247085762"/>
      <w:bookmarkStart w:id="90" w:name="_Toc3479"/>
      <w:bookmarkStart w:id="91" w:name="_Toc25277"/>
      <w:bookmarkStart w:id="92" w:name="_Toc246996247"/>
      <w:bookmarkStart w:id="93" w:name="_Toc152042381"/>
      <w:bookmarkStart w:id="94" w:name="_Toc13634"/>
      <w:bookmarkStart w:id="95" w:name="_Toc152045604"/>
      <w:bookmarkStart w:id="96" w:name="_Toc246996990"/>
      <w:bookmarkStart w:id="97" w:name="_Toc179632622"/>
      <w:r>
        <w:rPr>
          <w:rFonts w:hint="eastAsia" w:ascii="宋体" w:hAnsi="宋体" w:eastAsia="宋体" w:cs="宋体"/>
          <w:sz w:val="21"/>
          <w:szCs w:val="21"/>
        </w:rPr>
        <w:t>评标程序</w:t>
      </w:r>
      <w:bookmarkEnd w:id="88"/>
      <w:bookmarkEnd w:id="89"/>
      <w:bookmarkEnd w:id="90"/>
      <w:bookmarkEnd w:id="91"/>
      <w:bookmarkEnd w:id="92"/>
      <w:bookmarkEnd w:id="93"/>
      <w:bookmarkEnd w:id="94"/>
      <w:bookmarkEnd w:id="95"/>
      <w:bookmarkEnd w:id="96"/>
      <w:bookmarkEnd w:id="97"/>
      <w:r>
        <w:rPr>
          <w:rFonts w:hint="eastAsia" w:ascii="宋体" w:hAnsi="宋体" w:eastAsia="宋体" w:cs="宋体"/>
          <w:sz w:val="21"/>
          <w:szCs w:val="21"/>
          <w:lang w:val="en-US" w:eastAsia="zh-CN"/>
        </w:rPr>
        <w:t xml:space="preserve"> </w:t>
      </w:r>
    </w:p>
    <w:p w14:paraId="1D954AB9">
      <w:pPr>
        <w:pStyle w:val="3"/>
        <w:numPr>
          <w:ilvl w:val="0"/>
          <w:numId w:val="0"/>
        </w:numPr>
        <w:ind w:firstLine="420" w:firstLineChars="200"/>
        <w:rPr>
          <w:rFonts w:hint="eastAsia" w:ascii="宋体" w:hAnsi="宋体" w:eastAsia="宋体" w:cs="宋体"/>
          <w:b w:val="0"/>
          <w:bCs w:val="0"/>
          <w:sz w:val="21"/>
          <w:szCs w:val="21"/>
          <w:lang w:val="en-US" w:eastAsia="zh-CN"/>
        </w:rPr>
      </w:pPr>
      <w:bookmarkStart w:id="98" w:name="_Toc15356"/>
      <w:r>
        <w:rPr>
          <w:rFonts w:hint="eastAsia" w:ascii="宋体" w:hAnsi="宋体" w:eastAsia="宋体" w:cs="宋体"/>
          <w:b w:val="0"/>
          <w:bCs w:val="0"/>
          <w:sz w:val="21"/>
          <w:szCs w:val="21"/>
          <w:lang w:val="en-US" w:eastAsia="zh-CN"/>
        </w:rPr>
        <w:t>按照政采云顺序进行</w:t>
      </w:r>
      <w:bookmarkEnd w:id="98"/>
    </w:p>
    <w:p w14:paraId="0FEA228D">
      <w:pPr>
        <w:pStyle w:val="4"/>
        <w:rPr>
          <w:rFonts w:hint="eastAsia" w:ascii="宋体" w:hAnsi="宋体" w:eastAsia="宋体" w:cs="宋体"/>
          <w:sz w:val="21"/>
          <w:szCs w:val="21"/>
        </w:rPr>
      </w:pPr>
      <w:bookmarkStart w:id="99" w:name="_Toc179632623"/>
      <w:bookmarkStart w:id="100" w:name="_Toc633"/>
      <w:bookmarkStart w:id="101" w:name="_Toc247085763"/>
      <w:bookmarkStart w:id="102" w:name="_Toc144974572"/>
      <w:bookmarkStart w:id="103" w:name="_Toc152045605"/>
      <w:bookmarkStart w:id="104" w:name="_Toc18223"/>
      <w:bookmarkStart w:id="105" w:name="_Toc246996991"/>
      <w:bookmarkStart w:id="106" w:name="_Toc246996248"/>
      <w:bookmarkStart w:id="107" w:name="_Toc152042382"/>
      <w:r>
        <w:rPr>
          <w:rFonts w:hint="eastAsia" w:ascii="宋体" w:hAnsi="宋体" w:eastAsia="宋体" w:cs="宋体"/>
          <w:sz w:val="21"/>
          <w:szCs w:val="21"/>
        </w:rPr>
        <w:t>3.1 初步评审</w:t>
      </w:r>
      <w:bookmarkEnd w:id="99"/>
      <w:bookmarkEnd w:id="100"/>
      <w:bookmarkEnd w:id="101"/>
      <w:bookmarkEnd w:id="102"/>
      <w:bookmarkEnd w:id="103"/>
      <w:bookmarkEnd w:id="104"/>
      <w:bookmarkEnd w:id="105"/>
      <w:bookmarkEnd w:id="106"/>
      <w:bookmarkEnd w:id="107"/>
    </w:p>
    <w:p w14:paraId="64CE46FE">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3.1.1。</w:t>
      </w:r>
      <w:r>
        <w:rPr>
          <w:rFonts w:hint="eastAsia" w:ascii="宋体" w:hAnsi="宋体" w:eastAsia="宋体" w:cs="宋体"/>
          <w:sz w:val="21"/>
          <w:szCs w:val="21"/>
          <w:lang w:val="en-US" w:eastAsia="zh-CN"/>
        </w:rPr>
        <w:t>评标委员会</w:t>
      </w:r>
      <w:r>
        <w:rPr>
          <w:rFonts w:hint="eastAsia" w:ascii="宋体" w:hAnsi="宋体" w:eastAsia="宋体" w:cs="宋体"/>
          <w:sz w:val="21"/>
          <w:szCs w:val="21"/>
        </w:rPr>
        <w:t>依据本章第</w:t>
      </w:r>
      <w:r>
        <w:rPr>
          <w:rFonts w:hint="eastAsia" w:ascii="宋体" w:hAnsi="宋体" w:eastAsia="宋体" w:cs="宋体"/>
          <w:sz w:val="21"/>
          <w:szCs w:val="21"/>
          <w:lang w:val="en-US" w:eastAsia="zh-CN"/>
        </w:rPr>
        <w:t>一</w:t>
      </w:r>
      <w:r>
        <w:rPr>
          <w:rFonts w:hint="eastAsia" w:ascii="宋体" w:hAnsi="宋体" w:eastAsia="宋体" w:cs="宋体"/>
          <w:sz w:val="21"/>
          <w:szCs w:val="21"/>
        </w:rPr>
        <w:t>款规定的标准对响应文件进行初步评审。有一项不符合评审标准的，</w:t>
      </w:r>
      <w:r>
        <w:rPr>
          <w:rFonts w:hint="eastAsia" w:ascii="宋体" w:hAnsi="宋体" w:eastAsia="宋体" w:cs="宋体"/>
          <w:sz w:val="21"/>
          <w:szCs w:val="21"/>
          <w:lang w:val="en-US" w:eastAsia="zh-CN"/>
        </w:rPr>
        <w:t>评标委员会</w:t>
      </w:r>
      <w:r>
        <w:rPr>
          <w:rFonts w:hint="eastAsia" w:ascii="宋体" w:hAnsi="宋体" w:eastAsia="宋体" w:cs="宋体"/>
          <w:sz w:val="21"/>
          <w:szCs w:val="21"/>
        </w:rPr>
        <w:t>应当否决其投标。</w:t>
      </w:r>
    </w:p>
    <w:p w14:paraId="780E86C7">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3.1.2 供应商有以下情形之一的，</w:t>
      </w:r>
      <w:r>
        <w:rPr>
          <w:rFonts w:hint="eastAsia" w:ascii="宋体" w:hAnsi="宋体" w:eastAsia="宋体" w:cs="宋体"/>
          <w:sz w:val="21"/>
          <w:szCs w:val="21"/>
          <w:lang w:val="en-US" w:eastAsia="zh-CN"/>
        </w:rPr>
        <w:t>评标委员会</w:t>
      </w:r>
      <w:r>
        <w:rPr>
          <w:rFonts w:hint="eastAsia" w:ascii="宋体" w:hAnsi="宋体" w:eastAsia="宋体" w:cs="宋体"/>
          <w:sz w:val="21"/>
          <w:szCs w:val="21"/>
        </w:rPr>
        <w:t>应当否决其投标：</w:t>
      </w:r>
    </w:p>
    <w:p w14:paraId="7F9D5CEC">
      <w:pPr>
        <w:spacing w:line="400" w:lineRule="exact"/>
        <w:ind w:firstLine="718" w:firstLineChars="342"/>
        <w:rPr>
          <w:rFonts w:hint="eastAsia" w:ascii="宋体" w:hAnsi="宋体" w:eastAsia="宋体" w:cs="宋体"/>
          <w:sz w:val="21"/>
          <w:szCs w:val="21"/>
        </w:rPr>
      </w:pPr>
      <w:r>
        <w:rPr>
          <w:rFonts w:hint="eastAsia" w:ascii="宋体" w:hAnsi="宋体" w:eastAsia="宋体" w:cs="宋体"/>
          <w:sz w:val="21"/>
          <w:szCs w:val="21"/>
        </w:rPr>
        <w:t>（1）第二章“供应商须知”规定的任何一种情形的；</w:t>
      </w:r>
    </w:p>
    <w:p w14:paraId="6ECF09D3">
      <w:pPr>
        <w:spacing w:line="400" w:lineRule="exact"/>
        <w:ind w:firstLine="718" w:firstLineChars="342"/>
        <w:rPr>
          <w:rFonts w:hint="eastAsia" w:ascii="宋体" w:hAnsi="宋体" w:eastAsia="宋体" w:cs="宋体"/>
          <w:sz w:val="21"/>
          <w:szCs w:val="21"/>
        </w:rPr>
      </w:pPr>
      <w:r>
        <w:rPr>
          <w:rFonts w:hint="eastAsia" w:ascii="宋体" w:hAnsi="宋体" w:eastAsia="宋体" w:cs="宋体"/>
          <w:sz w:val="21"/>
          <w:szCs w:val="21"/>
        </w:rPr>
        <w:t>（2）串通投标或弄虚作假或有其他违法行为的；</w:t>
      </w:r>
    </w:p>
    <w:p w14:paraId="774FC557">
      <w:pPr>
        <w:spacing w:line="400" w:lineRule="exact"/>
        <w:ind w:firstLine="718" w:firstLineChars="342"/>
        <w:rPr>
          <w:rFonts w:hint="eastAsia" w:ascii="宋体" w:hAnsi="宋体" w:eastAsia="宋体" w:cs="宋体"/>
          <w:sz w:val="21"/>
          <w:szCs w:val="21"/>
        </w:rPr>
      </w:pPr>
      <w:r>
        <w:rPr>
          <w:rFonts w:hint="eastAsia" w:ascii="宋体" w:hAnsi="宋体" w:eastAsia="宋体" w:cs="宋体"/>
          <w:sz w:val="21"/>
          <w:szCs w:val="21"/>
        </w:rPr>
        <w:t>（3）不按</w:t>
      </w:r>
      <w:r>
        <w:rPr>
          <w:rFonts w:hint="eastAsia" w:ascii="宋体" w:hAnsi="宋体" w:eastAsia="宋体" w:cs="宋体"/>
          <w:sz w:val="21"/>
          <w:szCs w:val="21"/>
          <w:lang w:val="en-US" w:eastAsia="zh-CN"/>
        </w:rPr>
        <w:t>评标委员会</w:t>
      </w:r>
      <w:r>
        <w:rPr>
          <w:rFonts w:hint="eastAsia" w:ascii="宋体" w:hAnsi="宋体" w:eastAsia="宋体" w:cs="宋体"/>
          <w:sz w:val="21"/>
          <w:szCs w:val="21"/>
        </w:rPr>
        <w:t>要求澄清、说明或补正的。</w:t>
      </w:r>
    </w:p>
    <w:p w14:paraId="06E7F16B">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3.1.3</w:t>
      </w:r>
      <w:r>
        <w:rPr>
          <w:rFonts w:hint="eastAsia" w:ascii="宋体" w:hAnsi="宋体" w:eastAsia="宋体" w:cs="宋体"/>
          <w:sz w:val="21"/>
          <w:szCs w:val="21"/>
          <w:lang w:val="en-US" w:eastAsia="zh-CN"/>
        </w:rPr>
        <w:t>投标</w:t>
      </w:r>
      <w:r>
        <w:rPr>
          <w:rFonts w:hint="eastAsia" w:ascii="宋体" w:hAnsi="宋体" w:eastAsia="宋体" w:cs="宋体"/>
          <w:sz w:val="21"/>
          <w:szCs w:val="21"/>
        </w:rPr>
        <w:t>报价有算术错误的，</w:t>
      </w:r>
      <w:r>
        <w:rPr>
          <w:rFonts w:hint="eastAsia" w:ascii="宋体" w:hAnsi="宋体" w:eastAsia="宋体" w:cs="宋体"/>
          <w:sz w:val="21"/>
          <w:szCs w:val="21"/>
          <w:lang w:val="en-US" w:eastAsia="zh-CN"/>
        </w:rPr>
        <w:t>评标委员会</w:t>
      </w:r>
      <w:r>
        <w:rPr>
          <w:rFonts w:hint="eastAsia" w:ascii="宋体" w:hAnsi="宋体" w:eastAsia="宋体" w:cs="宋体"/>
          <w:sz w:val="21"/>
          <w:szCs w:val="21"/>
        </w:rPr>
        <w:t>按以下原则对</w:t>
      </w:r>
      <w:r>
        <w:rPr>
          <w:rFonts w:hint="eastAsia" w:ascii="宋体" w:hAnsi="宋体" w:eastAsia="宋体" w:cs="宋体"/>
          <w:sz w:val="21"/>
          <w:szCs w:val="21"/>
          <w:lang w:val="en-US" w:eastAsia="zh-CN"/>
        </w:rPr>
        <w:t>投标</w:t>
      </w:r>
      <w:r>
        <w:rPr>
          <w:rFonts w:hint="eastAsia" w:ascii="宋体" w:hAnsi="宋体" w:eastAsia="宋体" w:cs="宋体"/>
          <w:sz w:val="21"/>
          <w:szCs w:val="21"/>
        </w:rPr>
        <w:t>报价进行修正，修正的价格经供应商书面确认后具有约束力。供应商不接受修正价格的，</w:t>
      </w:r>
      <w:r>
        <w:rPr>
          <w:rFonts w:hint="eastAsia" w:ascii="宋体" w:hAnsi="宋体" w:eastAsia="宋体" w:cs="宋体"/>
          <w:sz w:val="21"/>
          <w:szCs w:val="21"/>
          <w:lang w:val="en-US" w:eastAsia="zh-CN"/>
        </w:rPr>
        <w:t>评标委员</w:t>
      </w:r>
      <w:r>
        <w:rPr>
          <w:rFonts w:hint="eastAsia" w:ascii="宋体" w:hAnsi="宋体" w:eastAsia="宋体" w:cs="宋体"/>
          <w:sz w:val="21"/>
          <w:szCs w:val="21"/>
        </w:rPr>
        <w:t>会应当否决其投标。</w:t>
      </w:r>
    </w:p>
    <w:p w14:paraId="1C2C0DA4">
      <w:pPr>
        <w:spacing w:line="400" w:lineRule="exact"/>
        <w:ind w:firstLine="718" w:firstLineChars="342"/>
        <w:rPr>
          <w:rFonts w:hint="eastAsia" w:ascii="宋体" w:hAnsi="宋体" w:eastAsia="宋体" w:cs="宋体"/>
          <w:sz w:val="21"/>
          <w:szCs w:val="21"/>
        </w:rPr>
      </w:pPr>
      <w:bookmarkStart w:id="108" w:name="_Toc152042383"/>
      <w:r>
        <w:rPr>
          <w:rFonts w:hint="eastAsia" w:ascii="宋体" w:hAnsi="宋体" w:eastAsia="宋体" w:cs="宋体"/>
          <w:sz w:val="21"/>
          <w:szCs w:val="21"/>
        </w:rPr>
        <w:t>（1）响应文件中的大写金额与小写金额不一致的，以大写金额为准；</w:t>
      </w:r>
      <w:bookmarkEnd w:id="108"/>
    </w:p>
    <w:p w14:paraId="3E228EEC">
      <w:pPr>
        <w:spacing w:line="400" w:lineRule="exact"/>
        <w:ind w:firstLine="718" w:firstLineChars="342"/>
        <w:rPr>
          <w:rFonts w:hint="eastAsia" w:ascii="宋体" w:hAnsi="宋体" w:eastAsia="宋体" w:cs="宋体"/>
          <w:sz w:val="21"/>
          <w:szCs w:val="21"/>
        </w:rPr>
      </w:pPr>
      <w:r>
        <w:rPr>
          <w:rFonts w:hint="eastAsia" w:ascii="宋体" w:hAnsi="宋体" w:eastAsia="宋体" w:cs="宋体"/>
          <w:sz w:val="21"/>
          <w:szCs w:val="21"/>
        </w:rPr>
        <w:t>（2）总价金额与依据单价计算出的结果不一致的，以单价金额为准修正总价，但单价金额小数点有明显错误的除外。</w:t>
      </w:r>
    </w:p>
    <w:p w14:paraId="372B52AA">
      <w:pPr>
        <w:pStyle w:val="4"/>
        <w:rPr>
          <w:rFonts w:hint="eastAsia" w:ascii="宋体" w:hAnsi="宋体" w:eastAsia="宋体" w:cs="宋体"/>
          <w:sz w:val="21"/>
          <w:szCs w:val="21"/>
        </w:rPr>
      </w:pPr>
      <w:bookmarkStart w:id="109" w:name="_Toc179632624"/>
      <w:bookmarkStart w:id="110" w:name="_Toc246996992"/>
      <w:bookmarkStart w:id="111" w:name="_Toc246996249"/>
      <w:bookmarkStart w:id="112" w:name="_Toc144974573"/>
      <w:bookmarkStart w:id="113" w:name="_Toc28275"/>
      <w:bookmarkStart w:id="114" w:name="_Toc28195"/>
      <w:bookmarkStart w:id="115" w:name="_Toc247085764"/>
      <w:bookmarkStart w:id="116" w:name="_Toc152045606"/>
      <w:bookmarkStart w:id="117" w:name="_Toc152042384"/>
      <w:r>
        <w:rPr>
          <w:rFonts w:hint="eastAsia" w:ascii="宋体" w:hAnsi="宋体" w:eastAsia="宋体" w:cs="宋体"/>
          <w:sz w:val="21"/>
          <w:szCs w:val="21"/>
        </w:rPr>
        <w:t>3.2 详细评审</w:t>
      </w:r>
      <w:bookmarkEnd w:id="109"/>
      <w:bookmarkEnd w:id="110"/>
      <w:bookmarkEnd w:id="111"/>
      <w:bookmarkEnd w:id="112"/>
      <w:bookmarkEnd w:id="113"/>
      <w:bookmarkEnd w:id="114"/>
      <w:bookmarkEnd w:id="115"/>
      <w:bookmarkEnd w:id="116"/>
      <w:bookmarkEnd w:id="117"/>
    </w:p>
    <w:p w14:paraId="1BDB8405">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3.2.1 </w:t>
      </w:r>
      <w:r>
        <w:rPr>
          <w:rFonts w:hint="eastAsia" w:ascii="宋体" w:hAnsi="宋体" w:eastAsia="宋体" w:cs="宋体"/>
          <w:sz w:val="21"/>
          <w:szCs w:val="21"/>
          <w:lang w:val="en-US" w:eastAsia="zh-CN"/>
        </w:rPr>
        <w:t>评标委员会</w:t>
      </w:r>
      <w:r>
        <w:rPr>
          <w:rFonts w:hint="eastAsia" w:ascii="宋体" w:hAnsi="宋体" w:eastAsia="宋体" w:cs="宋体"/>
          <w:sz w:val="21"/>
          <w:szCs w:val="21"/>
        </w:rPr>
        <w:t>按本章第2.2款规定的量化因素和分值进行打分，并计算出综合评估得分。</w:t>
      </w:r>
    </w:p>
    <w:p w14:paraId="2FF35CCE">
      <w:pPr>
        <w:spacing w:line="400" w:lineRule="exact"/>
        <w:ind w:firstLine="718" w:firstLineChars="342"/>
        <w:rPr>
          <w:rFonts w:hint="eastAsia" w:ascii="宋体" w:hAnsi="宋体" w:eastAsia="宋体" w:cs="宋体"/>
          <w:sz w:val="21"/>
          <w:szCs w:val="21"/>
        </w:rPr>
      </w:pPr>
      <w:r>
        <w:rPr>
          <w:rFonts w:hint="eastAsia" w:ascii="宋体" w:hAnsi="宋体" w:eastAsia="宋体" w:cs="宋体"/>
          <w:sz w:val="21"/>
          <w:szCs w:val="21"/>
        </w:rPr>
        <w:t>（1）按本章规定的评审因素和分值对</w:t>
      </w:r>
      <w:r>
        <w:rPr>
          <w:rFonts w:hint="eastAsia" w:ascii="宋体" w:hAnsi="宋体" w:eastAsia="宋体" w:cs="宋体"/>
          <w:sz w:val="21"/>
          <w:szCs w:val="21"/>
          <w:lang w:val="en-US" w:eastAsia="zh-CN"/>
        </w:rPr>
        <w:t>投标</w:t>
      </w:r>
      <w:r>
        <w:rPr>
          <w:rFonts w:hint="eastAsia" w:ascii="宋体" w:hAnsi="宋体" w:eastAsia="宋体" w:cs="宋体"/>
          <w:sz w:val="21"/>
          <w:szCs w:val="21"/>
        </w:rPr>
        <w:t>报价计算出得分A；</w:t>
      </w:r>
    </w:p>
    <w:p w14:paraId="3902BCE2">
      <w:pPr>
        <w:spacing w:line="400" w:lineRule="exact"/>
        <w:ind w:firstLine="718" w:firstLineChars="342"/>
        <w:rPr>
          <w:rFonts w:hint="eastAsia" w:ascii="宋体" w:hAnsi="宋体" w:eastAsia="宋体" w:cs="宋体"/>
          <w:sz w:val="21"/>
          <w:szCs w:val="21"/>
        </w:rPr>
      </w:pPr>
      <w:r>
        <w:rPr>
          <w:rFonts w:hint="eastAsia" w:ascii="宋体" w:hAnsi="宋体" w:eastAsia="宋体" w:cs="宋体"/>
          <w:sz w:val="21"/>
          <w:szCs w:val="21"/>
        </w:rPr>
        <w:t>（2）按本章规定的评审因素和分值对施工组织设计计算出得分B；</w:t>
      </w:r>
    </w:p>
    <w:p w14:paraId="53CBBC11">
      <w:pPr>
        <w:spacing w:line="400" w:lineRule="exact"/>
        <w:ind w:firstLine="718" w:firstLineChars="342"/>
        <w:rPr>
          <w:rFonts w:hint="eastAsia" w:ascii="宋体" w:hAnsi="宋体" w:eastAsia="宋体" w:cs="宋体"/>
          <w:sz w:val="21"/>
          <w:szCs w:val="21"/>
        </w:rPr>
      </w:pPr>
      <w:r>
        <w:rPr>
          <w:rFonts w:hint="eastAsia" w:ascii="宋体" w:hAnsi="宋体" w:eastAsia="宋体" w:cs="宋体"/>
          <w:sz w:val="21"/>
          <w:szCs w:val="21"/>
        </w:rPr>
        <w:t>（3）按本章规定的评审因素和分值对项目管理机构计算出得分C；</w:t>
      </w:r>
    </w:p>
    <w:p w14:paraId="0CD69E27">
      <w:pPr>
        <w:spacing w:line="400" w:lineRule="exact"/>
        <w:ind w:firstLine="718" w:firstLineChars="342"/>
        <w:rPr>
          <w:rFonts w:hint="eastAsia" w:ascii="宋体" w:hAnsi="宋体" w:eastAsia="宋体" w:cs="宋体"/>
          <w:sz w:val="21"/>
          <w:szCs w:val="21"/>
        </w:rPr>
      </w:pPr>
      <w:r>
        <w:rPr>
          <w:rFonts w:hint="eastAsia" w:ascii="宋体" w:hAnsi="宋体" w:eastAsia="宋体" w:cs="宋体"/>
          <w:sz w:val="21"/>
          <w:szCs w:val="21"/>
        </w:rPr>
        <w:t>（4）按本章规定的评审因素和分值对其他部分计算出得分D。</w:t>
      </w:r>
    </w:p>
    <w:p w14:paraId="2326DE13">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3.2.2 评分分值计算保留小数点后两位，小数点后第三位“四舍五入”。</w:t>
      </w:r>
    </w:p>
    <w:p w14:paraId="68BEF931">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3.2.3 供应商得分=A+B+C+D。</w:t>
      </w:r>
    </w:p>
    <w:p w14:paraId="70556B29">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3.2.4 </w:t>
      </w:r>
      <w:r>
        <w:rPr>
          <w:rFonts w:hint="eastAsia" w:ascii="宋体" w:hAnsi="宋体" w:eastAsia="宋体" w:cs="宋体"/>
          <w:sz w:val="21"/>
          <w:szCs w:val="21"/>
          <w:lang w:val="en-US" w:eastAsia="zh-CN"/>
        </w:rPr>
        <w:t>评标委员会</w:t>
      </w:r>
      <w:r>
        <w:rPr>
          <w:rFonts w:hint="eastAsia" w:ascii="宋体" w:hAnsi="宋体" w:eastAsia="宋体" w:cs="宋体"/>
          <w:sz w:val="21"/>
          <w:szCs w:val="21"/>
        </w:rPr>
        <w:t>发现供应商的报价明显低于其他</w:t>
      </w:r>
      <w:r>
        <w:rPr>
          <w:rFonts w:hint="eastAsia" w:ascii="宋体" w:hAnsi="宋体" w:eastAsia="宋体" w:cs="宋体"/>
          <w:sz w:val="21"/>
          <w:szCs w:val="21"/>
          <w:lang w:val="en-US" w:eastAsia="zh-CN"/>
        </w:rPr>
        <w:t>投标</w:t>
      </w:r>
      <w:r>
        <w:rPr>
          <w:rFonts w:hint="eastAsia" w:ascii="宋体" w:hAnsi="宋体" w:eastAsia="宋体" w:cs="宋体"/>
          <w:sz w:val="21"/>
          <w:szCs w:val="21"/>
        </w:rPr>
        <w:t>报价，或者在设有标底时明显低于标底，使得其</w:t>
      </w:r>
      <w:r>
        <w:rPr>
          <w:rFonts w:hint="eastAsia" w:ascii="宋体" w:hAnsi="宋体" w:eastAsia="宋体" w:cs="宋体"/>
          <w:sz w:val="21"/>
          <w:szCs w:val="21"/>
          <w:lang w:val="en-US" w:eastAsia="zh-CN"/>
        </w:rPr>
        <w:t>投标</w:t>
      </w:r>
      <w:r>
        <w:rPr>
          <w:rFonts w:hint="eastAsia" w:ascii="宋体" w:hAnsi="宋体" w:eastAsia="宋体" w:cs="宋体"/>
          <w:sz w:val="21"/>
          <w:szCs w:val="21"/>
        </w:rPr>
        <w:t>报价可能低于其个别成本的，应当要求该供应商作出书面说明并提供相应的证明材料。供应商不能合理说明或者不能提供相应证明材料的，</w:t>
      </w:r>
      <w:r>
        <w:rPr>
          <w:rFonts w:hint="eastAsia" w:ascii="宋体" w:hAnsi="宋体" w:eastAsia="宋体" w:cs="宋体"/>
          <w:sz w:val="21"/>
          <w:szCs w:val="21"/>
          <w:lang w:val="en-US" w:eastAsia="zh-CN"/>
        </w:rPr>
        <w:t>评标委员会</w:t>
      </w:r>
      <w:r>
        <w:rPr>
          <w:rFonts w:hint="eastAsia" w:ascii="宋体" w:hAnsi="宋体" w:eastAsia="宋体" w:cs="宋体"/>
          <w:sz w:val="21"/>
          <w:szCs w:val="21"/>
        </w:rPr>
        <w:t>应当认定该供应商以低于成本报价竞标，否决其投标。</w:t>
      </w:r>
    </w:p>
    <w:p w14:paraId="4C78D487">
      <w:pPr>
        <w:pStyle w:val="4"/>
        <w:rPr>
          <w:rFonts w:hint="eastAsia" w:ascii="宋体" w:hAnsi="宋体" w:eastAsia="宋体" w:cs="宋体"/>
          <w:sz w:val="21"/>
          <w:szCs w:val="21"/>
        </w:rPr>
      </w:pPr>
      <w:bookmarkStart w:id="118" w:name="_Toc144974575"/>
      <w:bookmarkStart w:id="119" w:name="_Toc152042385"/>
      <w:bookmarkStart w:id="120" w:name="_Toc247085765"/>
      <w:bookmarkStart w:id="121" w:name="_Toc152045607"/>
      <w:bookmarkStart w:id="122" w:name="_Toc246996250"/>
      <w:bookmarkStart w:id="123" w:name="_Toc21861"/>
      <w:bookmarkStart w:id="124" w:name="_Toc22606"/>
      <w:bookmarkStart w:id="125" w:name="_Toc179632625"/>
      <w:bookmarkStart w:id="126" w:name="_Toc246996993"/>
      <w:r>
        <w:rPr>
          <w:rFonts w:hint="eastAsia" w:ascii="宋体" w:hAnsi="宋体" w:eastAsia="宋体" w:cs="宋体"/>
          <w:sz w:val="21"/>
          <w:szCs w:val="21"/>
        </w:rPr>
        <w:t>3.3 响应文件的澄清</w:t>
      </w:r>
      <w:bookmarkEnd w:id="118"/>
      <w:r>
        <w:rPr>
          <w:rFonts w:hint="eastAsia" w:ascii="宋体" w:hAnsi="宋体" w:eastAsia="宋体" w:cs="宋体"/>
          <w:sz w:val="21"/>
          <w:szCs w:val="21"/>
        </w:rPr>
        <w:t>和补正</w:t>
      </w:r>
      <w:bookmarkEnd w:id="119"/>
      <w:bookmarkEnd w:id="120"/>
      <w:bookmarkEnd w:id="121"/>
      <w:bookmarkEnd w:id="122"/>
      <w:bookmarkEnd w:id="123"/>
      <w:bookmarkEnd w:id="124"/>
      <w:bookmarkEnd w:id="125"/>
      <w:bookmarkEnd w:id="126"/>
    </w:p>
    <w:p w14:paraId="3A75A502">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3.3.1在评标过程中，</w:t>
      </w:r>
      <w:r>
        <w:rPr>
          <w:rFonts w:hint="eastAsia" w:ascii="宋体" w:hAnsi="宋体" w:eastAsia="宋体" w:cs="宋体"/>
          <w:sz w:val="21"/>
          <w:szCs w:val="21"/>
          <w:lang w:val="en-US" w:eastAsia="zh-CN"/>
        </w:rPr>
        <w:t>评标委员会</w:t>
      </w:r>
      <w:r>
        <w:rPr>
          <w:rFonts w:hint="eastAsia" w:ascii="宋体" w:hAnsi="宋体" w:eastAsia="宋体" w:cs="宋体"/>
          <w:sz w:val="21"/>
          <w:szCs w:val="21"/>
        </w:rPr>
        <w:t>可以书面形式要求供应商对所提交响应文件中不明确的内容进行书面澄清或说明，或者对细微偏差进行补正。</w:t>
      </w:r>
      <w:r>
        <w:rPr>
          <w:rFonts w:hint="eastAsia" w:ascii="宋体" w:hAnsi="宋体" w:eastAsia="宋体" w:cs="宋体"/>
          <w:sz w:val="21"/>
          <w:szCs w:val="21"/>
          <w:lang w:val="en-US" w:eastAsia="zh-CN"/>
        </w:rPr>
        <w:t>评标委员会</w:t>
      </w:r>
      <w:r>
        <w:rPr>
          <w:rFonts w:hint="eastAsia" w:ascii="宋体" w:hAnsi="宋体" w:eastAsia="宋体" w:cs="宋体"/>
          <w:sz w:val="21"/>
          <w:szCs w:val="21"/>
        </w:rPr>
        <w:t>不接受供应商主动提出的澄清、说明或补正。</w:t>
      </w:r>
    </w:p>
    <w:p w14:paraId="15D9248B">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3.3.2 澄清、说明和补正不得改变响应文件的实质性内容。供应商的书面澄清、说明和补正属于响应文件的组成部分。</w:t>
      </w:r>
    </w:p>
    <w:p w14:paraId="4D5B321E">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3.3.3 </w:t>
      </w:r>
      <w:r>
        <w:rPr>
          <w:rFonts w:hint="eastAsia" w:ascii="宋体" w:hAnsi="宋体" w:eastAsia="宋体" w:cs="宋体"/>
          <w:sz w:val="21"/>
          <w:szCs w:val="21"/>
          <w:lang w:val="en-US" w:eastAsia="zh-CN"/>
        </w:rPr>
        <w:t>评标委员会</w:t>
      </w:r>
      <w:r>
        <w:rPr>
          <w:rFonts w:hint="eastAsia" w:ascii="宋体" w:hAnsi="宋体" w:eastAsia="宋体" w:cs="宋体"/>
          <w:sz w:val="21"/>
          <w:szCs w:val="21"/>
        </w:rPr>
        <w:t>对供应商提交的澄清、说明或补正有疑问的，可以要求供应商进一步澄清、说明或补正，直至满足</w:t>
      </w:r>
      <w:r>
        <w:rPr>
          <w:rFonts w:hint="eastAsia" w:ascii="宋体" w:hAnsi="宋体" w:eastAsia="宋体" w:cs="宋体"/>
          <w:sz w:val="21"/>
          <w:szCs w:val="21"/>
          <w:lang w:val="en-US" w:eastAsia="zh-CN"/>
        </w:rPr>
        <w:t>评标委员会</w:t>
      </w:r>
      <w:r>
        <w:rPr>
          <w:rFonts w:hint="eastAsia" w:ascii="宋体" w:hAnsi="宋体" w:eastAsia="宋体" w:cs="宋体"/>
          <w:sz w:val="21"/>
          <w:szCs w:val="21"/>
        </w:rPr>
        <w:t>的要求。</w:t>
      </w:r>
    </w:p>
    <w:p w14:paraId="7B44E697">
      <w:pPr>
        <w:pStyle w:val="4"/>
        <w:rPr>
          <w:rFonts w:hint="eastAsia" w:ascii="宋体" w:hAnsi="宋体" w:eastAsia="宋体" w:cs="宋体"/>
          <w:sz w:val="21"/>
          <w:szCs w:val="21"/>
        </w:rPr>
      </w:pPr>
      <w:bookmarkStart w:id="127" w:name="_Toc9081"/>
      <w:bookmarkStart w:id="128" w:name="_Toc246996251"/>
      <w:bookmarkStart w:id="129" w:name="_Toc247085766"/>
      <w:bookmarkStart w:id="130" w:name="_Toc152042386"/>
      <w:bookmarkStart w:id="131" w:name="_Toc179632626"/>
      <w:bookmarkStart w:id="132" w:name="_Toc144974576"/>
      <w:bookmarkStart w:id="133" w:name="_Toc246996994"/>
      <w:bookmarkStart w:id="134" w:name="_Toc17747"/>
      <w:bookmarkStart w:id="135" w:name="_Toc152045608"/>
      <w:r>
        <w:rPr>
          <w:rFonts w:hint="eastAsia" w:ascii="宋体" w:hAnsi="宋体" w:eastAsia="宋体" w:cs="宋体"/>
          <w:sz w:val="21"/>
          <w:szCs w:val="21"/>
        </w:rPr>
        <w:t>3.4 评标结果</w:t>
      </w:r>
      <w:bookmarkEnd w:id="127"/>
      <w:bookmarkEnd w:id="128"/>
      <w:bookmarkEnd w:id="129"/>
      <w:bookmarkEnd w:id="130"/>
      <w:bookmarkEnd w:id="131"/>
      <w:bookmarkEnd w:id="132"/>
      <w:bookmarkEnd w:id="133"/>
      <w:bookmarkEnd w:id="134"/>
      <w:bookmarkEnd w:id="135"/>
    </w:p>
    <w:p w14:paraId="11326191">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3.4.1除第二章“供应商须知”前附表授权直接确定成交供应商外，</w:t>
      </w:r>
      <w:r>
        <w:rPr>
          <w:rFonts w:hint="eastAsia" w:ascii="宋体" w:hAnsi="宋体" w:eastAsia="宋体" w:cs="宋体"/>
          <w:sz w:val="21"/>
          <w:szCs w:val="21"/>
          <w:lang w:val="en-US" w:eastAsia="zh-CN"/>
        </w:rPr>
        <w:t>评标委员会</w:t>
      </w:r>
      <w:r>
        <w:rPr>
          <w:rFonts w:hint="eastAsia" w:ascii="宋体" w:hAnsi="宋体" w:eastAsia="宋体" w:cs="宋体"/>
          <w:sz w:val="21"/>
          <w:szCs w:val="21"/>
        </w:rPr>
        <w:t>按照得分由高到低的顺序推荐成交候选人。中标或者成交供应商拒绝与采购人签订合同的，采购人可以按照评审报告推荐的中标或者成交候选人名单排序，确定下一候选人为中标或者成交供应商，也可以重新开展政府采购活动。</w:t>
      </w:r>
    </w:p>
    <w:p w14:paraId="014CA0D7">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3.4.2</w:t>
      </w:r>
      <w:r>
        <w:rPr>
          <w:rFonts w:hint="eastAsia" w:ascii="宋体" w:hAnsi="宋体" w:eastAsia="宋体" w:cs="宋体"/>
          <w:sz w:val="21"/>
          <w:szCs w:val="21"/>
          <w:lang w:val="en-US" w:eastAsia="zh-CN"/>
        </w:rPr>
        <w:t>评标委员会</w:t>
      </w:r>
      <w:r>
        <w:rPr>
          <w:rFonts w:hint="eastAsia" w:ascii="宋体" w:hAnsi="宋体" w:eastAsia="宋体" w:cs="宋体"/>
          <w:sz w:val="21"/>
          <w:szCs w:val="21"/>
        </w:rPr>
        <w:t>完成评标后，应当向采购人提交书面评标报告。</w:t>
      </w:r>
    </w:p>
    <w:p w14:paraId="1A9BF195">
      <w:pPr>
        <w:rPr>
          <w:rFonts w:hint="eastAsia" w:hAnsi="宋体" w:cs="Times New Roman"/>
          <w:color w:val="auto"/>
          <w:highlight w:val="none"/>
        </w:rPr>
      </w:pPr>
    </w:p>
    <w:p w14:paraId="36B5FD07">
      <w:pPr>
        <w:rPr>
          <w:rFonts w:hint="eastAsia"/>
          <w:color w:val="auto"/>
          <w:highlight w:val="none"/>
        </w:rPr>
      </w:pPr>
      <w:bookmarkStart w:id="136" w:name="_Toc57294211"/>
      <w:bookmarkStart w:id="137" w:name="_Toc57294100"/>
      <w:r>
        <w:rPr>
          <w:rFonts w:hint="eastAsia"/>
          <w:color w:val="auto"/>
          <w:highlight w:val="none"/>
        </w:rPr>
        <w:br w:type="page"/>
      </w:r>
    </w:p>
    <w:p w14:paraId="5445FE9F">
      <w:pPr>
        <w:pStyle w:val="3"/>
        <w:ind w:left="402"/>
        <w:jc w:val="center"/>
        <w:rPr>
          <w:color w:val="auto"/>
          <w:highlight w:val="none"/>
        </w:rPr>
      </w:pPr>
      <w:bookmarkStart w:id="138" w:name="_Toc11712"/>
      <w:r>
        <w:rPr>
          <w:rFonts w:hint="eastAsia"/>
          <w:color w:val="auto"/>
          <w:highlight w:val="none"/>
        </w:rPr>
        <w:t>第</w:t>
      </w:r>
      <w:r>
        <w:rPr>
          <w:rFonts w:hint="eastAsia" w:eastAsia="宋体"/>
          <w:color w:val="auto"/>
          <w:highlight w:val="none"/>
        </w:rPr>
        <w:t>四</w:t>
      </w:r>
      <w:r>
        <w:rPr>
          <w:rFonts w:hint="eastAsia"/>
          <w:color w:val="auto"/>
          <w:highlight w:val="none"/>
        </w:rPr>
        <w:t>章 拟签订的</w:t>
      </w:r>
      <w:r>
        <w:rPr>
          <w:rFonts w:hint="eastAsia" w:eastAsia="宋体"/>
          <w:color w:val="auto"/>
          <w:highlight w:val="none"/>
        </w:rPr>
        <w:t>合同</w:t>
      </w:r>
      <w:r>
        <w:rPr>
          <w:rFonts w:hint="eastAsia"/>
          <w:color w:val="auto"/>
          <w:highlight w:val="none"/>
        </w:rPr>
        <w:t>文本</w:t>
      </w:r>
      <w:bookmarkEnd w:id="136"/>
      <w:bookmarkEnd w:id="137"/>
      <w:bookmarkEnd w:id="138"/>
    </w:p>
    <w:p w14:paraId="61696B04">
      <w:pPr>
        <w:jc w:val="center"/>
        <w:rPr>
          <w:rFonts w:ascii="宋体" w:hAnsi="宋体" w:eastAsia="宋体"/>
          <w:color w:val="auto"/>
          <w:highlight w:val="none"/>
        </w:rPr>
      </w:pPr>
      <w:r>
        <w:rPr>
          <w:rFonts w:hint="eastAsia" w:ascii="宋体" w:hAnsi="宋体" w:eastAsia="宋体"/>
          <w:color w:val="auto"/>
          <w:highlight w:val="none"/>
        </w:rPr>
        <w:t>（合同格式仅供参考，具体以甲乙双方实际签订为准）</w:t>
      </w:r>
    </w:p>
    <w:p w14:paraId="5ED48CC2">
      <w:pPr>
        <w:widowControl/>
        <w:ind w:firstLine="3036" w:firstLineChars="945"/>
        <w:jc w:val="left"/>
        <w:rPr>
          <w:rFonts w:ascii="宋体" w:hAnsi="宋体" w:eastAsia="宋体" w:cs="宋体"/>
          <w:b/>
          <w:color w:val="auto"/>
          <w:kern w:val="0"/>
          <w:sz w:val="32"/>
          <w:szCs w:val="18"/>
          <w:highlight w:val="none"/>
        </w:rPr>
      </w:pPr>
      <w:r>
        <w:rPr>
          <w:rFonts w:hint="eastAsia" w:ascii="宋体" w:hAnsi="宋体" w:eastAsia="宋体" w:cs="宋体"/>
          <w:b/>
          <w:color w:val="auto"/>
          <w:kern w:val="0"/>
          <w:sz w:val="32"/>
          <w:szCs w:val="18"/>
          <w:highlight w:val="none"/>
        </w:rPr>
        <w:t>服务外包协议书</w:t>
      </w:r>
    </w:p>
    <w:p w14:paraId="2810F344">
      <w:pPr>
        <w:autoSpaceDE w:val="0"/>
        <w:autoSpaceDN w:val="0"/>
        <w:adjustRightInd w:val="0"/>
        <w:spacing w:line="360" w:lineRule="auto"/>
        <w:jc w:val="left"/>
        <w:rPr>
          <w:rFonts w:ascii="宋体" w:hAnsi="宋体" w:eastAsia="宋体" w:cs="宋体"/>
          <w:color w:val="auto"/>
          <w:szCs w:val="21"/>
          <w:highlight w:val="none"/>
          <w:lang w:val="zh-CN"/>
        </w:rPr>
      </w:pPr>
    </w:p>
    <w:p w14:paraId="72E6755C">
      <w:pPr>
        <w:autoSpaceDE w:val="0"/>
        <w:autoSpaceDN w:val="0"/>
        <w:adjustRightInd w:val="0"/>
        <w:spacing w:line="360" w:lineRule="auto"/>
        <w:ind w:left="364" w:hanging="364"/>
        <w:jc w:val="left"/>
        <w:rPr>
          <w:rFonts w:ascii="宋体" w:hAnsi="宋体" w:eastAsia="宋体" w:cs="宋体"/>
          <w:color w:val="auto"/>
          <w:szCs w:val="21"/>
          <w:highlight w:val="none"/>
        </w:rPr>
      </w:pPr>
      <w:r>
        <w:rPr>
          <w:rFonts w:hint="eastAsia" w:ascii="宋体" w:hAnsi="宋体" w:eastAsia="宋体" w:cs="宋体"/>
          <w:color w:val="auto"/>
          <w:szCs w:val="21"/>
          <w:highlight w:val="none"/>
          <w:lang w:val="zh-CN"/>
        </w:rPr>
        <w:t>甲方：</w:t>
      </w:r>
    </w:p>
    <w:p w14:paraId="11508ABD">
      <w:pPr>
        <w:autoSpaceDE w:val="0"/>
        <w:autoSpaceDN w:val="0"/>
        <w:adjustRightInd w:val="0"/>
        <w:spacing w:line="360" w:lineRule="auto"/>
        <w:ind w:left="420" w:firstLine="180"/>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lang w:val="zh-CN"/>
        </w:rPr>
        <w:t>单位所在地：</w:t>
      </w:r>
    </w:p>
    <w:p w14:paraId="53E29C0F">
      <w:pPr>
        <w:autoSpaceDE w:val="0"/>
        <w:autoSpaceDN w:val="0"/>
        <w:adjustRightInd w:val="0"/>
        <w:spacing w:line="360" w:lineRule="auto"/>
        <w:ind w:left="420" w:firstLine="180"/>
        <w:jc w:val="left"/>
        <w:rPr>
          <w:rFonts w:ascii="宋体" w:hAnsi="宋体" w:eastAsia="宋体" w:cs="宋体"/>
          <w:color w:val="auto"/>
          <w:szCs w:val="21"/>
          <w:highlight w:val="none"/>
        </w:rPr>
      </w:pPr>
      <w:r>
        <w:rPr>
          <w:rFonts w:hint="eastAsia" w:ascii="宋体" w:hAnsi="宋体" w:eastAsia="宋体" w:cs="宋体"/>
          <w:color w:val="auto"/>
          <w:szCs w:val="21"/>
          <w:highlight w:val="none"/>
          <w:lang w:val="zh-CN"/>
        </w:rPr>
        <w:t>法定代表人：</w:t>
      </w:r>
    </w:p>
    <w:p w14:paraId="612DEE2E">
      <w:pPr>
        <w:autoSpaceDE w:val="0"/>
        <w:autoSpaceDN w:val="0"/>
        <w:adjustRightInd w:val="0"/>
        <w:spacing w:line="360" w:lineRule="auto"/>
        <w:ind w:left="420" w:firstLine="180"/>
        <w:jc w:val="left"/>
        <w:rPr>
          <w:rFonts w:ascii="宋体" w:hAnsi="宋体" w:eastAsia="宋体" w:cs="宋体"/>
          <w:color w:val="auto"/>
          <w:szCs w:val="21"/>
          <w:highlight w:val="none"/>
        </w:rPr>
      </w:pPr>
      <w:r>
        <w:rPr>
          <w:rFonts w:hint="eastAsia" w:ascii="宋体" w:hAnsi="宋体" w:eastAsia="宋体" w:cs="宋体"/>
          <w:color w:val="auto"/>
          <w:szCs w:val="21"/>
          <w:highlight w:val="none"/>
          <w:lang w:val="zh-CN"/>
        </w:rPr>
        <w:t>营业执照注册号：</w:t>
      </w:r>
    </w:p>
    <w:p w14:paraId="51CD3974">
      <w:pPr>
        <w:autoSpaceDE w:val="0"/>
        <w:autoSpaceDN w:val="0"/>
        <w:adjustRightInd w:val="0"/>
        <w:spacing w:line="360" w:lineRule="auto"/>
        <w:ind w:left="420" w:firstLine="180"/>
        <w:jc w:val="left"/>
        <w:rPr>
          <w:rFonts w:ascii="宋体" w:hAnsi="宋体" w:eastAsia="宋体" w:cs="宋体"/>
          <w:color w:val="auto"/>
          <w:szCs w:val="21"/>
          <w:highlight w:val="none"/>
        </w:rPr>
      </w:pPr>
      <w:r>
        <w:rPr>
          <w:rFonts w:hint="eastAsia" w:ascii="宋体" w:hAnsi="宋体" w:eastAsia="宋体" w:cs="宋体"/>
          <w:color w:val="auto"/>
          <w:szCs w:val="21"/>
          <w:highlight w:val="none"/>
          <w:lang w:val="zh-CN"/>
        </w:rPr>
        <w:t>开户行：</w:t>
      </w:r>
    </w:p>
    <w:p w14:paraId="288D993F">
      <w:pPr>
        <w:autoSpaceDE w:val="0"/>
        <w:autoSpaceDN w:val="0"/>
        <w:adjustRightInd w:val="0"/>
        <w:spacing w:line="360" w:lineRule="auto"/>
        <w:ind w:left="420" w:firstLine="180"/>
        <w:jc w:val="left"/>
        <w:rPr>
          <w:rFonts w:ascii="宋体" w:hAnsi="宋体" w:eastAsia="宋体" w:cs="宋体"/>
          <w:color w:val="auto"/>
          <w:szCs w:val="21"/>
          <w:highlight w:val="none"/>
        </w:rPr>
      </w:pPr>
      <w:r>
        <w:rPr>
          <w:rFonts w:hint="eastAsia" w:ascii="宋体" w:hAnsi="宋体" w:eastAsia="宋体" w:cs="宋体"/>
          <w:color w:val="auto"/>
          <w:szCs w:val="21"/>
          <w:highlight w:val="none"/>
          <w:lang w:val="zh-CN"/>
        </w:rPr>
        <w:t>账号：</w:t>
      </w:r>
    </w:p>
    <w:p w14:paraId="7C0EBB15">
      <w:pPr>
        <w:autoSpaceDE w:val="0"/>
        <w:autoSpaceDN w:val="0"/>
        <w:adjustRightInd w:val="0"/>
        <w:spacing w:line="360" w:lineRule="auto"/>
        <w:ind w:left="420" w:firstLine="180"/>
        <w:jc w:val="left"/>
        <w:rPr>
          <w:rFonts w:ascii="宋体" w:hAnsi="宋体" w:eastAsia="宋体" w:cs="宋体"/>
          <w:color w:val="auto"/>
          <w:szCs w:val="21"/>
          <w:highlight w:val="none"/>
        </w:rPr>
      </w:pPr>
      <w:r>
        <w:rPr>
          <w:rFonts w:hint="eastAsia" w:ascii="宋体" w:hAnsi="宋体" w:eastAsia="宋体" w:cs="宋体"/>
          <w:color w:val="auto"/>
          <w:szCs w:val="21"/>
          <w:highlight w:val="none"/>
          <w:lang w:val="zh-CN"/>
        </w:rPr>
        <w:t>电话：</w:t>
      </w:r>
    </w:p>
    <w:p w14:paraId="7E9D11CF">
      <w:pPr>
        <w:autoSpaceDE w:val="0"/>
        <w:autoSpaceDN w:val="0"/>
        <w:adjustRightInd w:val="0"/>
        <w:spacing w:line="360" w:lineRule="auto"/>
        <w:ind w:left="420" w:firstLine="180"/>
        <w:jc w:val="left"/>
        <w:rPr>
          <w:rFonts w:ascii="宋体" w:hAnsi="宋体" w:eastAsia="宋体" w:cs="宋体"/>
          <w:color w:val="auto"/>
          <w:szCs w:val="21"/>
          <w:highlight w:val="none"/>
        </w:rPr>
      </w:pPr>
    </w:p>
    <w:p w14:paraId="73D16411">
      <w:pPr>
        <w:autoSpaceDE w:val="0"/>
        <w:autoSpaceDN w:val="0"/>
        <w:adjustRightInd w:val="0"/>
        <w:spacing w:line="360" w:lineRule="auto"/>
        <w:ind w:left="364" w:hanging="364"/>
        <w:jc w:val="left"/>
        <w:rPr>
          <w:rFonts w:ascii="宋体" w:hAnsi="宋体" w:eastAsia="宋体" w:cs="宋体"/>
          <w:color w:val="auto"/>
          <w:szCs w:val="21"/>
          <w:highlight w:val="none"/>
        </w:rPr>
      </w:pPr>
      <w:r>
        <w:rPr>
          <w:rFonts w:hint="eastAsia" w:ascii="宋体" w:hAnsi="宋体" w:eastAsia="宋体" w:cs="宋体"/>
          <w:color w:val="auto"/>
          <w:szCs w:val="21"/>
          <w:highlight w:val="none"/>
          <w:lang w:val="zh-CN"/>
        </w:rPr>
        <w:t>乙方：</w:t>
      </w:r>
    </w:p>
    <w:p w14:paraId="7C550D49">
      <w:pPr>
        <w:autoSpaceDE w:val="0"/>
        <w:autoSpaceDN w:val="0"/>
        <w:adjustRightInd w:val="0"/>
        <w:spacing w:line="360" w:lineRule="auto"/>
        <w:ind w:firstLine="540"/>
        <w:jc w:val="left"/>
        <w:rPr>
          <w:rFonts w:ascii="宋体" w:hAnsi="宋体" w:eastAsia="宋体" w:cs="宋体"/>
          <w:color w:val="auto"/>
          <w:szCs w:val="21"/>
          <w:highlight w:val="none"/>
        </w:rPr>
      </w:pPr>
      <w:r>
        <w:rPr>
          <w:rFonts w:hint="eastAsia" w:ascii="宋体" w:hAnsi="宋体" w:eastAsia="宋体" w:cs="宋体"/>
          <w:color w:val="auto"/>
          <w:szCs w:val="21"/>
          <w:highlight w:val="none"/>
          <w:lang w:val="zh-CN"/>
        </w:rPr>
        <w:t>单位所在地：</w:t>
      </w:r>
    </w:p>
    <w:p w14:paraId="51368AC1">
      <w:pPr>
        <w:autoSpaceDE w:val="0"/>
        <w:autoSpaceDN w:val="0"/>
        <w:adjustRightInd w:val="0"/>
        <w:spacing w:line="360" w:lineRule="auto"/>
        <w:ind w:left="420" w:firstLine="180"/>
        <w:jc w:val="left"/>
        <w:rPr>
          <w:rFonts w:ascii="宋体" w:hAnsi="宋体" w:eastAsia="宋体" w:cs="宋体"/>
          <w:color w:val="auto"/>
          <w:szCs w:val="21"/>
          <w:highlight w:val="none"/>
        </w:rPr>
      </w:pPr>
      <w:r>
        <w:rPr>
          <w:rFonts w:hint="eastAsia" w:ascii="宋体" w:hAnsi="宋体" w:eastAsia="宋体" w:cs="宋体"/>
          <w:color w:val="auto"/>
          <w:szCs w:val="21"/>
          <w:highlight w:val="none"/>
          <w:lang w:val="zh-CN"/>
        </w:rPr>
        <w:t>法定代表人：</w:t>
      </w:r>
    </w:p>
    <w:p w14:paraId="2F6EA9FA">
      <w:pPr>
        <w:autoSpaceDE w:val="0"/>
        <w:autoSpaceDN w:val="0"/>
        <w:adjustRightInd w:val="0"/>
        <w:spacing w:line="360" w:lineRule="auto"/>
        <w:ind w:left="420" w:firstLine="18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营业执照注册号：</w:t>
      </w:r>
    </w:p>
    <w:p w14:paraId="11DBDB20">
      <w:pPr>
        <w:autoSpaceDE w:val="0"/>
        <w:autoSpaceDN w:val="0"/>
        <w:adjustRightInd w:val="0"/>
        <w:spacing w:line="360" w:lineRule="auto"/>
        <w:ind w:left="420" w:firstLine="18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开户行：</w:t>
      </w:r>
    </w:p>
    <w:p w14:paraId="7026E0DB">
      <w:pPr>
        <w:autoSpaceDE w:val="0"/>
        <w:autoSpaceDN w:val="0"/>
        <w:adjustRightInd w:val="0"/>
        <w:spacing w:line="360" w:lineRule="auto"/>
        <w:ind w:left="420" w:firstLine="18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账号：</w:t>
      </w:r>
    </w:p>
    <w:p w14:paraId="04B4BF3E">
      <w:pPr>
        <w:autoSpaceDE w:val="0"/>
        <w:autoSpaceDN w:val="0"/>
        <w:adjustRightInd w:val="0"/>
        <w:spacing w:line="360" w:lineRule="auto"/>
        <w:ind w:left="420" w:firstLine="180"/>
        <w:jc w:val="left"/>
        <w:rPr>
          <w:rFonts w:ascii="宋体" w:hAnsi="宋体" w:eastAsia="宋体" w:cs="宋体"/>
          <w:color w:val="auto"/>
          <w:szCs w:val="21"/>
          <w:highlight w:val="none"/>
        </w:rPr>
      </w:pPr>
      <w:r>
        <w:rPr>
          <w:rFonts w:hint="eastAsia" w:ascii="宋体" w:hAnsi="宋体" w:eastAsia="宋体" w:cs="宋体"/>
          <w:color w:val="auto"/>
          <w:szCs w:val="21"/>
          <w:highlight w:val="none"/>
          <w:lang w:val="zh-CN"/>
        </w:rPr>
        <w:t>电话：</w:t>
      </w:r>
    </w:p>
    <w:p w14:paraId="0A6C2C0F">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甲方因需要辅助性工作人员，经甲、乙双方本着公平、平等自愿、协商一致、诚实守信的原则，根据相关法律规定，签订本协议，并承诺共同遵守。</w:t>
      </w:r>
    </w:p>
    <w:p w14:paraId="6FB84F3F">
      <w:pPr>
        <w:widowControl/>
        <w:numPr>
          <w:ilvl w:val="0"/>
          <w:numId w:val="4"/>
        </w:numPr>
        <w:spacing w:line="360" w:lineRule="auto"/>
        <w:ind w:left="36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合作方式</w:t>
      </w:r>
    </w:p>
    <w:p w14:paraId="4A0DF395">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1、甲方要求乙方服务外包合格的能胜任工作岗位职责及要求的人员，乙方应向甲方提供其与服务外包职工的劳动合同、缴纳（五险一金）的证明；</w:t>
      </w:r>
    </w:p>
    <w:p w14:paraId="211CE241">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2、乙方负责为服务外包职工办理劳动用工手续，缴纳社会保险</w:t>
      </w:r>
      <w:r>
        <w:rPr>
          <w:rFonts w:hint="eastAsia" w:ascii="宋体" w:hAnsi="宋体" w:eastAsia="宋体" w:cs="Times New Roman"/>
          <w:color w:val="auto"/>
          <w:szCs w:val="21"/>
          <w:highlight w:val="none"/>
          <w:u w:val="single"/>
        </w:rPr>
        <w:t>流程</w:t>
      </w:r>
      <w:r>
        <w:rPr>
          <w:rFonts w:hint="eastAsia" w:ascii="宋体" w:hAnsi="宋体" w:eastAsia="宋体" w:cs="Times New Roman"/>
          <w:color w:val="auto"/>
          <w:szCs w:val="21"/>
          <w:highlight w:val="none"/>
        </w:rPr>
        <w:t>、工资发放、申报鉴定流程和处理与实际用工单位相关的问题，配合甲方做好乙方服务外包甲方工作的劳动者（以下称服务外包职工）的日常工作管理。</w:t>
      </w:r>
    </w:p>
    <w:p w14:paraId="05E5DF85">
      <w:pPr>
        <w:spacing w:line="360" w:lineRule="auto"/>
        <w:rPr>
          <w:rFonts w:ascii="宋体" w:hAnsi="宋体" w:eastAsia="宋体" w:cs="宋体"/>
          <w:color w:val="auto"/>
          <w:szCs w:val="21"/>
          <w:highlight w:val="none"/>
        </w:rPr>
      </w:pPr>
      <w:r>
        <w:rPr>
          <w:rFonts w:hint="eastAsia" w:ascii="宋体" w:hAnsi="宋体" w:eastAsia="宋体" w:cs="Times New Roman"/>
          <w:color w:val="auto"/>
          <w:szCs w:val="21"/>
          <w:highlight w:val="none"/>
        </w:rPr>
        <w:t>3、甲乙双方以</w:t>
      </w:r>
      <w:r>
        <w:rPr>
          <w:rFonts w:hint="eastAsia" w:ascii="宋体" w:hAnsi="宋体" w:eastAsia="宋体" w:cs="宋体"/>
          <w:color w:val="auto"/>
          <w:szCs w:val="21"/>
          <w:highlight w:val="none"/>
        </w:rPr>
        <w:t>附件的形式明确服务外包职工的数量、从事的岗位范围、工作地点、服务、期限、试用期期限、实行的工时制度、缴纳社会保险的基数、工资标准等。如附件中内容有变动时，双方应该就变动情况以附加附件(补充协议)的形式明确并及时通知对方。</w:t>
      </w:r>
    </w:p>
    <w:p w14:paraId="37D32D18">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二、服务外包</w:t>
      </w:r>
    </w:p>
    <w:p w14:paraId="4AD564F9">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劳务人员由乙方负责按照甲方要求服务外包，乙方应按照择优的原则确定劳务服务人员，服务外包的劳务人员应经甲方面试，面试合格后甲乙双方应拟定《服务外包人员清单》，并签字、盖章，作为本合同的附件。甲乙双方按照本合同约定对被劳务服务人员进行变更的，要相应修改《服务外包人员清单》，并须经双方签字、盖章认可。</w:t>
      </w:r>
    </w:p>
    <w:p w14:paraId="75721C1E">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三、服务合同的期限</w:t>
      </w:r>
    </w:p>
    <w:p w14:paraId="68472C0C">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本合同自甲乙双方签字并盖章之日起生效，至____年___月____日终止。</w:t>
      </w:r>
    </w:p>
    <w:p w14:paraId="5650EE97">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四、费用的支付</w:t>
      </w:r>
    </w:p>
    <w:p w14:paraId="538E7F0F">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(一)甲方向乙方支付的款项包括：</w:t>
      </w:r>
    </w:p>
    <w:p w14:paraId="74E6E6FC">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1、劳务人员的劳务报酬(含工资、加班费、奖金、福利、社保费用等)；</w:t>
      </w:r>
    </w:p>
    <w:p w14:paraId="7CDFEC64">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2、甲方应向乙方支付的服务外包服务费用；</w:t>
      </w:r>
    </w:p>
    <w:p w14:paraId="09A4CC38">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3、因甲方将服务外包职工退回，或其他非因甲方原因，乙方提前解除或终止与服务外包人员的劳动合同的，需支付的赔偿金或经济补偿费用，由乙方承担和支付；</w:t>
      </w:r>
    </w:p>
    <w:p w14:paraId="7D056B8F">
      <w:pPr>
        <w:widowControl/>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4、如发生工伤事故的，乙方应为服务外包职工申报工伤保险，在工伤保险赔偿不足以支付医疗费用，差额由甲方承担，与乙方无关；</w:t>
      </w:r>
    </w:p>
    <w:p w14:paraId="3C14DB47">
      <w:pPr>
        <w:widowControl/>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5、按国家法律规定，因劳动关系或劳务关系产生的需向劳务人员支付的其他款项；</w:t>
      </w:r>
    </w:p>
    <w:p w14:paraId="517117EB">
      <w:pPr>
        <w:widowControl/>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6、双方约定的应支付给乙方的其他费用。</w:t>
      </w:r>
    </w:p>
    <w:p w14:paraId="58CA168E">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(二)费用的标准</w:t>
      </w:r>
    </w:p>
    <w:p w14:paraId="14F2C338">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1、劳务人员的劳务报酬标准在不违反国家和地方政府规定的前提下由甲方确定，并由甲方向乙方提供劳务报酬清单;</w:t>
      </w:r>
    </w:p>
    <w:p w14:paraId="36A02626">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2、服务外包服务费标准：每人每月元。</w:t>
      </w:r>
    </w:p>
    <w:p w14:paraId="4356735D">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3、每月应支付的服务外包服务费 = 当月实际使用的劳务人员数×服务外包服务费标准/人·月</w:t>
      </w:r>
    </w:p>
    <w:p w14:paraId="459D67A9">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服务外包期不超过半月的，服务外包月数按半月计算，服务外包期超过半月、不满一个月的，服务外包费按一个月计算。</w:t>
      </w:r>
    </w:p>
    <w:p w14:paraId="3836A63C">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(三)支付方式和支付时间：</w:t>
      </w:r>
    </w:p>
    <w:p w14:paraId="2819B882">
      <w:pPr>
        <w:widowControl/>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1、劳务人员的劳务报酬，由乙方为服务外包劳务人员发放。</w:t>
      </w:r>
    </w:p>
    <w:p w14:paraId="29FD5E1B">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2、服务外包服务费按月支付，由甲方于每月10日前将上月费用以转帐结算的方式支付给乙方。</w:t>
      </w:r>
    </w:p>
    <w:p w14:paraId="24D339C5">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3、按社会（含医疗保险）保险经办机构政策规定每年度需重新核定基数或按新颁布政策要求调整时，应及时调整甲方支付乙方的相应费用。</w:t>
      </w:r>
    </w:p>
    <w:p w14:paraId="3EB4E2E7">
      <w:pPr>
        <w:widowControl/>
        <w:spacing w:line="360" w:lineRule="auto"/>
        <w:ind w:firstLine="36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4、合同期内如果人员或工资发生变动实行多退少补。</w:t>
      </w:r>
    </w:p>
    <w:p w14:paraId="4115B0EB">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五、甲方权利</w:t>
      </w:r>
    </w:p>
    <w:p w14:paraId="392D0736">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(一)安排劳务人员在甲方的具体工作岗位，监督、检查、考核劳务人员完成工作的情况，并负责日常管理;</w:t>
      </w:r>
    </w:p>
    <w:p w14:paraId="4DBC5558">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(二)劳务人员有以下情形之一的，甲方应在出现相关情形后的5个工作日通知乙方，并于3个工作日后退回乙方。</w:t>
      </w:r>
    </w:p>
    <w:p w14:paraId="74D2507F">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1、在试用期内不能胜任甲方工作要求;</w:t>
      </w:r>
    </w:p>
    <w:p w14:paraId="35CED6F7">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2、不服从甲方工作安排;</w:t>
      </w:r>
    </w:p>
    <w:p w14:paraId="03C5CBDC">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3、违反甲方劳动纪律、规章制度和工作定额任务管理,达到解除劳动合同标准。</w:t>
      </w:r>
    </w:p>
    <w:p w14:paraId="5CBCB538">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4、工作失职，给甲方造成经济损失;</w:t>
      </w:r>
    </w:p>
    <w:p w14:paraId="3A677CAC">
      <w:pPr>
        <w:widowControl/>
        <w:spacing w:line="360" w:lineRule="auto"/>
        <w:ind w:firstLine="40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5、服务外包期未满，被服务外包劳务人员提出停止服务或擅自离岗;</w:t>
      </w:r>
    </w:p>
    <w:p w14:paraId="22B16583">
      <w:pPr>
        <w:widowControl/>
        <w:spacing w:line="360" w:lineRule="auto"/>
        <w:ind w:firstLine="40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6、符合《劳动合同法》第三十九条、第四十条（一）、（二）行为的；</w:t>
      </w:r>
    </w:p>
    <w:p w14:paraId="370BC4CF">
      <w:pPr>
        <w:widowControl/>
        <w:spacing w:line="360" w:lineRule="auto"/>
        <w:ind w:firstLine="40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7、其他违反《劳动法》、《劳动合同法》等法律、法规。</w:t>
      </w:r>
    </w:p>
    <w:p w14:paraId="32260E3D">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(三)确定和调整劳务人员的劳务报酬标准;</w:t>
      </w:r>
    </w:p>
    <w:p w14:paraId="68166DA6">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(四)甲方出资对劳务人员进行业务、技能培训的，甲方有权就服务期及违约责任等事项，要求乙方与劳务人员变更所签劳动合同，并相应变更本协议。乙方应将变更后的劳动合同应交甲方备案;</w:t>
      </w:r>
    </w:p>
    <w:p w14:paraId="6EFEFAD1">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(五)对劳务人员给甲方造成的经济损失，甲方有权按有关规定向劳务人员索赔，乙方有责任给予协助;</w:t>
      </w:r>
    </w:p>
    <w:p w14:paraId="3A911268">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(六)法律、法规规定的其他权利。</w:t>
      </w:r>
    </w:p>
    <w:p w14:paraId="1B6F5038">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六、甲方义务和责任</w:t>
      </w:r>
    </w:p>
    <w:p w14:paraId="2D31F416">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(一)对劳务人员的职业道德规范、工作任务、技能培训、应达到的工作要求、应注意的安全事项、应遵守的各项纪律等履行告知、教育、管理督查的义务;</w:t>
      </w:r>
    </w:p>
    <w:p w14:paraId="493DE78A">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(二)为劳务人员提供必需的劳动条件、劳动工具和业务用品，以及符合国家规定的劳动安全卫生设施和必要的劳动防护用品;</w:t>
      </w:r>
    </w:p>
    <w:p w14:paraId="20F8C022">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(三) 凡甲方要求在本合同第五条第二款情形之外停止服务或更换劳务人员的，应提前十五日书面向乙方提出，乙方同意后，方能停止服务或更换劳务人员。</w:t>
      </w:r>
    </w:p>
    <w:p w14:paraId="53E670E7">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(四) 劳务人员因工作遭受事故伤害或患职业病，甲方应及时通知乙方，并负责做好现场处理工作和协助乙方按《工伤保险条例》规定处理，乙方应保障劳务人员依法享受各项工伤保险及相关待遇。</w:t>
      </w:r>
    </w:p>
    <w:p w14:paraId="3166814E">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(五) 按时足额支付乙方的服务费用。</w:t>
      </w:r>
    </w:p>
    <w:p w14:paraId="7E80654E">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七、乙方的权利</w:t>
      </w:r>
    </w:p>
    <w:p w14:paraId="3B931C67">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(一)对甲方不履行合同的，有权追究违约责任;</w:t>
      </w:r>
    </w:p>
    <w:p w14:paraId="491CC2C3">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(二)依法维护劳务人员的合法权益;</w:t>
      </w:r>
    </w:p>
    <w:p w14:paraId="4870CC88">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(三)法律法规规定的其他权利。</w:t>
      </w:r>
    </w:p>
    <w:p w14:paraId="2CF06040">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八、乙方的义务和责任</w:t>
      </w:r>
    </w:p>
    <w:p w14:paraId="65FCFA42">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一)按合同条款规定服务外包符合条件的劳务人员到甲方工作。如甲方按本合同第五条第二款要求停止服务并退回劳务人员，乙方应予接收并依法负责处理，同时辅助甲方要求及时服务符合条件的劳务人员到甲方工作。</w:t>
      </w:r>
    </w:p>
    <w:p w14:paraId="4D66E117">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(二)负责劳务人员档案管理，负责建立、接转劳务人员档案。</w:t>
      </w:r>
    </w:p>
    <w:p w14:paraId="5A04C02A">
      <w:pPr>
        <w:widowControl/>
        <w:spacing w:line="360" w:lineRule="auto"/>
        <w:ind w:firstLine="40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(三)负责为劳务人员代办社会保险流程。</w:t>
      </w:r>
    </w:p>
    <w:p w14:paraId="4CE9716F">
      <w:pPr>
        <w:widowControl/>
        <w:spacing w:line="360" w:lineRule="auto"/>
        <w:ind w:firstLine="40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服务外包职工在发生工伤时，乙方均需按工伤保险条例及其他相关规范性文件进行工伤事故处理。甲方应在第一时间通知乙方，协助乙方做好治疗和抢救工作。因特殊情况甲方先行垫付抢救治疗费用的，乙方应在工伤报销完毕后先返还甲方已垫付的费用。超出意外伤害险和长春市医疗保险管理中心实际报销额以外的费用由甲方支付。工伤保险未生效期间（以长春市医疗管理中心规定时间生效）发生工伤时，由乙方负责处理，甲方承担相关费用。</w:t>
      </w:r>
    </w:p>
    <w:p w14:paraId="0A637248">
      <w:pPr>
        <w:widowControl/>
        <w:spacing w:line="360" w:lineRule="auto"/>
        <w:ind w:firstLine="40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（五）乙方为服务外包人员承担职工各项保险的业务，服务外包人员若在工作期间内发生疾病、意外事故、死亡等，除长春市医疗保险管理中心实际报销额以外的费用全部由甲方承担。</w:t>
      </w:r>
    </w:p>
    <w:p w14:paraId="0FA02078">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九、合同的变更、解除、终止和续订</w:t>
      </w:r>
    </w:p>
    <w:p w14:paraId="0755EFC2">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一)甲乙双方应共同遵守本合同的各项条款。在合同履行期间，未经对方同意，任何一方不得变更或解除;若一方因国家、吉林省重大政策改变等不可抗力因素不能履行合同，应及时通知对方，双方通过协商，对合同进行变更或解除。</w:t>
      </w:r>
    </w:p>
    <w:p w14:paraId="62C71FAA">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(二)本合同期满前___日，甲乙双方应就本合同是否终止或续订或重新签订进行协商，并按协商结果办理终止或续订或重新签订合同手续、处理有关事项。</w:t>
      </w:r>
    </w:p>
    <w:p w14:paraId="5964B333">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十、其他</w:t>
      </w:r>
    </w:p>
    <w:p w14:paraId="3C2E81AA">
      <w:pPr>
        <w:widowControl/>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(一)未尽事宜，法律、法规有规定的，按照相关规定办理;无规定的，由双方协商解决。经双方协商一致对本合同进行修改、补充达成的补充协议与本合同具有同等效力。</w:t>
      </w:r>
    </w:p>
    <w:p w14:paraId="23659805">
      <w:pPr>
        <w:widowControl/>
        <w:spacing w:line="360" w:lineRule="auto"/>
        <w:ind w:firstLine="48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(二)双方在履行合同时发生争议，应本着实事求是的精神友好协商解决;协商不成，可向甲方住所地人民法院诉讼解决。</w:t>
      </w:r>
    </w:p>
    <w:p w14:paraId="5E80E4E3">
      <w:pPr>
        <w:widowControl/>
        <w:spacing w:line="360" w:lineRule="auto"/>
        <w:ind w:firstLine="480"/>
        <w:jc w:val="left"/>
        <w:rPr>
          <w:rFonts w:ascii="宋体" w:hAnsi="宋体" w:eastAsia="宋体" w:cs="宋体"/>
          <w:color w:val="auto"/>
          <w:kern w:val="0"/>
          <w:szCs w:val="21"/>
          <w:highlight w:val="none"/>
        </w:rPr>
      </w:pPr>
    </w:p>
    <w:p w14:paraId="42A90B92">
      <w:pPr>
        <w:widowControl/>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本合同正本一式___份，甲乙方各执___份。</w:t>
      </w:r>
    </w:p>
    <w:p w14:paraId="0C9F2D43">
      <w:pPr>
        <w:spacing w:before="100" w:beforeAutospacing="1" w:afterLines="50" w:afterAutospacing="1"/>
        <w:jc w:val="left"/>
        <w:rPr>
          <w:rFonts w:ascii="宋体" w:hAnsi="宋体" w:eastAsia="宋体"/>
          <w:color w:val="auto"/>
          <w:szCs w:val="21"/>
          <w:highlight w:val="none"/>
        </w:rPr>
      </w:pPr>
      <w:r>
        <w:rPr>
          <w:rFonts w:ascii="宋体" w:hAnsi="宋体" w:eastAsia="宋体" w:cs="Times New Roman"/>
          <w:color w:val="auto"/>
          <w:sz w:val="30"/>
          <w:szCs w:val="30"/>
          <w:highlight w:val="none"/>
        </w:rPr>
        <w:br w:type="page"/>
      </w:r>
    </w:p>
    <w:p w14:paraId="01A6F998">
      <w:pPr>
        <w:pStyle w:val="3"/>
        <w:ind w:left="402"/>
        <w:jc w:val="center"/>
        <w:rPr>
          <w:rFonts w:hint="eastAsia"/>
          <w:color w:val="auto"/>
          <w:highlight w:val="none"/>
        </w:rPr>
      </w:pPr>
      <w:bookmarkStart w:id="139" w:name="_Toc57294222"/>
      <w:bookmarkStart w:id="140" w:name="_Toc57294111"/>
      <w:bookmarkStart w:id="141" w:name="_Toc6413"/>
      <w:r>
        <w:rPr>
          <w:rFonts w:hint="eastAsia"/>
          <w:color w:val="auto"/>
          <w:highlight w:val="none"/>
        </w:rPr>
        <w:t>第五章</w:t>
      </w:r>
      <w:bookmarkEnd w:id="139"/>
      <w:bookmarkEnd w:id="140"/>
      <w:r>
        <w:rPr>
          <w:rFonts w:hint="eastAsia"/>
          <w:color w:val="auto"/>
          <w:highlight w:val="none"/>
          <w:lang w:eastAsia="zh-CN"/>
        </w:rPr>
        <w:t>、</w:t>
      </w:r>
      <w:r>
        <w:rPr>
          <w:rFonts w:hint="eastAsia"/>
          <w:color w:val="auto"/>
          <w:highlight w:val="none"/>
        </w:rPr>
        <w:t>项目采购需求</w:t>
      </w:r>
      <w:bookmarkEnd w:id="141"/>
    </w:p>
    <w:p w14:paraId="0FF2A54E">
      <w:pPr>
        <w:spacing w:before="100" w:beforeAutospacing="1" w:afterLines="50" w:afterAutospacing="1"/>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一标段：</w:t>
      </w:r>
      <w:r>
        <w:rPr>
          <w:rFonts w:hint="eastAsia" w:ascii="宋体" w:hAnsi="宋体" w:eastAsia="宋体" w:cs="宋体"/>
          <w:color w:val="auto"/>
          <w:szCs w:val="21"/>
          <w:highlight w:val="none"/>
          <w:lang w:eastAsia="zh-CN"/>
        </w:rPr>
        <w:t>为保障我区城市管理水平，确保我区环卫工作高质量、高效率开展，打造维护汽开区干净整洁的城市环境，根据长春市政府及长春市城市管理局对城市环卫整体工作的部署，按照长春市市容和环境卫生管理条例相关要求，我局计划通过购买式服务的方式，公开招标清扫保洁队伍开展我区人工日常保洁、机械化清扫、垃圾清运、公厕管理等城市环卫工作。项目服务期三年，自2025年1月1日起至2027年12月31日止。清扫街路156条，现有水冲公厕2座，环保型公厕9座，免水冲公厕10座，垃圾中转站18座。要求中标单位具备80台（道路洗扫车20台，高压冲洗车15台，洒水车10台，道路宝多功能清扫车10台，人行步道清洗车25台）以上的机械化清扫设备能力，一线保洁员作业队伍原则上不低于602人，并保证人员及设备足够满足我区范围内的夏季扫保需求，在规定时间内完成夏季扫保任务，达到上级考核标准。考核实行区局检查、公司自检两级检查制度，采取综合检查、专项检查、日常巡查相结合的检查方式，每月针对各保洁分项安排专项检查，检查结果记入月考核台账。总计预算金额100708645.78元</w:t>
      </w:r>
      <w:r>
        <w:rPr>
          <w:rFonts w:hint="eastAsia" w:ascii="宋体" w:hAnsi="宋体" w:eastAsia="宋体" w:cs="宋体"/>
          <w:color w:val="auto"/>
          <w:szCs w:val="21"/>
          <w:highlight w:val="none"/>
          <w:lang w:val="en-US" w:eastAsia="zh-CN"/>
        </w:rPr>
        <w:t>/年</w:t>
      </w:r>
      <w:r>
        <w:rPr>
          <w:rFonts w:hint="eastAsia" w:ascii="宋体" w:hAnsi="宋体" w:eastAsia="宋体" w:cs="宋体"/>
          <w:color w:val="auto"/>
          <w:szCs w:val="21"/>
          <w:highlight w:val="none"/>
          <w:lang w:eastAsia="zh-CN"/>
        </w:rPr>
        <w:t>。根据服务内容，每月付款1次，每次应付款额为合同总价款中按月支付项目的金额/12-当次扣款+奖励。据实结算项目按照实际发生在第2个月予以结算。</w:t>
      </w:r>
    </w:p>
    <w:p w14:paraId="4BCC6D5C">
      <w:pPr>
        <w:spacing w:before="100" w:beforeAutospacing="1" w:afterLines="50" w:afterAutospacing="1"/>
        <w:ind w:firstLine="420" w:firstLineChars="200"/>
        <w:jc w:val="left"/>
        <w:rPr>
          <w:rFonts w:hint="eastAsia" w:ascii="宋体" w:hAnsi="宋体" w:eastAsia="宋体" w:cs="宋体"/>
          <w:color w:val="auto"/>
          <w:szCs w:val="21"/>
          <w:highlight w:val="none"/>
          <w:lang w:eastAsia="zh-CN"/>
        </w:rPr>
      </w:pPr>
    </w:p>
    <w:p w14:paraId="6D503C72">
      <w:pPr>
        <w:spacing w:before="100" w:beforeAutospacing="1" w:afterLines="50" w:afterAutospacing="1"/>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标段：为保障我区城市管理水平，确保我区环卫工作高质量、高效率开展，打造维护汽开区干净整洁的城市环境，根据长春市政府及长春市城市管理局对城市环卫整体工作的部署，按照长春市市容和环境卫生管理条例相关要求，我局计划通过购买式服务的方式，公开招标第三方保洁队伍开展我区人工日常保洁、机械化清扫、垃圾清运等城市环卫工作。项目服务期三年，自2025年1月1日起至2027年12月31日止。清扫街路90条，要求中标单位具备16台（道路洗扫车8台，高压冲洗车4台，人行步道清洗车2台，道路保洁车2台）以上的机械化设备，一线保洁员作业队伍原则上不低于200人。并保证人员及设备足够满足我区范围内的夏季扫保需求，在规定时间内完成夏季扫保任务，达到上级考核标准。考核实行区局检查、公司自检两级检查制度，采取综合检查、专项检查、日常巡查相结合的检查方式，每月针对各保洁分项安排专项检查，检查结果记入月考核台账。总计预算金额42621617.74元/年。根据服务内容，每月付款1次，每次应付款额为合同总价款中按月支付项目的金额/12-当次扣款+奖励。据实结算项目按照实际发生在第2个月予以结算。</w:t>
      </w:r>
    </w:p>
    <w:p w14:paraId="1BC3F2A1">
      <w:pPr>
        <w:rPr>
          <w:color w:val="auto"/>
          <w:highlight w:val="none"/>
        </w:rPr>
      </w:pPr>
      <w:r>
        <w:rPr>
          <w:color w:val="auto"/>
          <w:highlight w:val="none"/>
        </w:rPr>
        <w:br w:type="page"/>
      </w:r>
    </w:p>
    <w:p w14:paraId="2D41390D">
      <w:pPr>
        <w:rPr>
          <w:rFonts w:hint="eastAsia" w:ascii="宋体" w:hAnsi="宋体" w:eastAsia="宋体" w:cs="宋体"/>
          <w:b w:val="0"/>
          <w:bCs w:val="0"/>
          <w:color w:val="auto"/>
          <w:sz w:val="24"/>
          <w:szCs w:val="24"/>
          <w:lang w:val="en-US" w:eastAsia="zh-CN"/>
        </w:rPr>
      </w:pPr>
    </w:p>
    <w:p w14:paraId="6C573E6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项目名称：</w:t>
      </w:r>
      <w:r>
        <w:rPr>
          <w:rFonts w:ascii="宋体" w:hAnsi="宋体" w:eastAsia="宋体" w:cs="宋体"/>
          <w:color w:val="auto"/>
          <w:kern w:val="0"/>
          <w:sz w:val="24"/>
          <w:szCs w:val="24"/>
          <w:lang w:val="en-US" w:eastAsia="zh-CN" w:bidi="ar"/>
        </w:rPr>
        <w:t>2025-2027年度长春汽车经济技术开发区夏季扫保服务</w:t>
      </w:r>
      <w:r>
        <w:rPr>
          <w:rFonts w:hint="eastAsia" w:ascii="宋体" w:hAnsi="宋体" w:eastAsia="宋体" w:cs="宋体"/>
          <w:color w:val="auto"/>
          <w:kern w:val="0"/>
          <w:sz w:val="24"/>
          <w:szCs w:val="24"/>
          <w:lang w:val="en-US" w:eastAsia="zh-CN" w:bidi="ar"/>
        </w:rPr>
        <w:t>一</w:t>
      </w:r>
      <w:r>
        <w:rPr>
          <w:rFonts w:ascii="宋体" w:hAnsi="宋体" w:eastAsia="宋体" w:cs="宋体"/>
          <w:color w:val="auto"/>
          <w:kern w:val="0"/>
          <w:sz w:val="24"/>
          <w:szCs w:val="24"/>
          <w:lang w:val="en-US" w:eastAsia="zh-CN" w:bidi="ar"/>
        </w:rPr>
        <w:t>标段</w:t>
      </w:r>
    </w:p>
    <w:p w14:paraId="311F40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项目地点：长春汽车经济技术开发区；</w:t>
      </w:r>
    </w:p>
    <w:tbl>
      <w:tblPr>
        <w:tblStyle w:val="29"/>
        <w:tblW w:w="10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2025"/>
        <w:gridCol w:w="1890"/>
        <w:gridCol w:w="1845"/>
        <w:gridCol w:w="1575"/>
        <w:gridCol w:w="1575"/>
        <w:gridCol w:w="675"/>
      </w:tblGrid>
      <w:tr w14:paraId="16662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260" w:type="dxa"/>
            <w:gridSpan w:val="7"/>
            <w:tcBorders>
              <w:top w:val="nil"/>
              <w:left w:val="nil"/>
              <w:bottom w:val="nil"/>
              <w:right w:val="nil"/>
            </w:tcBorders>
            <w:shd w:val="clear" w:color="auto" w:fill="auto"/>
            <w:noWrap/>
            <w:vAlign w:val="center"/>
          </w:tcPr>
          <w:p w14:paraId="685E49C1">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一标段道路明细表</w:t>
            </w:r>
          </w:p>
        </w:tc>
      </w:tr>
      <w:tr w14:paraId="7DE45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3ED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3A4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道路名称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0C9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起始位置</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65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终点位置</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72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道路面积(㎡)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F59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方砖面积(㎡)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B9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等级</w:t>
            </w:r>
          </w:p>
        </w:tc>
      </w:tr>
      <w:tr w14:paraId="58CE3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48DF">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0D7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5EF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春城大街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69F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大众街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6E7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330921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211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135322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F76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一级</w:t>
            </w:r>
          </w:p>
        </w:tc>
      </w:tr>
      <w:tr w14:paraId="00C21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E3E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A4B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新红旗大街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E3F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大众街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5A2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乙二街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9BE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49640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6AC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5440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630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一级</w:t>
            </w:r>
          </w:p>
        </w:tc>
      </w:tr>
      <w:tr w14:paraId="3A5E8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10F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16B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新红旗大街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E2F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乙二街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08D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前程路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DC3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86672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97D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35642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718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一级</w:t>
            </w:r>
          </w:p>
        </w:tc>
      </w:tr>
      <w:tr w14:paraId="3AC69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B73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F76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普阳街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16B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春城大街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595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湖西路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7FC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48209.10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B6C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27312.52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D0B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一级</w:t>
            </w:r>
          </w:p>
        </w:tc>
      </w:tr>
      <w:tr w14:paraId="3E7C7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550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1E0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锦程大街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9FF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正阳街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A99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安庆路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3A1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67506.05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187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52955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DF3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一级</w:t>
            </w:r>
          </w:p>
        </w:tc>
      </w:tr>
      <w:tr w14:paraId="78234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CDE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93E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和平大街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CA3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西后屯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0F9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四联大街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0C7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31456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0EE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23198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B14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一级</w:t>
            </w:r>
          </w:p>
        </w:tc>
      </w:tr>
      <w:tr w14:paraId="0007C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129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37F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飞跃路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5CD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CF7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支农大街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949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28800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256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27620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EF6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一级</w:t>
            </w:r>
          </w:p>
        </w:tc>
      </w:tr>
      <w:tr w14:paraId="3849C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4ED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E89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春城大街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9B5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宽平大桥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831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创业大街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EEA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31582.3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322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30505.56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22E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一级</w:t>
            </w:r>
          </w:p>
        </w:tc>
      </w:tr>
      <w:tr w14:paraId="51BE2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9E0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C06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创业大街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EAA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春城大街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B73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正阳广场（创业广场）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058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136618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D17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86678.48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A3F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一级</w:t>
            </w:r>
          </w:p>
        </w:tc>
      </w:tr>
      <w:tr w14:paraId="21CCC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F7A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152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东风大街立交桥</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9902">
            <w:pPr>
              <w:jc w:val="left"/>
              <w:rPr>
                <w:rFonts w:hint="default" w:ascii="仿宋_GB2312" w:hAnsi="宋体" w:eastAsia="仿宋_GB2312" w:cs="仿宋_GB2312"/>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C41C">
            <w:pPr>
              <w:jc w:val="left"/>
              <w:rPr>
                <w:rFonts w:hint="default" w:ascii="仿宋_GB2312" w:hAnsi="宋体" w:eastAsia="仿宋_GB2312" w:cs="仿宋_GB2312"/>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FAF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37800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C89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F91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一级</w:t>
            </w:r>
          </w:p>
        </w:tc>
      </w:tr>
      <w:tr w14:paraId="004B1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52D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CDC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飞跃路下穿桥</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55FE">
            <w:pPr>
              <w:jc w:val="left"/>
              <w:rPr>
                <w:rFonts w:hint="default" w:ascii="仿宋_GB2312" w:hAnsi="宋体" w:eastAsia="仿宋_GB2312" w:cs="仿宋_GB2312"/>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8D00">
            <w:pPr>
              <w:jc w:val="left"/>
              <w:rPr>
                <w:rFonts w:hint="default" w:ascii="仿宋_GB2312" w:hAnsi="宋体" w:eastAsia="仿宋_GB2312" w:cs="仿宋_GB2312"/>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25C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29616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7B2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22F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一级</w:t>
            </w:r>
          </w:p>
        </w:tc>
      </w:tr>
      <w:tr w14:paraId="50DCF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D9A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6A4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正阳广场（创业广场）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8B55">
            <w:pPr>
              <w:jc w:val="left"/>
              <w:rPr>
                <w:rFonts w:hint="default" w:ascii="仿宋_GB2312" w:hAnsi="宋体" w:eastAsia="仿宋_GB2312" w:cs="仿宋_GB2312"/>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BB5E">
            <w:pPr>
              <w:jc w:val="left"/>
              <w:rPr>
                <w:rFonts w:hint="default" w:ascii="仿宋_GB2312" w:hAnsi="宋体" w:eastAsia="仿宋_GB2312" w:cs="仿宋_GB2312"/>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2A0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8563.79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6CD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3843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320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一级</w:t>
            </w:r>
          </w:p>
        </w:tc>
      </w:tr>
      <w:tr w14:paraId="7B008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53F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4AE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飞跃路人行通道</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FF8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铁道</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615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开运街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780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1568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E41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1568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990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一级</w:t>
            </w:r>
          </w:p>
        </w:tc>
      </w:tr>
      <w:tr w14:paraId="71C10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3730">
            <w:pPr>
              <w:jc w:val="center"/>
              <w:rPr>
                <w:rFonts w:hint="default" w:ascii="仿宋_GB2312" w:hAnsi="宋体" w:eastAsia="仿宋_GB2312" w:cs="仿宋_GB2312"/>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FA35">
            <w:pPr>
              <w:keepNext w:val="0"/>
              <w:keepLines w:val="0"/>
              <w:widowControl/>
              <w:suppressLineNumbers w:val="0"/>
              <w:jc w:val="left"/>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一级街路小计：</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A1C4">
            <w:pPr>
              <w:jc w:val="left"/>
              <w:rPr>
                <w:rFonts w:hint="default" w:ascii="仿宋_GB2312" w:hAnsi="宋体" w:eastAsia="仿宋_GB2312" w:cs="仿宋_GB2312"/>
                <w:b/>
                <w:bCs/>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A9F8">
            <w:pPr>
              <w:jc w:val="left"/>
              <w:rPr>
                <w:rFonts w:hint="default" w:ascii="仿宋_GB2312" w:hAnsi="宋体" w:eastAsia="仿宋_GB2312" w:cs="仿宋_GB2312"/>
                <w:b/>
                <w:bCs/>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A557">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888952.24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2478">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432984.56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D04A">
            <w:pPr>
              <w:jc w:val="center"/>
              <w:rPr>
                <w:rFonts w:hint="default" w:ascii="仿宋_GB2312" w:hAnsi="宋体" w:eastAsia="仿宋_GB2312" w:cs="仿宋_GB2312"/>
                <w:i w:val="0"/>
                <w:iCs w:val="0"/>
                <w:color w:val="000000"/>
                <w:sz w:val="24"/>
                <w:szCs w:val="24"/>
                <w:u w:val="none"/>
              </w:rPr>
            </w:pPr>
          </w:p>
        </w:tc>
      </w:tr>
      <w:tr w14:paraId="5CFB6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74C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920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支农大街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5BA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安庆路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648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西四环路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BAD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46230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2FD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41096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2E7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5E073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F12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006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正阳街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095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春城大街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AB3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正阳广场（创业广场）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0C4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25766.6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E5B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6276.8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361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561D5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F89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6C9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正阳街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447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绿园供电</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833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特勤路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6D6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2232.8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5E4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2742.2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9CF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502ED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759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608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44C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一汽西门</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DEA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老警备路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B88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337445.00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776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78999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740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65701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656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EA1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越野路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19F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支农大街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879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47E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12420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422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17055.12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508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7D021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87B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6EF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迎春路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A51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春城大街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8B9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昆仑二路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7E9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11172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1D8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23771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EB6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28707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DEA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497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长青路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C15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四联大街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F0B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一汽5号门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C67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13106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C71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13506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C71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145AB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9DC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790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和雅路（乙一路）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A2D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和谐大街（甲二街）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4FE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和清街（丙三街）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90D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36000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128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7800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EE7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0BD6A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DAD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19C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富奥大路（乙二路）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8E0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和谐大街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08B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和清街（丙三街）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7A5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49429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771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17880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819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65035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0A5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BBA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长虹大路（丙八路）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59D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西湖大路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289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凯达北街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F42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D81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3946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FEF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11550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3D9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E4C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骏派街（乙二街）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BF2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153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佳宝路（乙三路）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229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11370.72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D0D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13502.73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350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74A17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254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1D0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杨柳大街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70F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安庆路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D5E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革新路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672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25500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B9E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11164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CA2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43F32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06C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FEC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兴顺路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85B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0EA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公铁立交桥下</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27A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44972.00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B4D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35103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D88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46829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06D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844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越野路（西环城路）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B6A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支农大街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F39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景阳大街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E79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72017.92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BFF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15681.13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161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6DDF1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B62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28</w:t>
            </w:r>
          </w:p>
        </w:tc>
        <w:tc>
          <w:tcPr>
            <w:tcW w:w="2025" w:type="dxa"/>
            <w:tcBorders>
              <w:top w:val="single" w:color="000000" w:sz="4" w:space="0"/>
              <w:left w:val="single" w:color="000000" w:sz="4" w:space="0"/>
              <w:bottom w:val="nil"/>
              <w:right w:val="single" w:color="000000" w:sz="4" w:space="0"/>
            </w:tcBorders>
            <w:shd w:val="clear" w:color="auto" w:fill="auto"/>
            <w:vAlign w:val="center"/>
          </w:tcPr>
          <w:p w14:paraId="3999DE3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首创大路（首创北路）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E57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兴安路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E07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西湖大路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A63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22991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EF4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11393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483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55232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916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A16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兴安路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B7B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CF7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0B9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25320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021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5064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BDD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7ED51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8FD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DF2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通达路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5D6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895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明达路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3D7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45450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328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48736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154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30B18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978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9F0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腾飞广场（汽车广场）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CEA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腾飞大路、兴安路长沈路交汇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E4FE">
            <w:pPr>
              <w:jc w:val="left"/>
              <w:rPr>
                <w:rFonts w:hint="default" w:ascii="仿宋_GB2312" w:hAnsi="宋体" w:eastAsia="仿宋_GB2312" w:cs="仿宋_GB2312"/>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77A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24738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D48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CD3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6772B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64C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73E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腾飞大路立交桥及匝道</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835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腾飞大路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41B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和谐大街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4F8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94700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F23D">
            <w:pPr>
              <w:jc w:val="center"/>
              <w:rPr>
                <w:rFonts w:hint="default" w:ascii="仿宋_GB2312" w:hAnsi="宋体" w:eastAsia="仿宋_GB2312" w:cs="仿宋_GB2312"/>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F15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6B771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9C8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B87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汽车大路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7F7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乙三街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DD8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甲二街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80D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66880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EA2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F4E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46A6A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A4A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C6F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汽车大路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231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大众街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709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腾飞广场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899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102714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875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6785.5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D93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2A8EE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F6D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9F4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汽车大路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A39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前程路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97D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102线</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AD3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123278.68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517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39E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2C044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099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36</w:t>
            </w:r>
          </w:p>
        </w:tc>
        <w:tc>
          <w:tcPr>
            <w:tcW w:w="2025" w:type="dxa"/>
            <w:tcBorders>
              <w:top w:val="single" w:color="000000" w:sz="4" w:space="0"/>
              <w:left w:val="single" w:color="000000" w:sz="4" w:space="0"/>
              <w:bottom w:val="nil"/>
              <w:right w:val="single" w:color="000000" w:sz="4" w:space="0"/>
            </w:tcBorders>
            <w:shd w:val="clear" w:color="auto" w:fill="auto"/>
            <w:vAlign w:val="center"/>
          </w:tcPr>
          <w:p w14:paraId="2082300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汽车大路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3AF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乙三街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55D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前程路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B96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55452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F9C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10691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878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2AB91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4D0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1E1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汽车大路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B17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汽车广场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FF2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宝来街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0EB7">
            <w:pPr>
              <w:jc w:val="center"/>
              <w:rPr>
                <w:rFonts w:hint="default" w:ascii="仿宋_GB2312" w:hAnsi="宋体" w:eastAsia="仿宋_GB2312" w:cs="仿宋_GB2312"/>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EE7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11531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330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582A1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544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28A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汽车大路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A45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前程路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78A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范家屯桥头</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AEF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96000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D2A5">
            <w:pPr>
              <w:jc w:val="center"/>
              <w:rPr>
                <w:rFonts w:hint="default" w:ascii="仿宋_GB2312" w:hAnsi="宋体" w:eastAsia="仿宋_GB2312" w:cs="仿宋_GB2312"/>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D27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75055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436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39</w:t>
            </w:r>
          </w:p>
        </w:tc>
        <w:tc>
          <w:tcPr>
            <w:tcW w:w="2025" w:type="dxa"/>
            <w:tcBorders>
              <w:top w:val="single" w:color="000000" w:sz="4" w:space="0"/>
              <w:left w:val="single" w:color="000000" w:sz="4" w:space="0"/>
              <w:bottom w:val="nil"/>
              <w:right w:val="single" w:color="000000" w:sz="4" w:space="0"/>
            </w:tcBorders>
            <w:shd w:val="clear" w:color="auto" w:fill="auto"/>
            <w:vAlign w:val="center"/>
          </w:tcPr>
          <w:p w14:paraId="5DC56C4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汽车大路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DB2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前程路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59F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范家屯桥头</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66A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415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2AF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0AF3E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270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AA4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四联大街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22A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西环城路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D4D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和平大街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64A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11163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3B2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12081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ABC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3B169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7E0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AA5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洛阳路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33A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创业大街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75A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景阳大路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1FF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32014.90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897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38876.09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E8B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2693C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3F0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60E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南阳路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B5B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西环城路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CE3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康泰街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71B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18040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49F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23204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6D8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54F57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A8FF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8E9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南阳路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508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和平大街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F4B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春城大街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12C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6700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32B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4639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564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364A8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5F506">
            <w:pPr>
              <w:jc w:val="center"/>
              <w:rPr>
                <w:rFonts w:hint="default" w:ascii="仿宋_GB2312" w:hAnsi="宋体" w:eastAsia="仿宋_GB2312" w:cs="仿宋_GB2312"/>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6AF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南阳路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C56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和平大街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98B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洛阳街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CBA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7475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112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2860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167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026B0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139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327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昆仑一路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9BD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AD0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创业大街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ADC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1A3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7594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B7E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245B6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B15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9F1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昆仑二路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001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四联大街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789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一汽围墙</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C77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5FB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5828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20C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2CB41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5A0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2FA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湖西路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52B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普阳街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B2F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创业广场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73A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5360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BB3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6820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6BC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5DB1A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F5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E5C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和谐大街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38B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CAB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桥头（与绿园区交界）</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D58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194496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B0A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98526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F27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176AA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BB5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4C4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东风南街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261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奔驰路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A9B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兴达路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67B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32976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51F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26863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311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14FDE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103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A66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凯达南街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CB4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腾飞大路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C3C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A05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58026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0EE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3F6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01BFB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C06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67F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大众街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FFE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富民大路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B34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C78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63900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BCF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3E7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51C22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3DE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76F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大众街（西幅，原大众西街）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526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新红旗大街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674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威乐路（高速路口）</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E9E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14580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50E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056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66617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6CA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7F7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超达大路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ABC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西湖大路与长沈路交汇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1659">
            <w:pPr>
              <w:jc w:val="left"/>
              <w:rPr>
                <w:rFonts w:hint="default" w:ascii="仿宋_GB2312" w:hAnsi="宋体" w:eastAsia="仿宋_GB2312" w:cs="仿宋_GB2312"/>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F94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15139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DFB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19900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C49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4AF82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BE1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7C6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奔驰路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8C5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孟家桥</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EF8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支农大街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4B2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43197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96E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30135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39A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59358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B94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208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安庆路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C8C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A86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自立西街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38D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46155.90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64D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45453.32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F98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4E28C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49C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55</w:t>
            </w:r>
          </w:p>
        </w:tc>
        <w:tc>
          <w:tcPr>
            <w:tcW w:w="2025" w:type="dxa"/>
            <w:tcBorders>
              <w:top w:val="single" w:color="000000" w:sz="4" w:space="0"/>
              <w:left w:val="single" w:color="000000" w:sz="4" w:space="0"/>
              <w:bottom w:val="nil"/>
              <w:right w:val="single" w:color="000000" w:sz="4" w:space="0"/>
            </w:tcBorders>
            <w:shd w:val="clear" w:color="auto" w:fill="auto"/>
            <w:vAlign w:val="center"/>
          </w:tcPr>
          <w:p w14:paraId="523C65E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高尔夫路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6E0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通达路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3E4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西湖大路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750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10586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A5C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10560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51D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0A45B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6AD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290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森雅路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AC7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和谐大街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EBC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威志街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317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17292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A32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12969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055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21F49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B28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BB4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荣昌路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C54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荣平街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B2C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四环路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5CC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7700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C0E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6440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563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0462F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550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B2C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新凯东街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833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新源大路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28F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腾飞大路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33D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65324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FA4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9954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F01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152A1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828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A8E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丰越大路延长段</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443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汽车大路延长段</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5B6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前程路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789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36508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942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4800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029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32057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0C1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B00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首善大路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5B5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新红旗大街（157路公交车充电站）</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D4E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致尚路（繁荣四期、日新家园）</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C05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36000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22F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AD8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1A75E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EF4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D26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和谐大街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791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0E4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丰越大路（丙二十一路）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5B5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3803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ADF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B82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2E808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9B7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A8A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乙五街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C36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腾飞大路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1AF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19F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38469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1A9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6698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D02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w:t>
            </w:r>
          </w:p>
        </w:tc>
      </w:tr>
      <w:tr w14:paraId="6A69E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3671">
            <w:pPr>
              <w:jc w:val="center"/>
              <w:rPr>
                <w:rFonts w:hint="default" w:ascii="仿宋_GB2312" w:hAnsi="宋体" w:eastAsia="仿宋_GB2312" w:cs="仿宋_GB2312"/>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15B2">
            <w:pPr>
              <w:keepNext w:val="0"/>
              <w:keepLines w:val="0"/>
              <w:widowControl/>
              <w:suppressLineNumbers w:val="0"/>
              <w:jc w:val="left"/>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二级街路小计：</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20A2">
            <w:pPr>
              <w:jc w:val="left"/>
              <w:rPr>
                <w:rFonts w:hint="default" w:ascii="仿宋_GB2312" w:hAnsi="宋体" w:eastAsia="仿宋_GB2312" w:cs="仿宋_GB2312"/>
                <w:b/>
                <w:bCs/>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8C8E">
            <w:pPr>
              <w:jc w:val="left"/>
              <w:rPr>
                <w:rFonts w:hint="default" w:ascii="仿宋_GB2312" w:hAnsi="宋体" w:eastAsia="仿宋_GB2312" w:cs="仿宋_GB2312"/>
                <w:b/>
                <w:bCs/>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322F">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2148290.52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189D">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798883.89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16FE">
            <w:pPr>
              <w:jc w:val="center"/>
              <w:rPr>
                <w:rFonts w:hint="default" w:ascii="仿宋_GB2312" w:hAnsi="宋体" w:eastAsia="仿宋_GB2312" w:cs="仿宋_GB2312"/>
                <w:i w:val="0"/>
                <w:iCs w:val="0"/>
                <w:color w:val="000000"/>
                <w:sz w:val="24"/>
                <w:szCs w:val="24"/>
                <w:u w:val="none"/>
              </w:rPr>
            </w:pPr>
          </w:p>
        </w:tc>
      </w:tr>
      <w:tr w14:paraId="3B077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BD5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E3A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西新大街（支农路延长段）</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761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西湖大路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C67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自达大街（丙八街）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D65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24489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6FE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CF7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661CE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EE0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206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自立街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FCE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和平大街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733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西环城路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71B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14715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FF6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11665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107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2C374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D09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D4D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正普路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940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正阳街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334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普阳街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509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682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EB0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5A023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C8E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565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振兴路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979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767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支农大街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A1B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9084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647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15560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857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4EE0D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96E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1E8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振兴路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336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红领巾路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E04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自兴街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8A1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1640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7A9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2B0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38DA8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8D1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27E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迎春南路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C32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春城大街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6F6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长青路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813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10566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619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15849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7AD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1EA5E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853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3BA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迎春北路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5E8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春光路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2E1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春城大街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9FE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1668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8DE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1611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499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4E451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D27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2F3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一汽会堂北路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C55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长青路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AD0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文光路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A42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1854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8E9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050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62D71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8FD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80D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兴发路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081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29A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铁道</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86F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CD8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E9C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78E79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27A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1F3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兴达路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B3F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6C3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东风南街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440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1638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99B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546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897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75BBA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345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32E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香苑路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CA0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文明路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76B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110栋</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16D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1632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A4E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51D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7FED2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781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269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夏利路（丙七路）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5BB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凯达北街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DEE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丙八街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020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5784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1E3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955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7C35D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22F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E1D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文明路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813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25b街区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A73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608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10500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D03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10026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A22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0CDEE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0DD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12E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文光路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8BA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创业大街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96F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一汽事业部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0F5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6780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BEB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3988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FC1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29673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89E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B46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速腾路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6D7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南阳路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BAD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高力中路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278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5080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065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5567.12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656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7F77B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14F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6C1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四联一路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18D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四联大街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D12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自立街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4D4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2628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A53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8304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07C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47FF6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C61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9A8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顺意路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C0A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锦城大街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5EC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创业大街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003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1967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9C4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1782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F8C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6B929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72C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F01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日新路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2D9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创业大街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5A8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456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5220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129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6191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90E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41D2B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427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5D1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惠远街（甲一路）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40A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普阳街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651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特勤路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40B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10800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776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BBF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19695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2E0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AF0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惠达路（甲二路）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4CD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惠远街（甲一路）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E0B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普阳街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61A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09F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4E2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5EE58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B95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417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明达路（丙十五路）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DB5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兴顺路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C95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通达路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D89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6099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C83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275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1776F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78A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789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迈腾街（丙二十路）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CFC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B45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河滨北路（丙十六路）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7F5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3940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6E9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5460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269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163D3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E44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982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迈腾街（丙二十路）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584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通达路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A72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兴顺西回迁住宅西门</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D91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986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2800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9E1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71DBF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602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3EA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力旺东路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D80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102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力旺北路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630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9D2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1219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2DE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1C2D8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FA7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36A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力旺北路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9A8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飞跃路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4A1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Style w:val="72"/>
                <w:rFonts w:hAnsi="宋体"/>
                <w:lang w:val="en-US" w:eastAsia="zh-CN" w:bidi="ar"/>
              </w:rPr>
              <w:t>永</w:t>
            </w:r>
            <w:r>
              <w:rPr>
                <w:rStyle w:val="73"/>
                <w:lang w:val="en-US" w:eastAsia="zh-CN" w:bidi="ar"/>
              </w:rPr>
              <w:t>暢</w:t>
            </w:r>
            <w:r>
              <w:rPr>
                <w:rStyle w:val="72"/>
                <w:rFonts w:hAnsi="宋体"/>
                <w:lang w:val="en-US" w:eastAsia="zh-CN" w:bidi="ar"/>
              </w:rPr>
              <w:t>美誉</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1DA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6EA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15360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9B9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62A2B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CFD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AE3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康泰街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F59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南阳路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A75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景阳大路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B58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8280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A1B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7477.86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FAD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7F1B3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057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5A4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康宁路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7DE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速腾路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5BF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康泰街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BB9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4860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BEA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10594.82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A4C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2B481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323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F16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开平街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B89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景阳大路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EFE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高力中路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771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00F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3613.65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49F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6A30F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01D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BBA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红领巾路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97B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革新路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D52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越野路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370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5348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10E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713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453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12A16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1F5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92</w:t>
            </w:r>
          </w:p>
        </w:tc>
        <w:tc>
          <w:tcPr>
            <w:tcW w:w="2025" w:type="dxa"/>
            <w:tcBorders>
              <w:top w:val="single" w:color="000000" w:sz="4" w:space="0"/>
              <w:left w:val="single" w:color="000000" w:sz="4" w:space="0"/>
              <w:bottom w:val="nil"/>
              <w:right w:val="single" w:color="000000" w:sz="4" w:space="0"/>
            </w:tcBorders>
            <w:shd w:val="clear" w:color="auto" w:fill="auto"/>
            <w:vAlign w:val="center"/>
          </w:tcPr>
          <w:p w14:paraId="56D82F8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河滨东街（丙三十三路）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17A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腾飞大路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E56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首创北路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E43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8444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CDB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8203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9BF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70F74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CF2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8C7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河滨北路（丙十六路）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C85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兴顺路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52E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46A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14364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C83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7182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A8C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2C202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2C7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4BC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革新路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FD3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9D8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支农大街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1DC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8919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8FB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4955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157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4949C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3C8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D99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高力中路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CE1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康泰路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F32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西环城路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AD3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7983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170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5322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4FD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23C60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713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740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高力南路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131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速腾路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19F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康泰街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18F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4530.00 </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FB4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5444.96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5EC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7FE1E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634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C0E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高力北路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2CB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洛阳路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165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西环城路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701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D20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2600.19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F0B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6B3BA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AD8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7BF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东山路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C89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西湖大路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25A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兴安路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7D8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8640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269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A1C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394F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A11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BB1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东明路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1A9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昆仑社区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02C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春城大街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C90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2248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1F5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8A1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0C578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150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A9D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东锦路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791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E30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锦城大街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DC5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2390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8B1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5565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EB6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5B20B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251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893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春晓街（万沅胡同）</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711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98E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迎春路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A6F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438.82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A549">
            <w:pPr>
              <w:jc w:val="center"/>
              <w:rPr>
                <w:rFonts w:hint="default" w:ascii="仿宋_GB2312" w:hAnsi="宋体" w:eastAsia="仿宋_GB2312" w:cs="仿宋_GB2312"/>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435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36201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ED1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E0B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春光路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B20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343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一汽围墙</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AB3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4188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9B6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2123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7D3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629C6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70E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A45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车百路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0A8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迎春南路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0D4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迎春路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186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690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E6D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1417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1BA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314F6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1BB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AD1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常富街（丙九街）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6AD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富奥大路（乙二路）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2FF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捷达大路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73A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8876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358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1D2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1E54A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041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88B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奔腾街（丙十四街）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3CC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腾飞大路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628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1B3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8760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BDE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8040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2D8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1BCDA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097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2CD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奔腾街（丙十四街）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5CB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腾飞大路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D99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腾飞南路</w:t>
            </w:r>
          </w:p>
        </w:tc>
        <w:tc>
          <w:tcPr>
            <w:tcW w:w="1575" w:type="dxa"/>
            <w:tcBorders>
              <w:top w:val="nil"/>
              <w:left w:val="nil"/>
              <w:bottom w:val="nil"/>
              <w:right w:val="nil"/>
            </w:tcBorders>
            <w:shd w:val="clear" w:color="auto" w:fill="auto"/>
            <w:vAlign w:val="center"/>
          </w:tcPr>
          <w:p w14:paraId="3774B47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5280</w:t>
            </w:r>
          </w:p>
        </w:tc>
        <w:tc>
          <w:tcPr>
            <w:tcW w:w="1575" w:type="dxa"/>
            <w:tcBorders>
              <w:top w:val="nil"/>
              <w:left w:val="nil"/>
              <w:bottom w:val="nil"/>
              <w:right w:val="nil"/>
            </w:tcBorders>
            <w:shd w:val="clear" w:color="auto" w:fill="auto"/>
            <w:vAlign w:val="center"/>
          </w:tcPr>
          <w:p w14:paraId="2503482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5400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07C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7BE95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0CE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107</w:t>
            </w:r>
          </w:p>
        </w:tc>
        <w:tc>
          <w:tcPr>
            <w:tcW w:w="2025" w:type="dxa"/>
            <w:tcBorders>
              <w:top w:val="single" w:color="000000" w:sz="4" w:space="0"/>
              <w:left w:val="single" w:color="000000" w:sz="4" w:space="0"/>
              <w:bottom w:val="nil"/>
              <w:right w:val="single" w:color="000000" w:sz="4" w:space="0"/>
            </w:tcBorders>
            <w:shd w:val="clear" w:color="auto" w:fill="auto"/>
            <w:vAlign w:val="center"/>
          </w:tcPr>
          <w:p w14:paraId="27557F1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奔腾街（丙十四街）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0A9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F3A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腾飞南路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C4B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A96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2007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B01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1D143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1F5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4A1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安顺路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0C1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东风南街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166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支农大街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3CE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12420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3E6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24378.2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F10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6F4A3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AD1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014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安康路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040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168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锦城大街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196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1743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25F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1494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301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088E9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7CB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DE3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大众路(含安庆西路)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D97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安庆路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D15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支农大街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DCD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4860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E6F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8440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C3D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19CBF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DFC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546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大众路延长段</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71B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安庆西路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EEE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双丰西路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2FA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8540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C5A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4D4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5E02C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8C3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112</w:t>
            </w:r>
          </w:p>
        </w:tc>
        <w:tc>
          <w:tcPr>
            <w:tcW w:w="2025" w:type="dxa"/>
            <w:tcBorders>
              <w:top w:val="single" w:color="000000" w:sz="4" w:space="0"/>
              <w:left w:val="single" w:color="000000" w:sz="4" w:space="0"/>
              <w:bottom w:val="nil"/>
              <w:right w:val="single" w:color="000000" w:sz="4" w:space="0"/>
            </w:tcBorders>
            <w:shd w:val="clear" w:color="auto" w:fill="auto"/>
            <w:vAlign w:val="center"/>
          </w:tcPr>
          <w:p w14:paraId="3E22D7D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香堤路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4A6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西湖大路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B0B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腾飞大路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ADE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8870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A09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5765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043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6FFF2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4D3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5AE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永春河堤路（檀香湾）</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204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1F4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奔腾街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E5B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4406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CD4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5616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90B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2A1BD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A50E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93C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铸造路（丙五路）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AD9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丙六路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461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和谐大街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8E1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15216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30F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7884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756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7E59B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D6A0B">
            <w:pPr>
              <w:jc w:val="center"/>
              <w:rPr>
                <w:rFonts w:hint="default" w:ascii="仿宋_GB2312" w:hAnsi="宋体" w:eastAsia="仿宋_GB2312" w:cs="仿宋_GB2312"/>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A64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铸造路（丙五路）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1F9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丙一街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984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丙六街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70A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34461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0AE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7466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7AE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45D2F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AAF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D4F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丰发街（丙四十一路）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685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丰越大路（乙六路）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D64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建达路（丙二十路）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FB8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5124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1E1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B96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451A0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40E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0E4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华展街（丙四十路）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127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丰越大路（乙六路）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B69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建达路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2BA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1A2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3D3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4A932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A2E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5AE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迈腾东街（丙二十一路）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DED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明达路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CBF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河滨北路（丙十六路）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C5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2660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756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257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48CA6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B1F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276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和清街（丙三街）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263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富民大街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EB3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富奥大路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3C6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25920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6B7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4140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8B8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43386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D56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119</w:t>
            </w:r>
          </w:p>
        </w:tc>
        <w:tc>
          <w:tcPr>
            <w:tcW w:w="2025" w:type="dxa"/>
            <w:tcBorders>
              <w:top w:val="single" w:color="000000" w:sz="4" w:space="0"/>
              <w:left w:val="single" w:color="000000" w:sz="4" w:space="0"/>
              <w:bottom w:val="nil"/>
              <w:right w:val="single" w:color="000000" w:sz="4" w:space="0"/>
            </w:tcBorders>
            <w:shd w:val="clear" w:color="auto" w:fill="auto"/>
            <w:vAlign w:val="center"/>
          </w:tcPr>
          <w:p w14:paraId="1EB8D26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佳兴路（丙六街）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536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富奥大路（乙二路）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DA5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和新路（丙七路）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AB8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2645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DE9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5435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BFD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22BDA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77D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711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和新路（丙七路）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866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富奥大路（乙二路）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45F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和雅路（乙一路）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4A2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27840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238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6544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B8D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79174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8BD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344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新源大路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00E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新凯东街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E12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XY1+185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672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39680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25D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5751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D33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27257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90E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9AE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自兴街（含小广场）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404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四联大街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E76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振兴路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500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18106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1D8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23257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022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33E66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28F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7BA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丙十三路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CC3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乙五街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2EA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丙二十七街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4D9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11611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FB9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2908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2AC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5C2B7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6B4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64A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丙二十七街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6C0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腾飞大路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101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丙十四路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9E1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11014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EE0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3907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A75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37A4C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3A5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A4B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丙十四路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6FA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乙五街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AA9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乙四街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EDA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14424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4E0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4578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5AB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w:t>
            </w:r>
          </w:p>
        </w:tc>
      </w:tr>
      <w:tr w14:paraId="17191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174B">
            <w:pPr>
              <w:jc w:val="center"/>
              <w:rPr>
                <w:rFonts w:hint="default" w:ascii="仿宋_GB2312" w:hAnsi="宋体" w:eastAsia="仿宋_GB2312" w:cs="仿宋_GB2312"/>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78D2">
            <w:pPr>
              <w:keepNext w:val="0"/>
              <w:keepLines w:val="0"/>
              <w:widowControl/>
              <w:suppressLineNumbers w:val="0"/>
              <w:jc w:val="left"/>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三级街路小计：</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D624">
            <w:pPr>
              <w:jc w:val="left"/>
              <w:rPr>
                <w:rFonts w:hint="default" w:ascii="仿宋_GB2312" w:hAnsi="宋体" w:eastAsia="仿宋_GB2312" w:cs="仿宋_GB2312"/>
                <w:b/>
                <w:bCs/>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D244">
            <w:pPr>
              <w:jc w:val="left"/>
              <w:rPr>
                <w:rFonts w:hint="default" w:ascii="仿宋_GB2312" w:hAnsi="宋体" w:eastAsia="仿宋_GB2312" w:cs="仿宋_GB2312"/>
                <w:b/>
                <w:bCs/>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66F2">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523184.82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EEBA">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316068.8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1A59">
            <w:pPr>
              <w:jc w:val="center"/>
              <w:rPr>
                <w:rFonts w:hint="default" w:ascii="仿宋_GB2312" w:hAnsi="宋体" w:eastAsia="仿宋_GB2312" w:cs="仿宋_GB2312"/>
                <w:i w:val="0"/>
                <w:iCs w:val="0"/>
                <w:color w:val="000000"/>
                <w:sz w:val="24"/>
                <w:szCs w:val="24"/>
                <w:u w:val="none"/>
              </w:rPr>
            </w:pPr>
          </w:p>
        </w:tc>
      </w:tr>
      <w:tr w14:paraId="3D111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55E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F4A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四环大厦西北侧</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8ED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飞跃路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33A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424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2313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210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88C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187F2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E8F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32C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汽贸无名路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585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普阳街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89A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湖西路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4D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5F8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2BB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0F57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BC7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7D0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配件商街楼侧及过廊</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C3D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3AE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创业广场</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957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21250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F75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DDD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7E643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1CD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9DA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老警备路新修北段</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723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大众街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99E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高速公路桥下</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302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3056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002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8A4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558FA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E16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0CE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业锦街（济南食府东无名路）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156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创业大街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E60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锦城大街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424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4787.36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5BF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4B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46A0E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CC9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9A3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恒信路（游泳馆小路）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E8A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迎春路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C04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迎春南路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42A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4628.49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FB2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768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4CF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6A5DF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D56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30F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馨荣路（大众高层、无名路2、6）</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65C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创业大街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39C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锦城大街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9A0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4509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807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2480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22A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7689F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E45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E2E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大众209号门前路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849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209号门</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583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支农大街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FC6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1356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6AB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1204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7EF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07BEC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DB6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DD6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厂部楼西侧路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10D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DBE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锦程大街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7F7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1536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FAA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0DC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06611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B8E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A76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50街区市场</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B0A0">
            <w:pPr>
              <w:jc w:val="left"/>
              <w:rPr>
                <w:rFonts w:hint="default" w:ascii="仿宋_GB2312" w:hAnsi="宋体" w:eastAsia="仿宋_GB2312" w:cs="仿宋_GB2312"/>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ED95">
            <w:pPr>
              <w:jc w:val="left"/>
              <w:rPr>
                <w:rFonts w:hint="default" w:ascii="仿宋_GB2312" w:hAnsi="宋体" w:eastAsia="仿宋_GB2312" w:cs="仿宋_GB2312"/>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9A8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7464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B55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4784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925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7B3E9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034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ECE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250-255之间</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5A8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250栋</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858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255栋</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2AB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816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5E9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1851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4A8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47932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627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BB9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光大银行后侧小路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746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745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205-255之间</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B45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2426.02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6341">
            <w:pPr>
              <w:jc w:val="center"/>
              <w:rPr>
                <w:rFonts w:hint="default" w:ascii="仿宋_GB2312" w:hAnsi="宋体" w:eastAsia="仿宋_GB2312" w:cs="仿宋_GB2312"/>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CCE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4DC37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C60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CEB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洛阳西街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BE3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四联大街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943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自立街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3FB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D88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4350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E65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6033D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B2B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423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400栋欧亚超市商圈后小路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5D9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西环城路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46C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西环城路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B02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2391.57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19F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99D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68058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A24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B20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长沈路南侧孟家桥下</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17C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338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铁路线</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58E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6871.2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758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552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3BD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37833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38F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AB8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鸣鑫路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EF1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F8B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敬老院</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7C8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1908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E92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504.8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7C3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70760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C0D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D18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名仕综合市场后身</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038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飞跃路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B4E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新世纪超市西侧</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91C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3C90">
            <w:pPr>
              <w:jc w:val="center"/>
              <w:rPr>
                <w:rFonts w:hint="default" w:ascii="仿宋_GB2312" w:hAnsi="宋体" w:eastAsia="仿宋_GB2312" w:cs="仿宋_GB2312"/>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57E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3F34F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55E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C68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天一小区西侧小路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1C8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大众路延长</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CE6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支农大街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2F6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82C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645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690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7072A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703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4AE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九街区香苑路北侧锦程物业西侧小树林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A0F5">
            <w:pPr>
              <w:jc w:val="left"/>
              <w:rPr>
                <w:rFonts w:hint="default" w:ascii="仿宋_GB2312" w:hAnsi="宋体" w:eastAsia="仿宋_GB2312" w:cs="仿宋_GB2312"/>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AD12">
            <w:pPr>
              <w:jc w:val="left"/>
              <w:rPr>
                <w:rFonts w:hint="default" w:ascii="仿宋_GB2312" w:hAnsi="宋体" w:eastAsia="仿宋_GB2312" w:cs="仿宋_GB2312"/>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546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C520">
            <w:pPr>
              <w:jc w:val="center"/>
              <w:rPr>
                <w:rFonts w:hint="default" w:ascii="仿宋_GB2312" w:hAnsi="宋体" w:eastAsia="仿宋_GB2312" w:cs="仿宋_GB2312"/>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344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1551A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A91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1F7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九街区香苑路北侧金舫足道与109栋之间</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793E">
            <w:pPr>
              <w:jc w:val="left"/>
              <w:rPr>
                <w:rFonts w:hint="default" w:ascii="仿宋_GB2312" w:hAnsi="宋体" w:eastAsia="仿宋_GB2312" w:cs="仿宋_GB2312"/>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9CA8">
            <w:pPr>
              <w:jc w:val="left"/>
              <w:rPr>
                <w:rFonts w:hint="default" w:ascii="仿宋_GB2312" w:hAnsi="宋体" w:eastAsia="仿宋_GB2312" w:cs="仿宋_GB2312"/>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CB6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570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7880">
            <w:pPr>
              <w:jc w:val="center"/>
              <w:rPr>
                <w:rFonts w:hint="default" w:ascii="仿宋_GB2312" w:hAnsi="宋体" w:eastAsia="仿宋_GB2312" w:cs="仿宋_GB2312"/>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1B5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23F44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B29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CB5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九街区香苑路北侧金舫足道与110栋之间</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833C">
            <w:pPr>
              <w:jc w:val="left"/>
              <w:rPr>
                <w:rFonts w:hint="default" w:ascii="仿宋_GB2312" w:hAnsi="宋体" w:eastAsia="仿宋_GB2312" w:cs="仿宋_GB2312"/>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F534">
            <w:pPr>
              <w:jc w:val="left"/>
              <w:rPr>
                <w:rFonts w:hint="default" w:ascii="仿宋_GB2312" w:hAnsi="宋体" w:eastAsia="仿宋_GB2312" w:cs="仿宋_GB2312"/>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EF9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819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5729">
            <w:pPr>
              <w:jc w:val="center"/>
              <w:rPr>
                <w:rFonts w:hint="default" w:ascii="仿宋_GB2312" w:hAnsi="宋体" w:eastAsia="仿宋_GB2312" w:cs="仿宋_GB2312"/>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562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3BAA2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FE7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CAB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九街区香苑路北侧厂部大楼与110栋之间</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C4F4">
            <w:pPr>
              <w:jc w:val="left"/>
              <w:rPr>
                <w:rFonts w:hint="default" w:ascii="仿宋_GB2312" w:hAnsi="宋体" w:eastAsia="仿宋_GB2312" w:cs="仿宋_GB2312"/>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B7AA">
            <w:pPr>
              <w:jc w:val="left"/>
              <w:rPr>
                <w:rFonts w:hint="default" w:ascii="仿宋_GB2312" w:hAnsi="宋体" w:eastAsia="仿宋_GB2312" w:cs="仿宋_GB2312"/>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89C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2DF0">
            <w:pPr>
              <w:jc w:val="center"/>
              <w:rPr>
                <w:rFonts w:hint="default" w:ascii="仿宋_GB2312" w:hAnsi="宋体" w:eastAsia="仿宋_GB2312" w:cs="仿宋_GB2312"/>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BF6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468E8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5DD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80E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九街区金樱桃宾馆与111栋中间区域</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FE66">
            <w:pPr>
              <w:jc w:val="left"/>
              <w:rPr>
                <w:rFonts w:hint="default" w:ascii="仿宋_GB2312" w:hAnsi="宋体" w:eastAsia="仿宋_GB2312" w:cs="仿宋_GB2312"/>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907B">
            <w:pPr>
              <w:jc w:val="left"/>
              <w:rPr>
                <w:rFonts w:hint="default" w:ascii="仿宋_GB2312" w:hAnsi="宋体" w:eastAsia="仿宋_GB2312" w:cs="仿宋_GB2312"/>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1F7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43DF">
            <w:pPr>
              <w:jc w:val="center"/>
              <w:rPr>
                <w:rFonts w:hint="default" w:ascii="仿宋_GB2312" w:hAnsi="宋体" w:eastAsia="仿宋_GB2312" w:cs="仿宋_GB2312"/>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525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7CAF9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4B2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5C6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九街区金舫足道北侧与铁栅栏之间</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C399">
            <w:pPr>
              <w:jc w:val="left"/>
              <w:rPr>
                <w:rFonts w:hint="default" w:ascii="仿宋_GB2312" w:hAnsi="宋体" w:eastAsia="仿宋_GB2312" w:cs="仿宋_GB2312"/>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FE1A">
            <w:pPr>
              <w:jc w:val="left"/>
              <w:rPr>
                <w:rFonts w:hint="default" w:ascii="仿宋_GB2312" w:hAnsi="宋体" w:eastAsia="仿宋_GB2312" w:cs="仿宋_GB2312"/>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391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0A70">
            <w:pPr>
              <w:jc w:val="center"/>
              <w:rPr>
                <w:rFonts w:hint="default" w:ascii="仿宋_GB2312" w:hAnsi="宋体" w:eastAsia="仿宋_GB2312" w:cs="仿宋_GB2312"/>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1B2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036CD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A97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7DC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荣兴街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4E4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汽车大路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4BF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威乐路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4D3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6440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AFB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3910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580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6EF16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486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16F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万华街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DD0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荣昌路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493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威乐路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A87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6094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AB4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4200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66D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46FF2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B75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F0D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自兴街旁细菌100遗址</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8CC5">
            <w:pPr>
              <w:jc w:val="left"/>
              <w:rPr>
                <w:rFonts w:hint="default" w:ascii="仿宋_GB2312" w:hAnsi="宋体" w:eastAsia="仿宋_GB2312" w:cs="仿宋_GB2312"/>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5071">
            <w:pPr>
              <w:jc w:val="left"/>
              <w:rPr>
                <w:rFonts w:hint="default" w:ascii="仿宋_GB2312" w:hAnsi="宋体" w:eastAsia="仿宋_GB2312" w:cs="仿宋_GB2312"/>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2C7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10166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438C">
            <w:pPr>
              <w:jc w:val="center"/>
              <w:rPr>
                <w:rFonts w:hint="default" w:ascii="仿宋_GB2312" w:hAnsi="宋体" w:eastAsia="仿宋_GB2312" w:cs="仿宋_GB2312"/>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199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1DA0B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009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351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农民公园</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387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兴顺路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991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明达路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9ED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EE40">
            <w:pPr>
              <w:jc w:val="center"/>
              <w:rPr>
                <w:rFonts w:hint="default" w:ascii="仿宋_GB2312" w:hAnsi="宋体" w:eastAsia="仿宋_GB2312" w:cs="仿宋_GB2312"/>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6AE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634A2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FEA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59B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50A—50B中间路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1AB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安庆路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6A4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安庆西路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ACC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15010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BA79">
            <w:pPr>
              <w:jc w:val="center"/>
              <w:rPr>
                <w:rFonts w:hint="default" w:ascii="仿宋_GB2312" w:hAnsi="宋体" w:eastAsia="仿宋_GB2312" w:cs="仿宋_GB2312"/>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E8F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68470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6E6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1FA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万达后身</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22D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荣平街</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4DC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四环路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5D2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8400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494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5600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040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72477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44A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6E1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西湖大路街路公园</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FF8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西湖大路</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7263">
            <w:pPr>
              <w:jc w:val="left"/>
              <w:rPr>
                <w:rFonts w:hint="default" w:ascii="仿宋_GB2312" w:hAnsi="宋体" w:eastAsia="仿宋_GB2312" w:cs="仿宋_GB2312"/>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EE5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B7D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2313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2B3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四级</w:t>
            </w:r>
          </w:p>
        </w:tc>
      </w:tr>
      <w:tr w14:paraId="36ECC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6510">
            <w:pPr>
              <w:jc w:val="center"/>
              <w:rPr>
                <w:rFonts w:hint="default" w:ascii="仿宋_GB2312" w:hAnsi="宋体" w:eastAsia="仿宋_GB2312" w:cs="仿宋_GB2312"/>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401E">
            <w:pPr>
              <w:keepNext w:val="0"/>
              <w:keepLines w:val="0"/>
              <w:widowControl/>
              <w:suppressLineNumbers w:val="0"/>
              <w:jc w:val="left"/>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四级街路小计：</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9FD1">
            <w:pPr>
              <w:jc w:val="left"/>
              <w:rPr>
                <w:rFonts w:hint="default" w:ascii="仿宋_GB2312" w:hAnsi="宋体" w:eastAsia="仿宋_GB2312" w:cs="仿宋_GB2312"/>
                <w:b/>
                <w:bCs/>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CE79">
            <w:pPr>
              <w:jc w:val="left"/>
              <w:rPr>
                <w:rFonts w:hint="default" w:ascii="仿宋_GB2312" w:hAnsi="宋体" w:eastAsia="仿宋_GB2312" w:cs="仿宋_GB2312"/>
                <w:b/>
                <w:bCs/>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CDE7">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125035.64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10D1">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34888.3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F48C">
            <w:pPr>
              <w:jc w:val="center"/>
              <w:rPr>
                <w:rFonts w:hint="default" w:ascii="仿宋_GB2312" w:hAnsi="宋体" w:eastAsia="仿宋_GB2312" w:cs="仿宋_GB2312"/>
                <w:i w:val="0"/>
                <w:iCs w:val="0"/>
                <w:color w:val="000000"/>
                <w:sz w:val="24"/>
                <w:szCs w:val="24"/>
                <w:u w:val="none"/>
              </w:rPr>
            </w:pPr>
          </w:p>
        </w:tc>
      </w:tr>
      <w:tr w14:paraId="3CFB0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4B33">
            <w:pPr>
              <w:jc w:val="center"/>
              <w:rPr>
                <w:rFonts w:hint="default" w:ascii="仿宋_GB2312" w:hAnsi="宋体" w:eastAsia="仿宋_GB2312" w:cs="仿宋_GB2312"/>
                <w:b/>
                <w:bCs/>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4464">
            <w:pPr>
              <w:keepNext w:val="0"/>
              <w:keepLines w:val="0"/>
              <w:widowControl/>
              <w:suppressLineNumbers w:val="0"/>
              <w:jc w:val="left"/>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合计</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E9C6">
            <w:pPr>
              <w:jc w:val="left"/>
              <w:rPr>
                <w:rFonts w:hint="default" w:ascii="仿宋_GB2312" w:hAnsi="宋体" w:eastAsia="仿宋_GB2312" w:cs="仿宋_GB2312"/>
                <w:b/>
                <w:bCs/>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9664">
            <w:pPr>
              <w:jc w:val="left"/>
              <w:rPr>
                <w:rFonts w:hint="default" w:ascii="仿宋_GB2312" w:hAnsi="宋体" w:eastAsia="仿宋_GB2312" w:cs="仿宋_GB2312"/>
                <w:b/>
                <w:bCs/>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B357">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3685463.22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E4D0">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1582825.55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139B">
            <w:pPr>
              <w:jc w:val="center"/>
              <w:rPr>
                <w:rFonts w:hint="default" w:ascii="仿宋_GB2312" w:hAnsi="宋体" w:eastAsia="仿宋_GB2312" w:cs="仿宋_GB2312"/>
                <w:b/>
                <w:bCs/>
                <w:i w:val="0"/>
                <w:iCs w:val="0"/>
                <w:color w:val="000000"/>
                <w:sz w:val="24"/>
                <w:szCs w:val="24"/>
                <w:u w:val="none"/>
              </w:rPr>
            </w:pPr>
          </w:p>
        </w:tc>
      </w:tr>
    </w:tbl>
    <w:p w14:paraId="337767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p>
    <w:p w14:paraId="17F9142C">
      <w:pPr>
        <w:spacing w:line="360" w:lineRule="auto"/>
        <w:jc w:val="center"/>
        <w:rPr>
          <w:rFonts w:hint="eastAsia" w:asciiTheme="minorEastAsia" w:hAnsiTheme="minorEastAsia" w:eastAsiaTheme="minorEastAsia" w:cstheme="minorEastAsia"/>
          <w:b/>
          <w:bCs/>
          <w:color w:val="FF0000"/>
          <w:sz w:val="32"/>
          <w:szCs w:val="32"/>
          <w:highlight w:val="none"/>
          <w:lang w:val="en-US" w:eastAsia="zh-CN"/>
        </w:rPr>
      </w:pPr>
      <w:r>
        <w:rPr>
          <w:rFonts w:hint="eastAsia" w:asciiTheme="minorEastAsia" w:hAnsiTheme="minorEastAsia" w:eastAsiaTheme="minorEastAsia" w:cstheme="minorEastAsia"/>
          <w:b/>
          <w:bCs/>
          <w:color w:val="FF0000"/>
          <w:sz w:val="32"/>
          <w:szCs w:val="32"/>
          <w:highlight w:val="none"/>
          <w:lang w:val="en-US" w:eastAsia="zh-CN"/>
        </w:rPr>
        <w:br w:type="page"/>
      </w:r>
      <w:bookmarkStart w:id="142" w:name="_Toc432136831"/>
      <w:bookmarkStart w:id="143" w:name="_Toc432137086"/>
      <w:bookmarkStart w:id="144" w:name="_Toc371355479"/>
      <w:bookmarkStart w:id="145" w:name="_Toc432136541"/>
      <w:bookmarkStart w:id="146" w:name="_Toc283019460"/>
      <w:bookmarkStart w:id="147" w:name="_Toc431772410"/>
      <w:bookmarkStart w:id="148" w:name="_Toc432136383"/>
    </w:p>
    <w:tbl>
      <w:tblPr>
        <w:tblStyle w:val="29"/>
        <w:tblW w:w="9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2385"/>
        <w:gridCol w:w="2340"/>
        <w:gridCol w:w="2205"/>
        <w:gridCol w:w="1875"/>
      </w:tblGrid>
      <w:tr w14:paraId="6230C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9480" w:type="dxa"/>
            <w:gridSpan w:val="5"/>
            <w:tcBorders>
              <w:top w:val="nil"/>
              <w:left w:val="nil"/>
              <w:bottom w:val="nil"/>
              <w:right w:val="nil"/>
            </w:tcBorders>
            <w:shd w:val="clear" w:color="auto" w:fill="auto"/>
            <w:noWrap/>
            <w:vAlign w:val="center"/>
          </w:tcPr>
          <w:p w14:paraId="67B1101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一标段绿化明细表</w:t>
            </w:r>
          </w:p>
        </w:tc>
      </w:tr>
      <w:tr w14:paraId="25575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29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EC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道路名称</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D3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起始位置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73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终点位置</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2D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绿化面积(㎡)</w:t>
            </w:r>
          </w:p>
        </w:tc>
      </w:tr>
      <w:tr w14:paraId="4C082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78B7">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334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132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春城大街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217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西湖大路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D5B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246109</w:t>
            </w:r>
          </w:p>
        </w:tc>
      </w:tr>
      <w:tr w14:paraId="02A04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9D6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B01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新红旗大街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557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西湖大路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930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骏派街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171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144804</w:t>
            </w:r>
          </w:p>
        </w:tc>
      </w:tr>
      <w:tr w14:paraId="2125D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D00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DD1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新红旗大街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473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旗胜街（东风学校）</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D68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前程路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89B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13600</w:t>
            </w:r>
          </w:p>
        </w:tc>
      </w:tr>
      <w:tr w14:paraId="1F45B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BFF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5E4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普阳街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58A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春城大街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DC7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湖西路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828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20950.1</w:t>
            </w:r>
          </w:p>
        </w:tc>
      </w:tr>
      <w:tr w14:paraId="0D5F0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489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1DA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春城大街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231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宽平大桥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0BA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创业大街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836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75697.5</w:t>
            </w:r>
          </w:p>
        </w:tc>
      </w:tr>
      <w:tr w14:paraId="46ED1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340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784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和平大街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692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西后屯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E0A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四联大街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184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16989.99</w:t>
            </w:r>
          </w:p>
        </w:tc>
      </w:tr>
      <w:tr w14:paraId="54B0F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6B5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D1E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飞跃路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EAC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D7E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支农大街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33B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2318.39</w:t>
            </w:r>
          </w:p>
        </w:tc>
      </w:tr>
      <w:tr w14:paraId="0204C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840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5AC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锦程大街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1B6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春城大街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D52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安庆路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DFB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109927.66</w:t>
            </w:r>
          </w:p>
        </w:tc>
      </w:tr>
      <w:tr w14:paraId="601EF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A06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37D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创业大街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B41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春城大街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708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创业广场（正阳广场）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6EC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125944.7</w:t>
            </w:r>
          </w:p>
        </w:tc>
      </w:tr>
      <w:tr w14:paraId="0735C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7B4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F29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创业广场（正阳广场）</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51D2">
            <w:pPr>
              <w:jc w:val="left"/>
              <w:rPr>
                <w:rFonts w:hint="default" w:ascii="仿宋_GB2312" w:hAnsi="宋体" w:eastAsia="仿宋_GB2312" w:cs="仿宋_GB2312"/>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ADDB">
            <w:pPr>
              <w:jc w:val="left"/>
              <w:rPr>
                <w:rFonts w:hint="default"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275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10459.84</w:t>
            </w:r>
          </w:p>
        </w:tc>
      </w:tr>
      <w:tr w14:paraId="4FC49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672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853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四联大街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526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西环城路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E2C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和平大街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59C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15577.18</w:t>
            </w:r>
          </w:p>
        </w:tc>
      </w:tr>
      <w:tr w14:paraId="615A0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179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87C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杨柳大街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9B0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安庆路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5BC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革新路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3C6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53003.01</w:t>
            </w:r>
          </w:p>
        </w:tc>
      </w:tr>
      <w:tr w14:paraId="0DE15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1E8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6DE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支农大街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36E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安庆路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95E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西四环路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5C4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20989</w:t>
            </w:r>
          </w:p>
        </w:tc>
      </w:tr>
      <w:tr w14:paraId="32ED1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4A0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81C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腾飞大路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5A6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范家屯市政界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5EF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腾飞广场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AD4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215586</w:t>
            </w:r>
          </w:p>
        </w:tc>
      </w:tr>
      <w:tr w14:paraId="764AB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40E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EBB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腾飞大路立交桥下绿地</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8D51">
            <w:pPr>
              <w:jc w:val="left"/>
              <w:rPr>
                <w:rFonts w:hint="default" w:ascii="仿宋_GB2312" w:hAnsi="宋体" w:eastAsia="仿宋_GB2312" w:cs="仿宋_GB2312"/>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9335">
            <w:pPr>
              <w:jc w:val="left"/>
              <w:rPr>
                <w:rFonts w:hint="default"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8EF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160000</w:t>
            </w:r>
          </w:p>
        </w:tc>
      </w:tr>
      <w:tr w14:paraId="16DB5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655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ADE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腾飞广场</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739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腾飞大路、兴安路长沈路交汇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3690">
            <w:pPr>
              <w:jc w:val="left"/>
              <w:rPr>
                <w:rFonts w:hint="default"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125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2394</w:t>
            </w:r>
          </w:p>
        </w:tc>
      </w:tr>
      <w:tr w14:paraId="5B5BB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B94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965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湖西路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1AF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普阳街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5F2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创业广场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5D4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2460</w:t>
            </w:r>
          </w:p>
        </w:tc>
      </w:tr>
      <w:tr w14:paraId="52987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3B5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A7B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西环城路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4F7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支农大街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EA4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景阳大街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D60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45575.69</w:t>
            </w:r>
          </w:p>
        </w:tc>
      </w:tr>
      <w:tr w14:paraId="04D1D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B16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B78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西环城路停车场</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E1A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支农大街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CE4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红领巾路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161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676</w:t>
            </w:r>
          </w:p>
        </w:tc>
      </w:tr>
      <w:tr w14:paraId="1288E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CEB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D24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越野路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A3C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支农大街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18F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133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61600.72</w:t>
            </w:r>
          </w:p>
        </w:tc>
      </w:tr>
      <w:tr w14:paraId="4B07C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23B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CC2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安庆路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5E6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F64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环通汽修</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5AC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100672.65</w:t>
            </w:r>
          </w:p>
        </w:tc>
      </w:tr>
      <w:tr w14:paraId="6CFDB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54A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05F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奔驰路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6BF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孟家桥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428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支农大街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933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53116.39</w:t>
            </w:r>
          </w:p>
        </w:tc>
      </w:tr>
      <w:tr w14:paraId="60204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AAE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293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兴顺路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275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668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公铁立交桥下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995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7574.74</w:t>
            </w:r>
          </w:p>
        </w:tc>
      </w:tr>
      <w:tr w14:paraId="1A82E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302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F56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正阳街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136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春城大街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42F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正阳广场（创业广场）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D77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15545.7</w:t>
            </w:r>
          </w:p>
        </w:tc>
      </w:tr>
      <w:tr w14:paraId="29184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1A5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6A1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正阳街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FF0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绿园供电</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7D3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特勤路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9BF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446.3</w:t>
            </w:r>
          </w:p>
        </w:tc>
      </w:tr>
      <w:tr w14:paraId="434C5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74A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6EE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昆仑一路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3E4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7A8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创业大街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51E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19829.86</w:t>
            </w:r>
          </w:p>
        </w:tc>
      </w:tr>
      <w:tr w14:paraId="3359D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853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771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昆仑二路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399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四联大街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70C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一汽围墙</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566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9661.35</w:t>
            </w:r>
          </w:p>
        </w:tc>
      </w:tr>
      <w:tr w14:paraId="67A6C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62F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55F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0F8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一汽西门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149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老警备路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B82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104078.75</w:t>
            </w:r>
          </w:p>
        </w:tc>
      </w:tr>
      <w:tr w14:paraId="6B382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551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9EA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长沈路立交桥下</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8CD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西湖大路与长沈路交汇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7170">
            <w:pPr>
              <w:jc w:val="left"/>
              <w:rPr>
                <w:rFonts w:hint="default"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82F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20106</w:t>
            </w:r>
          </w:p>
        </w:tc>
      </w:tr>
      <w:tr w14:paraId="7975D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E8D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600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大众街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92D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富民路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DA4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653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127800</w:t>
            </w:r>
          </w:p>
        </w:tc>
      </w:tr>
      <w:tr w14:paraId="05424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5F3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91C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东风南街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063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奔驰路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F0A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兴达路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6A1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6520</w:t>
            </w:r>
          </w:p>
        </w:tc>
      </w:tr>
      <w:tr w14:paraId="4996B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C82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A42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洛阳路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EF2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创业大街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46B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景阳大路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2CB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20044.69</w:t>
            </w:r>
          </w:p>
        </w:tc>
      </w:tr>
      <w:tr w14:paraId="5C7D0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249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B99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迎春路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4D4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春城大街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A8E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昆仑二路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613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39616.6</w:t>
            </w:r>
          </w:p>
        </w:tc>
      </w:tr>
      <w:tr w14:paraId="0860C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474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775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长虹大路（丙八路）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826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西湖大路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DD1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凯达北街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CC6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23600</w:t>
            </w:r>
          </w:p>
        </w:tc>
      </w:tr>
      <w:tr w14:paraId="5115D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E6A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CFD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首创大路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3F9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西湖大路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19A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兴安路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A50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37160</w:t>
            </w:r>
          </w:p>
        </w:tc>
      </w:tr>
      <w:tr w14:paraId="4735A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6D9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C32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富奥大路（乙二路）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9CD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和清街（丙三街）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5E7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和谐大街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D10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100322</w:t>
            </w:r>
          </w:p>
        </w:tc>
      </w:tr>
      <w:tr w14:paraId="6B341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9B8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175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长青路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39D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四联大街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093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一汽5号门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372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22091.4</w:t>
            </w:r>
          </w:p>
        </w:tc>
      </w:tr>
      <w:tr w14:paraId="2421D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410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210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兴安路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C2B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2BE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2F6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2532</w:t>
            </w:r>
          </w:p>
        </w:tc>
      </w:tr>
      <w:tr w14:paraId="65385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C8F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BF1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通达路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92B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1F9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明达路（丙十五路）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856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82031</w:t>
            </w:r>
          </w:p>
        </w:tc>
      </w:tr>
      <w:tr w14:paraId="61DDB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0C9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937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通达路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6C4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东岗村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4AE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四环路耿家桥下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2AC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197300</w:t>
            </w:r>
          </w:p>
        </w:tc>
      </w:tr>
      <w:tr w14:paraId="3C149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97B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B00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南阳路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1E9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西环城路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881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春城大街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409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45012.22</w:t>
            </w:r>
          </w:p>
        </w:tc>
      </w:tr>
      <w:tr w14:paraId="2EA05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360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B18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凯达南街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ABF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腾飞大路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A8A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887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64134</w:t>
            </w:r>
          </w:p>
        </w:tc>
      </w:tr>
      <w:tr w14:paraId="0752D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21E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51F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大众街（西幅，原大众西街）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11E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新红旗大街（东风大街）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B45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威乐路（高速路口）</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7FD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54500</w:t>
            </w:r>
          </w:p>
        </w:tc>
      </w:tr>
      <w:tr w14:paraId="5F01C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311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B2B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高尔夫路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B11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通达路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0E0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887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1070</w:t>
            </w:r>
          </w:p>
        </w:tc>
      </w:tr>
      <w:tr w14:paraId="19C6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29A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5D9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和雅路（乙一路）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E6B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和谐大街（甲二街）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23E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和清街（丙三街）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CED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46500</w:t>
            </w:r>
          </w:p>
        </w:tc>
      </w:tr>
      <w:tr w14:paraId="7E3E6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022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793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和谐大街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BC5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78F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桥头（与绿园区交界）</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108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176960</w:t>
            </w:r>
          </w:p>
        </w:tc>
      </w:tr>
      <w:tr w14:paraId="79639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406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629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荣昌路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416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荣平街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E1B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四环路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839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12160</w:t>
            </w:r>
          </w:p>
        </w:tc>
      </w:tr>
      <w:tr w14:paraId="6B469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481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A64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森雅路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5F1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和谐大街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A0B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骏派街（乙二街）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E7E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13500</w:t>
            </w:r>
          </w:p>
        </w:tc>
      </w:tr>
      <w:tr w14:paraId="4B0FD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708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7DD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骏派街（乙二街）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FB2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283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佳宝路（乙三街）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589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1710</w:t>
            </w:r>
          </w:p>
        </w:tc>
      </w:tr>
      <w:tr w14:paraId="693C4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AC7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C97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西新大街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5CE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西湖大路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887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自达大街（丙八街）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B64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23550</w:t>
            </w:r>
          </w:p>
        </w:tc>
      </w:tr>
      <w:tr w14:paraId="60841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240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FCDD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自立街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70D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和平大街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B9F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西环城路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5F1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9313.01</w:t>
            </w:r>
          </w:p>
        </w:tc>
      </w:tr>
      <w:tr w14:paraId="3A5A7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254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891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振兴路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849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DA8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支农大街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195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14404.47</w:t>
            </w:r>
          </w:p>
        </w:tc>
      </w:tr>
      <w:tr w14:paraId="19A6D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23E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A1D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迎春南路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EEB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春城大街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EC3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长青路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B50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9673.38</w:t>
            </w:r>
          </w:p>
        </w:tc>
      </w:tr>
      <w:tr w14:paraId="6FC45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DE3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017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迎春北路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2F4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春光路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471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春城大街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F26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26094.06</w:t>
            </w:r>
          </w:p>
        </w:tc>
      </w:tr>
      <w:tr w14:paraId="741D5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390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D57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一汽会堂北路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0EB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长青路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317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文光路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2C2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8068.96</w:t>
            </w:r>
          </w:p>
        </w:tc>
      </w:tr>
      <w:tr w14:paraId="06906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135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474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兴发路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93C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397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铁道</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670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3837.78</w:t>
            </w:r>
          </w:p>
        </w:tc>
      </w:tr>
      <w:tr w14:paraId="5B0BA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004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2F7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香苑路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959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文明路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848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110栋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BD2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14175</w:t>
            </w:r>
          </w:p>
        </w:tc>
      </w:tr>
      <w:tr w14:paraId="5941E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B5D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E1C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夏利路（丙七路）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8F6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凯达北街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49B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自达大街（丙八街）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B8D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9900</w:t>
            </w:r>
          </w:p>
        </w:tc>
      </w:tr>
      <w:tr w14:paraId="56C4E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9D1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188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文明路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CE3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25b街区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6D2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3E8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9363.52</w:t>
            </w:r>
          </w:p>
        </w:tc>
      </w:tr>
      <w:tr w14:paraId="545C7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C21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961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文光路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911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创业大街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B9A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一汽事业部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B73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13560.16</w:t>
            </w:r>
          </w:p>
        </w:tc>
      </w:tr>
      <w:tr w14:paraId="57D50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6A2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60C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四联一路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4FB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四联大街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641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自立街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A9D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2947.32</w:t>
            </w:r>
          </w:p>
        </w:tc>
      </w:tr>
      <w:tr w14:paraId="30726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6A5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19B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日新路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596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创业大街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17A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0B8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9432.41</w:t>
            </w:r>
          </w:p>
        </w:tc>
      </w:tr>
      <w:tr w14:paraId="758C7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8A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AAD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明达路（丙十五路）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396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兴顺路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CAA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通达路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8AD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6085</w:t>
            </w:r>
          </w:p>
        </w:tc>
      </w:tr>
      <w:tr w14:paraId="03315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7AE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B68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迈腾街（丙二十路）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DCE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通达路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0FD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兴顺西回迁住宅西门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F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2795</w:t>
            </w:r>
          </w:p>
        </w:tc>
      </w:tr>
      <w:tr w14:paraId="5E0E8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A01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EC1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迈腾街（丙二十路）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26D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15A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河滨北路（丙十六路）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1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3180</w:t>
            </w:r>
          </w:p>
        </w:tc>
      </w:tr>
      <w:tr w14:paraId="1EF2E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80A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1F2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力旺东路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734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A94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力旺北路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57E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690</w:t>
            </w:r>
          </w:p>
        </w:tc>
      </w:tr>
      <w:tr w14:paraId="56D51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54D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9A2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康宁路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0FE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速腾路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50E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康泰街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962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46010</w:t>
            </w:r>
          </w:p>
        </w:tc>
      </w:tr>
      <w:tr w14:paraId="6A27F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5F7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379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红领巾路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888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革新路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58D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越野路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348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93271.3</w:t>
            </w:r>
          </w:p>
        </w:tc>
      </w:tr>
      <w:tr w14:paraId="0E3E9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BED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481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河滨东街（丙三十三路）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14C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腾飞大路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DA2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首创北路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C5C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8550</w:t>
            </w:r>
          </w:p>
        </w:tc>
      </w:tr>
      <w:tr w14:paraId="1F99D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A4C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1B6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河滨北路（丙十六路）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87A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兴顺路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778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64E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8400</w:t>
            </w:r>
          </w:p>
        </w:tc>
      </w:tr>
      <w:tr w14:paraId="3CEEC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93D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4D2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革新路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CFC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1B4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支农大街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281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4752.41</w:t>
            </w:r>
          </w:p>
        </w:tc>
      </w:tr>
      <w:tr w14:paraId="3CAA0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AA9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CDE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高力南路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5A0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洛阳路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61C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西环城路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73D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25290.86</w:t>
            </w:r>
          </w:p>
        </w:tc>
      </w:tr>
      <w:tr w14:paraId="350FD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11A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23A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东明路延长段</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036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迎春南路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151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加气站门前</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4C6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w:t>
            </w:r>
          </w:p>
        </w:tc>
      </w:tr>
      <w:tr w14:paraId="4EA4D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2AA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348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东山路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854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西湖大路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42F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兴安路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123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11520</w:t>
            </w:r>
          </w:p>
        </w:tc>
      </w:tr>
      <w:tr w14:paraId="4EAEA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F76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34A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大众路延长段</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305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安庆西路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BB0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双丰西路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23E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3630</w:t>
            </w:r>
          </w:p>
        </w:tc>
      </w:tr>
      <w:tr w14:paraId="324E1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CB6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E10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春光路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C72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78A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一汽围墙</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37E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4462.53</w:t>
            </w:r>
          </w:p>
        </w:tc>
      </w:tr>
      <w:tr w14:paraId="6819D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033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E7E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车百路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D53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迎春南路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B06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迎春路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1E1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3510.86</w:t>
            </w:r>
          </w:p>
        </w:tc>
      </w:tr>
      <w:tr w14:paraId="6BAEC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25C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23D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常富街（丙九街）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0C3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富奥大路（乙二路）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D15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捷达大路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866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w:t>
            </w:r>
          </w:p>
        </w:tc>
      </w:tr>
      <w:tr w14:paraId="7D02C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244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291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奔腾街（丙十四街）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133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腾飞大路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2795">
            <w:pPr>
              <w:jc w:val="left"/>
              <w:rPr>
                <w:rFonts w:hint="default"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4F8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7920</w:t>
            </w:r>
          </w:p>
        </w:tc>
      </w:tr>
      <w:tr w14:paraId="16261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C7A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028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安顺路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146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东风南街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109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支农大街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42B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10177.5</w:t>
            </w:r>
          </w:p>
        </w:tc>
      </w:tr>
      <w:tr w14:paraId="0F9AB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536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221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香堤路（永春河堤路）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E78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西湖大路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4FE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汽车大路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E41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4800</w:t>
            </w:r>
          </w:p>
        </w:tc>
      </w:tr>
      <w:tr w14:paraId="05EEC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D4C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40B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铸造路（丙五路）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437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和谐大街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008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丙六街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A5F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41573</w:t>
            </w:r>
          </w:p>
        </w:tc>
      </w:tr>
      <w:tr w14:paraId="262AF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AC8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DB9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丰发街（丙四十路）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611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丰越大路（乙六路）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9EA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警备路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85A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7380</w:t>
            </w:r>
          </w:p>
        </w:tc>
      </w:tr>
      <w:tr w14:paraId="0D312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106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A5D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和清街（丙三街）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F75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富民大街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420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富奥大路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01D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29440</w:t>
            </w:r>
          </w:p>
        </w:tc>
      </w:tr>
      <w:tr w14:paraId="6B1C9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364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348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大众高层、无名路2、6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D43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创业大街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AFC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锦城大街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EC6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3751.6</w:t>
            </w:r>
          </w:p>
        </w:tc>
      </w:tr>
      <w:tr w14:paraId="0235E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FBF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240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恒信路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F6A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东风大街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E89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迎春路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71A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8244.12</w:t>
            </w:r>
          </w:p>
        </w:tc>
      </w:tr>
      <w:tr w14:paraId="78534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F73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A20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250-255之间</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54B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250栋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63D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255栋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D75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9347.13</w:t>
            </w:r>
          </w:p>
        </w:tc>
      </w:tr>
      <w:tr w14:paraId="0BAA3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840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EE6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散热器正门路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E1F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西环城路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229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四联大街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CB6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41789.16</w:t>
            </w:r>
          </w:p>
        </w:tc>
      </w:tr>
      <w:tr w14:paraId="2975E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189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0F7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鸣鑫路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5AB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CA3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敬老院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1F4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2289.2</w:t>
            </w:r>
          </w:p>
        </w:tc>
      </w:tr>
      <w:tr w14:paraId="46689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2E1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FE8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50街区树林带</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6337">
            <w:pPr>
              <w:jc w:val="left"/>
              <w:rPr>
                <w:rFonts w:hint="default" w:ascii="仿宋_GB2312" w:hAnsi="宋体" w:eastAsia="仿宋_GB2312" w:cs="仿宋_GB2312"/>
                <w:i w:val="0"/>
                <w:iCs w:val="0"/>
                <w:color w:val="000000"/>
                <w:sz w:val="24"/>
                <w:szCs w:val="24"/>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AE5D">
            <w:pPr>
              <w:jc w:val="left"/>
              <w:rPr>
                <w:rFonts w:hint="default"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4B7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39768</w:t>
            </w:r>
          </w:p>
        </w:tc>
      </w:tr>
      <w:tr w14:paraId="3DCD4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A9F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F9E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50A—50B中间土路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6FE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安庆路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608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安庆西路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A16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4290</w:t>
            </w:r>
          </w:p>
        </w:tc>
      </w:tr>
      <w:tr w14:paraId="32E46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599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6E3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大众209号门前路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A20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209号门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B3A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支农大街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781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3000</w:t>
            </w:r>
          </w:p>
        </w:tc>
      </w:tr>
      <w:tr w14:paraId="09B26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2FA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507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天一和苑门前路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07D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双丰西路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4A4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富维冲压件厂</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8FE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4920</w:t>
            </w:r>
          </w:p>
        </w:tc>
      </w:tr>
      <w:tr w14:paraId="5C5E2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CEB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AC7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畅美路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D38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999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康旺胡同</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D79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135360</w:t>
            </w:r>
          </w:p>
        </w:tc>
      </w:tr>
      <w:tr w14:paraId="1B57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179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F13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农民公园</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8B6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兴顺路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61D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明达路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63E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199000</w:t>
            </w:r>
          </w:p>
        </w:tc>
      </w:tr>
      <w:tr w14:paraId="78145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5B2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3F1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老警备路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CDA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大众街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978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长沈公路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FF9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9760</w:t>
            </w:r>
          </w:p>
        </w:tc>
      </w:tr>
      <w:tr w14:paraId="5BE8C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2F1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CE9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老警备路新修北段</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59A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大众街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1D8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高速公路桥下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38F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9500</w:t>
            </w:r>
          </w:p>
        </w:tc>
      </w:tr>
      <w:tr w14:paraId="32DCF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512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582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荣兴街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F07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汽车大路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E42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威乐路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441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0</w:t>
            </w:r>
          </w:p>
        </w:tc>
      </w:tr>
      <w:tr w14:paraId="56402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2A6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0AF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永春河周边</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B0F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兴顺路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101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大众街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E27E">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47420</w:t>
            </w:r>
          </w:p>
        </w:tc>
      </w:tr>
      <w:tr w14:paraId="4C839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238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292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富裕河周边</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30B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京哈铁路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C6F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永春河</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0526">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7920</w:t>
            </w:r>
          </w:p>
        </w:tc>
      </w:tr>
      <w:tr w14:paraId="34733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F72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57C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高速公路两侧绿化</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889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6B3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污水处理厂</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8D4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350000</w:t>
            </w:r>
          </w:p>
        </w:tc>
      </w:tr>
      <w:tr w14:paraId="2B259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A97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58E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乙五街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7AA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腾飞大路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86B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长沈路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77A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8485</w:t>
            </w:r>
          </w:p>
        </w:tc>
      </w:tr>
      <w:tr w14:paraId="1828E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2FB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528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新凯东街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6CB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新源大路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C98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腾飞大路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769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18331</w:t>
            </w:r>
          </w:p>
        </w:tc>
      </w:tr>
      <w:tr w14:paraId="3EFA8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F9B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636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新源大路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239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新凯东街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F7C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XY1+185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2AC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11920</w:t>
            </w:r>
          </w:p>
        </w:tc>
      </w:tr>
      <w:tr w14:paraId="09BC7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EE03">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7B2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丙五路（铸造路）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682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丙一街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FE21">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丙六街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616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5784</w:t>
            </w:r>
          </w:p>
        </w:tc>
      </w:tr>
      <w:tr w14:paraId="2C70A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18FB">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107</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00B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丙十三路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86B6">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乙五街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5E40">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丙二十七街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B49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2269</w:t>
            </w:r>
          </w:p>
        </w:tc>
      </w:tr>
      <w:tr w14:paraId="3BA41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8E9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72F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丙二十七街</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79A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腾飞大路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A5D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丙十四路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71B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2652</w:t>
            </w:r>
          </w:p>
        </w:tc>
      </w:tr>
      <w:tr w14:paraId="3AB68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CAC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D23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丙十四路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94A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乙五街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8C9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乙四街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64D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2411</w:t>
            </w:r>
          </w:p>
        </w:tc>
      </w:tr>
      <w:tr w14:paraId="1281F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ED7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110</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BB2D">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西湖大路街路公园</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514F">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西湖大路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A94C">
            <w:pPr>
              <w:jc w:val="left"/>
              <w:rPr>
                <w:rFonts w:hint="default" w:ascii="仿宋_GB2312" w:hAnsi="宋体" w:eastAsia="仿宋_GB2312" w:cs="仿宋_GB2312"/>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5E0C">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22081</w:t>
            </w:r>
          </w:p>
        </w:tc>
      </w:tr>
      <w:tr w14:paraId="5E9B6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666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019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无名路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8FEC">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西新大街红马检车线</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928B">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富民大街万科西晨之光</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102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300</w:t>
            </w:r>
          </w:p>
        </w:tc>
      </w:tr>
      <w:tr w14:paraId="4AE9E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3B6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46A9">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首善大路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6CB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新红旗大街（157路公交车充电站）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FD74">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致尚路（繁荣四期、日新家园）</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BD1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55775</w:t>
            </w:r>
          </w:p>
        </w:tc>
      </w:tr>
      <w:tr w14:paraId="3BE03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0F4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9B15">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佳森路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4CF7">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森雅路与佳森路交汇佳森路向南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803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未修路段</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6D1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1050</w:t>
            </w:r>
          </w:p>
        </w:tc>
      </w:tr>
      <w:tr w14:paraId="3319E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54B4">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2E5E">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丰越大路延长段</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0658">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前程路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AF8A">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电厂小路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2D3A">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198000</w:t>
            </w:r>
          </w:p>
        </w:tc>
      </w:tr>
      <w:tr w14:paraId="14279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682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4C03">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无名路</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C39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丰硕路</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0352">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汽车大路</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8B9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30840</w:t>
            </w:r>
          </w:p>
        </w:tc>
      </w:tr>
      <w:tr w14:paraId="17EB5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B7EB">
            <w:pPr>
              <w:jc w:val="center"/>
              <w:rPr>
                <w:rFonts w:hint="eastAsia" w:ascii="宋体" w:hAnsi="宋体" w:eastAsia="宋体" w:cs="宋体"/>
                <w:b/>
                <w:bCs/>
                <w:i w:val="0"/>
                <w:iCs w:val="0"/>
                <w:color w:val="000000"/>
                <w:sz w:val="22"/>
                <w:szCs w:val="22"/>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65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F8FA">
            <w:pPr>
              <w:jc w:val="left"/>
              <w:rPr>
                <w:rFonts w:hint="eastAsia" w:ascii="宋体" w:hAnsi="宋体" w:eastAsia="宋体" w:cs="宋体"/>
                <w:b/>
                <w:bCs/>
                <w:i w:val="0"/>
                <w:iCs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106D">
            <w:pPr>
              <w:jc w:val="left"/>
              <w:rPr>
                <w:rFonts w:hint="eastAsia" w:ascii="宋体" w:hAnsi="宋体" w:eastAsia="宋体" w:cs="宋体"/>
                <w:b/>
                <w:bCs/>
                <w:i w:val="0"/>
                <w:iCs w:val="0"/>
                <w:color w:val="000000"/>
                <w:sz w:val="22"/>
                <w:szCs w:val="22"/>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41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4464274.17</w:t>
            </w:r>
          </w:p>
        </w:tc>
      </w:tr>
    </w:tbl>
    <w:p w14:paraId="2BF1E3EF">
      <w:pPr>
        <w:rPr>
          <w:rFonts w:hint="eastAsia" w:ascii="宋体" w:hAnsi="宋体" w:eastAsia="宋体" w:cs="宋体"/>
          <w:b/>
          <w:sz w:val="30"/>
          <w:szCs w:val="30"/>
          <w:highlight w:val="yellow"/>
        </w:rPr>
      </w:pPr>
      <w:r>
        <w:rPr>
          <w:rFonts w:hint="eastAsia" w:ascii="宋体" w:hAnsi="宋体" w:eastAsia="宋体" w:cs="宋体"/>
          <w:b/>
          <w:sz w:val="30"/>
          <w:szCs w:val="30"/>
          <w:highlight w:val="yellow"/>
        </w:rPr>
        <w:br w:type="page"/>
      </w:r>
    </w:p>
    <w:p w14:paraId="5D86CD33">
      <w:pPr>
        <w:rPr>
          <w:rFonts w:hint="eastAsia" w:ascii="宋体" w:hAnsi="宋体" w:eastAsia="宋体" w:cs="宋体"/>
          <w:b w:val="0"/>
          <w:bCs w:val="0"/>
          <w:color w:val="auto"/>
          <w:sz w:val="24"/>
          <w:szCs w:val="24"/>
          <w:lang w:val="en-US" w:eastAsia="zh-CN"/>
        </w:rPr>
      </w:pPr>
    </w:p>
    <w:p w14:paraId="4EE42AC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项目名称：</w:t>
      </w:r>
      <w:r>
        <w:rPr>
          <w:rFonts w:ascii="宋体" w:hAnsi="宋体" w:eastAsia="宋体" w:cs="宋体"/>
          <w:color w:val="auto"/>
          <w:kern w:val="0"/>
          <w:sz w:val="24"/>
          <w:szCs w:val="24"/>
          <w:lang w:val="en-US" w:eastAsia="zh-CN" w:bidi="ar"/>
        </w:rPr>
        <w:t>2025-2027年度长春汽车经济技术开发区夏季扫保服务</w:t>
      </w:r>
      <w:r>
        <w:rPr>
          <w:rFonts w:hint="eastAsia" w:ascii="宋体" w:hAnsi="宋体" w:eastAsia="宋体" w:cs="宋体"/>
          <w:color w:val="auto"/>
          <w:kern w:val="0"/>
          <w:sz w:val="24"/>
          <w:szCs w:val="24"/>
          <w:lang w:val="en-US" w:eastAsia="zh-CN" w:bidi="ar"/>
        </w:rPr>
        <w:t>二</w:t>
      </w:r>
      <w:r>
        <w:rPr>
          <w:rFonts w:ascii="宋体" w:hAnsi="宋体" w:eastAsia="宋体" w:cs="宋体"/>
          <w:color w:val="auto"/>
          <w:kern w:val="0"/>
          <w:sz w:val="24"/>
          <w:szCs w:val="24"/>
          <w:lang w:val="en-US" w:eastAsia="zh-CN" w:bidi="ar"/>
        </w:rPr>
        <w:t>标段</w:t>
      </w:r>
    </w:p>
    <w:p w14:paraId="4A9A343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项目地点：长春汽车经济技术开发区；</w:t>
      </w:r>
    </w:p>
    <w:tbl>
      <w:tblPr>
        <w:tblStyle w:val="29"/>
        <w:tblW w:w="101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2085"/>
        <w:gridCol w:w="1530"/>
        <w:gridCol w:w="1995"/>
        <w:gridCol w:w="1575"/>
        <w:gridCol w:w="1575"/>
        <w:gridCol w:w="675"/>
      </w:tblGrid>
      <w:tr w14:paraId="5B763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110" w:type="dxa"/>
            <w:gridSpan w:val="7"/>
            <w:tcBorders>
              <w:top w:val="nil"/>
              <w:left w:val="nil"/>
              <w:bottom w:val="nil"/>
              <w:right w:val="nil"/>
            </w:tcBorders>
            <w:shd w:val="clear" w:color="auto" w:fill="auto"/>
            <w:noWrap/>
            <w:vAlign w:val="center"/>
          </w:tcPr>
          <w:p w14:paraId="0624E9AA">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二标段道路明细表</w:t>
            </w:r>
          </w:p>
        </w:tc>
      </w:tr>
      <w:tr w14:paraId="5E2D4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B4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F7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道路名称</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EF6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起始位置</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37D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终点位置</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F9F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道路面积(㎡)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9F1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方砖面积(㎡)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4D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等级</w:t>
            </w:r>
          </w:p>
        </w:tc>
      </w:tr>
      <w:tr w14:paraId="6FF1B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F45B">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0AE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西湖大路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E2E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富民大街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A22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长沈公路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92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211611.1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CD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32115.9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57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56ED9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21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B21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立交桥主车道</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4F6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西湖大路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915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通达路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34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20304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7D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42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68A6C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97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501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立交桥匝道</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482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西湖大路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176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通达路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2C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5056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D7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80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15955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01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0EF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长沈路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97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警备路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9E8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范家屯收费站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DA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162000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C4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EE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5BED3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22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0C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丰越大路（乙六路）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C2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前程路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C0B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甲二路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A8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1A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71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2C5DD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C9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4B63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丰越路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81A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丰越路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6B8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78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24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C6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2D742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02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2085" w:type="dxa"/>
            <w:tcBorders>
              <w:top w:val="single" w:color="000000" w:sz="4" w:space="0"/>
              <w:left w:val="single" w:color="000000" w:sz="4" w:space="0"/>
              <w:bottom w:val="nil"/>
              <w:right w:val="single" w:color="000000" w:sz="4" w:space="0"/>
            </w:tcBorders>
            <w:shd w:val="clear" w:color="auto" w:fill="auto"/>
            <w:vAlign w:val="center"/>
          </w:tcPr>
          <w:p w14:paraId="3851624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佳宝路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09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和谐大街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C59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前程路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1A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109697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68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12608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27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6D88F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3A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2085" w:type="dxa"/>
            <w:tcBorders>
              <w:top w:val="single" w:color="000000" w:sz="4" w:space="0"/>
              <w:left w:val="single" w:color="000000" w:sz="4" w:space="0"/>
              <w:bottom w:val="nil"/>
              <w:right w:val="single" w:color="000000" w:sz="4" w:space="0"/>
            </w:tcBorders>
            <w:shd w:val="clear" w:color="auto" w:fill="auto"/>
            <w:vAlign w:val="center"/>
          </w:tcPr>
          <w:p w14:paraId="7ED53CB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骏派街（乙二街）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45A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乙三街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190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丙七路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6C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25557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2A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13296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8A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45BD8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4C5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2085" w:type="dxa"/>
            <w:tcBorders>
              <w:top w:val="nil"/>
              <w:left w:val="single" w:color="000000" w:sz="4" w:space="0"/>
              <w:bottom w:val="nil"/>
              <w:right w:val="single" w:color="000000" w:sz="4" w:space="0"/>
            </w:tcBorders>
            <w:shd w:val="clear" w:color="auto" w:fill="auto"/>
            <w:vAlign w:val="center"/>
          </w:tcPr>
          <w:p w14:paraId="1AE9EF9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首善大路（乙三街）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CA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长沈路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2BB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腾飞大路延长段</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B8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53208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01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15519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50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78ACD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C2446">
            <w:pPr>
              <w:jc w:val="center"/>
              <w:rPr>
                <w:rFonts w:hint="eastAsia" w:ascii="仿宋" w:hAnsi="仿宋" w:eastAsia="仿宋" w:cs="仿宋"/>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D4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首善大路（乙三街）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919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东风大街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C96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乙二路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1E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38478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85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2875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3E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17A37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F3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D98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东风大街桥下</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F5D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首创大路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43A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自主大路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EF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B1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7098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D5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76797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96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FA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汽车大路无名路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9E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汽车大路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911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道路南侧尽头</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10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6435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6B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35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6F8F6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59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63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富民大街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AE3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和谐大路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9CA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丙三街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7B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45727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29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6863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8D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7ADE6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75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5D2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富民大街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3ED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四环路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D62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大众街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38A6">
            <w:pPr>
              <w:jc w:val="center"/>
              <w:rPr>
                <w:rFonts w:hint="eastAsia" w:ascii="仿宋" w:hAnsi="仿宋" w:eastAsia="仿宋" w:cs="仿宋"/>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B8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5468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02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30A43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13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B89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富民大街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9D1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南侧无名路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B443">
            <w:pPr>
              <w:jc w:val="left"/>
              <w:rPr>
                <w:rFonts w:hint="eastAsia" w:ascii="仿宋" w:hAnsi="仿宋" w:eastAsia="仿宋" w:cs="仿宋"/>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0A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23217.56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786F">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E4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036B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C8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450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富民大街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C68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大众街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2D2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警备路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9E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92233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A5D7">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A1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22794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52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2085" w:type="dxa"/>
            <w:tcBorders>
              <w:top w:val="single" w:color="000000" w:sz="4" w:space="0"/>
              <w:left w:val="single" w:color="000000" w:sz="4" w:space="0"/>
              <w:bottom w:val="nil"/>
              <w:right w:val="single" w:color="000000" w:sz="4" w:space="0"/>
            </w:tcBorders>
            <w:shd w:val="clear" w:color="auto" w:fill="auto"/>
            <w:vAlign w:val="center"/>
          </w:tcPr>
          <w:p w14:paraId="0C69D04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富民大街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F21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永春河桥头</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932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丙二街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F9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14694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B6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7444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5A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1AA98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4A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098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富民大街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00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永春河桥头</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43F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市政界</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C0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10632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70E4">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EE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78B19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AE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F27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富民大街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F92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四环路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5BF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公主岭交界</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F32D">
            <w:pPr>
              <w:jc w:val="center"/>
              <w:rPr>
                <w:rFonts w:hint="eastAsia" w:ascii="仿宋" w:hAnsi="仿宋" w:eastAsia="仿宋" w:cs="仿宋"/>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4B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9E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40B44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30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47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捷达大路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8B2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大众街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6E3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四环路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E0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86862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B1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3061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EB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47521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34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8A2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凯达北街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CD8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富民大街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6E7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首创大路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34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52350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4A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4304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AC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0C1FF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25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C4E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旗胜街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07F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新红旗大街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F9F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致尚街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E9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9038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A7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50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573EA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0A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598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富奥大路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33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警备路西200米</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1CE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大众街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68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58261.96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B5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4299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DF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19ED3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ACD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D18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前程路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A95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汽车大路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476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新红旗大街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5B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84597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E0B8">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C0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1A261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F4CE9">
            <w:pPr>
              <w:jc w:val="center"/>
              <w:rPr>
                <w:rFonts w:hint="eastAsia" w:ascii="仿宋" w:hAnsi="仿宋" w:eastAsia="仿宋" w:cs="仿宋"/>
                <w:i w:val="0"/>
                <w:iCs w:val="0"/>
                <w:color w:val="000000"/>
                <w:sz w:val="22"/>
                <w:szCs w:val="22"/>
                <w:u w:val="none"/>
              </w:rPr>
            </w:pPr>
          </w:p>
        </w:tc>
        <w:tc>
          <w:tcPr>
            <w:tcW w:w="2085" w:type="dxa"/>
            <w:tcBorders>
              <w:top w:val="single" w:color="000000" w:sz="4" w:space="0"/>
              <w:left w:val="single" w:color="000000" w:sz="4" w:space="0"/>
              <w:bottom w:val="nil"/>
              <w:right w:val="single" w:color="000000" w:sz="4" w:space="0"/>
            </w:tcBorders>
            <w:shd w:val="clear" w:color="auto" w:fill="auto"/>
            <w:vAlign w:val="center"/>
          </w:tcPr>
          <w:p w14:paraId="1867350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前程路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18E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腾飞大路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15C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长沈路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9E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51449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FE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33268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F2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1B961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70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EB3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西湖小学旁无名路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3C2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大众街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B71D">
            <w:pPr>
              <w:jc w:val="left"/>
              <w:rPr>
                <w:rFonts w:hint="eastAsia" w:ascii="仿宋" w:hAnsi="仿宋" w:eastAsia="仿宋" w:cs="仿宋"/>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0883">
            <w:pPr>
              <w:jc w:val="center"/>
              <w:rPr>
                <w:rFonts w:hint="eastAsia" w:ascii="仿宋" w:hAnsi="仿宋" w:eastAsia="仿宋" w:cs="仿宋"/>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BC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7322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86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22768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05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2085" w:type="dxa"/>
            <w:tcBorders>
              <w:top w:val="single" w:color="000000" w:sz="4" w:space="0"/>
              <w:left w:val="single" w:color="000000" w:sz="4" w:space="0"/>
              <w:bottom w:val="nil"/>
              <w:right w:val="single" w:color="000000" w:sz="4" w:space="0"/>
            </w:tcBorders>
            <w:shd w:val="clear" w:color="auto" w:fill="auto"/>
            <w:vAlign w:val="center"/>
          </w:tcPr>
          <w:p w14:paraId="55075C9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乙十路（公园内部路）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7172">
            <w:pPr>
              <w:jc w:val="left"/>
              <w:rPr>
                <w:rFonts w:hint="eastAsia" w:ascii="仿宋" w:hAnsi="仿宋" w:eastAsia="仿宋" w:cs="仿宋"/>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9E9E">
            <w:pPr>
              <w:jc w:val="left"/>
              <w:rPr>
                <w:rFonts w:hint="eastAsia" w:ascii="仿宋" w:hAnsi="仿宋" w:eastAsia="仿宋" w:cs="仿宋"/>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63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24960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B08F">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3E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54BDE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52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AB4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荣平街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069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威乐路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418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4E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8A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A1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6CDF5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A5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092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汽开区管委会周边</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AB5A">
            <w:pPr>
              <w:jc w:val="left"/>
              <w:rPr>
                <w:rFonts w:hint="eastAsia" w:ascii="仿宋" w:hAnsi="仿宋" w:eastAsia="仿宋" w:cs="仿宋"/>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F7C6">
            <w:pPr>
              <w:jc w:val="left"/>
              <w:rPr>
                <w:rFonts w:hint="eastAsia" w:ascii="仿宋" w:hAnsi="仿宋" w:eastAsia="仿宋" w:cs="仿宋"/>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58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17142.23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E7C9">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19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1E7B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BB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A4B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为民路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44F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东风大街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02A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西昌路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5C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3873.72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3E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1516.52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51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65E4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B4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F03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威姿街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D67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东风大街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159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首创大路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2A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7271.86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5C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3889.53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B0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6C7E4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9D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275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首创大路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5DC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大众街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485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西湖大路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84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58673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B2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19079.84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39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60ED6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26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5C1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西昌路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CDE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首创大路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9FC9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威姿街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7B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9011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F2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3490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FF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12A0A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DF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377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高尔夫路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DB0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凯达南街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B35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西湖大路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5B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16640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C8CC">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8C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23428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23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44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高尔夫路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E7A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大众街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3A1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凯达南街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96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7658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7C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4342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CC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246AB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B9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549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腾飞南路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2D4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奔腾街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B99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大众街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5B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29920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AADA">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90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76B06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81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C3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长虹大路（丙八路）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0B9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凯达北街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FDA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大众街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B3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10080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A6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0C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733EA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97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525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大众西街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A65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富民大街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D90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东风大街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B8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38800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FB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19538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5F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059CE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52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E1F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丰硕路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6A8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丰采街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E43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前程路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48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26974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00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4558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BC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1FC23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47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C6B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威乐路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ABF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大众街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92B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西湖大路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68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26934.16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4B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19520.1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6F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1B2B2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9C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04D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首善大路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634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丙八路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7E6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东风大街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95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149246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83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35491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50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716A8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BE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85B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乙三路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CBD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乙三街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E1C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前程路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6C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88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66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35CF9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23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1CC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乙七街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716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既有乙七街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A75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桥头</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0E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3490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DE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12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16058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D7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A5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丰采街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D36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建达路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1D2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长沈路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91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6839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63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B4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35EF6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3A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876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乙一路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538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丙一街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7A4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乙三街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D1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8724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19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7D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w:t>
            </w:r>
          </w:p>
        </w:tc>
      </w:tr>
      <w:tr w14:paraId="68200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81AB">
            <w:pPr>
              <w:jc w:val="center"/>
              <w:rPr>
                <w:rFonts w:hint="eastAsia" w:ascii="仿宋" w:hAnsi="仿宋" w:eastAsia="仿宋" w:cs="仿宋"/>
                <w:b/>
                <w:bCs/>
                <w:i w:val="0"/>
                <w:iCs w:val="0"/>
                <w:color w:val="000000"/>
                <w:sz w:val="22"/>
                <w:szCs w:val="22"/>
                <w:u w:val="none"/>
              </w:rPr>
            </w:pP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DFB36">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二级道路小计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EEC6">
            <w:pPr>
              <w:jc w:val="left"/>
              <w:rPr>
                <w:rFonts w:hint="eastAsia" w:ascii="仿宋" w:hAnsi="仿宋" w:eastAsia="仿宋" w:cs="仿宋"/>
                <w:b/>
                <w:bCs/>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F71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1731954.59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A78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297168.89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1838">
            <w:pPr>
              <w:jc w:val="center"/>
              <w:rPr>
                <w:rFonts w:hint="eastAsia" w:ascii="仿宋" w:hAnsi="仿宋" w:eastAsia="仿宋" w:cs="仿宋"/>
                <w:b/>
                <w:bCs/>
                <w:i w:val="0"/>
                <w:iCs w:val="0"/>
                <w:color w:val="000000"/>
                <w:sz w:val="22"/>
                <w:szCs w:val="22"/>
                <w:u w:val="none"/>
              </w:rPr>
            </w:pPr>
          </w:p>
        </w:tc>
      </w:tr>
      <w:tr w14:paraId="6D70D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91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5DB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腾飞北路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88F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丙三十七街（富平街）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14F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西湖大路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35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20769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FBCC">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AA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r>
      <w:tr w14:paraId="39067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5F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D3C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丙三十七街（富平街）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DFE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腾飞大路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F9D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丙十一路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47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14531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414C">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19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r>
      <w:tr w14:paraId="6ED45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9B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53B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常兴街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A85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支农大街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443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自主大路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BF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21035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8BD7">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21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r>
      <w:tr w14:paraId="09C49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7C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0B7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宝来街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BF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腾飞大路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D1B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长沈公路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DE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23040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4C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77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r>
      <w:tr w14:paraId="3B8C8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C7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81D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威驰街（丙七街）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67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捷达大路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41E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富民大街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23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35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E5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r>
      <w:tr w14:paraId="78B45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15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2C0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夏利路（丙七路）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64C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丙七街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598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丙八街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EE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5318.4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90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7D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r>
      <w:tr w14:paraId="0FEAF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CA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60E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自达大街（丙八街）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7F4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捷达大路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E1F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富民大路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6E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13908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5A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7D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r>
      <w:tr w14:paraId="6592E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05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BCA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丙九路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AA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大众街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8D6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凯达北街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6F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25497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CE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6E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r>
      <w:tr w14:paraId="1EC5C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F0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68B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明达路（丙十五路）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9F3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兴顺路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F73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丙二十一街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90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4806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9B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1681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B8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r>
      <w:tr w14:paraId="28786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2E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242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丙六街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A7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乙二路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A3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丙五路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F0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3384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B5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2368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53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r>
      <w:tr w14:paraId="4325D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53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1E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丙二十路（建达路）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572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甲二街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8EB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乙三街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42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30620.6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2B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3F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r>
      <w:tr w14:paraId="20705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CB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2085" w:type="dxa"/>
            <w:tcBorders>
              <w:top w:val="single" w:color="000000" w:sz="4" w:space="0"/>
              <w:left w:val="single" w:color="000000" w:sz="4" w:space="0"/>
              <w:bottom w:val="nil"/>
              <w:right w:val="single" w:color="000000" w:sz="4" w:space="0"/>
            </w:tcBorders>
            <w:shd w:val="clear" w:color="auto" w:fill="auto"/>
            <w:vAlign w:val="center"/>
          </w:tcPr>
          <w:p w14:paraId="0EE9BE4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建达路（丙二十路）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11E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丙四十三街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184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乙三街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B6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4874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01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FF37">
            <w:pPr>
              <w:jc w:val="center"/>
              <w:rPr>
                <w:rFonts w:hint="eastAsia" w:ascii="仿宋" w:hAnsi="仿宋" w:eastAsia="仿宋" w:cs="仿宋"/>
                <w:i w:val="0"/>
                <w:iCs w:val="0"/>
                <w:color w:val="000000"/>
                <w:sz w:val="22"/>
                <w:szCs w:val="22"/>
                <w:u w:val="none"/>
              </w:rPr>
            </w:pPr>
          </w:p>
        </w:tc>
      </w:tr>
      <w:tr w14:paraId="27367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30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7FC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丰富路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56F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丰采街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541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丰业街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5D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8086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02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9D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r>
      <w:tr w14:paraId="7A380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F3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2085" w:type="dxa"/>
            <w:tcBorders>
              <w:top w:val="single" w:color="000000" w:sz="4" w:space="0"/>
              <w:left w:val="single" w:color="000000" w:sz="4" w:space="0"/>
              <w:bottom w:val="nil"/>
              <w:right w:val="single" w:color="000000" w:sz="4" w:space="0"/>
            </w:tcBorders>
            <w:shd w:val="clear" w:color="auto" w:fill="auto"/>
            <w:vAlign w:val="center"/>
          </w:tcPr>
          <w:p w14:paraId="39FBAF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常富街（丙九街）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F0A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捷达大路北180米</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C5D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路口北180米</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BA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2489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3F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86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r>
      <w:tr w14:paraId="17076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14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2085" w:type="dxa"/>
            <w:tcBorders>
              <w:top w:val="single" w:color="000000" w:sz="4" w:space="0"/>
              <w:left w:val="single" w:color="000000" w:sz="4" w:space="0"/>
              <w:bottom w:val="nil"/>
              <w:right w:val="single" w:color="000000" w:sz="4" w:space="0"/>
            </w:tcBorders>
            <w:shd w:val="clear" w:color="auto" w:fill="auto"/>
            <w:vAlign w:val="center"/>
          </w:tcPr>
          <w:p w14:paraId="1451BEF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佳森路（丙十九街）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EDA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丙七路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3F2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乙三路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9F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3596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8A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3521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FB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r>
      <w:tr w14:paraId="1FDFF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C8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511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地震局路（丙三十一街）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C59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长沈路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A7A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地震台外墙</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DE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1365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1C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66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r>
      <w:tr w14:paraId="2E5A0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32F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9D7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星宇街（丙四十三街）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2F1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丙二十路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B26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B5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8100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91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17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r>
      <w:tr w14:paraId="4D56B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19B87">
            <w:pPr>
              <w:jc w:val="center"/>
              <w:rPr>
                <w:rFonts w:hint="eastAsia" w:ascii="仿宋" w:hAnsi="仿宋" w:eastAsia="仿宋" w:cs="仿宋"/>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43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丰采街（丙四十二路）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706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丰越大路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E64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腾飞大路延长段</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BB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16310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7B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6A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r>
      <w:tr w14:paraId="7013D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390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BDF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丰采街（丙四十二路）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E6F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丰越大路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6C5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丙二十路（建达路）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59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5389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76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2694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75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r>
      <w:tr w14:paraId="7B925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66104">
            <w:pPr>
              <w:jc w:val="center"/>
              <w:rPr>
                <w:rFonts w:hint="eastAsia" w:ascii="仿宋" w:hAnsi="仿宋" w:eastAsia="仿宋" w:cs="仿宋"/>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992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丰采街（丙四十二路）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891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建达路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287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长沈路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BF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6839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2D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7B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r>
      <w:tr w14:paraId="17FEC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30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945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自主大路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489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四环路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1AE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大众街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8C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27379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BD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06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r>
      <w:tr w14:paraId="41212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0B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07F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丙三十路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0FC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富民大街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3EF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道路尽头</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18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7872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C812">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28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r>
      <w:tr w14:paraId="7D936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C8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BE3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丁香大街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638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长沈路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09C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朝阳交界桥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54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7174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38D">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DF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r>
      <w:tr w14:paraId="71307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80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w:t>
            </w:r>
          </w:p>
        </w:tc>
        <w:tc>
          <w:tcPr>
            <w:tcW w:w="2085" w:type="dxa"/>
            <w:vMerge w:val="restart"/>
            <w:tcBorders>
              <w:top w:val="single" w:color="000000" w:sz="4" w:space="0"/>
              <w:left w:val="single" w:color="000000" w:sz="4" w:space="0"/>
              <w:bottom w:val="nil"/>
              <w:right w:val="single" w:color="000000" w:sz="4" w:space="0"/>
            </w:tcBorders>
            <w:shd w:val="clear" w:color="auto" w:fill="auto"/>
            <w:vAlign w:val="center"/>
          </w:tcPr>
          <w:p w14:paraId="4537753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威志街（丙十八街）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6CF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乙三路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407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丙七路（森雅路未修段）</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19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5070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10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1592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5B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r>
      <w:tr w14:paraId="7D01C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02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w:t>
            </w:r>
          </w:p>
        </w:tc>
        <w:tc>
          <w:tcPr>
            <w:tcW w:w="2085" w:type="dxa"/>
            <w:vMerge w:val="continue"/>
            <w:tcBorders>
              <w:top w:val="single" w:color="000000" w:sz="4" w:space="0"/>
              <w:left w:val="single" w:color="000000" w:sz="4" w:space="0"/>
              <w:bottom w:val="nil"/>
              <w:right w:val="single" w:color="000000" w:sz="4" w:space="0"/>
            </w:tcBorders>
            <w:shd w:val="clear" w:color="auto" w:fill="auto"/>
            <w:vAlign w:val="center"/>
          </w:tcPr>
          <w:p w14:paraId="3A4002A6">
            <w:pPr>
              <w:jc w:val="left"/>
              <w:rPr>
                <w:rFonts w:hint="eastAsia" w:ascii="仿宋" w:hAnsi="仿宋" w:eastAsia="仿宋" w:cs="仿宋"/>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370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东风大街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B64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乙三路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53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5047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2D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8251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8F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r>
      <w:tr w14:paraId="4A744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57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FF9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丙七路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C19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丙七街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5BF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丙八街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9EF9">
            <w:pPr>
              <w:jc w:val="center"/>
              <w:rPr>
                <w:rFonts w:hint="eastAsia" w:ascii="仿宋" w:hAnsi="仿宋" w:eastAsia="仿宋" w:cs="仿宋"/>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A270">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85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r>
      <w:tr w14:paraId="15B69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8C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06C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丙十八街（威志街）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A1D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乙三路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751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丙七路（森雅路未修段）</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AB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3920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EE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1592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6F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r>
      <w:tr w14:paraId="60E02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6B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c>
          <w:tcPr>
            <w:tcW w:w="2085" w:type="dxa"/>
            <w:tcBorders>
              <w:top w:val="single" w:color="000000" w:sz="4" w:space="0"/>
              <w:left w:val="single" w:color="000000" w:sz="4" w:space="0"/>
              <w:bottom w:val="nil"/>
              <w:right w:val="single" w:color="000000" w:sz="4" w:space="0"/>
            </w:tcBorders>
            <w:shd w:val="clear" w:color="auto" w:fill="auto"/>
            <w:vAlign w:val="center"/>
          </w:tcPr>
          <w:p w14:paraId="2F79DE6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佳森路（丙十九街）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718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丙七路（森雅路）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3E2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丙八路（佳宝路）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71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4077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C8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2911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64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r>
      <w:tr w14:paraId="4E4FF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38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c>
          <w:tcPr>
            <w:tcW w:w="2085" w:type="dxa"/>
            <w:tcBorders>
              <w:top w:val="single" w:color="000000" w:sz="4" w:space="0"/>
              <w:left w:val="single" w:color="000000" w:sz="4" w:space="0"/>
              <w:bottom w:val="nil"/>
              <w:right w:val="single" w:color="000000" w:sz="4" w:space="0"/>
            </w:tcBorders>
            <w:shd w:val="clear" w:color="auto" w:fill="auto"/>
            <w:vAlign w:val="center"/>
          </w:tcPr>
          <w:p w14:paraId="1FAA349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佳森路（丙十九街）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DD4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丙七路（森雅路）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F07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丙八路（佳宝路）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4B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5343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D6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1643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E2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r>
      <w:tr w14:paraId="276AE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E2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D27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丙三路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8FA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丙一街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218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乙三街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08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14242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EF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4745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9E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r>
      <w:tr w14:paraId="31D4F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EE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BBE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森雅路（丙七路）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DB2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乙二街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1A4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威志街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B1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37369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09AE">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3F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w:t>
            </w:r>
          </w:p>
        </w:tc>
      </w:tr>
      <w:tr w14:paraId="56236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B017">
            <w:pPr>
              <w:jc w:val="center"/>
              <w:rPr>
                <w:rFonts w:hint="eastAsia" w:ascii="仿宋" w:hAnsi="仿宋" w:eastAsia="仿宋" w:cs="仿宋"/>
                <w:b/>
                <w:bCs/>
                <w:i w:val="0"/>
                <w:iCs w:val="0"/>
                <w:color w:val="000000"/>
                <w:sz w:val="22"/>
                <w:szCs w:val="22"/>
                <w:u w:val="none"/>
              </w:rPr>
            </w:pP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1D383">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三级道路小计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6EF9">
            <w:pPr>
              <w:jc w:val="left"/>
              <w:rPr>
                <w:rFonts w:hint="eastAsia" w:ascii="仿宋" w:hAnsi="仿宋" w:eastAsia="仿宋" w:cs="仿宋"/>
                <w:b/>
                <w:bCs/>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42A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347650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5A7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45674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3CF3">
            <w:pPr>
              <w:jc w:val="center"/>
              <w:rPr>
                <w:rFonts w:hint="eastAsia" w:ascii="仿宋" w:hAnsi="仿宋" w:eastAsia="仿宋" w:cs="仿宋"/>
                <w:b/>
                <w:bCs/>
                <w:i w:val="0"/>
                <w:iCs w:val="0"/>
                <w:color w:val="000000"/>
                <w:sz w:val="22"/>
                <w:szCs w:val="22"/>
                <w:u w:val="none"/>
              </w:rPr>
            </w:pPr>
          </w:p>
        </w:tc>
      </w:tr>
      <w:tr w14:paraId="1A5F5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1A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4A7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污水处理厂辅路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316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污水处理厂正门</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007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甲二路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9A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20880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42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AD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四级</w:t>
            </w:r>
          </w:p>
        </w:tc>
      </w:tr>
      <w:tr w14:paraId="052A8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5E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96B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万达小路(荣平街)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176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威乐路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F2A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3F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6291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98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2897.06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31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四级</w:t>
            </w:r>
          </w:p>
        </w:tc>
      </w:tr>
      <w:tr w14:paraId="455D6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6F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0BA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致尚路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9AC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骏派街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1BF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首善大路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7C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9594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4A50">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8F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四级</w:t>
            </w:r>
          </w:p>
        </w:tc>
      </w:tr>
      <w:tr w14:paraId="522CD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43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EAD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无名路（日新家园4期中间路段）</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C2F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旗胜街交汇</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4E2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53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9594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7766">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12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四级</w:t>
            </w:r>
          </w:p>
        </w:tc>
      </w:tr>
      <w:tr w14:paraId="456D3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3A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5FF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西湖大路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C9A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西湖大路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D75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过街天桥</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45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417.11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59F8">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BD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四级</w:t>
            </w:r>
          </w:p>
        </w:tc>
      </w:tr>
      <w:tr w14:paraId="2D266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54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787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无名路（丰业街）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60E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丰硕路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35C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FC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6354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6A59">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83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四级</w:t>
            </w:r>
          </w:p>
        </w:tc>
      </w:tr>
      <w:tr w14:paraId="3F585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12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57C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无名路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E5E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西新大街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D15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富民大街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9E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3600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DA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FC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四级</w:t>
            </w:r>
          </w:p>
        </w:tc>
      </w:tr>
      <w:tr w14:paraId="1171B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CE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DAD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无名路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FB3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警备路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4AE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无名路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09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9430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71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E9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四级</w:t>
            </w:r>
          </w:p>
        </w:tc>
      </w:tr>
      <w:tr w14:paraId="0FB5F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2A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F07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中铁城三侧无名路（富平、富安、富学）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ED2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大众街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3F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富民大街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56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39368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05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1D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四级</w:t>
            </w:r>
          </w:p>
        </w:tc>
      </w:tr>
      <w:tr w14:paraId="664CA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60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B09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森雅路口袋公园</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D9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森雅路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73F0">
            <w:pPr>
              <w:jc w:val="left"/>
              <w:rPr>
                <w:rFonts w:hint="eastAsia" w:ascii="仿宋" w:hAnsi="仿宋" w:eastAsia="仿宋" w:cs="仿宋"/>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C6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09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2057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09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四级</w:t>
            </w:r>
          </w:p>
        </w:tc>
      </w:tr>
      <w:tr w14:paraId="788C6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31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C0E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安业街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6C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中铁逸湖小区东门</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A4E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中铁逸湖北侧无名路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33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3030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AB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2E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四级</w:t>
            </w:r>
          </w:p>
        </w:tc>
      </w:tr>
      <w:tr w14:paraId="3FA6E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B8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B93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小区一街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634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富民大路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8E0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中铁逸湖北侧无名路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70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8360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44B8">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F6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四级</w:t>
            </w:r>
          </w:p>
        </w:tc>
      </w:tr>
      <w:tr w14:paraId="5D925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E8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F1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规划一路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32A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腾飞大路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CAD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原丙二十一路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EE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7811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88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3149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52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四级</w:t>
            </w:r>
          </w:p>
        </w:tc>
      </w:tr>
      <w:tr w14:paraId="244FB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42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324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丙二十路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D9E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乙三路（佳宝路）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2EB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丙十八街（威志街）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9E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3404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F8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26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四级</w:t>
            </w:r>
          </w:p>
        </w:tc>
      </w:tr>
      <w:tr w14:paraId="3F429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84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87</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6E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丙二街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648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乙一路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A2E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丙三路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D7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5912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D5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05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四级</w:t>
            </w:r>
          </w:p>
        </w:tc>
      </w:tr>
      <w:tr w14:paraId="20BB6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1E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B76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无名路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3DA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富民大街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DF0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望湖路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02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4094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95B6">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06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四级</w:t>
            </w:r>
          </w:p>
        </w:tc>
      </w:tr>
      <w:tr w14:paraId="17D99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56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33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无名路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B53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宝来街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CB2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西湖大路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FA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5640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5A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1175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82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四级</w:t>
            </w:r>
          </w:p>
        </w:tc>
      </w:tr>
      <w:tr w14:paraId="426AE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2B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9E8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为民路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638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西昌路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4F4B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新红旗大街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0A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5728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54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2617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04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四级</w:t>
            </w:r>
          </w:p>
        </w:tc>
      </w:tr>
      <w:tr w14:paraId="3CC3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D168">
            <w:pPr>
              <w:jc w:val="center"/>
              <w:rPr>
                <w:rFonts w:hint="eastAsia" w:ascii="仿宋" w:hAnsi="仿宋" w:eastAsia="仿宋" w:cs="仿宋"/>
                <w:b/>
                <w:bCs/>
                <w:i w:val="0"/>
                <w:iCs w:val="0"/>
                <w:color w:val="000000"/>
                <w:sz w:val="22"/>
                <w:szCs w:val="22"/>
                <w:u w:val="none"/>
              </w:rPr>
            </w:pP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88F96">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四级道路小计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DD89">
            <w:pPr>
              <w:jc w:val="left"/>
              <w:rPr>
                <w:rFonts w:hint="eastAsia" w:ascii="仿宋" w:hAnsi="仿宋" w:eastAsia="仿宋" w:cs="仿宋"/>
                <w:b/>
                <w:bCs/>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41D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149507.11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7B8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18438.06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13C2">
            <w:pPr>
              <w:jc w:val="center"/>
              <w:rPr>
                <w:rFonts w:hint="eastAsia" w:ascii="仿宋" w:hAnsi="仿宋" w:eastAsia="仿宋" w:cs="仿宋"/>
                <w:b/>
                <w:bCs/>
                <w:i w:val="0"/>
                <w:iCs w:val="0"/>
                <w:color w:val="000000"/>
                <w:sz w:val="22"/>
                <w:szCs w:val="22"/>
                <w:u w:val="none"/>
              </w:rPr>
            </w:pPr>
          </w:p>
        </w:tc>
      </w:tr>
      <w:tr w14:paraId="4422B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2A76">
            <w:pPr>
              <w:jc w:val="center"/>
              <w:rPr>
                <w:rFonts w:hint="eastAsia" w:ascii="宋体" w:hAnsi="宋体" w:eastAsia="宋体" w:cs="宋体"/>
                <w:b/>
                <w:bCs/>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552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EF89">
            <w:pPr>
              <w:jc w:val="left"/>
              <w:rPr>
                <w:rFonts w:hint="eastAsia" w:ascii="宋体" w:hAnsi="宋体" w:eastAsia="宋体" w:cs="宋体"/>
                <w:b/>
                <w:bCs/>
                <w:i w:val="0"/>
                <w:iCs w:val="0"/>
                <w:color w:val="000000"/>
                <w:sz w:val="22"/>
                <w:szCs w:val="22"/>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AFA5">
            <w:pPr>
              <w:jc w:val="left"/>
              <w:rPr>
                <w:rFonts w:hint="eastAsia" w:ascii="宋体" w:hAnsi="宋体" w:eastAsia="宋体" w:cs="宋体"/>
                <w:b/>
                <w:bCs/>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67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2229111.7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47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361280.95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3AD3">
            <w:pPr>
              <w:jc w:val="center"/>
              <w:rPr>
                <w:rFonts w:hint="eastAsia" w:ascii="宋体" w:hAnsi="宋体" w:eastAsia="宋体" w:cs="宋体"/>
                <w:b/>
                <w:bCs/>
                <w:i w:val="0"/>
                <w:iCs w:val="0"/>
                <w:color w:val="000000"/>
                <w:sz w:val="22"/>
                <w:szCs w:val="22"/>
                <w:u w:val="none"/>
              </w:rPr>
            </w:pPr>
          </w:p>
        </w:tc>
      </w:tr>
    </w:tbl>
    <w:p w14:paraId="5281FA9C">
      <w:pPr>
        <w:rPr>
          <w:rFonts w:hint="eastAsia" w:ascii="宋体" w:hAnsi="宋体" w:eastAsia="宋体" w:cs="宋体"/>
          <w:b/>
          <w:sz w:val="30"/>
          <w:szCs w:val="30"/>
          <w:highlight w:val="yellow"/>
        </w:rPr>
      </w:pPr>
      <w:r>
        <w:rPr>
          <w:rFonts w:hint="eastAsia" w:ascii="宋体" w:hAnsi="宋体" w:eastAsia="宋体" w:cs="宋体"/>
          <w:b/>
          <w:sz w:val="30"/>
          <w:szCs w:val="30"/>
          <w:highlight w:val="yellow"/>
        </w:rPr>
        <w:br w:type="page"/>
      </w:r>
    </w:p>
    <w:tbl>
      <w:tblPr>
        <w:tblStyle w:val="29"/>
        <w:tblW w:w="82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2130"/>
        <w:gridCol w:w="1890"/>
        <w:gridCol w:w="1965"/>
        <w:gridCol w:w="1575"/>
      </w:tblGrid>
      <w:tr w14:paraId="2ED31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235" w:type="dxa"/>
            <w:gridSpan w:val="5"/>
            <w:tcBorders>
              <w:top w:val="nil"/>
              <w:left w:val="nil"/>
              <w:bottom w:val="nil"/>
              <w:right w:val="nil"/>
            </w:tcBorders>
            <w:shd w:val="clear" w:color="auto" w:fill="auto"/>
            <w:vAlign w:val="center"/>
          </w:tcPr>
          <w:p w14:paraId="60E4D23B">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二标段绿化带明细表</w:t>
            </w:r>
          </w:p>
        </w:tc>
      </w:tr>
      <w:tr w14:paraId="29534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2D4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40C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道路名称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E9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起始位置</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E8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终点位置</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4D4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绿化面积（㎡)</w:t>
            </w:r>
          </w:p>
        </w:tc>
      </w:tr>
      <w:tr w14:paraId="496A2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8B87">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B37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西湖大路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2A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富民大街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090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长沈公路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9D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239214</w:t>
            </w:r>
          </w:p>
        </w:tc>
      </w:tr>
      <w:tr w14:paraId="55860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48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B16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长沈路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68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警备路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B47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范家屯收费站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34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42900</w:t>
            </w:r>
          </w:p>
        </w:tc>
      </w:tr>
      <w:tr w14:paraId="619FE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1C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69A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丰越大路（乙六路）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248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前程路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92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甲二路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4F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28160</w:t>
            </w:r>
          </w:p>
        </w:tc>
      </w:tr>
      <w:tr w14:paraId="0486F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10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620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佳宝路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83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和谐大街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846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前程路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C9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68406</w:t>
            </w:r>
          </w:p>
        </w:tc>
      </w:tr>
      <w:tr w14:paraId="3D82B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B7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DBB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乙二街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276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乙三街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82A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丙七路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F0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1600</w:t>
            </w:r>
          </w:p>
        </w:tc>
      </w:tr>
      <w:tr w14:paraId="46522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8A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35A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首善大路（乙三街）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085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长沈路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226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腾飞大路延长段</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85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75149</w:t>
            </w:r>
          </w:p>
        </w:tc>
      </w:tr>
      <w:tr w14:paraId="27AA4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14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2130" w:type="dxa"/>
            <w:tcBorders>
              <w:top w:val="single" w:color="000000" w:sz="4" w:space="0"/>
              <w:left w:val="single" w:color="000000" w:sz="4" w:space="0"/>
              <w:bottom w:val="nil"/>
              <w:right w:val="single" w:color="000000" w:sz="4" w:space="0"/>
            </w:tcBorders>
            <w:shd w:val="clear" w:color="auto" w:fill="auto"/>
            <w:vAlign w:val="center"/>
          </w:tcPr>
          <w:p w14:paraId="18E8E6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东风大街桥下</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B60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首创大路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2F9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自主大路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E2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114429</w:t>
            </w:r>
          </w:p>
        </w:tc>
      </w:tr>
      <w:tr w14:paraId="5AE6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97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238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汽车大路无名路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B2C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汽车大路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8F7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道路南侧尽头</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AA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18805</w:t>
            </w:r>
          </w:p>
        </w:tc>
      </w:tr>
      <w:tr w14:paraId="242BD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6AA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14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富民大街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770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和谐大路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106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公主岭交界</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16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295097</w:t>
            </w:r>
          </w:p>
        </w:tc>
      </w:tr>
      <w:tr w14:paraId="28DA0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4BC45">
            <w:pPr>
              <w:jc w:val="center"/>
              <w:rPr>
                <w:rFonts w:hint="eastAsia" w:ascii="仿宋" w:hAnsi="仿宋" w:eastAsia="仿宋" w:cs="仿宋"/>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451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捷达大路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F34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大众街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C36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四环路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3A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95043</w:t>
            </w:r>
          </w:p>
        </w:tc>
      </w:tr>
      <w:tr w14:paraId="78904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6A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C15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凯达北街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761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富民大街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1FB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首创大路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2F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184505</w:t>
            </w:r>
          </w:p>
        </w:tc>
      </w:tr>
      <w:tr w14:paraId="0950D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17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118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旗胜街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202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新红旗大街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A1E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致尚街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87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15418</w:t>
            </w:r>
          </w:p>
        </w:tc>
      </w:tr>
      <w:tr w14:paraId="3038C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53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19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丙十街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923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支农大街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166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丙八路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0F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31086</w:t>
            </w:r>
          </w:p>
        </w:tc>
      </w:tr>
      <w:tr w14:paraId="12B69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6A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7C8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富奥大路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209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警备路西200米</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DFF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大众街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8D5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63974.4</w:t>
            </w:r>
          </w:p>
        </w:tc>
      </w:tr>
      <w:tr w14:paraId="4C315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49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CBD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前程路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1BF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长沈路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17D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新红旗大街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38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94730.97</w:t>
            </w:r>
          </w:p>
        </w:tc>
      </w:tr>
      <w:tr w14:paraId="64F38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D0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3FB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西湖小学旁无名路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5F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大众街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2089">
            <w:pPr>
              <w:jc w:val="left"/>
              <w:rPr>
                <w:rFonts w:hint="eastAsia" w:ascii="仿宋" w:hAnsi="仿宋" w:eastAsia="仿宋" w:cs="仿宋"/>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94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97662</w:t>
            </w:r>
          </w:p>
        </w:tc>
      </w:tr>
      <w:tr w14:paraId="6286C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10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2130" w:type="dxa"/>
            <w:tcBorders>
              <w:top w:val="single" w:color="000000" w:sz="4" w:space="0"/>
              <w:left w:val="single" w:color="000000" w:sz="4" w:space="0"/>
              <w:bottom w:val="nil"/>
              <w:right w:val="single" w:color="000000" w:sz="4" w:space="0"/>
            </w:tcBorders>
            <w:shd w:val="clear" w:color="auto" w:fill="auto"/>
            <w:vAlign w:val="center"/>
          </w:tcPr>
          <w:p w14:paraId="6B30B94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丙三十三</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7E4F">
            <w:pPr>
              <w:jc w:val="left"/>
              <w:rPr>
                <w:rFonts w:hint="eastAsia" w:ascii="仿宋" w:hAnsi="仿宋" w:eastAsia="仿宋" w:cs="仿宋"/>
                <w:i w:val="0"/>
                <w:iCs w:val="0"/>
                <w:color w:val="000000"/>
                <w:sz w:val="22"/>
                <w:szCs w:val="22"/>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2C1A">
            <w:pPr>
              <w:jc w:val="left"/>
              <w:rPr>
                <w:rFonts w:hint="eastAsia" w:ascii="仿宋" w:hAnsi="仿宋" w:eastAsia="仿宋" w:cs="仿宋"/>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B9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7417.8</w:t>
            </w:r>
          </w:p>
        </w:tc>
      </w:tr>
      <w:tr w14:paraId="08E56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FA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D7F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荣平街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C68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威乐路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86F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EB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30032</w:t>
            </w:r>
          </w:p>
        </w:tc>
      </w:tr>
      <w:tr w14:paraId="0009D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4B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CD5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汽开区管委会周边</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6B03">
            <w:pPr>
              <w:jc w:val="left"/>
              <w:rPr>
                <w:rFonts w:hint="eastAsia" w:ascii="仿宋" w:hAnsi="仿宋" w:eastAsia="仿宋" w:cs="仿宋"/>
                <w:i w:val="0"/>
                <w:iCs w:val="0"/>
                <w:color w:val="000000"/>
                <w:sz w:val="22"/>
                <w:szCs w:val="22"/>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2A39">
            <w:pPr>
              <w:jc w:val="left"/>
              <w:rPr>
                <w:rFonts w:hint="eastAsia" w:ascii="仿宋" w:hAnsi="仿宋" w:eastAsia="仿宋" w:cs="仿宋"/>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56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11085</w:t>
            </w:r>
          </w:p>
        </w:tc>
      </w:tr>
      <w:tr w14:paraId="5B25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86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F62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威姿街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11D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东风大街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49F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首创大路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B3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4031</w:t>
            </w:r>
          </w:p>
        </w:tc>
      </w:tr>
      <w:tr w14:paraId="70DCE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52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E03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首创大路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806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大众街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2F4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西湖大路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3C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84937</w:t>
            </w:r>
          </w:p>
        </w:tc>
      </w:tr>
      <w:tr w14:paraId="21BF7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F2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B63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西昌路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909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首创大路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D9B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威姿街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99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21684</w:t>
            </w:r>
          </w:p>
        </w:tc>
      </w:tr>
      <w:tr w14:paraId="6CE45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06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A88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高尔夫路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E79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西湖大路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3FD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大众街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A5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18720</w:t>
            </w:r>
          </w:p>
        </w:tc>
      </w:tr>
      <w:tr w14:paraId="3C477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0B0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710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腾飞南路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FF9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奔腾街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A76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大众街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07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34760</w:t>
            </w:r>
          </w:p>
        </w:tc>
      </w:tr>
      <w:tr w14:paraId="1E34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33856">
            <w:pPr>
              <w:jc w:val="center"/>
              <w:rPr>
                <w:rFonts w:hint="eastAsia" w:ascii="仿宋" w:hAnsi="仿宋" w:eastAsia="仿宋" w:cs="仿宋"/>
                <w:i w:val="0"/>
                <w:iCs w:val="0"/>
                <w:color w:val="000000"/>
                <w:sz w:val="22"/>
                <w:szCs w:val="22"/>
                <w:u w:val="none"/>
              </w:rPr>
            </w:pPr>
          </w:p>
        </w:tc>
        <w:tc>
          <w:tcPr>
            <w:tcW w:w="2130" w:type="dxa"/>
            <w:tcBorders>
              <w:top w:val="single" w:color="000000" w:sz="4" w:space="0"/>
              <w:left w:val="single" w:color="000000" w:sz="4" w:space="0"/>
              <w:bottom w:val="nil"/>
              <w:right w:val="single" w:color="000000" w:sz="4" w:space="0"/>
            </w:tcBorders>
            <w:shd w:val="clear" w:color="auto" w:fill="auto"/>
            <w:vAlign w:val="center"/>
          </w:tcPr>
          <w:p w14:paraId="4810D80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长虹大路（丙八路）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056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凯达北街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B03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大众街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D0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18480</w:t>
            </w:r>
          </w:p>
        </w:tc>
      </w:tr>
      <w:tr w14:paraId="76310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8E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BF2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大众西街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6A5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富学路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C02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东风大街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CE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132235</w:t>
            </w:r>
          </w:p>
        </w:tc>
      </w:tr>
      <w:tr w14:paraId="3B41C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B6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2130" w:type="dxa"/>
            <w:tcBorders>
              <w:top w:val="single" w:color="000000" w:sz="4" w:space="0"/>
              <w:left w:val="single" w:color="000000" w:sz="4" w:space="0"/>
              <w:bottom w:val="nil"/>
              <w:right w:val="single" w:color="000000" w:sz="4" w:space="0"/>
            </w:tcBorders>
            <w:shd w:val="clear" w:color="auto" w:fill="auto"/>
            <w:vAlign w:val="center"/>
          </w:tcPr>
          <w:p w14:paraId="75F0120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丰硕路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89E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丰采街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ECA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前程路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D1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29018</w:t>
            </w:r>
          </w:p>
        </w:tc>
      </w:tr>
      <w:tr w14:paraId="46202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83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97F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建达路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EE9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星宇街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E62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和谐大街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0C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45754</w:t>
            </w:r>
          </w:p>
        </w:tc>
      </w:tr>
      <w:tr w14:paraId="1DAD0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40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BF3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海棠湾公园</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D84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和谐大街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30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骏派街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80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65841</w:t>
            </w:r>
          </w:p>
        </w:tc>
      </w:tr>
      <w:tr w14:paraId="1C485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B3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D76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骏派街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87A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森雅路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7A7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佳宝路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81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16820</w:t>
            </w:r>
          </w:p>
        </w:tc>
      </w:tr>
      <w:tr w14:paraId="22AA3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80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5DF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西新水库</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999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西湖大路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D29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富民大路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27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5880</w:t>
            </w:r>
          </w:p>
        </w:tc>
      </w:tr>
      <w:tr w14:paraId="51BA3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A6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05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雷家沟</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17A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西新水库</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281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新凯河</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CD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28990</w:t>
            </w:r>
          </w:p>
        </w:tc>
      </w:tr>
      <w:tr w14:paraId="14AAE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74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739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首善大路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6D8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丙八路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D94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东风大街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EB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5775</w:t>
            </w:r>
          </w:p>
        </w:tc>
      </w:tr>
      <w:tr w14:paraId="5D1AF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C2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7D5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乙三路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23A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乙三街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0F4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前程路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9E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2130</w:t>
            </w:r>
          </w:p>
        </w:tc>
      </w:tr>
      <w:tr w14:paraId="568E2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D9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49C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乙七街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7A2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既有乙七街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EEC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桥头</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0C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260</w:t>
            </w:r>
          </w:p>
        </w:tc>
      </w:tr>
      <w:tr w14:paraId="0DE04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3F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ED3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丰采街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DD2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建达路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804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长沈路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8C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1433</w:t>
            </w:r>
          </w:p>
        </w:tc>
      </w:tr>
      <w:tr w14:paraId="3E49F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CF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829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乙一路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619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丙一街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0EA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乙三街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63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2190</w:t>
            </w:r>
          </w:p>
        </w:tc>
      </w:tr>
      <w:tr w14:paraId="0579A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7C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43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常兴街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D1E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支农大街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B9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自主大路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77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2419</w:t>
            </w:r>
          </w:p>
        </w:tc>
      </w:tr>
      <w:tr w14:paraId="6E68B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D6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BC8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宝来街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728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腾飞大路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977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长沈公路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64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25920</w:t>
            </w:r>
          </w:p>
        </w:tc>
      </w:tr>
      <w:tr w14:paraId="3B962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A6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6B7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威驰街（丙七街）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5BC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捷达大路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48F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富民大街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07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18700</w:t>
            </w:r>
          </w:p>
        </w:tc>
      </w:tr>
      <w:tr w14:paraId="00289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A4A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22C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夏利路（丙七路）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BF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丙七街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2A8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丙八街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96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7977</w:t>
            </w:r>
          </w:p>
        </w:tc>
      </w:tr>
      <w:tr w14:paraId="4C0E2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CC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0D6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自达大街（丙八街）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F7B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捷达大路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957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富民大路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41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18480</w:t>
            </w:r>
          </w:p>
        </w:tc>
      </w:tr>
      <w:tr w14:paraId="56564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F9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834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丙九路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583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大众街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52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凯达北街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8C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22440</w:t>
            </w:r>
          </w:p>
        </w:tc>
      </w:tr>
      <w:tr w14:paraId="546C9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E1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32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明达路（丙十五路）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1A6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兴顺路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2B3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丙二十一街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D4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1141</w:t>
            </w:r>
          </w:p>
        </w:tc>
      </w:tr>
      <w:tr w14:paraId="24E3F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99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6FB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丰富路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4ED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丰采街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F57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丰业街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EE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14726</w:t>
            </w:r>
          </w:p>
        </w:tc>
      </w:tr>
      <w:tr w14:paraId="2156A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2A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4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CF98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自主大路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C902">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大众街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D34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15386</w:t>
            </w:r>
          </w:p>
        </w:tc>
      </w:tr>
      <w:tr w14:paraId="3DF8D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A9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64D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丰采街（丙四十二路）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88E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丰越大路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BF1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腾飞大路延长段</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0C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50387</w:t>
            </w:r>
          </w:p>
        </w:tc>
      </w:tr>
      <w:tr w14:paraId="51300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32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7C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丙三十路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0C4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富民大街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DA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道路尽头</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40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9902</w:t>
            </w:r>
          </w:p>
        </w:tc>
      </w:tr>
      <w:tr w14:paraId="52F6F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58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BFB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威志街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924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新红旗大街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016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佳宝路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FB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7749</w:t>
            </w:r>
          </w:p>
        </w:tc>
      </w:tr>
      <w:tr w14:paraId="38CD5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A3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A0C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无名路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148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佳宝路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FC3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西侧交汇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BD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20495</w:t>
            </w:r>
          </w:p>
        </w:tc>
      </w:tr>
      <w:tr w14:paraId="3B8E4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ED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E2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丰发街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E31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丰越大路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CF8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建达路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10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9667</w:t>
            </w:r>
          </w:p>
        </w:tc>
      </w:tr>
      <w:tr w14:paraId="1868A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F8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A62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佳森街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9A6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佳宝路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88A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森雅路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80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5589</w:t>
            </w:r>
          </w:p>
        </w:tc>
      </w:tr>
      <w:tr w14:paraId="49D78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78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10C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丙十八街（威志街）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D77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乙三路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689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丙七路（森雅路未修段）</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40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966</w:t>
            </w:r>
          </w:p>
        </w:tc>
      </w:tr>
      <w:tr w14:paraId="4E083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41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004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丙十九街（佳森路）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27A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丙七路（森雅路）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7D4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丙八路（佳宝路）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57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1140</w:t>
            </w:r>
          </w:p>
        </w:tc>
      </w:tr>
      <w:tr w14:paraId="7B059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4C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AD4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佳森路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281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森雅路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3ED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未修路段</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62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1050</w:t>
            </w:r>
          </w:p>
        </w:tc>
      </w:tr>
      <w:tr w14:paraId="5BAFB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EE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A6C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丙三路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B7A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丙一街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64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乙三街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C7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2497</w:t>
            </w:r>
          </w:p>
        </w:tc>
      </w:tr>
      <w:tr w14:paraId="4E7E6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E6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D1B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丙七路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515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乙二街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220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威志街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B9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6699</w:t>
            </w:r>
          </w:p>
        </w:tc>
      </w:tr>
      <w:tr w14:paraId="6A856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C8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2130" w:type="dxa"/>
            <w:tcBorders>
              <w:top w:val="single" w:color="000000" w:sz="4" w:space="0"/>
              <w:left w:val="single" w:color="000000" w:sz="4" w:space="0"/>
              <w:bottom w:val="nil"/>
              <w:right w:val="single" w:color="000000" w:sz="4" w:space="0"/>
            </w:tcBorders>
            <w:shd w:val="clear" w:color="auto" w:fill="auto"/>
            <w:vAlign w:val="center"/>
          </w:tcPr>
          <w:p w14:paraId="725733C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万达小路(荣平街)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467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威乐路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266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25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1121</w:t>
            </w:r>
          </w:p>
        </w:tc>
      </w:tr>
      <w:tr w14:paraId="0CF37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3E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2EB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致尚路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F80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骏派街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C80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首善大路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09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17712</w:t>
            </w:r>
          </w:p>
        </w:tc>
      </w:tr>
      <w:tr w14:paraId="0851F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3B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2130" w:type="dxa"/>
            <w:tcBorders>
              <w:top w:val="single" w:color="000000" w:sz="4" w:space="0"/>
              <w:left w:val="single" w:color="000000" w:sz="4" w:space="0"/>
              <w:bottom w:val="nil"/>
              <w:right w:val="single" w:color="000000" w:sz="4" w:space="0"/>
            </w:tcBorders>
            <w:shd w:val="clear" w:color="auto" w:fill="auto"/>
            <w:vAlign w:val="center"/>
          </w:tcPr>
          <w:p w14:paraId="01B03C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无名路（日新家园4期中间路段）</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37F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旗胜街交汇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C66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6B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16437</w:t>
            </w:r>
          </w:p>
        </w:tc>
      </w:tr>
      <w:tr w14:paraId="7F22F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40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c>
          <w:tcPr>
            <w:tcW w:w="2130" w:type="dxa"/>
            <w:tcBorders>
              <w:top w:val="single" w:color="000000" w:sz="4" w:space="0"/>
              <w:left w:val="single" w:color="000000" w:sz="4" w:space="0"/>
              <w:bottom w:val="nil"/>
              <w:right w:val="single" w:color="000000" w:sz="4" w:space="0"/>
            </w:tcBorders>
            <w:shd w:val="clear" w:color="auto" w:fill="auto"/>
            <w:vAlign w:val="center"/>
          </w:tcPr>
          <w:p w14:paraId="74E692E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无名路（丰业街）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DBC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丰硕路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67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61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14200</w:t>
            </w:r>
          </w:p>
        </w:tc>
      </w:tr>
      <w:tr w14:paraId="48E31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5F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FC4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无名路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903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西新大街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713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富民大街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B2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600</w:t>
            </w:r>
          </w:p>
        </w:tc>
      </w:tr>
      <w:tr w14:paraId="04AD9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B4D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88A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无名路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C5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警备路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F5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无名路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75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4920</w:t>
            </w:r>
          </w:p>
        </w:tc>
      </w:tr>
      <w:tr w14:paraId="67197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C3BD5">
            <w:pPr>
              <w:jc w:val="center"/>
              <w:rPr>
                <w:rFonts w:hint="eastAsia" w:ascii="仿宋" w:hAnsi="仿宋" w:eastAsia="仿宋" w:cs="仿宋"/>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C1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中铁城三侧无名路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016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大众街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F58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富民大街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F6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51801</w:t>
            </w:r>
          </w:p>
        </w:tc>
      </w:tr>
      <w:tr w14:paraId="3FC0D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B3A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5C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森雅路口袋公园</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AFC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森雅路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9A0B">
            <w:pPr>
              <w:jc w:val="left"/>
              <w:rPr>
                <w:rFonts w:hint="eastAsia" w:ascii="仿宋" w:hAnsi="仿宋" w:eastAsia="仿宋" w:cs="仿宋"/>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35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4377</w:t>
            </w:r>
          </w:p>
        </w:tc>
      </w:tr>
      <w:tr w14:paraId="5620C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6B6EB">
            <w:pPr>
              <w:jc w:val="center"/>
              <w:rPr>
                <w:rFonts w:hint="eastAsia" w:ascii="仿宋" w:hAnsi="仿宋" w:eastAsia="仿宋" w:cs="仿宋"/>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94C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规划一路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6F7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腾飞大路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156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原丙二十一路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B8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2199</w:t>
            </w:r>
          </w:p>
        </w:tc>
      </w:tr>
      <w:tr w14:paraId="54DD2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00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65E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丙二十路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7A6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乙三路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6E7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丙十八街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79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1191</w:t>
            </w:r>
          </w:p>
        </w:tc>
      </w:tr>
      <w:tr w14:paraId="4E69A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13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417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丙二街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6CB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乙一路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84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丙三路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B2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1506</w:t>
            </w:r>
          </w:p>
        </w:tc>
      </w:tr>
      <w:tr w14:paraId="0DED5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7A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1E0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北前程路方砖</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198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汽车大路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798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新红旗大街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81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38533</w:t>
            </w:r>
          </w:p>
        </w:tc>
      </w:tr>
      <w:tr w14:paraId="68AE9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66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c>
          <w:tcPr>
            <w:tcW w:w="2130" w:type="dxa"/>
            <w:vMerge w:val="restart"/>
            <w:tcBorders>
              <w:top w:val="single" w:color="000000" w:sz="4" w:space="0"/>
              <w:left w:val="single" w:color="000000" w:sz="4" w:space="0"/>
              <w:bottom w:val="nil"/>
              <w:right w:val="single" w:color="000000" w:sz="4" w:space="0"/>
            </w:tcBorders>
            <w:shd w:val="clear" w:color="auto" w:fill="auto"/>
            <w:vAlign w:val="center"/>
          </w:tcPr>
          <w:p w14:paraId="2352E49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丙六街（佳兴路）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8C1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富奥大路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D9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铸造路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68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3040</w:t>
            </w:r>
          </w:p>
        </w:tc>
      </w:tr>
      <w:tr w14:paraId="7D540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D0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w:t>
            </w:r>
          </w:p>
        </w:tc>
        <w:tc>
          <w:tcPr>
            <w:tcW w:w="2130" w:type="dxa"/>
            <w:vMerge w:val="continue"/>
            <w:tcBorders>
              <w:top w:val="single" w:color="000000" w:sz="4" w:space="0"/>
              <w:left w:val="single" w:color="000000" w:sz="4" w:space="0"/>
              <w:bottom w:val="nil"/>
              <w:right w:val="single" w:color="000000" w:sz="4" w:space="0"/>
            </w:tcBorders>
            <w:shd w:val="clear" w:color="auto" w:fill="auto"/>
            <w:vAlign w:val="center"/>
          </w:tcPr>
          <w:p w14:paraId="1862A9DE">
            <w:pPr>
              <w:jc w:val="left"/>
              <w:rPr>
                <w:rFonts w:hint="eastAsia" w:ascii="仿宋" w:hAnsi="仿宋" w:eastAsia="仿宋" w:cs="仿宋"/>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E45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西湖大路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019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大众街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E7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16575</w:t>
            </w:r>
          </w:p>
        </w:tc>
      </w:tr>
      <w:tr w14:paraId="307FE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8F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9D8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无名路（旭辉理想城）（丙二十路）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688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威志街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2F5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乙三路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D9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1191.92</w:t>
            </w:r>
          </w:p>
        </w:tc>
      </w:tr>
      <w:tr w14:paraId="6135A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AA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966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西桥物流通道延长段1(乙一路)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81B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西桥物流通道</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A1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西侧尽头</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3E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4688.7</w:t>
            </w:r>
          </w:p>
        </w:tc>
      </w:tr>
      <w:tr w14:paraId="710B8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1C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74</w:t>
            </w:r>
          </w:p>
        </w:tc>
        <w:tc>
          <w:tcPr>
            <w:tcW w:w="2130" w:type="dxa"/>
            <w:tcBorders>
              <w:top w:val="single" w:color="000000" w:sz="4" w:space="0"/>
              <w:left w:val="single" w:color="000000" w:sz="4" w:space="0"/>
              <w:bottom w:val="nil"/>
              <w:right w:val="single" w:color="000000" w:sz="4" w:space="0"/>
            </w:tcBorders>
            <w:shd w:val="clear" w:color="auto" w:fill="auto"/>
            <w:vAlign w:val="center"/>
          </w:tcPr>
          <w:p w14:paraId="2587C3B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西桥物流通道延长段3（丙二路）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F15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西桥物流通道</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5BE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西侧尽头</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B8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1506.28</w:t>
            </w:r>
          </w:p>
        </w:tc>
      </w:tr>
      <w:tr w14:paraId="65A27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C0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w:t>
            </w:r>
          </w:p>
        </w:tc>
        <w:tc>
          <w:tcPr>
            <w:tcW w:w="2130" w:type="dxa"/>
            <w:tcBorders>
              <w:top w:val="single" w:color="000000" w:sz="4" w:space="0"/>
              <w:left w:val="single" w:color="000000" w:sz="4" w:space="0"/>
              <w:bottom w:val="nil"/>
              <w:right w:val="single" w:color="000000" w:sz="4" w:space="0"/>
            </w:tcBorders>
            <w:shd w:val="clear" w:color="auto" w:fill="auto"/>
            <w:vAlign w:val="center"/>
          </w:tcPr>
          <w:p w14:paraId="438A870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小区一街</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52D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富民大路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671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中铁逸湖北侧无名路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9E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13810</w:t>
            </w:r>
          </w:p>
        </w:tc>
      </w:tr>
      <w:tr w14:paraId="3B1DD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C7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76</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C70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无名路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787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富民大街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AD5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望湖路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C8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3680</w:t>
            </w:r>
          </w:p>
        </w:tc>
      </w:tr>
      <w:tr w14:paraId="3F73E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84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2B3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无名路</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18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宝来街</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9D9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西湖大路</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7D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705</w:t>
            </w:r>
          </w:p>
        </w:tc>
      </w:tr>
      <w:tr w14:paraId="21467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EED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78</w:t>
            </w:r>
          </w:p>
        </w:tc>
        <w:tc>
          <w:tcPr>
            <w:tcW w:w="4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265A1">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为民路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D988">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新红旗大街</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FEB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3062.5</w:t>
            </w:r>
          </w:p>
        </w:tc>
      </w:tr>
      <w:tr w14:paraId="14CA6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F1C5">
            <w:pPr>
              <w:jc w:val="center"/>
              <w:rPr>
                <w:rFonts w:hint="eastAsia" w:ascii="仿宋" w:hAnsi="仿宋" w:eastAsia="仿宋" w:cs="仿宋"/>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F55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合计</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EC85">
            <w:pPr>
              <w:jc w:val="left"/>
              <w:rPr>
                <w:rFonts w:hint="eastAsia" w:ascii="仿宋" w:hAnsi="仿宋" w:eastAsia="仿宋" w:cs="仿宋"/>
                <w:i w:val="0"/>
                <w:iCs w:val="0"/>
                <w:color w:val="000000"/>
                <w:sz w:val="22"/>
                <w:szCs w:val="22"/>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A499">
            <w:pPr>
              <w:jc w:val="left"/>
              <w:rPr>
                <w:rFonts w:hint="eastAsia" w:ascii="仿宋" w:hAnsi="仿宋" w:eastAsia="仿宋" w:cs="仿宋"/>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15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2479838.57</w:t>
            </w:r>
          </w:p>
        </w:tc>
      </w:tr>
    </w:tbl>
    <w:p w14:paraId="518B0E00">
      <w:pPr>
        <w:rPr>
          <w:rFonts w:hint="eastAsia" w:ascii="宋体" w:hAnsi="宋体" w:eastAsia="宋体" w:cs="宋体"/>
          <w:b/>
          <w:sz w:val="30"/>
          <w:szCs w:val="30"/>
          <w:highlight w:val="yellow"/>
        </w:rPr>
      </w:pPr>
      <w:r>
        <w:rPr>
          <w:rFonts w:hint="eastAsia" w:ascii="宋体" w:hAnsi="宋体" w:eastAsia="宋体" w:cs="宋体"/>
          <w:b/>
          <w:sz w:val="30"/>
          <w:szCs w:val="30"/>
          <w:highlight w:val="yellow"/>
        </w:rPr>
        <w:br w:type="page"/>
      </w:r>
    </w:p>
    <w:p w14:paraId="6709C4AD">
      <w:pPr>
        <w:rPr>
          <w:rFonts w:hint="eastAsia" w:ascii="宋体" w:hAnsi="宋体" w:eastAsia="宋体" w:cs="宋体"/>
          <w:b/>
          <w:sz w:val="30"/>
          <w:szCs w:val="30"/>
          <w:highlight w:val="yellow"/>
        </w:rPr>
      </w:pPr>
    </w:p>
    <w:p w14:paraId="0355952F">
      <w:pPr>
        <w:rPr>
          <w:rFonts w:hint="eastAsia" w:ascii="宋体" w:hAnsi="宋体" w:eastAsia="宋体" w:cs="宋体"/>
          <w:b/>
          <w:sz w:val="30"/>
          <w:szCs w:val="30"/>
          <w:highlight w:val="yellow"/>
        </w:rPr>
      </w:pPr>
    </w:p>
    <w:p w14:paraId="36A3F495">
      <w:pPr>
        <w:spacing w:line="360" w:lineRule="auto"/>
        <w:jc w:val="center"/>
        <w:rPr>
          <w:rFonts w:hint="eastAsia" w:ascii="宋体" w:hAnsi="宋体" w:eastAsia="宋体" w:cs="宋体"/>
          <w:b/>
          <w:sz w:val="24"/>
          <w:szCs w:val="24"/>
          <w:highlight w:val="yellow"/>
          <w:lang w:val="en-US" w:eastAsia="zh-CN"/>
        </w:rPr>
      </w:pPr>
      <w:r>
        <w:rPr>
          <w:rFonts w:hint="eastAsia" w:ascii="宋体" w:hAnsi="宋体" w:eastAsia="宋体" w:cs="宋体"/>
          <w:b/>
          <w:sz w:val="30"/>
          <w:szCs w:val="30"/>
          <w:highlight w:val="yellow"/>
        </w:rPr>
        <w:t>长春汽车经济技术开发区</w:t>
      </w:r>
      <w:r>
        <w:rPr>
          <w:rFonts w:hint="eastAsia" w:ascii="宋体" w:hAnsi="宋体" w:eastAsia="宋体" w:cs="宋体"/>
          <w:b/>
          <w:sz w:val="30"/>
          <w:szCs w:val="30"/>
          <w:highlight w:val="yellow"/>
          <w:lang w:val="en-US" w:eastAsia="zh-CN"/>
        </w:rPr>
        <w:t>环境卫生管理</w:t>
      </w:r>
    </w:p>
    <w:p w14:paraId="64500AA4">
      <w:pPr>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val="en-US" w:eastAsia="zh-CN"/>
        </w:rPr>
        <w:t>量化考核标准</w:t>
      </w:r>
    </w:p>
    <w:p w14:paraId="319D137E">
      <w:pPr>
        <w:spacing w:line="360" w:lineRule="auto"/>
        <w:jc w:val="center"/>
        <w:rPr>
          <w:rFonts w:hint="eastAsia" w:ascii="宋体" w:hAnsi="宋体" w:eastAsia="宋体" w:cs="宋体"/>
          <w:b/>
          <w:sz w:val="24"/>
          <w:szCs w:val="24"/>
        </w:rPr>
      </w:pPr>
    </w:p>
    <w:p w14:paraId="097D7DDC">
      <w:pPr>
        <w:spacing w:line="360" w:lineRule="auto"/>
        <w:rPr>
          <w:rFonts w:hint="eastAsia" w:ascii="宋体" w:hAnsi="宋体" w:eastAsia="宋体" w:cs="宋体"/>
          <w:b/>
          <w:sz w:val="24"/>
          <w:szCs w:val="24"/>
        </w:rPr>
      </w:pPr>
      <w:r>
        <w:rPr>
          <w:rFonts w:hint="eastAsia" w:ascii="宋体" w:hAnsi="宋体" w:eastAsia="宋体" w:cs="宋体"/>
          <w:b/>
          <w:sz w:val="24"/>
          <w:szCs w:val="24"/>
        </w:rPr>
        <w:t>一、扫保作业</w:t>
      </w:r>
    </w:p>
    <w:p w14:paraId="5A21CBC0">
      <w:pPr>
        <w:spacing w:line="360" w:lineRule="auto"/>
        <w:rPr>
          <w:rFonts w:hint="eastAsia" w:ascii="宋体" w:hAnsi="宋体" w:eastAsia="宋体" w:cs="宋体"/>
          <w:sz w:val="24"/>
          <w:szCs w:val="24"/>
        </w:rPr>
      </w:pPr>
      <w:r>
        <w:rPr>
          <w:rFonts w:hint="eastAsia" w:ascii="宋体" w:hAnsi="宋体" w:eastAsia="宋体" w:cs="宋体"/>
          <w:sz w:val="24"/>
          <w:szCs w:val="24"/>
        </w:rPr>
        <w:t>1.1  各级街路清扫保洁质量要达到六根净（桥梁根净、路牙根净、墙根净、树根（隔离带）净、电柱根净、护栏根净），街路、居民区等公共区域垃圾杂物滞留量及滞留时间应符合标准，未达到标准的，每出现一项，一级街路扣0.3分，二级街路扣0.2分，三、四级街路扣0.1分。（地下人行通道地面和人行天桥桥面的保洁标准应与一级道路保洁标准相同。）</w:t>
      </w:r>
    </w:p>
    <w:tbl>
      <w:tblPr>
        <w:tblStyle w:val="29"/>
        <w:tblpPr w:leftFromText="180" w:rightFromText="180" w:vertAnchor="text" w:horzAnchor="page" w:tblpXSpec="center" w:tblpY="362"/>
        <w:tblOverlap w:val="never"/>
        <w:tblW w:w="571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2275"/>
        <w:gridCol w:w="2275"/>
        <w:gridCol w:w="2275"/>
        <w:gridCol w:w="2279"/>
      </w:tblGrid>
      <w:tr w14:paraId="4E43A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99" w:type="pct"/>
            <w:tcBorders>
              <w:top w:val="single" w:color="auto" w:sz="12" w:space="0"/>
            </w:tcBorders>
            <w:noWrap w:val="0"/>
            <w:vAlign w:val="center"/>
          </w:tcPr>
          <w:p w14:paraId="41CF8691">
            <w:pPr>
              <w:widowControl/>
              <w:spacing w:line="6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废弃物(每千平方米)</w:t>
            </w:r>
          </w:p>
        </w:tc>
        <w:tc>
          <w:tcPr>
            <w:tcW w:w="999" w:type="pct"/>
            <w:tcBorders>
              <w:top w:val="single" w:color="auto" w:sz="12" w:space="0"/>
            </w:tcBorders>
            <w:noWrap w:val="0"/>
            <w:vAlign w:val="center"/>
          </w:tcPr>
          <w:p w14:paraId="6CE7A23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一级街路</w:t>
            </w:r>
          </w:p>
          <w:p w14:paraId="23AE559C">
            <w:pPr>
              <w:widowControl/>
              <w:jc w:val="center"/>
              <w:rPr>
                <w:rFonts w:hint="eastAsia" w:ascii="宋体" w:hAnsi="宋体" w:eastAsia="宋体" w:cs="宋体"/>
                <w:sz w:val="24"/>
                <w:szCs w:val="24"/>
              </w:rPr>
            </w:pPr>
            <w:r>
              <w:rPr>
                <w:rFonts w:hint="eastAsia" w:ascii="宋体" w:hAnsi="宋体" w:eastAsia="宋体" w:cs="宋体"/>
                <w:kern w:val="0"/>
                <w:sz w:val="24"/>
                <w:szCs w:val="24"/>
              </w:rPr>
              <w:t>（最长滞留15分钟）</w:t>
            </w:r>
          </w:p>
        </w:tc>
        <w:tc>
          <w:tcPr>
            <w:tcW w:w="999" w:type="pct"/>
            <w:tcBorders>
              <w:top w:val="single" w:color="auto" w:sz="12" w:space="0"/>
            </w:tcBorders>
            <w:noWrap w:val="0"/>
            <w:vAlign w:val="center"/>
          </w:tcPr>
          <w:p w14:paraId="6169AA2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二级街路</w:t>
            </w:r>
          </w:p>
          <w:p w14:paraId="7A36160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（最长滞留30分钟）</w:t>
            </w:r>
          </w:p>
        </w:tc>
        <w:tc>
          <w:tcPr>
            <w:tcW w:w="999" w:type="pct"/>
            <w:tcBorders>
              <w:top w:val="single" w:color="auto" w:sz="12" w:space="0"/>
            </w:tcBorders>
            <w:noWrap w:val="0"/>
            <w:vAlign w:val="center"/>
          </w:tcPr>
          <w:p w14:paraId="3AC5E2F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三级街路</w:t>
            </w:r>
          </w:p>
          <w:p w14:paraId="2670CBD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（最长滞留30分钟）</w:t>
            </w:r>
          </w:p>
        </w:tc>
        <w:tc>
          <w:tcPr>
            <w:tcW w:w="1001" w:type="pct"/>
            <w:tcBorders>
              <w:top w:val="single" w:color="auto" w:sz="12" w:space="0"/>
            </w:tcBorders>
            <w:noWrap w:val="0"/>
            <w:vAlign w:val="center"/>
          </w:tcPr>
          <w:p w14:paraId="4D34D25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背街小巷及居民区</w:t>
            </w:r>
          </w:p>
          <w:p w14:paraId="2867DD6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（最长滞留1小时）</w:t>
            </w:r>
          </w:p>
        </w:tc>
      </w:tr>
      <w:tr w14:paraId="081807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4" w:hRule="exact"/>
          <w:jc w:val="center"/>
        </w:trPr>
        <w:tc>
          <w:tcPr>
            <w:tcW w:w="999" w:type="pct"/>
            <w:noWrap w:val="0"/>
            <w:vAlign w:val="center"/>
          </w:tcPr>
          <w:p w14:paraId="12411EB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果皮（片）</w:t>
            </w:r>
          </w:p>
        </w:tc>
        <w:tc>
          <w:tcPr>
            <w:tcW w:w="999" w:type="pct"/>
            <w:noWrap w:val="0"/>
            <w:vAlign w:val="center"/>
          </w:tcPr>
          <w:p w14:paraId="16B7192B">
            <w:pPr>
              <w:widowControl/>
              <w:jc w:val="center"/>
              <w:rPr>
                <w:rFonts w:hint="eastAsia" w:ascii="宋体" w:hAnsi="宋体" w:eastAsia="宋体" w:cs="宋体"/>
                <w:sz w:val="24"/>
                <w:szCs w:val="24"/>
              </w:rPr>
            </w:pPr>
            <w:r>
              <w:rPr>
                <w:rFonts w:hint="eastAsia" w:ascii="宋体" w:hAnsi="宋体" w:eastAsia="宋体" w:cs="宋体"/>
                <w:kern w:val="0"/>
                <w:sz w:val="24"/>
                <w:szCs w:val="24"/>
              </w:rPr>
              <w:t>≤4</w:t>
            </w:r>
          </w:p>
        </w:tc>
        <w:tc>
          <w:tcPr>
            <w:tcW w:w="999" w:type="pct"/>
            <w:noWrap w:val="0"/>
            <w:vAlign w:val="center"/>
          </w:tcPr>
          <w:p w14:paraId="05341B6C">
            <w:pPr>
              <w:widowControl/>
              <w:jc w:val="center"/>
              <w:rPr>
                <w:rFonts w:hint="eastAsia" w:ascii="宋体" w:hAnsi="宋体" w:eastAsia="宋体" w:cs="宋体"/>
                <w:sz w:val="24"/>
                <w:szCs w:val="24"/>
              </w:rPr>
            </w:pPr>
            <w:r>
              <w:rPr>
                <w:rFonts w:hint="eastAsia" w:ascii="宋体" w:hAnsi="宋体" w:eastAsia="宋体" w:cs="宋体"/>
                <w:kern w:val="0"/>
                <w:sz w:val="24"/>
                <w:szCs w:val="24"/>
              </w:rPr>
              <w:t>≤6</w:t>
            </w:r>
          </w:p>
        </w:tc>
        <w:tc>
          <w:tcPr>
            <w:tcW w:w="999" w:type="pct"/>
            <w:noWrap w:val="0"/>
            <w:vAlign w:val="center"/>
          </w:tcPr>
          <w:p w14:paraId="5F21F702">
            <w:pPr>
              <w:widowControl/>
              <w:jc w:val="center"/>
              <w:rPr>
                <w:rFonts w:hint="eastAsia" w:ascii="宋体" w:hAnsi="宋体" w:eastAsia="宋体" w:cs="宋体"/>
                <w:sz w:val="24"/>
                <w:szCs w:val="24"/>
              </w:rPr>
            </w:pPr>
            <w:r>
              <w:rPr>
                <w:rFonts w:hint="eastAsia" w:ascii="宋体" w:hAnsi="宋体" w:eastAsia="宋体" w:cs="宋体"/>
                <w:kern w:val="0"/>
                <w:sz w:val="24"/>
                <w:szCs w:val="24"/>
              </w:rPr>
              <w:t>≤8</w:t>
            </w:r>
          </w:p>
        </w:tc>
        <w:tc>
          <w:tcPr>
            <w:tcW w:w="1001" w:type="pct"/>
            <w:noWrap w:val="0"/>
            <w:vAlign w:val="center"/>
          </w:tcPr>
          <w:p w14:paraId="6122640E">
            <w:pPr>
              <w:widowControl/>
              <w:jc w:val="center"/>
              <w:rPr>
                <w:rFonts w:hint="eastAsia" w:ascii="宋体" w:hAnsi="宋体" w:eastAsia="宋体" w:cs="宋体"/>
                <w:sz w:val="24"/>
                <w:szCs w:val="24"/>
              </w:rPr>
            </w:pPr>
            <w:r>
              <w:rPr>
                <w:rFonts w:hint="eastAsia" w:ascii="宋体" w:hAnsi="宋体" w:eastAsia="宋体" w:cs="宋体"/>
                <w:kern w:val="0"/>
                <w:sz w:val="24"/>
                <w:szCs w:val="24"/>
              </w:rPr>
              <w:t>≤10</w:t>
            </w:r>
          </w:p>
        </w:tc>
      </w:tr>
      <w:tr w14:paraId="002761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4" w:hRule="exact"/>
          <w:jc w:val="center"/>
        </w:trPr>
        <w:tc>
          <w:tcPr>
            <w:tcW w:w="999" w:type="pct"/>
            <w:noWrap w:val="0"/>
            <w:vAlign w:val="center"/>
          </w:tcPr>
          <w:p w14:paraId="076208E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纸屑、塑膜（片）</w:t>
            </w:r>
          </w:p>
        </w:tc>
        <w:tc>
          <w:tcPr>
            <w:tcW w:w="999" w:type="pct"/>
            <w:noWrap w:val="0"/>
            <w:vAlign w:val="center"/>
          </w:tcPr>
          <w:p w14:paraId="61249CEE">
            <w:pPr>
              <w:widowControl/>
              <w:jc w:val="center"/>
              <w:rPr>
                <w:rFonts w:hint="eastAsia" w:ascii="宋体" w:hAnsi="宋体" w:eastAsia="宋体" w:cs="宋体"/>
                <w:sz w:val="24"/>
                <w:szCs w:val="24"/>
              </w:rPr>
            </w:pPr>
            <w:r>
              <w:rPr>
                <w:rFonts w:hint="eastAsia" w:ascii="宋体" w:hAnsi="宋体" w:eastAsia="宋体" w:cs="宋体"/>
                <w:kern w:val="0"/>
                <w:sz w:val="24"/>
                <w:szCs w:val="24"/>
              </w:rPr>
              <w:t>≤4</w:t>
            </w:r>
          </w:p>
        </w:tc>
        <w:tc>
          <w:tcPr>
            <w:tcW w:w="999" w:type="pct"/>
            <w:noWrap w:val="0"/>
            <w:vAlign w:val="center"/>
          </w:tcPr>
          <w:p w14:paraId="5E18A137">
            <w:pPr>
              <w:widowControl/>
              <w:jc w:val="center"/>
              <w:rPr>
                <w:rFonts w:hint="eastAsia" w:ascii="宋体" w:hAnsi="宋体" w:eastAsia="宋体" w:cs="宋体"/>
                <w:sz w:val="24"/>
                <w:szCs w:val="24"/>
              </w:rPr>
            </w:pPr>
            <w:r>
              <w:rPr>
                <w:rFonts w:hint="eastAsia" w:ascii="宋体" w:hAnsi="宋体" w:eastAsia="宋体" w:cs="宋体"/>
                <w:kern w:val="0"/>
                <w:sz w:val="24"/>
                <w:szCs w:val="24"/>
              </w:rPr>
              <w:t>≤6</w:t>
            </w:r>
          </w:p>
        </w:tc>
        <w:tc>
          <w:tcPr>
            <w:tcW w:w="999" w:type="pct"/>
            <w:noWrap w:val="0"/>
            <w:vAlign w:val="center"/>
          </w:tcPr>
          <w:p w14:paraId="66005C8A">
            <w:pPr>
              <w:widowControl/>
              <w:jc w:val="center"/>
              <w:rPr>
                <w:rFonts w:hint="eastAsia" w:ascii="宋体" w:hAnsi="宋体" w:eastAsia="宋体" w:cs="宋体"/>
                <w:sz w:val="24"/>
                <w:szCs w:val="24"/>
              </w:rPr>
            </w:pPr>
            <w:r>
              <w:rPr>
                <w:rFonts w:hint="eastAsia" w:ascii="宋体" w:hAnsi="宋体" w:eastAsia="宋体" w:cs="宋体"/>
                <w:kern w:val="0"/>
                <w:sz w:val="24"/>
                <w:szCs w:val="24"/>
              </w:rPr>
              <w:t>≤10</w:t>
            </w:r>
          </w:p>
        </w:tc>
        <w:tc>
          <w:tcPr>
            <w:tcW w:w="1001" w:type="pct"/>
            <w:noWrap w:val="0"/>
            <w:vAlign w:val="center"/>
          </w:tcPr>
          <w:p w14:paraId="3B24B051">
            <w:pPr>
              <w:widowControl/>
              <w:jc w:val="center"/>
              <w:rPr>
                <w:rFonts w:hint="eastAsia" w:ascii="宋体" w:hAnsi="宋体" w:eastAsia="宋体" w:cs="宋体"/>
                <w:sz w:val="24"/>
                <w:szCs w:val="24"/>
              </w:rPr>
            </w:pPr>
            <w:r>
              <w:rPr>
                <w:rFonts w:hint="eastAsia" w:ascii="宋体" w:hAnsi="宋体" w:eastAsia="宋体" w:cs="宋体"/>
                <w:kern w:val="0"/>
                <w:sz w:val="24"/>
                <w:szCs w:val="24"/>
              </w:rPr>
              <w:t>≤12</w:t>
            </w:r>
          </w:p>
        </w:tc>
      </w:tr>
      <w:tr w14:paraId="2B2184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4" w:hRule="exact"/>
          <w:jc w:val="center"/>
        </w:trPr>
        <w:tc>
          <w:tcPr>
            <w:tcW w:w="999" w:type="pct"/>
            <w:noWrap w:val="0"/>
            <w:vAlign w:val="center"/>
          </w:tcPr>
          <w:p w14:paraId="24E8FCF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烟蒂（个）</w:t>
            </w:r>
          </w:p>
        </w:tc>
        <w:tc>
          <w:tcPr>
            <w:tcW w:w="999" w:type="pct"/>
            <w:noWrap w:val="0"/>
            <w:vAlign w:val="center"/>
          </w:tcPr>
          <w:p w14:paraId="6259EE45">
            <w:pPr>
              <w:widowControl/>
              <w:jc w:val="center"/>
              <w:rPr>
                <w:rFonts w:hint="eastAsia" w:ascii="宋体" w:hAnsi="宋体" w:eastAsia="宋体" w:cs="宋体"/>
                <w:sz w:val="24"/>
                <w:szCs w:val="24"/>
              </w:rPr>
            </w:pPr>
            <w:r>
              <w:rPr>
                <w:rFonts w:hint="eastAsia" w:ascii="宋体" w:hAnsi="宋体" w:eastAsia="宋体" w:cs="宋体"/>
                <w:kern w:val="0"/>
                <w:sz w:val="24"/>
                <w:szCs w:val="24"/>
              </w:rPr>
              <w:t>≤4</w:t>
            </w:r>
          </w:p>
        </w:tc>
        <w:tc>
          <w:tcPr>
            <w:tcW w:w="999" w:type="pct"/>
            <w:noWrap w:val="0"/>
            <w:vAlign w:val="center"/>
          </w:tcPr>
          <w:p w14:paraId="1A3BF1C5">
            <w:pPr>
              <w:widowControl/>
              <w:jc w:val="center"/>
              <w:rPr>
                <w:rFonts w:hint="eastAsia" w:ascii="宋体" w:hAnsi="宋体" w:eastAsia="宋体" w:cs="宋体"/>
                <w:sz w:val="24"/>
                <w:szCs w:val="24"/>
              </w:rPr>
            </w:pPr>
            <w:r>
              <w:rPr>
                <w:rFonts w:hint="eastAsia" w:ascii="宋体" w:hAnsi="宋体" w:eastAsia="宋体" w:cs="宋体"/>
                <w:kern w:val="0"/>
                <w:sz w:val="24"/>
                <w:szCs w:val="24"/>
              </w:rPr>
              <w:t>≤8</w:t>
            </w:r>
          </w:p>
        </w:tc>
        <w:tc>
          <w:tcPr>
            <w:tcW w:w="999" w:type="pct"/>
            <w:noWrap w:val="0"/>
            <w:vAlign w:val="center"/>
          </w:tcPr>
          <w:p w14:paraId="40675AD7">
            <w:pPr>
              <w:widowControl/>
              <w:jc w:val="center"/>
              <w:rPr>
                <w:rFonts w:hint="eastAsia" w:ascii="宋体" w:hAnsi="宋体" w:eastAsia="宋体" w:cs="宋体"/>
                <w:sz w:val="24"/>
                <w:szCs w:val="24"/>
              </w:rPr>
            </w:pPr>
            <w:r>
              <w:rPr>
                <w:rFonts w:hint="eastAsia" w:ascii="宋体" w:hAnsi="宋体" w:eastAsia="宋体" w:cs="宋体"/>
                <w:kern w:val="0"/>
                <w:sz w:val="24"/>
                <w:szCs w:val="24"/>
              </w:rPr>
              <w:t>≤10</w:t>
            </w:r>
          </w:p>
        </w:tc>
        <w:tc>
          <w:tcPr>
            <w:tcW w:w="1001" w:type="pct"/>
            <w:noWrap w:val="0"/>
            <w:vAlign w:val="center"/>
          </w:tcPr>
          <w:p w14:paraId="0D51377E">
            <w:pPr>
              <w:widowControl/>
              <w:jc w:val="center"/>
              <w:rPr>
                <w:rFonts w:hint="eastAsia" w:ascii="宋体" w:hAnsi="宋体" w:eastAsia="宋体" w:cs="宋体"/>
                <w:sz w:val="24"/>
                <w:szCs w:val="24"/>
              </w:rPr>
            </w:pPr>
            <w:r>
              <w:rPr>
                <w:rFonts w:hint="eastAsia" w:ascii="宋体" w:hAnsi="宋体" w:eastAsia="宋体" w:cs="宋体"/>
                <w:kern w:val="0"/>
                <w:sz w:val="24"/>
                <w:szCs w:val="24"/>
              </w:rPr>
              <w:t>≤15</w:t>
            </w:r>
          </w:p>
        </w:tc>
      </w:tr>
      <w:tr w14:paraId="52BE4E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4" w:hRule="exact"/>
          <w:jc w:val="center"/>
        </w:trPr>
        <w:tc>
          <w:tcPr>
            <w:tcW w:w="999" w:type="pct"/>
            <w:noWrap w:val="0"/>
            <w:vAlign w:val="center"/>
          </w:tcPr>
          <w:p w14:paraId="6F9D8A9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痰迹（处）</w:t>
            </w:r>
          </w:p>
        </w:tc>
        <w:tc>
          <w:tcPr>
            <w:tcW w:w="999" w:type="pct"/>
            <w:noWrap w:val="0"/>
            <w:vAlign w:val="center"/>
          </w:tcPr>
          <w:p w14:paraId="3623CC01">
            <w:pPr>
              <w:widowControl/>
              <w:jc w:val="center"/>
              <w:rPr>
                <w:rFonts w:hint="eastAsia" w:ascii="宋体" w:hAnsi="宋体" w:eastAsia="宋体" w:cs="宋体"/>
                <w:sz w:val="24"/>
                <w:szCs w:val="24"/>
              </w:rPr>
            </w:pPr>
            <w:r>
              <w:rPr>
                <w:rFonts w:hint="eastAsia" w:ascii="宋体" w:hAnsi="宋体" w:eastAsia="宋体" w:cs="宋体"/>
                <w:kern w:val="0"/>
                <w:sz w:val="24"/>
                <w:szCs w:val="24"/>
              </w:rPr>
              <w:t>≤4</w:t>
            </w:r>
          </w:p>
        </w:tc>
        <w:tc>
          <w:tcPr>
            <w:tcW w:w="999" w:type="pct"/>
            <w:noWrap w:val="0"/>
            <w:vAlign w:val="center"/>
          </w:tcPr>
          <w:p w14:paraId="36302D19">
            <w:pPr>
              <w:widowControl/>
              <w:jc w:val="center"/>
              <w:rPr>
                <w:rFonts w:hint="eastAsia" w:ascii="宋体" w:hAnsi="宋体" w:eastAsia="宋体" w:cs="宋体"/>
                <w:sz w:val="24"/>
                <w:szCs w:val="24"/>
              </w:rPr>
            </w:pPr>
            <w:r>
              <w:rPr>
                <w:rFonts w:hint="eastAsia" w:ascii="宋体" w:hAnsi="宋体" w:eastAsia="宋体" w:cs="宋体"/>
                <w:kern w:val="0"/>
                <w:sz w:val="24"/>
                <w:szCs w:val="24"/>
              </w:rPr>
              <w:t>≤8</w:t>
            </w:r>
          </w:p>
        </w:tc>
        <w:tc>
          <w:tcPr>
            <w:tcW w:w="999" w:type="pct"/>
            <w:noWrap w:val="0"/>
            <w:vAlign w:val="center"/>
          </w:tcPr>
          <w:p w14:paraId="11D98A71">
            <w:pPr>
              <w:widowControl/>
              <w:jc w:val="center"/>
              <w:rPr>
                <w:rFonts w:hint="eastAsia" w:ascii="宋体" w:hAnsi="宋体" w:eastAsia="宋体" w:cs="宋体"/>
                <w:sz w:val="24"/>
                <w:szCs w:val="24"/>
              </w:rPr>
            </w:pPr>
            <w:r>
              <w:rPr>
                <w:rFonts w:hint="eastAsia" w:ascii="宋体" w:hAnsi="宋体" w:eastAsia="宋体" w:cs="宋体"/>
                <w:kern w:val="0"/>
                <w:sz w:val="24"/>
                <w:szCs w:val="24"/>
              </w:rPr>
              <w:t>≤10</w:t>
            </w:r>
          </w:p>
        </w:tc>
        <w:tc>
          <w:tcPr>
            <w:tcW w:w="1001" w:type="pct"/>
            <w:noWrap w:val="0"/>
            <w:vAlign w:val="center"/>
          </w:tcPr>
          <w:p w14:paraId="53E6C878">
            <w:pPr>
              <w:widowControl/>
              <w:jc w:val="center"/>
              <w:rPr>
                <w:rFonts w:hint="eastAsia" w:ascii="宋体" w:hAnsi="宋体" w:eastAsia="宋体" w:cs="宋体"/>
                <w:sz w:val="24"/>
                <w:szCs w:val="24"/>
              </w:rPr>
            </w:pPr>
            <w:r>
              <w:rPr>
                <w:rFonts w:hint="eastAsia" w:ascii="宋体" w:hAnsi="宋体" w:eastAsia="宋体" w:cs="宋体"/>
                <w:kern w:val="0"/>
                <w:sz w:val="24"/>
                <w:szCs w:val="24"/>
              </w:rPr>
              <w:t>≤15</w:t>
            </w:r>
          </w:p>
        </w:tc>
      </w:tr>
      <w:tr w14:paraId="6CFE16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4" w:hRule="exact"/>
          <w:jc w:val="center"/>
        </w:trPr>
        <w:tc>
          <w:tcPr>
            <w:tcW w:w="999" w:type="pct"/>
            <w:noWrap w:val="0"/>
            <w:vAlign w:val="center"/>
          </w:tcPr>
          <w:p w14:paraId="08E6A4B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污水（处）</w:t>
            </w:r>
          </w:p>
        </w:tc>
        <w:tc>
          <w:tcPr>
            <w:tcW w:w="999" w:type="pct"/>
            <w:noWrap w:val="0"/>
            <w:vAlign w:val="center"/>
          </w:tcPr>
          <w:p w14:paraId="6A510DAC">
            <w:pPr>
              <w:widowControl/>
              <w:jc w:val="center"/>
              <w:rPr>
                <w:rFonts w:hint="eastAsia" w:ascii="宋体" w:hAnsi="宋体" w:eastAsia="宋体" w:cs="宋体"/>
                <w:sz w:val="24"/>
                <w:szCs w:val="24"/>
              </w:rPr>
            </w:pPr>
            <w:r>
              <w:rPr>
                <w:rFonts w:hint="eastAsia" w:ascii="宋体" w:hAnsi="宋体" w:eastAsia="宋体" w:cs="宋体"/>
                <w:kern w:val="0"/>
                <w:sz w:val="24"/>
                <w:szCs w:val="24"/>
              </w:rPr>
              <w:t>无</w:t>
            </w:r>
          </w:p>
        </w:tc>
        <w:tc>
          <w:tcPr>
            <w:tcW w:w="999" w:type="pct"/>
            <w:noWrap w:val="0"/>
            <w:vAlign w:val="center"/>
          </w:tcPr>
          <w:p w14:paraId="3ED6B4C1">
            <w:pPr>
              <w:widowControl/>
              <w:jc w:val="center"/>
              <w:rPr>
                <w:rFonts w:hint="eastAsia" w:ascii="宋体" w:hAnsi="宋体" w:eastAsia="宋体" w:cs="宋体"/>
                <w:sz w:val="24"/>
                <w:szCs w:val="24"/>
              </w:rPr>
            </w:pPr>
            <w:r>
              <w:rPr>
                <w:rFonts w:hint="eastAsia" w:ascii="宋体" w:hAnsi="宋体" w:eastAsia="宋体" w:cs="宋体"/>
                <w:kern w:val="0"/>
                <w:sz w:val="24"/>
                <w:szCs w:val="24"/>
              </w:rPr>
              <w:t>≤0.5</w:t>
            </w:r>
          </w:p>
        </w:tc>
        <w:tc>
          <w:tcPr>
            <w:tcW w:w="999" w:type="pct"/>
            <w:noWrap w:val="0"/>
            <w:vAlign w:val="center"/>
          </w:tcPr>
          <w:p w14:paraId="226F733B">
            <w:pPr>
              <w:widowControl/>
              <w:jc w:val="center"/>
              <w:rPr>
                <w:rFonts w:hint="eastAsia" w:ascii="宋体" w:hAnsi="宋体" w:eastAsia="宋体" w:cs="宋体"/>
                <w:sz w:val="24"/>
                <w:szCs w:val="24"/>
              </w:rPr>
            </w:pPr>
            <w:r>
              <w:rPr>
                <w:rFonts w:hint="eastAsia" w:ascii="宋体" w:hAnsi="宋体" w:eastAsia="宋体" w:cs="宋体"/>
                <w:kern w:val="0"/>
                <w:sz w:val="24"/>
                <w:szCs w:val="24"/>
              </w:rPr>
              <w:t>≤1.5</w:t>
            </w:r>
          </w:p>
        </w:tc>
        <w:tc>
          <w:tcPr>
            <w:tcW w:w="1001" w:type="pct"/>
            <w:noWrap w:val="0"/>
            <w:vAlign w:val="center"/>
          </w:tcPr>
          <w:p w14:paraId="3FA6120E">
            <w:pPr>
              <w:widowControl/>
              <w:jc w:val="center"/>
              <w:rPr>
                <w:rFonts w:hint="eastAsia" w:ascii="宋体" w:hAnsi="宋体" w:eastAsia="宋体" w:cs="宋体"/>
                <w:sz w:val="24"/>
                <w:szCs w:val="24"/>
              </w:rPr>
            </w:pPr>
            <w:r>
              <w:rPr>
                <w:rFonts w:hint="eastAsia" w:ascii="宋体" w:hAnsi="宋体" w:eastAsia="宋体" w:cs="宋体"/>
                <w:kern w:val="0"/>
                <w:sz w:val="24"/>
                <w:szCs w:val="24"/>
              </w:rPr>
              <w:t>≤2.0</w:t>
            </w:r>
          </w:p>
        </w:tc>
      </w:tr>
      <w:tr w14:paraId="4ADEFD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8" w:hRule="exact"/>
          <w:jc w:val="center"/>
        </w:trPr>
        <w:tc>
          <w:tcPr>
            <w:tcW w:w="999" w:type="pct"/>
            <w:tcBorders>
              <w:bottom w:val="single" w:color="auto" w:sz="12" w:space="0"/>
            </w:tcBorders>
            <w:noWrap w:val="0"/>
            <w:vAlign w:val="center"/>
          </w:tcPr>
          <w:p w14:paraId="7F6AFDC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其他（处）</w:t>
            </w:r>
          </w:p>
        </w:tc>
        <w:tc>
          <w:tcPr>
            <w:tcW w:w="999" w:type="pct"/>
            <w:tcBorders>
              <w:bottom w:val="single" w:color="auto" w:sz="12" w:space="0"/>
            </w:tcBorders>
            <w:noWrap w:val="0"/>
            <w:vAlign w:val="center"/>
          </w:tcPr>
          <w:p w14:paraId="4FE3224A">
            <w:pPr>
              <w:widowControl/>
              <w:jc w:val="center"/>
              <w:rPr>
                <w:rFonts w:hint="eastAsia" w:ascii="宋体" w:hAnsi="宋体" w:eastAsia="宋体" w:cs="宋体"/>
                <w:sz w:val="24"/>
                <w:szCs w:val="24"/>
              </w:rPr>
            </w:pPr>
            <w:r>
              <w:rPr>
                <w:rFonts w:hint="eastAsia" w:ascii="宋体" w:hAnsi="宋体" w:eastAsia="宋体" w:cs="宋体"/>
                <w:kern w:val="0"/>
                <w:sz w:val="24"/>
                <w:szCs w:val="24"/>
              </w:rPr>
              <w:t>无</w:t>
            </w:r>
          </w:p>
        </w:tc>
        <w:tc>
          <w:tcPr>
            <w:tcW w:w="999" w:type="pct"/>
            <w:tcBorders>
              <w:bottom w:val="single" w:color="auto" w:sz="12" w:space="0"/>
            </w:tcBorders>
            <w:noWrap w:val="0"/>
            <w:vAlign w:val="center"/>
          </w:tcPr>
          <w:p w14:paraId="5FA716A7">
            <w:pPr>
              <w:widowControl/>
              <w:jc w:val="center"/>
              <w:rPr>
                <w:rFonts w:hint="eastAsia" w:ascii="宋体" w:hAnsi="宋体" w:eastAsia="宋体" w:cs="宋体"/>
                <w:sz w:val="24"/>
                <w:szCs w:val="24"/>
              </w:rPr>
            </w:pPr>
            <w:r>
              <w:rPr>
                <w:rFonts w:hint="eastAsia" w:ascii="宋体" w:hAnsi="宋体" w:eastAsia="宋体" w:cs="宋体"/>
                <w:kern w:val="0"/>
                <w:sz w:val="24"/>
                <w:szCs w:val="24"/>
              </w:rPr>
              <w:t>≤2</w:t>
            </w:r>
          </w:p>
        </w:tc>
        <w:tc>
          <w:tcPr>
            <w:tcW w:w="999" w:type="pct"/>
            <w:tcBorders>
              <w:bottom w:val="single" w:color="auto" w:sz="12" w:space="0"/>
            </w:tcBorders>
            <w:noWrap w:val="0"/>
            <w:vAlign w:val="center"/>
          </w:tcPr>
          <w:p w14:paraId="642388F1">
            <w:pPr>
              <w:widowControl/>
              <w:jc w:val="center"/>
              <w:rPr>
                <w:rFonts w:hint="eastAsia" w:ascii="宋体" w:hAnsi="宋体" w:eastAsia="宋体" w:cs="宋体"/>
                <w:sz w:val="24"/>
                <w:szCs w:val="24"/>
              </w:rPr>
            </w:pPr>
            <w:r>
              <w:rPr>
                <w:rFonts w:hint="eastAsia" w:ascii="宋体" w:hAnsi="宋体" w:eastAsia="宋体" w:cs="宋体"/>
                <w:kern w:val="0"/>
                <w:sz w:val="24"/>
                <w:szCs w:val="24"/>
              </w:rPr>
              <w:t>≤6</w:t>
            </w:r>
          </w:p>
        </w:tc>
        <w:tc>
          <w:tcPr>
            <w:tcW w:w="1001" w:type="pct"/>
            <w:tcBorders>
              <w:bottom w:val="single" w:color="auto" w:sz="12" w:space="0"/>
            </w:tcBorders>
            <w:noWrap w:val="0"/>
            <w:vAlign w:val="center"/>
          </w:tcPr>
          <w:p w14:paraId="790DCBB1">
            <w:pPr>
              <w:widowControl/>
              <w:jc w:val="center"/>
              <w:rPr>
                <w:rFonts w:hint="eastAsia" w:ascii="宋体" w:hAnsi="宋体" w:eastAsia="宋体" w:cs="宋体"/>
                <w:sz w:val="24"/>
                <w:szCs w:val="24"/>
              </w:rPr>
            </w:pPr>
            <w:r>
              <w:rPr>
                <w:rFonts w:hint="eastAsia" w:ascii="宋体" w:hAnsi="宋体" w:eastAsia="宋体" w:cs="宋体"/>
                <w:kern w:val="0"/>
                <w:sz w:val="24"/>
                <w:szCs w:val="24"/>
              </w:rPr>
              <w:t>≤8</w:t>
            </w:r>
          </w:p>
        </w:tc>
      </w:tr>
    </w:tbl>
    <w:p w14:paraId="714C32B5">
      <w:pPr>
        <w:spacing w:line="360" w:lineRule="auto"/>
        <w:rPr>
          <w:rFonts w:hint="eastAsia" w:ascii="宋体" w:hAnsi="宋体" w:eastAsia="宋体" w:cs="宋体"/>
          <w:sz w:val="24"/>
          <w:szCs w:val="24"/>
        </w:rPr>
      </w:pPr>
      <w:r>
        <w:rPr>
          <w:rFonts w:hint="eastAsia" w:ascii="宋体" w:hAnsi="宋体" w:eastAsia="宋体" w:cs="宋体"/>
          <w:sz w:val="24"/>
          <w:szCs w:val="24"/>
        </w:rPr>
        <w:t>1.2  桥梁、广场清扫保洁质量要达到路牙根净、路面净、人行道净、树根（隔离带）净、无垃圾污物、无人畜宠物粪便和粪迹、无残土和垃圾堆积、无碎纸果皮核、无浮土、无积水、草坪绿地无污物标准，未达到标准的，每出现一项扣0.2分。发现大量垃圾堆积长期无人清理的，每处扣5分。</w:t>
      </w:r>
    </w:p>
    <w:p w14:paraId="40B2398C">
      <w:pPr>
        <w:spacing w:line="360" w:lineRule="auto"/>
        <w:rPr>
          <w:rFonts w:hint="eastAsia" w:ascii="宋体" w:hAnsi="宋体" w:eastAsia="宋体" w:cs="宋体"/>
          <w:sz w:val="24"/>
          <w:szCs w:val="24"/>
        </w:rPr>
      </w:pPr>
      <w:r>
        <w:rPr>
          <w:rFonts w:hint="eastAsia" w:ascii="宋体" w:hAnsi="宋体" w:eastAsia="宋体" w:cs="宋体"/>
          <w:sz w:val="24"/>
          <w:szCs w:val="24"/>
        </w:rPr>
        <w:t>1.3  街路早扫作业时间为4:00—6:30，早扫范围：人行道、路面、停车泊位、绿化带、边沟、下水口、树穴；夜扫作业时间为17:30—21:30，夜扫范围：夜市、商圈、重点街路周边区域。不按规定的时间、点位完成扫保的，每发现一次扣0.5分。</w:t>
      </w:r>
    </w:p>
    <w:p w14:paraId="660A40AD">
      <w:pPr>
        <w:spacing w:line="360" w:lineRule="auto"/>
        <w:rPr>
          <w:rFonts w:hint="eastAsia" w:ascii="宋体" w:hAnsi="宋体" w:eastAsia="宋体" w:cs="宋体"/>
          <w:sz w:val="24"/>
          <w:szCs w:val="24"/>
        </w:rPr>
      </w:pPr>
      <w:r>
        <w:rPr>
          <w:rFonts w:hint="eastAsia" w:ascii="宋体" w:hAnsi="宋体" w:eastAsia="宋体" w:cs="宋体"/>
          <w:sz w:val="24"/>
          <w:szCs w:val="24"/>
        </w:rPr>
        <w:t>1.4  对已确定的清扫街路，按规定清扫，不按规定的（漏扫、漏保），每发现一次扣0.5分。扫保人员严禁将扫街土扫进窨井或绿化带内，每发现一次扣0.1分。严禁焚烧落叶等垃圾污物，每发现一处扣0.5分。</w:t>
      </w:r>
    </w:p>
    <w:p w14:paraId="4A0E6690">
      <w:pPr>
        <w:spacing w:line="360" w:lineRule="auto"/>
        <w:rPr>
          <w:rFonts w:hint="eastAsia" w:ascii="宋体" w:hAnsi="宋体" w:eastAsia="宋体" w:cs="宋体"/>
          <w:sz w:val="24"/>
          <w:szCs w:val="24"/>
        </w:rPr>
      </w:pPr>
      <w:r>
        <w:rPr>
          <w:rFonts w:hint="eastAsia" w:ascii="宋体" w:hAnsi="宋体" w:eastAsia="宋体" w:cs="宋体"/>
          <w:sz w:val="24"/>
          <w:szCs w:val="24"/>
        </w:rPr>
        <w:t>1.5  果皮箱满溢、脏污、破损、移位，或周边脏乱的；降雨后未及时将路面低洼处积水扫散且积水面积超过1平方米，每发现一项扣0.1分。</w:t>
      </w:r>
    </w:p>
    <w:p w14:paraId="70B94A20">
      <w:pPr>
        <w:spacing w:line="360" w:lineRule="auto"/>
        <w:rPr>
          <w:rFonts w:hint="eastAsia" w:ascii="宋体" w:hAnsi="宋体" w:eastAsia="宋体" w:cs="宋体"/>
          <w:sz w:val="24"/>
          <w:szCs w:val="24"/>
        </w:rPr>
      </w:pPr>
      <w:r>
        <w:rPr>
          <w:rFonts w:hint="eastAsia" w:ascii="宋体" w:hAnsi="宋体" w:eastAsia="宋体" w:cs="宋体"/>
          <w:sz w:val="24"/>
          <w:szCs w:val="24"/>
        </w:rPr>
        <w:t>1.6  保洁员无安全防护标志；保洁期间未按统一要求使用保洁工具、机具的。每次扣0.2分。</w:t>
      </w:r>
    </w:p>
    <w:p w14:paraId="4E7B4E16">
      <w:pPr>
        <w:spacing w:line="360" w:lineRule="auto"/>
        <w:rPr>
          <w:rFonts w:hint="eastAsia" w:ascii="宋体" w:hAnsi="宋体" w:eastAsia="宋体" w:cs="宋体"/>
          <w:sz w:val="24"/>
          <w:szCs w:val="24"/>
        </w:rPr>
      </w:pPr>
      <w:r>
        <w:rPr>
          <w:rFonts w:hint="eastAsia" w:ascii="宋体" w:hAnsi="宋体" w:eastAsia="宋体" w:cs="宋体"/>
          <w:sz w:val="24"/>
          <w:szCs w:val="24"/>
        </w:rPr>
        <w:t>1.7  早、晚市场撤市后未按规定及时对垃圾清扫、清运；保洁不及时，杂物超标或垃圾积存的，每次扣0.2分。</w:t>
      </w:r>
    </w:p>
    <w:p w14:paraId="2B937FE6">
      <w:pPr>
        <w:spacing w:line="360" w:lineRule="auto"/>
        <w:rPr>
          <w:rFonts w:hint="eastAsia" w:ascii="宋体" w:hAnsi="宋体" w:eastAsia="宋体" w:cs="宋体"/>
          <w:sz w:val="24"/>
          <w:szCs w:val="24"/>
        </w:rPr>
      </w:pPr>
      <w:r>
        <w:rPr>
          <w:rFonts w:hint="eastAsia" w:ascii="宋体" w:hAnsi="宋体" w:eastAsia="宋体" w:cs="宋体"/>
          <w:sz w:val="24"/>
          <w:szCs w:val="24"/>
        </w:rPr>
        <w:t>1.8  每月定期对护栏及桥梁侧面进行清擦，未及时清擦的每次扣0.2分；擦洗护栏应达到护栏整洁、护栏底部无污垢、泥沙，道路标识线清晰、整洁，未达到的，每处扣0.2分。</w:t>
      </w:r>
    </w:p>
    <w:p w14:paraId="615D36DB">
      <w:pPr>
        <w:spacing w:line="360" w:lineRule="auto"/>
        <w:rPr>
          <w:rFonts w:hint="eastAsia" w:ascii="宋体" w:hAnsi="宋体" w:eastAsia="宋体" w:cs="宋体"/>
          <w:sz w:val="24"/>
          <w:szCs w:val="24"/>
        </w:rPr>
      </w:pPr>
      <w:r>
        <w:rPr>
          <w:rFonts w:hint="eastAsia" w:ascii="宋体" w:hAnsi="宋体" w:eastAsia="宋体" w:cs="宋体"/>
          <w:sz w:val="24"/>
          <w:szCs w:val="24"/>
        </w:rPr>
        <w:t>1.9  绿化带内超高土或路面灰带、泥饼等各类车辆甩泥带土痕迹，未及时清理的每次扣0.2分。</w:t>
      </w:r>
    </w:p>
    <w:p w14:paraId="1B2AC946">
      <w:pPr>
        <w:spacing w:line="360" w:lineRule="auto"/>
        <w:rPr>
          <w:rFonts w:hint="eastAsia" w:ascii="宋体" w:hAnsi="宋体" w:eastAsia="宋体" w:cs="宋体"/>
          <w:b/>
          <w:sz w:val="24"/>
          <w:szCs w:val="24"/>
        </w:rPr>
      </w:pPr>
      <w:r>
        <w:rPr>
          <w:rFonts w:hint="eastAsia" w:ascii="宋体" w:hAnsi="宋体" w:eastAsia="宋体" w:cs="宋体"/>
          <w:b/>
          <w:sz w:val="24"/>
          <w:szCs w:val="24"/>
        </w:rPr>
        <w:t>二、机械作业</w:t>
      </w:r>
    </w:p>
    <w:p w14:paraId="4887351A">
      <w:pPr>
        <w:spacing w:line="360" w:lineRule="auto"/>
        <w:rPr>
          <w:rFonts w:hint="eastAsia" w:ascii="宋体" w:hAnsi="宋体" w:eastAsia="宋体" w:cs="宋体"/>
          <w:sz w:val="24"/>
          <w:szCs w:val="24"/>
        </w:rPr>
      </w:pPr>
      <w:r>
        <w:rPr>
          <w:rFonts w:hint="eastAsia" w:ascii="宋体" w:hAnsi="宋体" w:eastAsia="宋体" w:cs="宋体"/>
          <w:sz w:val="24"/>
          <w:szCs w:val="24"/>
        </w:rPr>
        <w:t>2.1  严格按照规定频次、时间对我区各级街路进行洒水、冲洗、刷洗作业。频次不足的，每缺少一次扣0.2分；不按规定时间进行洒水、冲洗、刷洗、擦洗作业的，每台次扣0.5分；</w:t>
      </w:r>
    </w:p>
    <w:p w14:paraId="493D6CFD">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机械化作业标准</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2011"/>
        <w:gridCol w:w="2011"/>
        <w:gridCol w:w="2011"/>
        <w:gridCol w:w="2012"/>
      </w:tblGrid>
      <w:tr w14:paraId="6CE5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noWrap w:val="0"/>
            <w:vAlign w:val="center"/>
          </w:tcPr>
          <w:p w14:paraId="262364D2">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街路等级</w:t>
            </w:r>
          </w:p>
        </w:tc>
        <w:tc>
          <w:tcPr>
            <w:tcW w:w="2844" w:type="dxa"/>
            <w:noWrap w:val="0"/>
            <w:vAlign w:val="center"/>
          </w:tcPr>
          <w:p w14:paraId="2DC3C222">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洗扫周期（天/循环）</w:t>
            </w:r>
          </w:p>
        </w:tc>
        <w:tc>
          <w:tcPr>
            <w:tcW w:w="2844" w:type="dxa"/>
            <w:noWrap w:val="0"/>
            <w:vAlign w:val="center"/>
          </w:tcPr>
          <w:p w14:paraId="7F10C84B">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洗扫频次（次/天）</w:t>
            </w:r>
          </w:p>
        </w:tc>
        <w:tc>
          <w:tcPr>
            <w:tcW w:w="2844" w:type="dxa"/>
            <w:noWrap w:val="0"/>
            <w:vAlign w:val="center"/>
          </w:tcPr>
          <w:p w14:paraId="5611ACCF">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洒水频次（次/天）</w:t>
            </w:r>
          </w:p>
        </w:tc>
        <w:tc>
          <w:tcPr>
            <w:tcW w:w="2844" w:type="dxa"/>
            <w:noWrap w:val="0"/>
            <w:vAlign w:val="center"/>
          </w:tcPr>
          <w:p w14:paraId="314B5ECE">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冲刷频次（次/天）</w:t>
            </w:r>
          </w:p>
        </w:tc>
      </w:tr>
      <w:tr w14:paraId="6C2A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noWrap w:val="0"/>
            <w:vAlign w:val="center"/>
          </w:tcPr>
          <w:p w14:paraId="787CC96C">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一级街路</w:t>
            </w:r>
          </w:p>
        </w:tc>
        <w:tc>
          <w:tcPr>
            <w:tcW w:w="2844" w:type="dxa"/>
            <w:noWrap w:val="0"/>
            <w:vAlign w:val="center"/>
          </w:tcPr>
          <w:p w14:paraId="7A6CD9E6">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2844" w:type="dxa"/>
            <w:noWrap w:val="0"/>
            <w:vAlign w:val="center"/>
          </w:tcPr>
          <w:p w14:paraId="4129BE25">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2844" w:type="dxa"/>
            <w:noWrap w:val="0"/>
            <w:vAlign w:val="center"/>
          </w:tcPr>
          <w:p w14:paraId="614BF32B">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2844" w:type="dxa"/>
            <w:noWrap w:val="0"/>
            <w:vAlign w:val="center"/>
          </w:tcPr>
          <w:p w14:paraId="36ABD0B5">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r>
      <w:tr w14:paraId="57E9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noWrap w:val="0"/>
            <w:vAlign w:val="center"/>
          </w:tcPr>
          <w:p w14:paraId="1AAAC5F1">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二级街路</w:t>
            </w:r>
          </w:p>
        </w:tc>
        <w:tc>
          <w:tcPr>
            <w:tcW w:w="2844" w:type="dxa"/>
            <w:noWrap w:val="0"/>
            <w:vAlign w:val="center"/>
          </w:tcPr>
          <w:p w14:paraId="30DF5AC9">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2844" w:type="dxa"/>
            <w:noWrap w:val="0"/>
            <w:vAlign w:val="center"/>
          </w:tcPr>
          <w:p w14:paraId="48B77800">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2844" w:type="dxa"/>
            <w:noWrap w:val="0"/>
            <w:vAlign w:val="center"/>
          </w:tcPr>
          <w:p w14:paraId="30F53AB3">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2844" w:type="dxa"/>
            <w:noWrap w:val="0"/>
            <w:vAlign w:val="center"/>
          </w:tcPr>
          <w:p w14:paraId="37EEFE8B">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r>
      <w:tr w14:paraId="30CA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noWrap w:val="0"/>
            <w:vAlign w:val="center"/>
          </w:tcPr>
          <w:p w14:paraId="07B82927">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三街街路</w:t>
            </w:r>
          </w:p>
        </w:tc>
        <w:tc>
          <w:tcPr>
            <w:tcW w:w="2844" w:type="dxa"/>
            <w:noWrap w:val="0"/>
            <w:vAlign w:val="center"/>
          </w:tcPr>
          <w:p w14:paraId="746465DE">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7</w:t>
            </w:r>
          </w:p>
        </w:tc>
        <w:tc>
          <w:tcPr>
            <w:tcW w:w="2844" w:type="dxa"/>
            <w:noWrap w:val="0"/>
            <w:vAlign w:val="center"/>
          </w:tcPr>
          <w:p w14:paraId="1BAE96C6">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2844" w:type="dxa"/>
            <w:noWrap w:val="0"/>
            <w:vAlign w:val="center"/>
          </w:tcPr>
          <w:p w14:paraId="604B6473">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2844" w:type="dxa"/>
            <w:noWrap w:val="0"/>
            <w:vAlign w:val="center"/>
          </w:tcPr>
          <w:p w14:paraId="29951E48">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r>
      <w:tr w14:paraId="13F3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noWrap w:val="0"/>
            <w:vAlign w:val="center"/>
          </w:tcPr>
          <w:p w14:paraId="52397125">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四级街路及背街小巷</w:t>
            </w:r>
          </w:p>
        </w:tc>
        <w:tc>
          <w:tcPr>
            <w:tcW w:w="2844" w:type="dxa"/>
            <w:noWrap w:val="0"/>
            <w:vAlign w:val="center"/>
          </w:tcPr>
          <w:p w14:paraId="1D1C43CA">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7</w:t>
            </w:r>
          </w:p>
        </w:tc>
        <w:tc>
          <w:tcPr>
            <w:tcW w:w="2844" w:type="dxa"/>
            <w:noWrap w:val="0"/>
            <w:vAlign w:val="center"/>
          </w:tcPr>
          <w:p w14:paraId="1726F77E">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2844" w:type="dxa"/>
            <w:noWrap w:val="0"/>
            <w:vAlign w:val="center"/>
          </w:tcPr>
          <w:p w14:paraId="24535F2A">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2844" w:type="dxa"/>
            <w:noWrap w:val="0"/>
            <w:vAlign w:val="center"/>
          </w:tcPr>
          <w:p w14:paraId="6DAEABA5">
            <w:pPr>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r>
    </w:tbl>
    <w:p w14:paraId="328C532F">
      <w:pPr>
        <w:spacing w:line="360" w:lineRule="auto"/>
        <w:rPr>
          <w:rFonts w:hint="eastAsia" w:ascii="宋体" w:hAnsi="宋体" w:eastAsia="宋体" w:cs="宋体"/>
          <w:sz w:val="24"/>
          <w:szCs w:val="24"/>
        </w:rPr>
      </w:pPr>
      <w:r>
        <w:rPr>
          <w:rFonts w:hint="eastAsia" w:ascii="宋体" w:hAnsi="宋体" w:eastAsia="宋体" w:cs="宋体"/>
          <w:sz w:val="24"/>
          <w:szCs w:val="24"/>
        </w:rPr>
        <w:t>2.2  “扫刷”触地不到位留下灰条的、机动车主辅车道、边石带、交通护栏带、绿化隔离带、交通导流岛区域存在积存尘土的（以目视清晰可见为标准），每处扣0.2分。</w:t>
      </w:r>
    </w:p>
    <w:p w14:paraId="5F3DB2FF">
      <w:pPr>
        <w:spacing w:line="360" w:lineRule="auto"/>
        <w:rPr>
          <w:rFonts w:hint="eastAsia" w:ascii="宋体" w:hAnsi="宋体" w:eastAsia="宋体" w:cs="宋体"/>
          <w:sz w:val="24"/>
          <w:szCs w:val="24"/>
        </w:rPr>
      </w:pPr>
      <w:r>
        <w:rPr>
          <w:rFonts w:hint="eastAsia" w:ascii="宋体" w:hAnsi="宋体" w:eastAsia="宋体" w:cs="宋体"/>
          <w:sz w:val="24"/>
          <w:szCs w:val="24"/>
        </w:rPr>
        <w:t>2.3  未按操作规程时速作业，作业时速超过8km/h的；或路面较脏或积水时，超过5km/h；的大风天气、雾霾天气应及大风天气未按规定作业的；每次扣0.5分。</w:t>
      </w:r>
    </w:p>
    <w:p w14:paraId="6B4B2AB6">
      <w:pPr>
        <w:spacing w:line="360" w:lineRule="auto"/>
        <w:rPr>
          <w:rFonts w:hint="eastAsia" w:ascii="宋体" w:hAnsi="宋体" w:eastAsia="宋体" w:cs="宋体"/>
          <w:sz w:val="24"/>
          <w:szCs w:val="24"/>
        </w:rPr>
      </w:pPr>
      <w:r>
        <w:rPr>
          <w:rFonts w:hint="eastAsia" w:ascii="宋体" w:hAnsi="宋体" w:eastAsia="宋体" w:cs="宋体"/>
          <w:sz w:val="24"/>
          <w:szCs w:val="24"/>
        </w:rPr>
        <w:t>2.4  所有机械化车辆作业过程中应注意遵守交通规则，违反交通规则的每车每次扣0.2分，导致出现重大事故的扣1分。</w:t>
      </w:r>
    </w:p>
    <w:p w14:paraId="2AB56517">
      <w:pPr>
        <w:spacing w:line="360" w:lineRule="auto"/>
        <w:rPr>
          <w:rFonts w:hint="eastAsia" w:ascii="宋体" w:hAnsi="宋体" w:eastAsia="宋体" w:cs="宋体"/>
          <w:sz w:val="24"/>
          <w:szCs w:val="24"/>
        </w:rPr>
      </w:pPr>
      <w:r>
        <w:rPr>
          <w:rFonts w:hint="eastAsia" w:ascii="宋体" w:hAnsi="宋体" w:eastAsia="宋体" w:cs="宋体"/>
          <w:sz w:val="24"/>
          <w:szCs w:val="24"/>
        </w:rPr>
        <w:t>2.5  洗扫车、洒水车未按规定路线作业的，在作业街路上无特殊情况长时间停放（超过30分钟）未作业的，未按操作规程或统一要求模式作业，作业时无故空驶的，作业时不开启GPS装置的，每台次扣0.2分。</w:t>
      </w:r>
    </w:p>
    <w:p w14:paraId="62DC2164">
      <w:pPr>
        <w:spacing w:line="360" w:lineRule="auto"/>
        <w:rPr>
          <w:rFonts w:hint="eastAsia" w:ascii="宋体" w:hAnsi="宋体" w:eastAsia="宋体" w:cs="宋体"/>
          <w:sz w:val="24"/>
          <w:szCs w:val="24"/>
        </w:rPr>
      </w:pPr>
      <w:r>
        <w:rPr>
          <w:rFonts w:hint="eastAsia" w:ascii="宋体" w:hAnsi="宋体" w:eastAsia="宋体" w:cs="宋体"/>
          <w:sz w:val="24"/>
          <w:szCs w:val="24"/>
        </w:rPr>
        <w:t>2.6  作业车体不洁、油漆脱落，标识不清的，每台次扣0.1分。作业过程中未注意周边车辆人员导致产生投诉或纠纷的，每次扣0.2分。</w:t>
      </w:r>
    </w:p>
    <w:p w14:paraId="1FF244A8">
      <w:pPr>
        <w:spacing w:line="360" w:lineRule="auto"/>
        <w:rPr>
          <w:rFonts w:hint="eastAsia" w:ascii="宋体" w:hAnsi="宋体" w:eastAsia="宋体" w:cs="宋体"/>
          <w:b/>
          <w:sz w:val="24"/>
          <w:szCs w:val="24"/>
        </w:rPr>
      </w:pPr>
      <w:r>
        <w:rPr>
          <w:rFonts w:hint="eastAsia" w:ascii="宋体" w:hAnsi="宋体" w:eastAsia="宋体" w:cs="宋体"/>
          <w:b/>
          <w:sz w:val="24"/>
          <w:szCs w:val="24"/>
        </w:rPr>
        <w:t>三、垃圾收运</w:t>
      </w:r>
    </w:p>
    <w:p w14:paraId="7C419F4B">
      <w:pPr>
        <w:spacing w:line="360" w:lineRule="auto"/>
        <w:rPr>
          <w:rFonts w:hint="eastAsia" w:ascii="宋体" w:hAnsi="宋体" w:eastAsia="宋体" w:cs="宋体"/>
          <w:sz w:val="24"/>
          <w:szCs w:val="24"/>
        </w:rPr>
      </w:pPr>
      <w:r>
        <w:rPr>
          <w:rFonts w:hint="eastAsia" w:ascii="宋体" w:hAnsi="宋体" w:eastAsia="宋体" w:cs="宋体"/>
          <w:sz w:val="24"/>
          <w:szCs w:val="24"/>
        </w:rPr>
        <w:t>3.1  垃圾容器不得出现满溢、容器外有垃圾积存，发现每项每处扣0.2分；容器表面不得有污物、粘贴、吊挂，垃圾容器上盖及周围不得有残冰积雪，每发现一项扣0.1分。</w:t>
      </w:r>
    </w:p>
    <w:p w14:paraId="2740BC19">
      <w:pPr>
        <w:spacing w:line="360" w:lineRule="auto"/>
        <w:rPr>
          <w:rFonts w:hint="eastAsia" w:ascii="宋体" w:hAnsi="宋体" w:eastAsia="宋体" w:cs="宋体"/>
          <w:sz w:val="24"/>
          <w:szCs w:val="24"/>
        </w:rPr>
      </w:pPr>
      <w:r>
        <w:rPr>
          <w:rFonts w:hint="eastAsia" w:ascii="宋体" w:hAnsi="宋体" w:eastAsia="宋体" w:cs="宋体"/>
          <w:sz w:val="24"/>
          <w:szCs w:val="24"/>
        </w:rPr>
        <w:t>3.2  中转站未按操作规程消杀、记录不完整、可视范围内蝇蛆多于3只、有明显污垢及异味的；管理间及站内外积存灰尘、污水、蛛网等，保洁不到位或乱堆乱放，管理无序的；每发现一次扣0.1分。</w:t>
      </w:r>
    </w:p>
    <w:p w14:paraId="3609B4D2">
      <w:pPr>
        <w:spacing w:line="360" w:lineRule="auto"/>
        <w:rPr>
          <w:rFonts w:hint="eastAsia" w:ascii="宋体" w:hAnsi="宋体" w:eastAsia="宋体" w:cs="宋体"/>
          <w:sz w:val="24"/>
          <w:szCs w:val="24"/>
        </w:rPr>
      </w:pPr>
      <w:r>
        <w:rPr>
          <w:rFonts w:hint="eastAsia" w:ascii="宋体" w:hAnsi="宋体" w:eastAsia="宋体" w:cs="宋体"/>
          <w:sz w:val="24"/>
          <w:szCs w:val="24"/>
        </w:rPr>
        <w:t>3.3  位于城区主次干道的垃圾包要在半小时内完成，未及时清运的，每发现0.5立方米扣0.5分；位于城区三四级路及背街小巷的垃圾要在1小时内完成清运，未及时清运的，每发现0.5立方米扣0.2分。</w:t>
      </w:r>
    </w:p>
    <w:p w14:paraId="7259A9C3">
      <w:pPr>
        <w:spacing w:line="360" w:lineRule="auto"/>
        <w:rPr>
          <w:rFonts w:hint="eastAsia" w:ascii="宋体" w:hAnsi="宋体" w:eastAsia="宋体" w:cs="宋体"/>
          <w:sz w:val="24"/>
          <w:szCs w:val="24"/>
        </w:rPr>
      </w:pPr>
      <w:r>
        <w:rPr>
          <w:rFonts w:hint="eastAsia" w:ascii="宋体" w:hAnsi="宋体" w:eastAsia="宋体" w:cs="宋体"/>
          <w:sz w:val="24"/>
          <w:szCs w:val="24"/>
        </w:rPr>
        <w:t>3.4  要使用专用车辆定期对临街商户及物业小区进行垃圾收集，未定时收集或不用专用车辆的，每项扣0.2分</w:t>
      </w:r>
    </w:p>
    <w:p w14:paraId="60F695C0">
      <w:pPr>
        <w:spacing w:line="360" w:lineRule="auto"/>
        <w:rPr>
          <w:rFonts w:hint="eastAsia" w:ascii="宋体" w:hAnsi="宋体" w:eastAsia="宋体" w:cs="宋体"/>
          <w:sz w:val="24"/>
          <w:szCs w:val="24"/>
        </w:rPr>
      </w:pPr>
      <w:r>
        <w:rPr>
          <w:rFonts w:hint="eastAsia" w:ascii="宋体" w:hAnsi="宋体" w:eastAsia="宋体" w:cs="宋体"/>
          <w:sz w:val="24"/>
          <w:szCs w:val="24"/>
        </w:rPr>
        <w:t>3.5  管理员空岗，由非管理员操作或野蛮操作、不当操作导致人员受伤、设备损坏的，每次扣0.5分。</w:t>
      </w:r>
    </w:p>
    <w:p w14:paraId="14EC9129">
      <w:pPr>
        <w:spacing w:line="360" w:lineRule="auto"/>
        <w:rPr>
          <w:rFonts w:hint="eastAsia" w:ascii="宋体" w:hAnsi="宋体" w:eastAsia="宋体" w:cs="宋体"/>
          <w:sz w:val="24"/>
          <w:szCs w:val="24"/>
        </w:rPr>
      </w:pPr>
      <w:r>
        <w:rPr>
          <w:rFonts w:hint="eastAsia" w:ascii="宋体" w:hAnsi="宋体" w:eastAsia="宋体" w:cs="宋体"/>
          <w:sz w:val="24"/>
          <w:szCs w:val="24"/>
        </w:rPr>
        <w:t>3.6  实行上门收集垃圾的街路不得将垃圾堆放在店门口或街路上，发现每处扣0.1分；不得散倒垃圾，发现每处扣0.2分。</w:t>
      </w:r>
    </w:p>
    <w:p w14:paraId="7BD7167A">
      <w:pPr>
        <w:spacing w:line="360" w:lineRule="auto"/>
        <w:rPr>
          <w:rFonts w:hint="eastAsia" w:ascii="宋体" w:hAnsi="宋体" w:eastAsia="宋体" w:cs="宋体"/>
          <w:sz w:val="24"/>
          <w:szCs w:val="24"/>
        </w:rPr>
      </w:pPr>
      <w:r>
        <w:rPr>
          <w:rFonts w:hint="eastAsia" w:ascii="宋体" w:hAnsi="宋体" w:eastAsia="宋体" w:cs="宋体"/>
          <w:sz w:val="24"/>
          <w:szCs w:val="24"/>
        </w:rPr>
        <w:t>3.7  垃圾运输车密闭运输，不得遗漏垃圾，垃圾压缩车残液不得沿途滴落污染街路，不得将生活垃圾与其它垃圾混合清运排放，发现一次，每台次扣0.5分</w:t>
      </w:r>
    </w:p>
    <w:p w14:paraId="26508BA3">
      <w:pPr>
        <w:spacing w:line="360" w:lineRule="auto"/>
        <w:rPr>
          <w:rFonts w:hint="eastAsia" w:ascii="宋体" w:hAnsi="宋体" w:eastAsia="宋体" w:cs="宋体"/>
          <w:sz w:val="24"/>
          <w:szCs w:val="24"/>
        </w:rPr>
      </w:pPr>
      <w:r>
        <w:rPr>
          <w:rFonts w:hint="eastAsia" w:ascii="宋体" w:hAnsi="宋体" w:eastAsia="宋体" w:cs="宋体"/>
          <w:sz w:val="24"/>
          <w:szCs w:val="24"/>
        </w:rPr>
        <w:t>3.8  垃圾运输车应按垃圾场区规定的行车路线行驶，进场后要按规定程序进行检斤，未按要求执行的，每次每项扣0.2分；不听劝阻，与管理人员发生冲突的，每次扣0.5分，情节严重的扣1分；</w:t>
      </w:r>
    </w:p>
    <w:p w14:paraId="6E9C3DD0">
      <w:pPr>
        <w:spacing w:line="360" w:lineRule="auto"/>
        <w:rPr>
          <w:rFonts w:hint="eastAsia" w:ascii="宋体" w:hAnsi="宋体" w:eastAsia="宋体" w:cs="宋体"/>
          <w:sz w:val="24"/>
          <w:szCs w:val="24"/>
        </w:rPr>
      </w:pPr>
      <w:r>
        <w:rPr>
          <w:rFonts w:hint="eastAsia" w:ascii="宋体" w:hAnsi="宋体" w:eastAsia="宋体" w:cs="宋体"/>
          <w:sz w:val="24"/>
          <w:szCs w:val="24"/>
        </w:rPr>
        <w:t>3.9  垃圾运输车辆要及时刷洗，保持车容整洁，无油漆脱落、标识清晰、规范，未达到标准的，发现一项每车扣0.1分。</w:t>
      </w:r>
    </w:p>
    <w:p w14:paraId="0CC2176C">
      <w:pPr>
        <w:spacing w:line="360" w:lineRule="auto"/>
        <w:rPr>
          <w:rFonts w:hint="eastAsia" w:ascii="宋体" w:hAnsi="宋体" w:eastAsia="宋体" w:cs="宋体"/>
          <w:b/>
          <w:sz w:val="24"/>
          <w:szCs w:val="24"/>
        </w:rPr>
      </w:pPr>
      <w:r>
        <w:rPr>
          <w:rFonts w:hint="eastAsia" w:ascii="宋体" w:hAnsi="宋体" w:eastAsia="宋体" w:cs="宋体"/>
          <w:b/>
          <w:sz w:val="24"/>
          <w:szCs w:val="24"/>
        </w:rPr>
        <w:t>四、公厕管理</w:t>
      </w:r>
    </w:p>
    <w:p w14:paraId="33912B11">
      <w:pPr>
        <w:spacing w:line="360" w:lineRule="auto"/>
        <w:rPr>
          <w:rFonts w:hint="eastAsia" w:ascii="宋体" w:hAnsi="宋体" w:eastAsia="宋体" w:cs="宋体"/>
          <w:sz w:val="24"/>
          <w:szCs w:val="24"/>
        </w:rPr>
      </w:pPr>
      <w:r>
        <w:rPr>
          <w:rFonts w:hint="eastAsia" w:ascii="宋体" w:hAnsi="宋体" w:eastAsia="宋体" w:cs="宋体"/>
          <w:sz w:val="24"/>
          <w:szCs w:val="24"/>
        </w:rPr>
        <w:t>4.1  公厕标志及管理制度齐全，缺少设施标志、管理制度牌或标志不明显的，标识、编号、开放时间、监督电话、责任人等内容未公示的，每座扣0.1分。</w:t>
      </w:r>
    </w:p>
    <w:p w14:paraId="10812866">
      <w:pPr>
        <w:spacing w:line="360" w:lineRule="auto"/>
        <w:rPr>
          <w:rFonts w:hint="eastAsia" w:ascii="宋体" w:hAnsi="宋体" w:eastAsia="宋体" w:cs="宋体"/>
          <w:sz w:val="24"/>
          <w:szCs w:val="24"/>
        </w:rPr>
      </w:pPr>
      <w:r>
        <w:rPr>
          <w:rFonts w:hint="eastAsia" w:ascii="宋体" w:hAnsi="宋体" w:eastAsia="宋体" w:cs="宋体"/>
          <w:sz w:val="24"/>
          <w:szCs w:val="24"/>
        </w:rPr>
        <w:t>4.2  公厕清洗保洁达到规定要求，未达到标准的，每项扣0.1分。公厕无乱张贴、涂画、乱堆放等现象，出现此类现象的，每项扣0.1分。</w:t>
      </w:r>
    </w:p>
    <w:p w14:paraId="2A09049D">
      <w:pPr>
        <w:spacing w:line="360" w:lineRule="auto"/>
        <w:rPr>
          <w:rFonts w:hint="eastAsia" w:ascii="宋体" w:hAnsi="宋体" w:eastAsia="宋体" w:cs="宋体"/>
          <w:sz w:val="24"/>
          <w:szCs w:val="24"/>
        </w:rPr>
      </w:pPr>
      <w:r>
        <w:rPr>
          <w:rFonts w:hint="eastAsia" w:ascii="宋体" w:hAnsi="宋体" w:eastAsia="宋体" w:cs="宋体"/>
          <w:sz w:val="24"/>
          <w:szCs w:val="24"/>
        </w:rPr>
        <w:t>4.3  公厕按规定时间免费开放，未按时开放的，每座扣0.2分。</w:t>
      </w:r>
    </w:p>
    <w:p w14:paraId="25C0D15D">
      <w:pPr>
        <w:spacing w:line="360" w:lineRule="auto"/>
        <w:rPr>
          <w:rFonts w:hint="eastAsia" w:ascii="宋体" w:hAnsi="宋体" w:eastAsia="宋体" w:cs="宋体"/>
          <w:sz w:val="24"/>
          <w:szCs w:val="24"/>
        </w:rPr>
      </w:pPr>
      <w:r>
        <w:rPr>
          <w:rFonts w:hint="eastAsia" w:ascii="宋体" w:hAnsi="宋体" w:eastAsia="宋体" w:cs="宋体"/>
          <w:sz w:val="24"/>
          <w:szCs w:val="24"/>
        </w:rPr>
        <w:t>4.4  保洁人员要按规定时间在岗在位，着工作服，厕间全部开放，发现不在岗，不着装，厕间无故不开的，每项扣0.1分。</w:t>
      </w:r>
    </w:p>
    <w:p w14:paraId="1992F631">
      <w:pPr>
        <w:spacing w:line="360" w:lineRule="auto"/>
        <w:rPr>
          <w:rFonts w:hint="eastAsia" w:ascii="宋体" w:hAnsi="宋体" w:eastAsia="宋体" w:cs="宋体"/>
          <w:sz w:val="24"/>
          <w:szCs w:val="24"/>
        </w:rPr>
      </w:pPr>
      <w:r>
        <w:rPr>
          <w:rFonts w:hint="eastAsia" w:ascii="宋体" w:hAnsi="宋体" w:eastAsia="宋体" w:cs="宋体"/>
          <w:sz w:val="24"/>
          <w:szCs w:val="24"/>
        </w:rPr>
        <w:t>4.5  未按操作规程消杀、记录不完整或苍蝇超过3只，以及未采取灭“四害”措施的，有明显异味及污渍的，每项扣0.1分。</w:t>
      </w:r>
    </w:p>
    <w:p w14:paraId="0B3445EE">
      <w:pPr>
        <w:spacing w:line="360" w:lineRule="auto"/>
        <w:rPr>
          <w:rFonts w:hint="eastAsia" w:ascii="宋体" w:hAnsi="宋体" w:eastAsia="宋体" w:cs="宋体"/>
          <w:sz w:val="24"/>
          <w:szCs w:val="24"/>
        </w:rPr>
      </w:pPr>
      <w:r>
        <w:rPr>
          <w:rFonts w:hint="eastAsia" w:ascii="宋体" w:hAnsi="宋体" w:eastAsia="宋体" w:cs="宋体"/>
          <w:sz w:val="24"/>
          <w:szCs w:val="24"/>
        </w:rPr>
        <w:t>4.6  公厕设施完好，及时维修，出现损坏，未及时维修（超3天）的，每天每座扣0.1分。</w:t>
      </w:r>
    </w:p>
    <w:p w14:paraId="1B094945">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、安全作业</w:t>
      </w:r>
    </w:p>
    <w:p w14:paraId="31124172">
      <w:pPr>
        <w:spacing w:line="360" w:lineRule="auto"/>
        <w:rPr>
          <w:rFonts w:hint="eastAsia" w:ascii="宋体" w:hAnsi="宋体" w:eastAsia="宋体" w:cs="宋体"/>
          <w:sz w:val="24"/>
          <w:szCs w:val="24"/>
        </w:rPr>
      </w:pPr>
      <w:r>
        <w:rPr>
          <w:rFonts w:hint="eastAsia" w:ascii="宋体" w:hAnsi="宋体" w:eastAsia="宋体" w:cs="宋体"/>
          <w:sz w:val="24"/>
          <w:szCs w:val="24"/>
        </w:rPr>
        <w:t>8.1  清扫保洁（除运雪）作业期间要着有安全标志的作业服装，反光标志要完整，服装整洁干净，未按标准着装、作业服污损、安全标示不清的，每发现一次扣0.1分。</w:t>
      </w:r>
    </w:p>
    <w:p w14:paraId="5B09DB9E">
      <w:pPr>
        <w:spacing w:line="360" w:lineRule="auto"/>
        <w:rPr>
          <w:rFonts w:hint="eastAsia" w:ascii="宋体" w:hAnsi="宋体" w:eastAsia="宋体" w:cs="宋体"/>
          <w:sz w:val="24"/>
          <w:szCs w:val="24"/>
        </w:rPr>
      </w:pPr>
      <w:r>
        <w:rPr>
          <w:rFonts w:hint="eastAsia" w:ascii="宋体" w:hAnsi="宋体" w:eastAsia="宋体" w:cs="宋体"/>
          <w:sz w:val="24"/>
          <w:szCs w:val="24"/>
        </w:rPr>
        <w:t>8.2  凌晨清扫（除运雪）作业时，需在安全距离处摆放安全标识锥，标识锥反光线完整有效，未摆放安全锥或安全标志不清晰的，每处扣0.1分。</w:t>
      </w:r>
    </w:p>
    <w:p w14:paraId="1877DC30">
      <w:pPr>
        <w:spacing w:line="360" w:lineRule="auto"/>
        <w:rPr>
          <w:rFonts w:hint="eastAsia" w:ascii="宋体" w:hAnsi="宋体" w:eastAsia="宋体" w:cs="宋体"/>
          <w:sz w:val="24"/>
          <w:szCs w:val="24"/>
        </w:rPr>
      </w:pPr>
      <w:r>
        <w:rPr>
          <w:rFonts w:hint="eastAsia" w:ascii="宋体" w:hAnsi="宋体" w:eastAsia="宋体" w:cs="宋体"/>
          <w:sz w:val="24"/>
          <w:szCs w:val="24"/>
        </w:rPr>
        <w:t>8.3  清扫保洁（除运雪）作业时，保洁车要粘贴安全反光条和醒目标识，未粘贴反光条和标识不清的，每台（次）扣0.1分。</w:t>
      </w:r>
    </w:p>
    <w:p w14:paraId="13059E51">
      <w:pPr>
        <w:spacing w:line="360" w:lineRule="auto"/>
        <w:rPr>
          <w:rFonts w:hint="eastAsia" w:ascii="宋体" w:hAnsi="宋体" w:eastAsia="宋体" w:cs="宋体"/>
          <w:sz w:val="24"/>
          <w:szCs w:val="24"/>
        </w:rPr>
      </w:pPr>
      <w:r>
        <w:rPr>
          <w:rFonts w:hint="eastAsia" w:ascii="宋体" w:hAnsi="宋体" w:eastAsia="宋体" w:cs="宋体"/>
          <w:sz w:val="24"/>
          <w:szCs w:val="24"/>
        </w:rPr>
        <w:t>8.4  保洁车和安全标识锥要横向摆放，保洁车头向慢车道方向距离路口50米停放，对未按规定摆放的，每人次扣0.1分。</w:t>
      </w:r>
    </w:p>
    <w:p w14:paraId="638B1738">
      <w:pPr>
        <w:spacing w:line="360" w:lineRule="auto"/>
        <w:rPr>
          <w:rFonts w:hint="eastAsia" w:ascii="宋体" w:hAnsi="宋体" w:eastAsia="宋体" w:cs="宋体"/>
          <w:sz w:val="24"/>
          <w:szCs w:val="24"/>
        </w:rPr>
      </w:pPr>
      <w:r>
        <w:rPr>
          <w:rFonts w:hint="eastAsia" w:ascii="宋体" w:hAnsi="宋体" w:eastAsia="宋体" w:cs="宋体"/>
          <w:sz w:val="24"/>
          <w:szCs w:val="24"/>
        </w:rPr>
        <w:t>8.5  在除运雪作业时，在作业路段两侧摆置醒目的安全警示牌，未按要求摆放警示牌的，每次扣0.1分。</w:t>
      </w:r>
    </w:p>
    <w:p w14:paraId="7586452C">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、工作纪律</w:t>
      </w:r>
    </w:p>
    <w:p w14:paraId="598B7A3E">
      <w:pPr>
        <w:spacing w:line="360" w:lineRule="auto"/>
        <w:rPr>
          <w:rFonts w:hint="eastAsia" w:ascii="宋体" w:hAnsi="宋体" w:eastAsia="宋体" w:cs="宋体"/>
          <w:sz w:val="24"/>
          <w:szCs w:val="24"/>
        </w:rPr>
      </w:pPr>
      <w:r>
        <w:rPr>
          <w:rFonts w:hint="eastAsia" w:ascii="宋体" w:hAnsi="宋体" w:eastAsia="宋体" w:cs="宋体"/>
          <w:sz w:val="24"/>
          <w:szCs w:val="24"/>
        </w:rPr>
        <w:t>9.1  保洁员作业时间内不得擅离岗位或提前离岗；不得聚众闲谈，每发现一次扣0.2分。</w:t>
      </w:r>
    </w:p>
    <w:p w14:paraId="24F19215">
      <w:pPr>
        <w:spacing w:line="360" w:lineRule="auto"/>
        <w:rPr>
          <w:rFonts w:hint="eastAsia" w:ascii="宋体" w:hAnsi="宋体" w:eastAsia="宋体" w:cs="宋体"/>
          <w:sz w:val="24"/>
          <w:szCs w:val="24"/>
        </w:rPr>
      </w:pPr>
      <w:r>
        <w:rPr>
          <w:rFonts w:hint="eastAsia" w:ascii="宋体" w:hAnsi="宋体" w:eastAsia="宋体" w:cs="宋体"/>
          <w:sz w:val="24"/>
          <w:szCs w:val="24"/>
        </w:rPr>
        <w:t>9.2  保洁相关人员工作期间不着环卫工装或混搭的，上岗时间干私活、捡拾废品、聚众闲谈等其他与环卫作业无关的事物，每人次扣0.2分。</w:t>
      </w:r>
    </w:p>
    <w:p w14:paraId="0E1034FB">
      <w:pPr>
        <w:spacing w:line="360" w:lineRule="auto"/>
        <w:rPr>
          <w:rFonts w:hint="eastAsia" w:ascii="宋体" w:hAnsi="宋体" w:eastAsia="宋体" w:cs="宋体"/>
          <w:sz w:val="24"/>
          <w:szCs w:val="24"/>
        </w:rPr>
      </w:pPr>
      <w:r>
        <w:rPr>
          <w:rFonts w:hint="eastAsia" w:ascii="宋体" w:hAnsi="宋体" w:eastAsia="宋体" w:cs="宋体"/>
          <w:sz w:val="24"/>
          <w:szCs w:val="24"/>
        </w:rPr>
        <w:t>9.3  市、区两级组织会议无故缺席的；市、区两级要求文件表格未及时上报的，市、区两级统一部署的工作，落实不到位、执行不力、政令不通的，每次扣1分。</w:t>
      </w:r>
    </w:p>
    <w:p w14:paraId="021B2149">
      <w:pPr>
        <w:spacing w:line="360" w:lineRule="auto"/>
        <w:rPr>
          <w:rFonts w:hint="eastAsia" w:ascii="宋体" w:hAnsi="宋体" w:eastAsia="宋体" w:cs="宋体"/>
          <w:sz w:val="24"/>
          <w:szCs w:val="24"/>
        </w:rPr>
      </w:pPr>
      <w:r>
        <w:rPr>
          <w:rFonts w:hint="eastAsia" w:ascii="宋体" w:hAnsi="宋体" w:eastAsia="宋体" w:cs="宋体"/>
          <w:sz w:val="24"/>
          <w:szCs w:val="24"/>
        </w:rPr>
        <w:t>9.4  按作业量，班组缺编2人以上或大队缺编10人以上的；按作业车辆数量实施“两班倒”，驾驶员数量缺编3人</w:t>
      </w:r>
      <w:r>
        <w:rPr>
          <w:rFonts w:hint="eastAsia" w:ascii="宋体" w:hAnsi="宋体" w:eastAsia="宋体" w:cs="宋体"/>
          <w:sz w:val="24"/>
          <w:szCs w:val="24"/>
          <w:lang w:val="en-US" w:eastAsia="zh-CN"/>
        </w:rPr>
        <w:t>及</w:t>
      </w:r>
      <w:r>
        <w:rPr>
          <w:rFonts w:hint="eastAsia" w:ascii="宋体" w:hAnsi="宋体" w:eastAsia="宋体" w:cs="宋体"/>
          <w:sz w:val="24"/>
          <w:szCs w:val="24"/>
        </w:rPr>
        <w:t>以上的。</w:t>
      </w:r>
      <w:r>
        <w:rPr>
          <w:rFonts w:hint="eastAsia" w:ascii="宋体" w:hAnsi="宋体" w:eastAsia="宋体" w:cs="宋体"/>
          <w:sz w:val="24"/>
          <w:szCs w:val="24"/>
          <w:lang w:val="en-US" w:eastAsia="zh-CN"/>
        </w:rPr>
        <w:t>每</w:t>
      </w:r>
      <w:r>
        <w:rPr>
          <w:rFonts w:hint="eastAsia" w:ascii="宋体" w:hAnsi="宋体" w:eastAsia="宋体" w:cs="宋体"/>
          <w:sz w:val="24"/>
          <w:szCs w:val="24"/>
        </w:rPr>
        <w:t>人扣1分。</w:t>
      </w:r>
    </w:p>
    <w:p w14:paraId="0E750127">
      <w:pPr>
        <w:spacing w:line="360" w:lineRule="auto"/>
        <w:rPr>
          <w:rFonts w:hint="eastAsia" w:ascii="宋体" w:hAnsi="宋体" w:eastAsia="宋体" w:cs="宋体"/>
          <w:sz w:val="24"/>
          <w:szCs w:val="24"/>
        </w:rPr>
      </w:pPr>
      <w:r>
        <w:rPr>
          <w:rFonts w:hint="eastAsia" w:ascii="宋体" w:hAnsi="宋体" w:eastAsia="宋体" w:cs="宋体"/>
          <w:sz w:val="24"/>
          <w:szCs w:val="24"/>
        </w:rPr>
        <w:t>9.5  保洁中标单位无日常考核或自检自查记录缺失缺少的，每次扣0.2分。环卫科日常考核中发现问题未及时回复并在1小时内完成整改的，扣除0.5分。相同点位相同问题反复出现的，双倍扣分。</w:t>
      </w:r>
    </w:p>
    <w:p w14:paraId="32227109">
      <w:pPr>
        <w:spacing w:line="360" w:lineRule="auto"/>
        <w:rPr>
          <w:rFonts w:hint="eastAsia" w:ascii="宋体" w:hAnsi="宋体" w:eastAsia="宋体" w:cs="宋体"/>
          <w:sz w:val="24"/>
          <w:szCs w:val="24"/>
        </w:rPr>
      </w:pPr>
      <w:r>
        <w:rPr>
          <w:rFonts w:hint="eastAsia" w:ascii="宋体" w:hAnsi="宋体" w:eastAsia="宋体" w:cs="宋体"/>
          <w:sz w:val="24"/>
          <w:szCs w:val="24"/>
        </w:rPr>
        <w:t>9.6  在市里各项环境卫生检查中消极迎检，出现重大问题的，每次扣5分。</w:t>
      </w:r>
    </w:p>
    <w:p w14:paraId="3B81F424">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、加扣分项</w:t>
      </w:r>
    </w:p>
    <w:p w14:paraId="6B0D858F">
      <w:pPr>
        <w:spacing w:line="360" w:lineRule="auto"/>
        <w:rPr>
          <w:rFonts w:hint="eastAsia" w:ascii="宋体" w:hAnsi="宋体" w:eastAsia="宋体" w:cs="宋体"/>
          <w:sz w:val="24"/>
          <w:szCs w:val="24"/>
        </w:rPr>
      </w:pPr>
      <w:r>
        <w:rPr>
          <w:rFonts w:hint="eastAsia" w:ascii="宋体" w:hAnsi="宋体" w:eastAsia="宋体" w:cs="宋体"/>
          <w:sz w:val="24"/>
          <w:szCs w:val="24"/>
        </w:rPr>
        <w:t>10.1  较好完成临时性立面保洁作业任务的，每条路每次加0.1分。</w:t>
      </w:r>
    </w:p>
    <w:p w14:paraId="150A1B6F">
      <w:pPr>
        <w:spacing w:line="360" w:lineRule="auto"/>
        <w:rPr>
          <w:rFonts w:hint="eastAsia" w:ascii="宋体" w:hAnsi="宋体" w:eastAsia="宋体" w:cs="宋体"/>
          <w:sz w:val="24"/>
          <w:szCs w:val="24"/>
        </w:rPr>
      </w:pPr>
      <w:r>
        <w:rPr>
          <w:rFonts w:hint="eastAsia" w:ascii="宋体" w:hAnsi="宋体" w:eastAsia="宋体" w:cs="宋体"/>
          <w:sz w:val="24"/>
          <w:szCs w:val="24"/>
        </w:rPr>
        <w:t>10.2  较好完成重大政务活动环境保障，包括领导视察（市级以上领导）或大型活动等，完成非责任范围内的应急保障工作任务的，每次加0.1分。</w:t>
      </w:r>
    </w:p>
    <w:p w14:paraId="4B8250D6">
      <w:pPr>
        <w:spacing w:line="360" w:lineRule="auto"/>
        <w:rPr>
          <w:rFonts w:hint="eastAsia" w:ascii="宋体" w:hAnsi="宋体" w:eastAsia="宋体" w:cs="宋体"/>
          <w:sz w:val="24"/>
          <w:szCs w:val="24"/>
        </w:rPr>
      </w:pPr>
      <w:r>
        <w:rPr>
          <w:rFonts w:hint="eastAsia" w:ascii="宋体" w:hAnsi="宋体" w:eastAsia="宋体" w:cs="宋体"/>
          <w:sz w:val="24"/>
          <w:szCs w:val="24"/>
        </w:rPr>
        <w:t>10.3  环卫工作突出，有市级以上领导表扬批示的，每次加0.2分。</w:t>
      </w:r>
    </w:p>
    <w:p w14:paraId="528057C0">
      <w:pPr>
        <w:spacing w:line="360" w:lineRule="auto"/>
        <w:rPr>
          <w:rFonts w:hint="eastAsia" w:ascii="宋体" w:hAnsi="宋体" w:eastAsia="宋体" w:cs="宋体"/>
          <w:sz w:val="24"/>
          <w:szCs w:val="24"/>
        </w:rPr>
      </w:pPr>
      <w:r>
        <w:rPr>
          <w:rFonts w:hint="eastAsia" w:ascii="宋体" w:hAnsi="宋体" w:eastAsia="宋体" w:cs="宋体"/>
          <w:sz w:val="24"/>
          <w:szCs w:val="24"/>
        </w:rPr>
        <w:t>10.4  被新闻媒体表扬，经核实的，加0.2分。</w:t>
      </w:r>
    </w:p>
    <w:p w14:paraId="549734B9">
      <w:pPr>
        <w:spacing w:line="360" w:lineRule="auto"/>
        <w:rPr>
          <w:rFonts w:hint="eastAsia" w:ascii="宋体" w:hAnsi="宋体" w:eastAsia="宋体" w:cs="宋体"/>
          <w:sz w:val="24"/>
          <w:szCs w:val="24"/>
        </w:rPr>
      </w:pPr>
      <w:r>
        <w:rPr>
          <w:rFonts w:hint="eastAsia" w:ascii="宋体" w:hAnsi="宋体" w:eastAsia="宋体" w:cs="宋体"/>
          <w:sz w:val="24"/>
          <w:szCs w:val="24"/>
        </w:rPr>
        <w:t>10.5  重大政务活动、领导视察（市级以上领导）、大型活动保障等出现失误，造成影响的，每次扣0.5分。</w:t>
      </w:r>
    </w:p>
    <w:p w14:paraId="7659C045">
      <w:pPr>
        <w:spacing w:line="360" w:lineRule="auto"/>
        <w:rPr>
          <w:rFonts w:hint="eastAsia" w:ascii="宋体" w:hAnsi="宋体" w:eastAsia="宋体" w:cs="宋体"/>
          <w:sz w:val="24"/>
          <w:szCs w:val="24"/>
        </w:rPr>
      </w:pPr>
      <w:r>
        <w:rPr>
          <w:rFonts w:hint="eastAsia" w:ascii="宋体" w:hAnsi="宋体" w:eastAsia="宋体" w:cs="宋体"/>
          <w:sz w:val="24"/>
          <w:szCs w:val="24"/>
        </w:rPr>
        <w:t>10.6 环卫工作不到位，市级以上领导批示或点名批评的，每次扣0.2分。</w:t>
      </w:r>
    </w:p>
    <w:p w14:paraId="4441A9BB">
      <w:pPr>
        <w:spacing w:line="360" w:lineRule="auto"/>
        <w:rPr>
          <w:rFonts w:hint="eastAsia" w:ascii="宋体" w:hAnsi="宋体" w:eastAsia="宋体" w:cs="宋体"/>
          <w:sz w:val="24"/>
          <w:szCs w:val="24"/>
        </w:rPr>
      </w:pPr>
      <w:r>
        <w:rPr>
          <w:rFonts w:hint="eastAsia" w:ascii="宋体" w:hAnsi="宋体" w:eastAsia="宋体" w:cs="宋体"/>
          <w:sz w:val="24"/>
          <w:szCs w:val="24"/>
        </w:rPr>
        <w:t>10.7 被新闻媒体曝光环境卫生问题，经查实无误的，扣0.2分。</w:t>
      </w:r>
    </w:p>
    <w:p w14:paraId="27BE1396">
      <w:pPr>
        <w:spacing w:line="360" w:lineRule="auto"/>
        <w:rPr>
          <w:rFonts w:hint="eastAsia" w:ascii="宋体" w:hAnsi="宋体" w:eastAsia="宋体" w:cs="宋体"/>
          <w:sz w:val="24"/>
          <w:szCs w:val="24"/>
        </w:rPr>
      </w:pPr>
      <w:r>
        <w:rPr>
          <w:rFonts w:hint="eastAsia" w:ascii="宋体" w:hAnsi="宋体" w:eastAsia="宋体" w:cs="宋体"/>
          <w:sz w:val="24"/>
          <w:szCs w:val="24"/>
        </w:rPr>
        <w:t>10.8 对全市统一指挥调度，响应不积极，未按时限完成任务的，每次扣0.2分。</w:t>
      </w:r>
      <w:bookmarkEnd w:id="142"/>
      <w:bookmarkEnd w:id="143"/>
      <w:bookmarkEnd w:id="144"/>
      <w:bookmarkEnd w:id="145"/>
      <w:bookmarkEnd w:id="146"/>
      <w:bookmarkEnd w:id="147"/>
      <w:bookmarkEnd w:id="148"/>
    </w:p>
    <w:p w14:paraId="4CA2E57E">
      <w:pPr>
        <w:rPr>
          <w:rFonts w:hint="eastAsia" w:ascii="宋体" w:hAnsi="宋体" w:eastAsia="宋体" w:cs="宋体"/>
          <w:sz w:val="24"/>
          <w:szCs w:val="24"/>
        </w:rPr>
      </w:pPr>
      <w:bookmarkStart w:id="149" w:name="_Toc26323"/>
      <w:bookmarkStart w:id="150" w:name="_Toc1768"/>
      <w:bookmarkStart w:id="151" w:name="_Toc5274"/>
      <w:bookmarkStart w:id="152" w:name="_Toc37764947"/>
      <w:r>
        <w:rPr>
          <w:rFonts w:hint="eastAsia" w:ascii="宋体" w:hAnsi="宋体" w:eastAsia="宋体" w:cs="宋体"/>
          <w:sz w:val="24"/>
          <w:szCs w:val="24"/>
        </w:rPr>
        <w:br w:type="page"/>
      </w:r>
    </w:p>
    <w:p w14:paraId="4883336A">
      <w:pPr>
        <w:jc w:val="center"/>
        <w:rPr>
          <w:rFonts w:hint="eastAsia" w:ascii="宋体" w:hAnsi="宋体" w:eastAsia="宋体" w:cs="宋体"/>
          <w:b/>
          <w:kern w:val="2"/>
          <w:sz w:val="24"/>
          <w:szCs w:val="24"/>
          <w:highlight w:val="yellow"/>
          <w:lang w:val="en-US" w:eastAsia="zh-CN"/>
        </w:rPr>
      </w:pPr>
      <w:r>
        <w:rPr>
          <w:rFonts w:hint="eastAsia" w:ascii="宋体" w:hAnsi="宋体" w:eastAsia="宋体" w:cs="宋体"/>
          <w:b/>
          <w:kern w:val="2"/>
          <w:sz w:val="24"/>
          <w:szCs w:val="24"/>
          <w:highlight w:val="yellow"/>
          <w:shd w:val="clear" w:color="auto" w:fill="FFFFFF"/>
          <w:lang w:val="en-US" w:eastAsia="zh-CN"/>
        </w:rPr>
        <w:t>环卫保洁工作手册</w:t>
      </w:r>
    </w:p>
    <w:p w14:paraId="5FB16312">
      <w:pPr>
        <w:pStyle w:val="2"/>
        <w:widowControl/>
        <w:spacing w:before="120" w:after="0" w:line="480" w:lineRule="auto"/>
        <w:rPr>
          <w:rFonts w:hint="eastAsia" w:ascii="宋体" w:hAnsi="宋体" w:eastAsia="宋体" w:cs="宋体"/>
          <w:sz w:val="24"/>
          <w:szCs w:val="24"/>
        </w:rPr>
      </w:pPr>
      <w:r>
        <w:rPr>
          <w:rFonts w:hint="eastAsia" w:ascii="宋体" w:hAnsi="宋体" w:eastAsia="宋体" w:cs="宋体"/>
          <w:sz w:val="24"/>
          <w:szCs w:val="24"/>
        </w:rPr>
        <w:t xml:space="preserve"> 道路清扫保洁</w:t>
      </w:r>
      <w:bookmarkEnd w:id="149"/>
      <w:bookmarkEnd w:id="150"/>
      <w:bookmarkEnd w:id="151"/>
      <w:bookmarkEnd w:id="152"/>
    </w:p>
    <w:p w14:paraId="68AA631D">
      <w:pPr>
        <w:pStyle w:val="3"/>
        <w:widowControl/>
        <w:spacing w:before="120" w:after="120" w:afterLines="50" w:line="240" w:lineRule="auto"/>
        <w:rPr>
          <w:rFonts w:hint="eastAsia" w:ascii="宋体" w:hAnsi="宋体" w:eastAsia="宋体" w:cs="宋体"/>
          <w:sz w:val="24"/>
          <w:szCs w:val="24"/>
        </w:rPr>
      </w:pPr>
      <w:bookmarkStart w:id="153" w:name="_Toc37764948"/>
      <w:bookmarkStart w:id="154" w:name="_Toc829"/>
      <w:bookmarkStart w:id="155" w:name="_Toc12135"/>
      <w:bookmarkStart w:id="156" w:name="_Toc12812"/>
      <w:r>
        <w:rPr>
          <w:rFonts w:hint="eastAsia" w:ascii="宋体" w:hAnsi="宋体" w:eastAsia="宋体" w:cs="宋体"/>
          <w:sz w:val="24"/>
          <w:szCs w:val="24"/>
        </w:rPr>
        <w:t xml:space="preserve"> 管理目标</w:t>
      </w:r>
      <w:bookmarkEnd w:id="153"/>
      <w:bookmarkEnd w:id="154"/>
      <w:bookmarkEnd w:id="155"/>
      <w:bookmarkEnd w:id="156"/>
    </w:p>
    <w:p w14:paraId="4986A8DD">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环卫作业单位集团化、作业标段规模化、作业方式机械化，实现环卫清扫保洁质量目标。</w:t>
      </w:r>
    </w:p>
    <w:p w14:paraId="41058FDF">
      <w:pPr>
        <w:pStyle w:val="3"/>
        <w:widowControl/>
        <w:spacing w:before="120" w:after="120" w:afterLines="50" w:line="240" w:lineRule="auto"/>
        <w:rPr>
          <w:rFonts w:hint="eastAsia" w:ascii="宋体" w:hAnsi="宋体" w:eastAsia="宋体" w:cs="宋体"/>
          <w:sz w:val="24"/>
          <w:szCs w:val="24"/>
        </w:rPr>
      </w:pPr>
      <w:bookmarkStart w:id="157" w:name="_Toc29636"/>
      <w:bookmarkStart w:id="158" w:name="_Toc37764949"/>
      <w:bookmarkStart w:id="159" w:name="_Toc1763"/>
      <w:r>
        <w:rPr>
          <w:rFonts w:hint="eastAsia" w:ascii="宋体" w:hAnsi="宋体" w:eastAsia="宋体" w:cs="宋体"/>
          <w:sz w:val="24"/>
          <w:szCs w:val="24"/>
        </w:rPr>
        <w:t xml:space="preserve"> 管理标准</w:t>
      </w:r>
      <w:bookmarkEnd w:id="157"/>
      <w:bookmarkEnd w:id="158"/>
      <w:bookmarkEnd w:id="159"/>
    </w:p>
    <w:p w14:paraId="4D060511">
      <w:pPr>
        <w:pStyle w:val="4"/>
        <w:widowControl/>
        <w:spacing w:before="120" w:after="120" w:afterLines="50" w:line="240" w:lineRule="auto"/>
        <w:rPr>
          <w:rFonts w:hint="eastAsia" w:ascii="宋体" w:hAnsi="宋体" w:eastAsia="宋体" w:cs="宋体"/>
          <w:b/>
          <w:sz w:val="24"/>
          <w:szCs w:val="24"/>
        </w:rPr>
      </w:pPr>
      <w:r>
        <w:rPr>
          <w:rFonts w:hint="eastAsia" w:ascii="宋体" w:hAnsi="宋体" w:eastAsia="宋体" w:cs="宋体"/>
          <w:b/>
          <w:sz w:val="24"/>
          <w:szCs w:val="24"/>
        </w:rPr>
        <w:t>1  道路清扫保洁</w:t>
      </w:r>
    </w:p>
    <w:p w14:paraId="7B8C2F20">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 作业时间</w:t>
      </w:r>
    </w:p>
    <w:p w14:paraId="1DE30F06">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（1）特殊区域、一级道路（区域）应于每日夏季7:00（冬季7:30）前完成普扫作业，二级道路（含）以下应于每日夏季7:30（冬季8:00）前完成普扫作业；</w:t>
      </w:r>
    </w:p>
    <w:p w14:paraId="078AB14E">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（2）特殊区域、一、二级道路（区域）实行每日16小时不间断保洁，三级道路每日12小时保洁。其中，机动车道保洁以机械化错峰作业为主。</w:t>
      </w:r>
    </w:p>
    <w:p w14:paraId="4AE3083F">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 作业方式</w:t>
      </w:r>
    </w:p>
    <w:p w14:paraId="65A37006">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（1）大力推行环卫作业机械化，特殊区域、一、二级道路（区域）主、辅道机械化作业率应达到100%，非机动车道机械化作业率应达到90%；</w:t>
      </w:r>
    </w:p>
    <w:p w14:paraId="3CCCFBDB">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（2）适合机械化作业的，应当以大、中、小型吸尘车、扫地车或洗扫一体车作业为主；不适合机械清扫作业的，应匹配相应作业人员，实行人工清扫作业；人工清扫作业主要采用防尘软扫帚，避免产生扬尘；</w:t>
      </w:r>
    </w:p>
    <w:p w14:paraId="53CCED49">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（3）绿化带、花台、树池杂物清理、果皮箱清掏、外部保洁实行人工与机械相结合方式作业。</w:t>
      </w:r>
    </w:p>
    <w:p w14:paraId="1155FD39">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 作业标准</w:t>
      </w:r>
    </w:p>
    <w:p w14:paraId="62FA92EA">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机动车道、非机动车道、人行道路面无堆积物、无砖瓦土石、无果品纸屑、无塑料袋、无烟蒂、无痰迹、无积泥积尘、无污水、无灰带等。绿化带、行道树池内无堆积物、无塑料袋、无纸屑等废弃物。果皮箱（垃圾桶）内垃圾及时清除，无满溢，箱体周围地面无抛撒存留垃圾、无污渍，箱体外观完好整洁；</w:t>
      </w:r>
    </w:p>
    <w:p w14:paraId="230E7234">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（2）立交桥、人行天桥栏杆和隔离杆、隔离墩（桩、墙）、隔音墙（板）无积泥积尘。</w:t>
      </w:r>
    </w:p>
    <w:p w14:paraId="566F8D8A">
      <w:pPr>
        <w:pStyle w:val="4"/>
        <w:widowControl/>
        <w:spacing w:before="120" w:after="120" w:afterLines="50" w:line="240" w:lineRule="auto"/>
        <w:rPr>
          <w:rFonts w:hint="eastAsia" w:ascii="宋体" w:hAnsi="宋体" w:eastAsia="宋体" w:cs="宋体"/>
          <w:b/>
          <w:sz w:val="24"/>
          <w:szCs w:val="24"/>
        </w:rPr>
      </w:pPr>
      <w:r>
        <w:rPr>
          <w:rFonts w:hint="eastAsia" w:ascii="宋体" w:hAnsi="宋体" w:eastAsia="宋体" w:cs="宋体"/>
          <w:b/>
          <w:sz w:val="24"/>
          <w:szCs w:val="24"/>
        </w:rPr>
        <w:t>2  冲洗除尘</w:t>
      </w:r>
    </w:p>
    <w:p w14:paraId="34657731">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 作业时间</w:t>
      </w:r>
    </w:p>
    <w:p w14:paraId="7389E0EC">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（1）道路冲洗除尘作业应每日进行，雨天可根据实际情况而定；</w:t>
      </w:r>
    </w:p>
    <w:p w14:paraId="40D1465E">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（2）当日平均气温低于零度，停止作业；待日平均气温上升到零度以上，恢复作业；</w:t>
      </w:r>
    </w:p>
    <w:p w14:paraId="2228E72A">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（3）气温降至零度或零度以下，暂停作业。</w:t>
      </w:r>
    </w:p>
    <w:p w14:paraId="336ADBFF">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 作业方式</w:t>
      </w:r>
    </w:p>
    <w:p w14:paraId="4BEB7956">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（1）道路冲洗除尘根据不同道路（区域）等级，制定清洗除尘方案；</w:t>
      </w:r>
    </w:p>
    <w:p w14:paraId="5F92B415">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（2）道路冲洗除尘作业应当实行机械冲洗与人工辅助清扫相结合的方式，确保冲洗效果；</w:t>
      </w:r>
    </w:p>
    <w:p w14:paraId="712A4725">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道路冲洗除尘实行定人、定车、定时、定标、定责“五定”制度。作业单位应当将道路冲洗除尘班组责任人、项目经理、作业车辆、驾驶员、辅助人员等信息列入工作方案，明确作业时间、进度、范围、规范和责任。</w:t>
      </w:r>
    </w:p>
    <w:p w14:paraId="3798BBC3">
      <w:pPr>
        <w:pStyle w:val="4"/>
        <w:widowControl/>
        <w:spacing w:before="120" w:after="120" w:afterLines="50" w:line="240" w:lineRule="auto"/>
        <w:rPr>
          <w:rFonts w:hint="eastAsia" w:ascii="宋体" w:hAnsi="宋体" w:eastAsia="宋体" w:cs="宋体"/>
          <w:b/>
          <w:sz w:val="24"/>
          <w:szCs w:val="24"/>
        </w:rPr>
      </w:pPr>
      <w:r>
        <w:rPr>
          <w:rFonts w:hint="eastAsia" w:ascii="宋体" w:hAnsi="宋体" w:eastAsia="宋体" w:cs="宋体"/>
          <w:b/>
          <w:sz w:val="24"/>
          <w:szCs w:val="24"/>
        </w:rPr>
        <w:t xml:space="preserve">8.2.3  </w:t>
      </w:r>
      <w:r>
        <w:rPr>
          <w:rFonts w:hint="eastAsia" w:ascii="宋体" w:hAnsi="宋体" w:eastAsia="宋体" w:cs="宋体"/>
          <w:bCs w:val="0"/>
          <w:sz w:val="24"/>
          <w:szCs w:val="24"/>
        </w:rPr>
        <w:t>废弃物控制指标</w:t>
      </w:r>
    </w:p>
    <w:p w14:paraId="2D075970">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 机动车道、非机动车道、人行道清扫保洁标准</w:t>
      </w:r>
    </w:p>
    <w:p w14:paraId="53E8B45C">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特殊区域：平均每1000m2路段内可视白色垃圾总数少于1个，果皮数、烟蒂数分别少于3个（片）、污渍痰迹数少于3处且无积泥积尘、无污水、无灰带及其它废弃物，垃圾在20min内清除，污渍痰迹30min内实施处置。</w:t>
      </w:r>
    </w:p>
    <w:p w14:paraId="6C938B9D">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一级道路（区域）：平均每1000m2路段可视白色垃圾总数少于1个，果皮数、烟蒂数分别少于4个（片）、污渍痰迹数少于4处且无积泥积尘、无污水、无灰带及其它废弃物，垃圾在20min内清除，污渍痰迹30min内实施处置；</w:t>
      </w:r>
    </w:p>
    <w:p w14:paraId="2D597AAA">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二级道路（区域）：平均每1000m2路段可视白色垃圾总数少于1个，果皮数、烟蒂数分别少于5个（片）、污渍痰迹数少于5处且无积泥积尘、无污水、无灰带及其它废弃物，垃圾在20min内清除，污渍痰迹30min内实施处置；</w:t>
      </w:r>
    </w:p>
    <w:p w14:paraId="743FC04B">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4）三级道路（区域）：平均每1000m2路段可视白色垃圾总数少于2个，果皮数、烟蒂数分别少于6个（片）、污渍痰迹数少于6处且无积泥积尘、无污水、无灰带及其它废弃物，垃圾在30min内清除，污渍痰迹40min内实施处置。</w:t>
      </w:r>
    </w:p>
    <w:p w14:paraId="6FD6D354">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 绿化带、树池保洁标准</w:t>
      </w:r>
    </w:p>
    <w:p w14:paraId="05105175">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（1）特殊区域：无积存垃圾，平均每200m（单侧）废弃物总数少于3个，且在20min内清除；</w:t>
      </w:r>
    </w:p>
    <w:p w14:paraId="61A71BF4">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（2）一级道路（区域）：无积存垃圾，平均每200m（单侧）废弃物总数少于4个，且在2min内清除；</w:t>
      </w:r>
    </w:p>
    <w:p w14:paraId="52F22E3D">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（3）二级道路（区域）：无积存垃圾，平均每 200m（单侧）废弃物总数少于5个，且在20min内清除；</w:t>
      </w:r>
    </w:p>
    <w:p w14:paraId="3A7B56EF">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（4）三级道路（区域）：无积存垃圾，平均每 200m（单侧）废弃物总数少于6个，且在30min内清除。</w:t>
      </w:r>
    </w:p>
    <w:p w14:paraId="1FD94E0F">
      <w:pPr>
        <w:widowControl w:val="0"/>
        <w:spacing w:after="0"/>
        <w:ind w:firstLine="480" w:firstLineChars="200"/>
        <w:jc w:val="both"/>
        <w:rPr>
          <w:rFonts w:hint="eastAsia" w:ascii="宋体" w:hAnsi="宋体" w:eastAsia="宋体" w:cs="宋体"/>
          <w:kern w:val="2"/>
          <w:sz w:val="24"/>
          <w:szCs w:val="24"/>
        </w:rPr>
      </w:pPr>
    </w:p>
    <w:p w14:paraId="4F94584F">
      <w:pPr>
        <w:widowControl w:val="0"/>
        <w:spacing w:after="0"/>
        <w:ind w:firstLine="480" w:firstLineChars="200"/>
        <w:jc w:val="both"/>
        <w:rPr>
          <w:rFonts w:hint="eastAsia" w:ascii="宋体" w:hAnsi="宋体" w:eastAsia="宋体" w:cs="宋体"/>
          <w:kern w:val="2"/>
          <w:sz w:val="24"/>
          <w:szCs w:val="24"/>
        </w:rPr>
      </w:pPr>
    </w:p>
    <w:p w14:paraId="1F2E7639">
      <w:pPr>
        <w:widowControl w:val="0"/>
        <w:spacing w:after="0"/>
        <w:ind w:firstLine="480" w:firstLineChars="200"/>
        <w:jc w:val="both"/>
        <w:rPr>
          <w:rFonts w:hint="eastAsia" w:ascii="宋体" w:hAnsi="宋体" w:eastAsia="宋体" w:cs="宋体"/>
          <w:kern w:val="2"/>
          <w:sz w:val="24"/>
          <w:szCs w:val="24"/>
        </w:rPr>
      </w:pPr>
    </w:p>
    <w:p w14:paraId="1F702F09">
      <w:pPr>
        <w:widowControl w:val="0"/>
        <w:spacing w:after="0"/>
        <w:ind w:firstLine="480" w:firstLineChars="200"/>
        <w:jc w:val="both"/>
        <w:rPr>
          <w:rFonts w:hint="eastAsia" w:ascii="宋体" w:hAnsi="宋体" w:eastAsia="宋体" w:cs="宋体"/>
          <w:kern w:val="2"/>
          <w:sz w:val="24"/>
          <w:szCs w:val="24"/>
        </w:rPr>
      </w:pPr>
    </w:p>
    <w:p w14:paraId="2C86FDE1">
      <w:pPr>
        <w:widowControl w:val="0"/>
        <w:spacing w:after="0"/>
        <w:ind w:firstLine="480" w:firstLineChars="200"/>
        <w:jc w:val="both"/>
        <w:rPr>
          <w:rFonts w:hint="eastAsia" w:ascii="宋体" w:hAnsi="宋体" w:eastAsia="宋体" w:cs="宋体"/>
          <w:kern w:val="2"/>
          <w:sz w:val="24"/>
          <w:szCs w:val="24"/>
        </w:rPr>
      </w:pPr>
    </w:p>
    <w:p w14:paraId="57F14E95">
      <w:pPr>
        <w:widowControl w:val="0"/>
        <w:spacing w:after="0"/>
        <w:ind w:firstLine="480" w:firstLineChars="200"/>
        <w:jc w:val="both"/>
        <w:rPr>
          <w:rFonts w:hint="eastAsia" w:ascii="宋体" w:hAnsi="宋体" w:eastAsia="宋体" w:cs="宋体"/>
          <w:kern w:val="2"/>
          <w:sz w:val="24"/>
          <w:szCs w:val="24"/>
        </w:rPr>
      </w:pPr>
    </w:p>
    <w:p w14:paraId="5CE226FA">
      <w:pPr>
        <w:widowControl w:val="0"/>
        <w:spacing w:after="0"/>
        <w:ind w:firstLine="480" w:firstLineChars="200"/>
        <w:jc w:val="both"/>
        <w:rPr>
          <w:rFonts w:hint="eastAsia" w:ascii="宋体" w:hAnsi="宋体" w:eastAsia="宋体" w:cs="宋体"/>
          <w:kern w:val="2"/>
          <w:sz w:val="24"/>
          <w:szCs w:val="24"/>
        </w:rPr>
      </w:pPr>
    </w:p>
    <w:p w14:paraId="5ED6A561">
      <w:pPr>
        <w:widowControl w:val="0"/>
        <w:spacing w:after="0"/>
        <w:ind w:firstLine="480" w:firstLineChars="200"/>
        <w:jc w:val="both"/>
        <w:rPr>
          <w:rFonts w:hint="eastAsia" w:ascii="宋体" w:hAnsi="宋体" w:eastAsia="宋体" w:cs="宋体"/>
          <w:kern w:val="2"/>
          <w:sz w:val="24"/>
          <w:szCs w:val="24"/>
        </w:rPr>
      </w:pPr>
    </w:p>
    <w:p w14:paraId="2B038F21">
      <w:pPr>
        <w:adjustRightInd/>
        <w:snapToGrid/>
        <w:spacing w:after="0"/>
        <w:rPr>
          <w:rFonts w:hint="eastAsia" w:ascii="宋体" w:hAnsi="宋体" w:eastAsia="宋体" w:cs="宋体"/>
          <w:kern w:val="2"/>
          <w:sz w:val="24"/>
          <w:szCs w:val="24"/>
        </w:rPr>
      </w:pPr>
      <w:r>
        <w:rPr>
          <w:rFonts w:hint="eastAsia" w:ascii="宋体" w:hAnsi="宋体" w:eastAsia="宋体" w:cs="宋体"/>
          <w:kern w:val="2"/>
          <w:sz w:val="24"/>
          <w:szCs w:val="24"/>
        </w:rPr>
        <w:br w:type="page"/>
      </w:r>
    </w:p>
    <w:p w14:paraId="398DE696">
      <w:pPr>
        <w:pStyle w:val="2"/>
        <w:widowControl/>
        <w:spacing w:before="120" w:after="0" w:line="480" w:lineRule="auto"/>
        <w:rPr>
          <w:rFonts w:hint="eastAsia" w:ascii="宋体" w:hAnsi="宋体" w:eastAsia="宋体" w:cs="宋体"/>
          <w:sz w:val="24"/>
          <w:szCs w:val="24"/>
        </w:rPr>
      </w:pPr>
      <w:bookmarkStart w:id="160" w:name="_Toc37764950"/>
      <w:bookmarkStart w:id="161" w:name="_Toc25779"/>
      <w:bookmarkStart w:id="162" w:name="_Toc27640"/>
      <w:bookmarkStart w:id="163" w:name="_Toc18566"/>
      <w:r>
        <w:rPr>
          <w:rFonts w:hint="eastAsia" w:ascii="宋体" w:hAnsi="宋体" w:eastAsia="宋体" w:cs="宋体"/>
          <w:sz w:val="24"/>
          <w:szCs w:val="24"/>
        </w:rPr>
        <w:t xml:space="preserve"> 生活垃圾收运</w:t>
      </w:r>
      <w:bookmarkEnd w:id="160"/>
      <w:bookmarkEnd w:id="161"/>
      <w:bookmarkEnd w:id="162"/>
      <w:bookmarkEnd w:id="163"/>
    </w:p>
    <w:p w14:paraId="38CD4DA1">
      <w:pPr>
        <w:pStyle w:val="3"/>
        <w:widowControl/>
        <w:spacing w:before="120" w:after="120" w:afterLines="50" w:line="240" w:lineRule="auto"/>
        <w:rPr>
          <w:rFonts w:hint="eastAsia" w:ascii="宋体" w:hAnsi="宋体" w:eastAsia="宋体" w:cs="宋体"/>
          <w:sz w:val="24"/>
          <w:szCs w:val="24"/>
        </w:rPr>
      </w:pPr>
      <w:bookmarkStart w:id="164" w:name="_Toc15422"/>
      <w:bookmarkStart w:id="165" w:name="_Toc19114"/>
      <w:bookmarkStart w:id="166" w:name="_Toc37764951"/>
      <w:bookmarkStart w:id="167" w:name="_Toc22449"/>
      <w:r>
        <w:rPr>
          <w:rFonts w:hint="eastAsia" w:ascii="宋体" w:hAnsi="宋体" w:eastAsia="宋体" w:cs="宋体"/>
          <w:sz w:val="24"/>
          <w:szCs w:val="24"/>
        </w:rPr>
        <w:t xml:space="preserve"> 管理目标</w:t>
      </w:r>
      <w:bookmarkEnd w:id="164"/>
      <w:bookmarkEnd w:id="165"/>
      <w:bookmarkEnd w:id="166"/>
      <w:bookmarkEnd w:id="167"/>
    </w:p>
    <w:p w14:paraId="3CB72E2E">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密闭收运，日产日清，实现收集、运输、处置无缝对接，杜绝运输过程中的抛、冒、滴、漏问题，提升收运处置运转效率和质量。</w:t>
      </w:r>
    </w:p>
    <w:p w14:paraId="31808E95">
      <w:pPr>
        <w:pStyle w:val="3"/>
        <w:widowControl/>
        <w:spacing w:before="120" w:after="120" w:afterLines="50" w:line="240" w:lineRule="auto"/>
        <w:rPr>
          <w:rFonts w:hint="eastAsia" w:ascii="宋体" w:hAnsi="宋体" w:eastAsia="宋体" w:cs="宋体"/>
          <w:sz w:val="24"/>
          <w:szCs w:val="24"/>
        </w:rPr>
      </w:pPr>
      <w:bookmarkStart w:id="168" w:name="_Toc16270"/>
      <w:bookmarkStart w:id="169" w:name="_Toc11646"/>
      <w:bookmarkStart w:id="170" w:name="_Toc37764952"/>
      <w:bookmarkStart w:id="171" w:name="_Toc12383"/>
      <w:r>
        <w:rPr>
          <w:rFonts w:hint="eastAsia" w:ascii="宋体" w:hAnsi="宋体" w:eastAsia="宋体" w:cs="宋体"/>
          <w:sz w:val="24"/>
          <w:szCs w:val="24"/>
        </w:rPr>
        <w:t>管理标准</w:t>
      </w:r>
      <w:bookmarkEnd w:id="168"/>
      <w:bookmarkEnd w:id="169"/>
      <w:bookmarkEnd w:id="170"/>
      <w:bookmarkEnd w:id="171"/>
    </w:p>
    <w:p w14:paraId="71A5C266">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生活垃圾分厨余垃圾、有害垃圾、可回收物和其他垃圾四类。采用专用容器套袋收集，分类投放，定人定时收集，密闭运输。</w:t>
      </w:r>
    </w:p>
    <w:p w14:paraId="13931BF8">
      <w:pPr>
        <w:pStyle w:val="4"/>
        <w:widowControl/>
        <w:spacing w:before="120" w:after="120" w:afterLines="50" w:line="240" w:lineRule="auto"/>
        <w:rPr>
          <w:rFonts w:hint="eastAsia" w:ascii="宋体" w:hAnsi="宋体" w:eastAsia="宋体" w:cs="宋体"/>
          <w:b/>
          <w:sz w:val="24"/>
          <w:szCs w:val="24"/>
        </w:rPr>
      </w:pPr>
      <w:r>
        <w:rPr>
          <w:rFonts w:hint="eastAsia" w:ascii="宋体" w:hAnsi="宋体" w:eastAsia="宋体" w:cs="宋体"/>
          <w:b/>
          <w:sz w:val="24"/>
          <w:szCs w:val="24"/>
        </w:rPr>
        <w:t xml:space="preserve">1  </w:t>
      </w:r>
      <w:r>
        <w:rPr>
          <w:rFonts w:hint="eastAsia" w:ascii="宋体" w:hAnsi="宋体" w:eastAsia="宋体" w:cs="宋体"/>
          <w:bCs w:val="0"/>
          <w:sz w:val="24"/>
          <w:szCs w:val="24"/>
        </w:rPr>
        <w:t>生活垃圾收集</w:t>
      </w:r>
    </w:p>
    <w:p w14:paraId="70601C9A">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 作业时间</w:t>
      </w:r>
    </w:p>
    <w:p w14:paraId="00754C82">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特殊区域、一级、二级道路（区域）果皮箱应每日内部清掏、外部保洁，清掏和保洁每日不少于4次。公交站台、小饮食店、繁华商业区等人口密集区域，应增加清掏、保洁频次。</w:t>
      </w:r>
    </w:p>
    <w:p w14:paraId="70051E0A">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三级道路（区域）果皮箱每日清掏和保洁不少于3次，并根据箱体内垃圾存量随时清掏、保洁。</w:t>
      </w:r>
    </w:p>
    <w:p w14:paraId="455828D4">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城市道路两侧垃圾桶内的垃圾收运每日不少于3次，并根据桶内垃圾存量随时收运，收运后应对箱体及地面进行保洁。</w:t>
      </w:r>
    </w:p>
    <w:p w14:paraId="73394789">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 作业方式</w:t>
      </w:r>
    </w:p>
    <w:p w14:paraId="59B431F4">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果皮箱的内桶应套装专用环保垃圾袋，清掏时扎口连袋收运，禁止将零散垃圾直接倒入收集车内。</w:t>
      </w:r>
    </w:p>
    <w:p w14:paraId="1C15408E">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连袋清掏垃圾后内桶重新套装专用环保垃圾袋，须将重新套好垃圾袋的内桶复位并关闭箱门，再对箱体及地面进行保洁。</w:t>
      </w:r>
    </w:p>
    <w:p w14:paraId="2FF82920">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 作业标准</w:t>
      </w:r>
    </w:p>
    <w:p w14:paraId="096F8530">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果皮箱、垃圾桶内的垃圾日产日清，无满溢现象，投放口周边整洁，无垃圾悬挂；箱（桶）体周围地面无撒落存留垃圾、无陈旧油污，箱（桶）体无破损、无锈迹、无污垢、无污渍，外观干净整洁。</w:t>
      </w:r>
    </w:p>
    <w:p w14:paraId="00E19B74">
      <w:pPr>
        <w:pStyle w:val="4"/>
        <w:widowControl/>
        <w:spacing w:before="120" w:after="120" w:afterLines="50" w:line="240" w:lineRule="auto"/>
        <w:rPr>
          <w:rFonts w:hint="eastAsia" w:ascii="宋体" w:hAnsi="宋体" w:eastAsia="宋体" w:cs="宋体"/>
          <w:bCs w:val="0"/>
          <w:sz w:val="24"/>
          <w:szCs w:val="24"/>
        </w:rPr>
      </w:pPr>
      <w:r>
        <w:rPr>
          <w:rFonts w:hint="eastAsia" w:ascii="宋体" w:hAnsi="宋体" w:eastAsia="宋体" w:cs="宋体"/>
          <w:b/>
          <w:sz w:val="24"/>
          <w:szCs w:val="24"/>
        </w:rPr>
        <w:t xml:space="preserve">2  </w:t>
      </w:r>
      <w:r>
        <w:rPr>
          <w:rFonts w:hint="eastAsia" w:ascii="宋体" w:hAnsi="宋体" w:eastAsia="宋体" w:cs="宋体"/>
          <w:bCs w:val="0"/>
          <w:sz w:val="24"/>
          <w:szCs w:val="24"/>
        </w:rPr>
        <w:t>生活垃圾转运</w:t>
      </w:r>
    </w:p>
    <w:p w14:paraId="6E9A18ED">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 作业时间</w:t>
      </w:r>
    </w:p>
    <w:p w14:paraId="5E2658BB">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垃圾转运站夏季开放时间为5:30-19:30，冬季开放时间为6:00-19:00。重点道路、特殊区域延长开放作业时间延长至夜班保洁人员的工作时间。临时转运点凌晨0:00到4:00之间应停止作业。</w:t>
      </w:r>
    </w:p>
    <w:p w14:paraId="088F207D">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 作业方式</w:t>
      </w:r>
    </w:p>
    <w:p w14:paraId="01A596D4">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（1）作业时应保持良好秩序，进站车辆密闭化转运。垃圾无散露，无积存垃圾，无焚烧垃圾；</w:t>
      </w:r>
    </w:p>
    <w:p w14:paraId="479BDCCA">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作业时间根据服务范围内生活垃圾产生情况和垃圾清运频次安排，尽量避开交通高峰时段，不得影响居民出行和日常生活；重点道路、特殊区域根据周边人流情况合理调整作业时间；作业期间作业人员的人数可根据实际情况确定，转运率应达到100%；</w:t>
      </w:r>
    </w:p>
    <w:p w14:paraId="435FFFBB">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（3）每次压缩流程和转运作业完成后，应对操作场地、压缩箱体、站内墙面及地面进行清洗、消杀、除臭，冬季可根据温度状况和转运站的实际情况，进行上述操作，但地面垃圾必须及时清扫干净；</w:t>
      </w:r>
    </w:p>
    <w:p w14:paraId="7F9028A5">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（4）站（点）内严格按照生活垃圾分类相关规定进行分捡作业，严禁站（点）外破袋翻捡垃圾；</w:t>
      </w:r>
    </w:p>
    <w:p w14:paraId="1EB1A1F2">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（5）有条件的站（点）内应设置垃圾运输车辆冲洗设施，所有垃圾转运车辆出场必须冲洗，保持车容整洁；</w:t>
      </w:r>
    </w:p>
    <w:p w14:paraId="65095829">
      <w:pPr>
        <w:widowControl w:val="0"/>
        <w:spacing w:before="120" w:beforeLines="50" w:after="0"/>
        <w:ind w:firstLine="480" w:firstLineChars="200"/>
        <w:jc w:val="both"/>
        <w:rPr>
          <w:rFonts w:hint="eastAsia" w:ascii="宋体" w:hAnsi="宋体" w:eastAsia="宋体" w:cs="宋体"/>
          <w:kern w:val="2"/>
          <w:sz w:val="24"/>
          <w:szCs w:val="24"/>
          <w:lang w:val="en"/>
        </w:rPr>
      </w:pPr>
      <w:r>
        <w:rPr>
          <w:rFonts w:hint="eastAsia" w:ascii="宋体" w:hAnsi="宋体" w:eastAsia="宋体" w:cs="宋体"/>
          <w:kern w:val="2"/>
          <w:sz w:val="24"/>
          <w:szCs w:val="24"/>
        </w:rPr>
        <w:t>（6）水域保洁产生垃圾在上岸前应充分滤水，并采用带污水收集箱的密闭式垃圾车辆转运；</w:t>
      </w:r>
    </w:p>
    <w:p w14:paraId="49AF1AAA">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7）生活垃圾压缩装填完成后，应当清理垃圾运输车辆接水槽，保证接水槽干净无积存垃圾，并排尽压缩过程中产生的污水，清理车辆尾部周边的吊挂垃圾，冲洗干净车身，确保排污口全部关闭、阀门密闭无滴漏、厢体外无吊挂垃圾。</w:t>
      </w:r>
    </w:p>
    <w:p w14:paraId="6D0711FB">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 作业标准</w:t>
      </w:r>
    </w:p>
    <w:p w14:paraId="4F975EB5">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垃圾随到随压并密闭储存，站内垃圾日产日清，路面清洗干净，无残留垃圾、无污迹、无明显异味。</w:t>
      </w:r>
    </w:p>
    <w:p w14:paraId="36433477">
      <w:pPr>
        <w:pStyle w:val="4"/>
        <w:widowControl/>
        <w:spacing w:before="120" w:after="120" w:afterLines="50" w:line="240" w:lineRule="auto"/>
        <w:rPr>
          <w:rFonts w:hint="eastAsia" w:ascii="宋体" w:hAnsi="宋体" w:eastAsia="宋体" w:cs="宋体"/>
          <w:bCs w:val="0"/>
          <w:sz w:val="24"/>
          <w:szCs w:val="24"/>
        </w:rPr>
      </w:pPr>
      <w:r>
        <w:rPr>
          <w:rFonts w:hint="eastAsia" w:ascii="宋体" w:hAnsi="宋体" w:eastAsia="宋体" w:cs="宋体"/>
          <w:b/>
          <w:sz w:val="24"/>
          <w:szCs w:val="24"/>
        </w:rPr>
        <w:t xml:space="preserve">3  </w:t>
      </w:r>
      <w:r>
        <w:rPr>
          <w:rFonts w:hint="eastAsia" w:ascii="宋体" w:hAnsi="宋体" w:eastAsia="宋体" w:cs="宋体"/>
          <w:bCs w:val="0"/>
          <w:sz w:val="24"/>
          <w:szCs w:val="24"/>
        </w:rPr>
        <w:t>生活垃圾运输</w:t>
      </w:r>
    </w:p>
    <w:p w14:paraId="4D8B81B1">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 运输车辆</w:t>
      </w:r>
    </w:p>
    <w:p w14:paraId="4583FB3D">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机动车、小型车（电动车、机动三轮车）。</w:t>
      </w:r>
    </w:p>
    <w:p w14:paraId="286B2CFB">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 车辆容貌及性能</w:t>
      </w:r>
    </w:p>
    <w:p w14:paraId="00C2FBAB">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（1）人力三轮车及电动车、小型机动车统一蓝白相间专用颜色，车辆干净、整洁、完好无破损、无油漆脱落，挡板整洁无损坏；</w:t>
      </w:r>
    </w:p>
    <w:p w14:paraId="7AC38560">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（2）机动车外观整洁，密闭良好，无破损、无油漆脱落，运输过程中无撒漏、滴漏。机动车车牌号码完整，车身应统一印制所在单位（公司）、街办名称和自编号，并安装卫星定位系统，接入管理方监控平台。</w:t>
      </w:r>
    </w:p>
    <w:p w14:paraId="61C6D0F3">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 运输作业</w:t>
      </w:r>
    </w:p>
    <w:p w14:paraId="27450582">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生活垃圾分类、密闭运输。运输过程中无散装垃圾，无垃圾落地、撒漏，无液体滴漏现象。</w:t>
      </w:r>
    </w:p>
    <w:p w14:paraId="7AB535A3">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4 车辆清洁作业</w:t>
      </w:r>
    </w:p>
    <w:p w14:paraId="655CC79B">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生活垃圾收集运输车辆夏季三天清洗1次，冬季一周清洗1次，保持车体清洁。</w:t>
      </w:r>
    </w:p>
    <w:p w14:paraId="78875962">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5 特殊规定</w:t>
      </w:r>
    </w:p>
    <w:p w14:paraId="31836A65">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及时更换损坏密封条或在箱体漏水处加装接纳污水装置。</w:t>
      </w:r>
    </w:p>
    <w:p w14:paraId="2E46A8BA">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6 禁止事项</w:t>
      </w:r>
    </w:p>
    <w:p w14:paraId="0865DA38">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禁止乱吊乱挂、超高超载、挂包运输垃圾；禁止沿途撒漏垃圾、滴漏污水；禁止乱倒、乱卸垃圾。</w:t>
      </w:r>
    </w:p>
    <w:p w14:paraId="3690DBBE">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7 安全要求</w:t>
      </w:r>
    </w:p>
    <w:p w14:paraId="5FEA03C5">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（1）出车前检查车况，保持性能良好；</w:t>
      </w:r>
    </w:p>
    <w:p w14:paraId="602670CA">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（2）严格按照《中华人民共和国道路交通安全法》规定驾驶作业车辆。遵守公安交管部门相关规定。</w:t>
      </w:r>
    </w:p>
    <w:p w14:paraId="534491D9">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8 检查标准</w:t>
      </w:r>
    </w:p>
    <w:p w14:paraId="232B3220">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密闭运输，运输途中无垃圾撒漏、无液体滴漏，车身洁净。</w:t>
      </w:r>
    </w:p>
    <w:p w14:paraId="042FD5B9">
      <w:pPr>
        <w:pStyle w:val="4"/>
        <w:widowControl/>
        <w:spacing w:before="120" w:after="120" w:afterLines="50" w:line="240" w:lineRule="auto"/>
        <w:rPr>
          <w:rFonts w:hint="eastAsia" w:ascii="宋体" w:hAnsi="宋体" w:eastAsia="宋体" w:cs="宋体"/>
          <w:bCs w:val="0"/>
          <w:sz w:val="24"/>
          <w:szCs w:val="24"/>
        </w:rPr>
      </w:pPr>
      <w:r>
        <w:rPr>
          <w:rFonts w:hint="eastAsia" w:ascii="宋体" w:hAnsi="宋体" w:eastAsia="宋体" w:cs="宋体"/>
          <w:b/>
          <w:sz w:val="24"/>
          <w:szCs w:val="24"/>
        </w:rPr>
        <w:t xml:space="preserve">4  </w:t>
      </w:r>
      <w:r>
        <w:rPr>
          <w:rFonts w:hint="eastAsia" w:ascii="宋体" w:hAnsi="宋体" w:eastAsia="宋体" w:cs="宋体"/>
          <w:bCs w:val="0"/>
          <w:sz w:val="24"/>
          <w:szCs w:val="24"/>
        </w:rPr>
        <w:t>大件垃圾收运作业</w:t>
      </w:r>
    </w:p>
    <w:p w14:paraId="3B071590">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 收运对象</w:t>
      </w:r>
    </w:p>
    <w:p w14:paraId="24C8FC61">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废旧家具，废旧家电。</w:t>
      </w:r>
    </w:p>
    <w:p w14:paraId="39BB05BD">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 收运方式</w:t>
      </w:r>
    </w:p>
    <w:p w14:paraId="65FBF2A0">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电话预约收运，各住宅小区、各单位、各营业场所产生的废旧家具、家电，电话预约联系环卫作业公司上门收运，并告之具体地址及清运量。</w:t>
      </w:r>
    </w:p>
    <w:p w14:paraId="1FCB9019">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 其它要求</w:t>
      </w:r>
    </w:p>
    <w:p w14:paraId="0D26C930">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各街道办事处负责向辖区内各住宅小区、各单位、各营业场所公布预约电话号码及值守时段；各环卫作业公司安排专人在规定时段内值守电话，并作好记录。</w:t>
      </w:r>
    </w:p>
    <w:p w14:paraId="41914DD3">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4 作业要求</w:t>
      </w:r>
    </w:p>
    <w:p w14:paraId="205AD667">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按照生活垃圾分类相关规定收运。</w:t>
      </w:r>
    </w:p>
    <w:p w14:paraId="3C88B441">
      <w:pPr>
        <w:pStyle w:val="2"/>
        <w:widowControl/>
        <w:spacing w:before="120" w:after="0" w:line="480" w:lineRule="auto"/>
        <w:rPr>
          <w:rFonts w:hint="eastAsia" w:ascii="宋体" w:hAnsi="宋体" w:eastAsia="宋体" w:cs="宋体"/>
          <w:sz w:val="24"/>
          <w:szCs w:val="24"/>
        </w:rPr>
      </w:pPr>
      <w:bookmarkStart w:id="172" w:name="_Toc13094"/>
      <w:bookmarkStart w:id="173" w:name="_Toc16960"/>
      <w:bookmarkStart w:id="174" w:name="_Toc37764956"/>
      <w:bookmarkStart w:id="175" w:name="_Toc11918"/>
      <w:r>
        <w:rPr>
          <w:rFonts w:hint="eastAsia" w:ascii="宋体" w:hAnsi="宋体" w:eastAsia="宋体" w:cs="宋体"/>
          <w:sz w:val="24"/>
          <w:szCs w:val="24"/>
        </w:rPr>
        <w:t>环卫设施设备</w:t>
      </w:r>
      <w:bookmarkEnd w:id="172"/>
      <w:bookmarkEnd w:id="173"/>
      <w:bookmarkEnd w:id="174"/>
      <w:bookmarkEnd w:id="175"/>
    </w:p>
    <w:p w14:paraId="2FCC6C10">
      <w:pPr>
        <w:pStyle w:val="3"/>
        <w:widowControl/>
        <w:spacing w:before="120" w:after="120" w:afterLines="50" w:line="240" w:lineRule="auto"/>
        <w:rPr>
          <w:rFonts w:hint="eastAsia" w:ascii="宋体" w:hAnsi="宋体" w:eastAsia="宋体" w:cs="宋体"/>
          <w:sz w:val="24"/>
          <w:szCs w:val="24"/>
        </w:rPr>
      </w:pPr>
      <w:bookmarkStart w:id="176" w:name="_Toc10002"/>
      <w:bookmarkStart w:id="177" w:name="_Toc12969"/>
      <w:bookmarkStart w:id="178" w:name="_Toc37764957"/>
      <w:bookmarkStart w:id="179" w:name="_Toc1160"/>
      <w:r>
        <w:rPr>
          <w:rFonts w:hint="eastAsia" w:ascii="宋体" w:hAnsi="宋体" w:eastAsia="宋体" w:cs="宋体"/>
          <w:sz w:val="24"/>
          <w:szCs w:val="24"/>
        </w:rPr>
        <w:t>管理目标</w:t>
      </w:r>
      <w:bookmarkEnd w:id="176"/>
      <w:bookmarkEnd w:id="177"/>
      <w:bookmarkEnd w:id="178"/>
      <w:bookmarkEnd w:id="179"/>
    </w:p>
    <w:p w14:paraId="556F4739">
      <w:pPr>
        <w:widowControl w:val="0"/>
        <w:spacing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标准统一、管理规范、服务优质、群众满意、设施设备整洁完好。</w:t>
      </w:r>
    </w:p>
    <w:p w14:paraId="287DB5E0">
      <w:pPr>
        <w:pStyle w:val="3"/>
        <w:widowControl/>
        <w:spacing w:before="120" w:after="120" w:afterLines="50" w:line="240" w:lineRule="auto"/>
        <w:rPr>
          <w:rFonts w:hint="eastAsia" w:ascii="宋体" w:hAnsi="宋体" w:eastAsia="宋体" w:cs="宋体"/>
          <w:sz w:val="24"/>
          <w:szCs w:val="24"/>
        </w:rPr>
      </w:pPr>
      <w:bookmarkStart w:id="180" w:name="_Toc19987"/>
      <w:bookmarkStart w:id="181" w:name="_Toc3646"/>
      <w:bookmarkStart w:id="182" w:name="_Toc37764958"/>
      <w:bookmarkStart w:id="183" w:name="_Toc13214"/>
      <w:r>
        <w:rPr>
          <w:rFonts w:hint="eastAsia" w:ascii="宋体" w:hAnsi="宋体" w:eastAsia="宋体" w:cs="宋体"/>
          <w:sz w:val="24"/>
          <w:szCs w:val="24"/>
        </w:rPr>
        <w:t>管理标准</w:t>
      </w:r>
      <w:bookmarkEnd w:id="180"/>
      <w:bookmarkEnd w:id="181"/>
      <w:bookmarkEnd w:id="182"/>
      <w:bookmarkEnd w:id="183"/>
    </w:p>
    <w:p w14:paraId="0F3B9889">
      <w:pPr>
        <w:pStyle w:val="4"/>
        <w:widowControl/>
        <w:spacing w:before="120" w:after="120" w:afterLines="50" w:line="240" w:lineRule="auto"/>
        <w:rPr>
          <w:rFonts w:hint="eastAsia" w:ascii="宋体" w:hAnsi="宋体" w:eastAsia="宋体" w:cs="宋体"/>
          <w:b/>
          <w:sz w:val="24"/>
          <w:szCs w:val="24"/>
        </w:rPr>
      </w:pPr>
      <w:r>
        <w:rPr>
          <w:rFonts w:hint="eastAsia" w:ascii="宋体" w:hAnsi="宋体" w:eastAsia="宋体" w:cs="宋体"/>
          <w:b/>
          <w:sz w:val="24"/>
          <w:szCs w:val="24"/>
        </w:rPr>
        <w:t xml:space="preserve">1  </w:t>
      </w:r>
      <w:r>
        <w:rPr>
          <w:rFonts w:hint="eastAsia" w:ascii="宋体" w:hAnsi="宋体" w:eastAsia="宋体" w:cs="宋体"/>
          <w:bCs w:val="0"/>
          <w:sz w:val="24"/>
          <w:szCs w:val="24"/>
        </w:rPr>
        <w:t>环卫专用车辆</w:t>
      </w:r>
    </w:p>
    <w:p w14:paraId="5AD6459D">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 环卫作业公司应当严格执行合同约定，保证设施设备和作业机具的种类、功能、数量配置到位。</w:t>
      </w:r>
    </w:p>
    <w:p w14:paraId="692158BA">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 吸尘车、扫地车、吸（洗）扫一体车、洒水车、垃圾收运车、高压清洗车等作业车辆，应统一印制所在单位（公司）、街办名称和自编号。作业车辆应当安装卫星定位系统，接入管理方监控平台。</w:t>
      </w:r>
    </w:p>
    <w:p w14:paraId="4EA9F496">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 作业车辆尾部须悬挂“环卫作业，请勿靠近”放大反光标识牌。</w:t>
      </w:r>
    </w:p>
    <w:p w14:paraId="108424BD">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4 环卫保洁作业机具应当自觉遵守“净身洁容”的规定，保证车身洁净、无泥尘、无垃圾、无锈迹，整洁美观。</w:t>
      </w:r>
    </w:p>
    <w:p w14:paraId="50B67DC6">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5 环卫作业车辆在作业期间，严格按照规定路线行驶，准时出车，严禁乱吊乱挂、超速、超载、超限作业、挂包运输垃圾等，禁止乱倒、乱卸垃圾，禁止沿途撒漏垃圾、滴漏污水。</w:t>
      </w:r>
    </w:p>
    <w:p w14:paraId="7A934CF5">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6 每日7:00-9:30、17:00-19:30禁止机动车运输作业。人力三轮车及电动车、小型机动车禁止驶入机动车道。</w:t>
      </w:r>
    </w:p>
    <w:p w14:paraId="79A19326">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7 垃圾清运车辆垃圾倾倒干净，车体保持整洁，定时清洗，夏季3天清洗1次，冬季1周清洗1次；消杀，日常维护到位，运输过程中做到垃圾密闭化运输，车体干净，无外挂杂物，保持道路环境卫生整洁干净。</w:t>
      </w:r>
    </w:p>
    <w:p w14:paraId="23882CB3">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8 环卫作业公司应定期进行驾驶员安全作业和技能培训：</w:t>
      </w:r>
    </w:p>
    <w:p w14:paraId="616BC1DE">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（1）车辆在通过铁道口和交叉路口时，必须做到“一慢、二看、三通过”；</w:t>
      </w:r>
    </w:p>
    <w:p w14:paraId="711E0127">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（2）车辆驾驶人员认真执行出车前、行驶途中和收车后的保养检查制度，并做好车辆运行记录；及时更换损坏密封条或在箱体漏水处加装接污水装置；车辆发生故障后，应当及时进行修理，并填写维修记录。</w:t>
      </w:r>
    </w:p>
    <w:p w14:paraId="79DB355A">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9 环卫作业公司应建立完善的环卫专用车辆的使用、保养、修理及检验、监督、节油、备品备件等各项内部制度，保持车辆的完好状态，不得带病运行。</w:t>
      </w:r>
    </w:p>
    <w:p w14:paraId="028F01B2">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10 电瓶作业车辆采取固定场所集中充电，电线路梳理通畅，避免发生导电、触电、漏电的危险，保证充电安全。</w:t>
      </w:r>
    </w:p>
    <w:p w14:paraId="4F087F2A">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11 道路冲洗、洒水作业机具要根据季节变化合理做好养护、维修及入库工作，确保各机具使用寿命和使用效果。</w:t>
      </w:r>
    </w:p>
    <w:p w14:paraId="7BE96CF7">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12 环卫专用车辆的产权转移，应当按照固定资产转移的有关规定执行。原车的附件、工具、档案等应当随车转移。</w:t>
      </w:r>
    </w:p>
    <w:p w14:paraId="54ADDE6F">
      <w:pPr>
        <w:pStyle w:val="4"/>
        <w:widowControl/>
        <w:spacing w:before="120" w:after="120" w:afterLines="50" w:line="240" w:lineRule="auto"/>
        <w:rPr>
          <w:rFonts w:hint="eastAsia" w:ascii="宋体" w:hAnsi="宋体" w:eastAsia="宋体" w:cs="宋体"/>
          <w:bCs w:val="0"/>
          <w:sz w:val="24"/>
          <w:szCs w:val="24"/>
        </w:rPr>
      </w:pPr>
      <w:r>
        <w:rPr>
          <w:rFonts w:hint="eastAsia" w:ascii="宋体" w:hAnsi="宋体" w:eastAsia="宋体" w:cs="宋体"/>
          <w:b/>
          <w:sz w:val="24"/>
          <w:szCs w:val="24"/>
        </w:rPr>
        <w:t xml:space="preserve">2  </w:t>
      </w:r>
      <w:r>
        <w:rPr>
          <w:rFonts w:hint="eastAsia" w:ascii="宋体" w:hAnsi="宋体" w:eastAsia="宋体" w:cs="宋体"/>
          <w:bCs w:val="0"/>
          <w:sz w:val="24"/>
          <w:szCs w:val="24"/>
        </w:rPr>
        <w:t>公共厕所</w:t>
      </w:r>
    </w:p>
    <w:p w14:paraId="5AC27552">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 风景名胜区内厕所和城市窗口单位、公共汽车首末站、汽车客运站、火车站、旅游景点、繁华街区的公厕应达到一类标准。城市主、次干道、行人交通量大的道路沿线不应低于二类标准。分布、数量视实际情况合理安排，两个公厕间距宜不超过1.2公里。</w:t>
      </w:r>
    </w:p>
    <w:p w14:paraId="41B78E58">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 公共厕所内采光、照明和通风良好，无异味。</w:t>
      </w:r>
    </w:p>
    <w:p w14:paraId="32DA9081">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 公共厕所内地面洁净，无积水，无烟头，无纸屑，无痰迹和其他杂物。</w:t>
      </w:r>
    </w:p>
    <w:p w14:paraId="1354F777">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4 墙面、天花板、门窗和隔断板洁净，无积灰，无污迹，无蛛网，无乱涂乱画。</w:t>
      </w:r>
    </w:p>
    <w:p w14:paraId="1FE1A070">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5 卫生洁具整洁，无积存物，无粪便痕迹，无积尿积水，管道畅通无堵塞。</w:t>
      </w:r>
    </w:p>
    <w:p w14:paraId="4DFAA854">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6 管理间（工具间）清洁工具、物品摆放整洁有序，无杂物，无闲杂人员，不得挪作它用。</w:t>
      </w:r>
    </w:p>
    <w:p w14:paraId="41DEBD74">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7 外墙、屋顶及责任区域内整洁，无杂物堆积，墙面光洁完好，无污蚀，无渗漏，窗栅、门窗玻璃无破损。</w:t>
      </w:r>
    </w:p>
    <w:p w14:paraId="68A68D0A">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8 贮粪池盖密闭，无污物满溢，周围无粪便，无积水，无蚊蝇，无杂草。</w:t>
      </w:r>
    </w:p>
    <w:p w14:paraId="3495D688">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9 公共厕所外部环境整洁，无卫生死角、建设红线或实际管理范围内无垃圾、粪便、污水、杂草、废土以及乱堆杂物现象。</w:t>
      </w:r>
    </w:p>
    <w:p w14:paraId="1B712C86">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10 公共厕所照明灯具、标志、洗手器具、镜子、挂衣钩、烘手器、窨井盖、给排水管道、照明线路等设施应定时检修，无缺损渗漏、无积灰、污物；公共厕所出入道路、无障碍通道、台阶、平台整洁畅通。</w:t>
      </w:r>
    </w:p>
    <w:p w14:paraId="6FC63DD9">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11 公共厕所导向标识醒目、规范，配置齐全，使用完好；公共厕所等级、保洁标准、开放时间、责任人、管理制度监督电话等设置在公共厕所墙面醒目位置，便于社会监督。</w:t>
      </w:r>
    </w:p>
    <w:p w14:paraId="6433AD90">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12 公共厕所每日至少消杀3次，消杀措施规范到位，纸篓、垃圾桶、排水排污口等重点部位增加消杀频次；夏秋季通过药物杀灭和物理隔离等措施，做好蚊、蝇、蟑、鼠防治工作。</w:t>
      </w:r>
    </w:p>
    <w:p w14:paraId="7DBE9F43">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13 维护单位应建立完善的运行维护管理制度，各类维护、消杀、易耗品领用等记录齐全。</w:t>
      </w:r>
    </w:p>
    <w:p w14:paraId="7F11196F">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14 维护单位应设置符合防火规范的安全消防设施，保持消防通道畅通。</w:t>
      </w:r>
    </w:p>
    <w:p w14:paraId="3C5651FE">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15 维护单位应严格落实公共厕所作业人员录用标准，规范作业服务人员作业标准，定期开展公共厕所管理规章制度、作业服务标准和消防、用电安全知识。</w:t>
      </w:r>
    </w:p>
    <w:p w14:paraId="689F9349">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16 参与“公厕联盟”的企事业单位和临街商家，应悬挂对外开放公厕标识牌，标识牌应由各城市的环卫主管部门按照相关标准自行制作，并组织上门安装。</w:t>
      </w:r>
    </w:p>
    <w:p w14:paraId="31434571">
      <w:pPr>
        <w:pStyle w:val="4"/>
        <w:widowControl/>
        <w:spacing w:before="120" w:after="120" w:afterLines="50" w:line="240" w:lineRule="auto"/>
        <w:rPr>
          <w:rFonts w:hint="eastAsia" w:ascii="宋体" w:hAnsi="宋体" w:eastAsia="宋体" w:cs="宋体"/>
          <w:bCs w:val="0"/>
          <w:sz w:val="24"/>
          <w:szCs w:val="24"/>
        </w:rPr>
      </w:pPr>
      <w:r>
        <w:rPr>
          <w:rFonts w:hint="eastAsia" w:ascii="宋体" w:hAnsi="宋体" w:eastAsia="宋体" w:cs="宋体"/>
          <w:b/>
          <w:sz w:val="24"/>
          <w:szCs w:val="24"/>
        </w:rPr>
        <w:t xml:space="preserve">3  </w:t>
      </w:r>
      <w:r>
        <w:rPr>
          <w:rFonts w:hint="eastAsia" w:ascii="宋体" w:hAnsi="宋体" w:eastAsia="宋体" w:cs="宋体"/>
          <w:bCs w:val="0"/>
          <w:sz w:val="24"/>
          <w:szCs w:val="24"/>
        </w:rPr>
        <w:t>垃圾容器</w:t>
      </w:r>
    </w:p>
    <w:p w14:paraId="68780553">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 垃圾容器要确保基础牢固，设置得当，摆放整齐、美观，与周边环境协调；特殊区域和一级道路按单边间隔50m，二、三级道路按单边间隔80-100m的标准设置。居民小区、企事业单位、学校、集贸市场、交通客运站及生活垃圾产生量较大的场所应单独设置生活垃圾收集站（点）。</w:t>
      </w:r>
    </w:p>
    <w:p w14:paraId="699075AF">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 果皮箱（垃圾桶）投放口周边整洁，无垃圾悬挂；箱（桶）体周围地面无撒落存留垃圾、无陈旧油污，箱（桶）体无破损、无锈迹、无污垢、无污渍，外观干净整洁。应设置分类的果皮箱、垃圾桶。</w:t>
      </w:r>
    </w:p>
    <w:p w14:paraId="31E219ED">
      <w:pPr>
        <w:pStyle w:val="4"/>
        <w:widowControl/>
        <w:spacing w:before="120" w:after="120" w:afterLines="50" w:line="240" w:lineRule="auto"/>
        <w:rPr>
          <w:rFonts w:hint="eastAsia" w:ascii="宋体" w:hAnsi="宋体" w:eastAsia="宋体" w:cs="宋体"/>
          <w:bCs w:val="0"/>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 xml:space="preserve">  </w:t>
      </w:r>
      <w:r>
        <w:rPr>
          <w:rFonts w:hint="eastAsia" w:ascii="宋体" w:hAnsi="宋体" w:eastAsia="宋体" w:cs="宋体"/>
          <w:bCs w:val="0"/>
          <w:sz w:val="24"/>
          <w:szCs w:val="24"/>
        </w:rPr>
        <w:t>垃圾</w:t>
      </w:r>
      <w:r>
        <w:rPr>
          <w:rFonts w:hint="eastAsia" w:ascii="宋体" w:hAnsi="宋体" w:eastAsia="宋体" w:cs="宋体"/>
          <w:bCs w:val="0"/>
          <w:sz w:val="24"/>
          <w:szCs w:val="24"/>
          <w:lang w:val="en-US" w:eastAsia="zh-CN"/>
        </w:rPr>
        <w:t>中转</w:t>
      </w:r>
      <w:r>
        <w:rPr>
          <w:rFonts w:hint="eastAsia" w:ascii="宋体" w:hAnsi="宋体" w:eastAsia="宋体" w:cs="宋体"/>
          <w:bCs w:val="0"/>
          <w:sz w:val="24"/>
          <w:szCs w:val="24"/>
        </w:rPr>
        <w:t>站</w:t>
      </w:r>
    </w:p>
    <w:p w14:paraId="28C612F1">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 站（点）的设置应遵循方便居民、便于收运作业、与周边环境协调的原则。</w:t>
      </w:r>
    </w:p>
    <w:p w14:paraId="35EAD48C">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 垃圾转运站外墙体设醒目规范标志牌，站内公示各项管理规章制度、作业时间、管理单位、管理人员、操作规程、安全制度及投诉电话；管理间内干净整洁，无乱堆杂物、乱刻画等张贴物痕迹；工具、物品放置有序整洁。</w:t>
      </w:r>
    </w:p>
    <w:p w14:paraId="776B6873">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 站（点）内地面全部硬化、平整，通风良好，给排水设施运行正常并保持外部整洁，配备应急电源。</w:t>
      </w:r>
    </w:p>
    <w:p w14:paraId="62EA8BA1">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4 站（点）内有防噪、降尘、除臭、排污设施设备且运行良好，噪音、灰尘、臭气、污水等处置应当符合环境保护技术规范，污水排放标识清晰醒目。</w:t>
      </w:r>
    </w:p>
    <w:p w14:paraId="07F5D3D6">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5 蚊蝇孳生季节，维护单位应及时喷药灭蚊蝇，每天喷洒应不少于1次，可视范围内，站内苍蝇数应不大于3只/座，并安装防、除蚊蝇设施。</w:t>
      </w:r>
    </w:p>
    <w:p w14:paraId="47C0E628">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6 站（点）应建立规范车辆管理制度，进入站内的运输车辆应当进行登记，对车容不整、车箱未密闭、垃圾外漏的运输车辆建立问题抄告制度，维护单位定期向所属主管部门报送信息。由主管部门向问题车辆业主单位发出整改通知书，督促限期整改。</w:t>
      </w:r>
    </w:p>
    <w:p w14:paraId="67D00F76">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7 有条件的站（点）内应设置垃圾运输车辆冲洗设施，所有垃圾转运车辆出场必须冲洗，保持车容整洁。</w:t>
      </w:r>
    </w:p>
    <w:p w14:paraId="76F0549B">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8 转运站有专人管理，相关专业操作人员必须经培训上岗作业，严格按照机械操作规程作业，定期检修、保养、维护站内设施、设备，并做好设备检修记录；严禁酒后作业，违规操作。</w:t>
      </w:r>
    </w:p>
    <w:p w14:paraId="7C0D4843">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9 维护单位应做好垃圾转运站应急处理，出现故障时，要选用就近垃圾转运站或临时转运点进行临时中转，及时排除故障，恢复使用。</w:t>
      </w:r>
    </w:p>
    <w:p w14:paraId="342F9554">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10 垃圾临时转运点距离居民住地一般不得小于8m；垃圾渗沥液经处理后达到标准应导入污水排放管或收集后运送至专门的生活垃圾渗沥液处理设施进行集中处理，生活污水直接导入污水排放管，并及时冲洗。</w:t>
      </w:r>
    </w:p>
    <w:p w14:paraId="3DA72EDD">
      <w:pPr>
        <w:pStyle w:val="4"/>
        <w:widowControl/>
        <w:spacing w:before="120" w:after="120" w:afterLines="50" w:line="240" w:lineRule="auto"/>
        <w:rPr>
          <w:rFonts w:hint="eastAsia" w:ascii="宋体" w:hAnsi="宋体" w:eastAsia="宋体" w:cs="宋体"/>
          <w:bCs w:val="0"/>
          <w:sz w:val="24"/>
          <w:szCs w:val="24"/>
        </w:rPr>
      </w:pPr>
      <w:r>
        <w:rPr>
          <w:rFonts w:hint="eastAsia" w:ascii="宋体" w:hAnsi="宋体" w:eastAsia="宋体" w:cs="宋体"/>
          <w:b/>
          <w:sz w:val="24"/>
          <w:szCs w:val="24"/>
        </w:rPr>
        <w:t xml:space="preserve">11.2.6  </w:t>
      </w:r>
      <w:r>
        <w:rPr>
          <w:rFonts w:hint="eastAsia" w:ascii="宋体" w:hAnsi="宋体" w:eastAsia="宋体" w:cs="宋体"/>
          <w:bCs w:val="0"/>
          <w:sz w:val="24"/>
          <w:szCs w:val="24"/>
        </w:rPr>
        <w:t>环卫工人作息房</w:t>
      </w:r>
    </w:p>
    <w:p w14:paraId="4AEDF435">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 环卫工人作息房配置应符合《城市环境卫生设施规划标准》GB/T 50337等国家标准、部颁标准要求，做到数量充足、分布合理、功能完善、环境相协调。</w:t>
      </w:r>
    </w:p>
    <w:p w14:paraId="6CFD5084">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 作息房外观内部设施完善、齐全，基本设施配置应包括环卫工人休息室标志牌（户外大门处），木制或竹制长椅，餐桌，餐椅，更衣柜，饮水机，微波炉，搁物桌（台），电风扇，窗帘，挂钩等；有专人管理，非作业人员不得入内。</w:t>
      </w:r>
    </w:p>
    <w:p w14:paraId="1EC70C23">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 室内保持明亮、通风、整洁、卫生，物品及清洁工具摆放整齐，严禁堆放个人物品和存放易燃易爆危险品；保持外部周边环境整洁。</w:t>
      </w:r>
    </w:p>
    <w:p w14:paraId="644A6FBC">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4 禁止在作息房吸烟、酗酒、打架、斗殴、赌博、吸毒、大声喧哗等不良行为。</w:t>
      </w:r>
    </w:p>
    <w:p w14:paraId="38704FB4">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5 管理人员要注意日常安全用电，严禁使用大功率电气设备。</w:t>
      </w:r>
    </w:p>
    <w:p w14:paraId="167C22D5">
      <w:pPr>
        <w:pStyle w:val="4"/>
        <w:widowControl/>
        <w:spacing w:before="120" w:after="120" w:afterLines="50" w:line="240" w:lineRule="auto"/>
        <w:rPr>
          <w:rFonts w:hint="eastAsia" w:ascii="宋体" w:hAnsi="宋体" w:eastAsia="宋体" w:cs="宋体"/>
          <w:b/>
          <w:sz w:val="24"/>
          <w:szCs w:val="24"/>
        </w:rPr>
      </w:pPr>
      <w:r>
        <w:rPr>
          <w:rFonts w:hint="eastAsia" w:ascii="宋体" w:hAnsi="宋体" w:eastAsia="宋体" w:cs="宋体"/>
          <w:b/>
          <w:sz w:val="24"/>
          <w:szCs w:val="24"/>
        </w:rPr>
        <w:t xml:space="preserve">11.2.7  </w:t>
      </w:r>
      <w:r>
        <w:rPr>
          <w:rFonts w:hint="eastAsia" w:ascii="宋体" w:hAnsi="宋体" w:eastAsia="宋体" w:cs="宋体"/>
          <w:bCs w:val="0"/>
          <w:sz w:val="24"/>
          <w:szCs w:val="24"/>
        </w:rPr>
        <w:t>环卫车辆停放场</w:t>
      </w:r>
    </w:p>
    <w:p w14:paraId="582E51E3">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1 环卫车辆停放场应设置在环境卫生车辆的服务范围并避开人口稠密的交通繁忙区域。</w:t>
      </w:r>
    </w:p>
    <w:p w14:paraId="4F7FFA57">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 环卫车辆停放场用地指标可按环卫作业大中型车辆150m2/辆选取。</w:t>
      </w:r>
    </w:p>
    <w:p w14:paraId="6664A84E">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 场内设施宜包括管理用房、修理工棚、清洗设施。</w:t>
      </w:r>
    </w:p>
    <w:p w14:paraId="3F48B7BA">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4 停车场和车行道路应设置好停车位和行车线以及禁停、转弯、减速、禁鸣、限高等醒目标识。</w:t>
      </w:r>
    </w:p>
    <w:p w14:paraId="4FD0452E">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5 维护单位应做好对环卫车辆停放场的运行维护和管理，设立专门车辆巡视员，检查车辆的车况，发现漏油、未上锁、车厢遗留物品等情况应及时处理，同时作好记录，特殊情况报告领导处理；环卫车辆停放场运行应安全、隐定，防止噪声扰民等现象发生。</w:t>
      </w:r>
    </w:p>
    <w:p w14:paraId="181B4C83">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6 维护单位应定期对停放车辆进行清洗，保证车辆整洁。生活垃圾收集运输车辆驶出、驶入停车场前必须冲洗车体。</w:t>
      </w:r>
    </w:p>
    <w:p w14:paraId="403FB7CE">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7 停车场内应按消防要求设置，配备手提或便携式灭火器等消防设施和消防器材，并设置醒目防火标识；停车场内的所有车辆必须摆放整齐，并保持一定间隔，预留防火通道。</w:t>
      </w:r>
    </w:p>
    <w:p w14:paraId="7A827EB7">
      <w:pPr>
        <w:widowControl w:val="0"/>
        <w:spacing w:before="120" w:beforeLines="50" w:after="0"/>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8 停车场值班室不准作其他用途，不准存放杂物，应随时保持室内外清洁；场内应设置垃圾箱，坚持每天清扫，保持场内整洁有序。</w:t>
      </w:r>
    </w:p>
    <w:p w14:paraId="20F1CD50">
      <w:pPr>
        <w:widowControl w:val="0"/>
        <w:spacing w:after="0"/>
        <w:ind w:firstLine="480" w:firstLineChars="200"/>
        <w:jc w:val="both"/>
        <w:rPr>
          <w:rFonts w:hint="eastAsia" w:ascii="宋体" w:hAnsi="宋体" w:eastAsia="宋体" w:cs="宋体"/>
          <w:kern w:val="2"/>
          <w:sz w:val="24"/>
          <w:szCs w:val="24"/>
        </w:rPr>
      </w:pPr>
    </w:p>
    <w:p w14:paraId="6C006F21">
      <w:pPr>
        <w:widowControl w:val="0"/>
        <w:spacing w:after="0"/>
        <w:ind w:firstLine="480" w:firstLineChars="200"/>
        <w:jc w:val="both"/>
        <w:rPr>
          <w:rFonts w:hint="eastAsia" w:ascii="宋体" w:hAnsi="宋体" w:eastAsia="宋体" w:cs="宋体"/>
          <w:kern w:val="2"/>
          <w:sz w:val="24"/>
          <w:szCs w:val="24"/>
        </w:rPr>
      </w:pPr>
    </w:p>
    <w:p w14:paraId="33A611AD">
      <w:pPr>
        <w:widowControl w:val="0"/>
        <w:spacing w:after="0"/>
        <w:ind w:firstLine="480" w:firstLineChars="200"/>
        <w:jc w:val="both"/>
        <w:rPr>
          <w:rFonts w:hint="eastAsia" w:ascii="宋体" w:hAnsi="宋体" w:eastAsia="宋体" w:cs="宋体"/>
          <w:kern w:val="2"/>
          <w:sz w:val="24"/>
          <w:szCs w:val="24"/>
        </w:rPr>
      </w:pPr>
    </w:p>
    <w:p w14:paraId="469F7FDD">
      <w:pPr>
        <w:widowControl w:val="0"/>
        <w:spacing w:after="0"/>
        <w:ind w:firstLine="480" w:firstLineChars="200"/>
        <w:jc w:val="both"/>
        <w:rPr>
          <w:rFonts w:hint="eastAsia" w:ascii="宋体" w:hAnsi="宋体" w:eastAsia="宋体" w:cs="宋体"/>
          <w:kern w:val="2"/>
          <w:sz w:val="24"/>
          <w:szCs w:val="24"/>
        </w:rPr>
      </w:pPr>
    </w:p>
    <w:p w14:paraId="06D2A3E0">
      <w:pPr>
        <w:widowControl w:val="0"/>
        <w:spacing w:after="0"/>
        <w:ind w:firstLine="480" w:firstLineChars="200"/>
        <w:jc w:val="both"/>
        <w:rPr>
          <w:rFonts w:hint="eastAsia" w:ascii="宋体" w:hAnsi="宋体" w:eastAsia="宋体" w:cs="宋体"/>
          <w:kern w:val="2"/>
          <w:sz w:val="24"/>
          <w:szCs w:val="24"/>
        </w:rPr>
      </w:pPr>
    </w:p>
    <w:p w14:paraId="7907F178">
      <w:pPr>
        <w:widowControl w:val="0"/>
        <w:spacing w:after="0"/>
        <w:ind w:firstLine="480" w:firstLineChars="200"/>
        <w:jc w:val="both"/>
        <w:rPr>
          <w:rFonts w:hint="eastAsia" w:ascii="宋体" w:hAnsi="宋体" w:eastAsia="宋体" w:cs="宋体"/>
          <w:kern w:val="2"/>
          <w:sz w:val="24"/>
          <w:szCs w:val="24"/>
        </w:rPr>
      </w:pPr>
    </w:p>
    <w:p w14:paraId="53F3F3DA">
      <w:pPr>
        <w:adjustRightInd/>
        <w:snapToGrid/>
        <w:spacing w:after="0"/>
        <w:rPr>
          <w:color w:val="auto"/>
          <w:highlight w:val="none"/>
        </w:rPr>
      </w:pPr>
      <w:r>
        <w:rPr>
          <w:color w:val="auto"/>
          <w:highlight w:val="none"/>
        </w:rPr>
        <w:br w:type="page"/>
      </w:r>
    </w:p>
    <w:p w14:paraId="5D2F1934">
      <w:pPr>
        <w:pStyle w:val="2"/>
        <w:keepNext w:val="0"/>
        <w:keepLines w:val="0"/>
        <w:pageBreakBefore w:val="0"/>
        <w:numPr>
          <w:ilvl w:val="0"/>
          <w:numId w:val="5"/>
        </w:numPr>
        <w:kinsoku/>
        <w:wordWrap w:val="0"/>
        <w:overflowPunct/>
        <w:topLinePunct w:val="0"/>
        <w:bidi w:val="0"/>
        <w:spacing w:afterLines="100" w:line="240" w:lineRule="auto"/>
        <w:ind w:left="0"/>
        <w:jc w:val="center"/>
        <w:rPr>
          <w:rFonts w:hint="eastAsia" w:asciiTheme="minorEastAsia" w:hAnsiTheme="minorEastAsia" w:eastAsiaTheme="minorEastAsia" w:cstheme="minorEastAsia"/>
          <w:color w:val="auto"/>
          <w:sz w:val="32"/>
          <w:szCs w:val="32"/>
          <w:highlight w:val="none"/>
          <w:lang w:eastAsia="zh-CN"/>
        </w:rPr>
      </w:pPr>
      <w:bookmarkStart w:id="184" w:name="_Toc14651"/>
      <w:r>
        <w:rPr>
          <w:rFonts w:hint="eastAsia" w:asciiTheme="minorEastAsia" w:hAnsiTheme="minorEastAsia" w:eastAsiaTheme="minorEastAsia" w:cstheme="minorEastAsia"/>
          <w:color w:val="auto"/>
          <w:sz w:val="32"/>
          <w:szCs w:val="32"/>
          <w:highlight w:val="none"/>
          <w:lang w:eastAsia="zh-CN"/>
        </w:rPr>
        <w:t xml:space="preserve"> </w:t>
      </w:r>
      <w:bookmarkStart w:id="185" w:name="_Toc24072"/>
      <w:r>
        <w:rPr>
          <w:rFonts w:hint="eastAsia" w:asciiTheme="minorEastAsia" w:hAnsiTheme="minorEastAsia" w:eastAsiaTheme="minorEastAsia" w:cstheme="minorEastAsia"/>
          <w:color w:val="auto"/>
          <w:sz w:val="32"/>
          <w:szCs w:val="32"/>
          <w:highlight w:val="none"/>
          <w:lang w:eastAsia="zh-CN"/>
        </w:rPr>
        <w:t>响应文件</w:t>
      </w:r>
      <w:bookmarkEnd w:id="184"/>
      <w:r>
        <w:rPr>
          <w:rFonts w:hint="eastAsia" w:asciiTheme="minorEastAsia" w:hAnsiTheme="minorEastAsia" w:eastAsiaTheme="minorEastAsia" w:cstheme="minorEastAsia"/>
          <w:color w:val="auto"/>
          <w:sz w:val="32"/>
          <w:szCs w:val="32"/>
          <w:highlight w:val="none"/>
          <w:lang w:val="en-US" w:eastAsia="zh-CN"/>
        </w:rPr>
        <w:t>格式</w:t>
      </w:r>
      <w:bookmarkEnd w:id="185"/>
    </w:p>
    <w:p w14:paraId="3D84CB31">
      <w:pPr>
        <w:rPr>
          <w:rFonts w:hint="eastAsia" w:asciiTheme="minorEastAsia" w:hAnsiTheme="minorEastAsia" w:eastAsiaTheme="minorEastAsia" w:cstheme="minorEastAsia"/>
          <w:color w:val="auto"/>
          <w:sz w:val="32"/>
          <w:szCs w:val="32"/>
          <w:highlight w:val="none"/>
          <w:lang w:val="en-US" w:eastAsia="zh-CN"/>
        </w:rPr>
      </w:pPr>
    </w:p>
    <w:p w14:paraId="7E1E2400">
      <w:pPr>
        <w:pStyle w:val="42"/>
        <w:rPr>
          <w:rFonts w:hint="eastAsia" w:ascii="宋体" w:hAnsi="宋体" w:eastAsia="宋体" w:cs="宋体"/>
          <w:color w:val="auto"/>
          <w:sz w:val="28"/>
          <w:szCs w:val="28"/>
          <w:highlight w:val="none"/>
          <w:lang w:eastAsia="zh-CN"/>
        </w:rPr>
      </w:pPr>
    </w:p>
    <w:p w14:paraId="6E9E8BEF">
      <w:pPr>
        <w:jc w:val="both"/>
        <w:rPr>
          <w:rFonts w:hint="eastAsia" w:ascii="宋体" w:hAnsi="宋体" w:eastAsia="宋体" w:cs="宋体"/>
          <w:color w:val="auto"/>
          <w:sz w:val="28"/>
          <w:szCs w:val="28"/>
          <w:highlight w:val="none"/>
          <w:u w:val="single"/>
        </w:rPr>
      </w:pPr>
      <w:bookmarkStart w:id="186" w:name="_bookmark194"/>
      <w:bookmarkEnd w:id="186"/>
    </w:p>
    <w:p w14:paraId="674D2D34">
      <w:pPr>
        <w:jc w:val="both"/>
        <w:rPr>
          <w:rFonts w:hint="eastAsia" w:ascii="宋体" w:hAnsi="宋体" w:eastAsia="宋体" w:cs="宋体"/>
          <w:color w:val="auto"/>
          <w:sz w:val="28"/>
          <w:szCs w:val="28"/>
          <w:highlight w:val="none"/>
          <w:u w:val="single"/>
        </w:rPr>
      </w:pPr>
    </w:p>
    <w:p w14:paraId="55CA2679">
      <w:pPr>
        <w:jc w:val="both"/>
        <w:rPr>
          <w:rFonts w:hint="eastAsia" w:ascii="宋体" w:hAnsi="宋体" w:eastAsia="宋体" w:cs="宋体"/>
          <w:color w:val="auto"/>
          <w:sz w:val="28"/>
          <w:szCs w:val="28"/>
          <w:highlight w:val="none"/>
          <w:u w:val="single"/>
        </w:rPr>
      </w:pPr>
    </w:p>
    <w:p w14:paraId="78EF2A57">
      <w:pPr>
        <w:jc w:val="both"/>
        <w:rPr>
          <w:rFonts w:hint="eastAsia" w:ascii="宋体" w:hAnsi="宋体" w:eastAsia="宋体" w:cs="宋体"/>
          <w:color w:val="auto"/>
          <w:sz w:val="28"/>
          <w:szCs w:val="28"/>
          <w:highlight w:val="none"/>
          <w:u w:val="single"/>
        </w:rPr>
      </w:pPr>
    </w:p>
    <w:p w14:paraId="7456528C">
      <w:pPr>
        <w:jc w:val="both"/>
        <w:rPr>
          <w:rFonts w:hint="eastAsia" w:ascii="宋体" w:hAnsi="宋体" w:eastAsia="宋体" w:cs="宋体"/>
          <w:color w:val="auto"/>
          <w:sz w:val="28"/>
          <w:szCs w:val="28"/>
          <w:highlight w:val="none"/>
          <w:u w:val="single"/>
        </w:rPr>
      </w:pPr>
    </w:p>
    <w:p w14:paraId="3320515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（项目名称）</w:t>
      </w:r>
    </w:p>
    <w:p w14:paraId="76821E6C">
      <w:pPr>
        <w:jc w:val="center"/>
        <w:rPr>
          <w:rFonts w:hint="eastAsia" w:ascii="宋体" w:hAnsi="宋体" w:eastAsia="宋体" w:cs="宋体"/>
          <w:color w:val="auto"/>
          <w:sz w:val="28"/>
          <w:szCs w:val="28"/>
          <w:highlight w:val="none"/>
        </w:rPr>
      </w:pPr>
    </w:p>
    <w:p w14:paraId="601020D7">
      <w:pPr>
        <w:rPr>
          <w:rFonts w:hint="eastAsia" w:ascii="宋体" w:hAnsi="宋体" w:eastAsia="宋体" w:cs="宋体"/>
          <w:color w:val="auto"/>
          <w:sz w:val="48"/>
          <w:szCs w:val="48"/>
          <w:highlight w:val="none"/>
        </w:rPr>
      </w:pPr>
    </w:p>
    <w:p w14:paraId="069CF1CC">
      <w:pPr>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lang w:eastAsia="zh-CN"/>
        </w:rPr>
        <w:t>响</w:t>
      </w:r>
      <w:r>
        <w:rPr>
          <w:rFonts w:hint="eastAsia" w:ascii="宋体" w:hAnsi="宋体" w:eastAsia="宋体" w:cs="宋体"/>
          <w:color w:val="auto"/>
          <w:sz w:val="48"/>
          <w:szCs w:val="48"/>
          <w:highlight w:val="none"/>
          <w:lang w:val="en-US" w:eastAsia="zh-CN"/>
        </w:rPr>
        <w:t xml:space="preserve">  </w:t>
      </w:r>
      <w:r>
        <w:rPr>
          <w:rFonts w:hint="eastAsia" w:ascii="宋体" w:hAnsi="宋体" w:eastAsia="宋体" w:cs="宋体"/>
          <w:color w:val="auto"/>
          <w:sz w:val="48"/>
          <w:szCs w:val="48"/>
          <w:highlight w:val="none"/>
          <w:lang w:eastAsia="zh-CN"/>
        </w:rPr>
        <w:t>应</w:t>
      </w:r>
      <w:r>
        <w:rPr>
          <w:rFonts w:hint="eastAsia" w:ascii="宋体" w:hAnsi="宋体" w:eastAsia="宋体" w:cs="宋体"/>
          <w:color w:val="auto"/>
          <w:sz w:val="48"/>
          <w:szCs w:val="48"/>
          <w:highlight w:val="none"/>
        </w:rPr>
        <w:t xml:space="preserve">  文  件</w:t>
      </w:r>
    </w:p>
    <w:p w14:paraId="1A2925E4">
      <w:pPr>
        <w:ind w:firstLine="3640" w:firstLineChars="13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p w14:paraId="0E7B15E8">
      <w:pPr>
        <w:rPr>
          <w:rFonts w:hint="eastAsia" w:ascii="宋体" w:hAnsi="宋体" w:eastAsia="宋体" w:cs="宋体"/>
          <w:color w:val="auto"/>
          <w:sz w:val="28"/>
          <w:szCs w:val="28"/>
          <w:highlight w:val="none"/>
        </w:rPr>
      </w:pPr>
    </w:p>
    <w:p w14:paraId="5C6F18F4">
      <w:pPr>
        <w:pStyle w:val="3"/>
        <w:rPr>
          <w:rFonts w:hint="eastAsia" w:ascii="宋体" w:hAnsi="宋体" w:eastAsia="宋体" w:cs="宋体"/>
          <w:color w:val="auto"/>
          <w:sz w:val="28"/>
          <w:szCs w:val="28"/>
          <w:highlight w:val="none"/>
        </w:rPr>
      </w:pPr>
    </w:p>
    <w:p w14:paraId="010F7334">
      <w:pPr>
        <w:pStyle w:val="18"/>
        <w:rPr>
          <w:rFonts w:hint="eastAsia" w:ascii="宋体" w:hAnsi="宋体" w:eastAsia="宋体" w:cs="宋体"/>
          <w:color w:val="auto"/>
          <w:sz w:val="28"/>
          <w:szCs w:val="28"/>
          <w:highlight w:val="none"/>
        </w:rPr>
      </w:pPr>
    </w:p>
    <w:p w14:paraId="55845583">
      <w:pPr>
        <w:rPr>
          <w:rFonts w:hint="eastAsia" w:ascii="宋体" w:hAnsi="宋体" w:eastAsia="宋体" w:cs="宋体"/>
          <w:color w:val="auto"/>
          <w:sz w:val="28"/>
          <w:szCs w:val="28"/>
          <w:highlight w:val="none"/>
        </w:rPr>
      </w:pPr>
    </w:p>
    <w:p w14:paraId="78F953D1">
      <w:pPr>
        <w:rPr>
          <w:rFonts w:hint="eastAsia" w:ascii="宋体" w:hAnsi="宋体" w:eastAsia="宋体" w:cs="宋体"/>
          <w:color w:val="auto"/>
          <w:sz w:val="28"/>
          <w:szCs w:val="28"/>
          <w:highlight w:val="none"/>
        </w:rPr>
      </w:pPr>
    </w:p>
    <w:p w14:paraId="4BC4F56C">
      <w:pPr>
        <w:rPr>
          <w:rFonts w:hint="eastAsia" w:ascii="宋体" w:hAnsi="宋体" w:eastAsia="宋体" w:cs="宋体"/>
          <w:color w:val="auto"/>
          <w:sz w:val="28"/>
          <w:szCs w:val="28"/>
          <w:highlight w:val="none"/>
        </w:rPr>
      </w:pPr>
    </w:p>
    <w:p w14:paraId="4AED09C2">
      <w:pPr>
        <w:rPr>
          <w:rFonts w:hint="eastAsia" w:ascii="宋体" w:hAnsi="宋体" w:eastAsia="宋体" w:cs="宋体"/>
          <w:color w:val="auto"/>
          <w:sz w:val="28"/>
          <w:szCs w:val="28"/>
          <w:highlight w:val="none"/>
        </w:rPr>
      </w:pPr>
    </w:p>
    <w:p w14:paraId="33DBBFA8">
      <w:pPr>
        <w:rPr>
          <w:rFonts w:hint="eastAsia" w:ascii="宋体" w:hAnsi="宋体" w:eastAsia="宋体" w:cs="宋体"/>
          <w:color w:val="auto"/>
          <w:sz w:val="28"/>
          <w:szCs w:val="28"/>
          <w:highlight w:val="none"/>
        </w:rPr>
      </w:pPr>
    </w:p>
    <w:p w14:paraId="69ED0D0C">
      <w:pPr>
        <w:rPr>
          <w:rFonts w:hint="eastAsia" w:ascii="宋体" w:hAnsi="宋体" w:eastAsia="宋体" w:cs="宋体"/>
          <w:color w:val="auto"/>
          <w:sz w:val="28"/>
          <w:szCs w:val="28"/>
          <w:highlight w:val="none"/>
        </w:rPr>
      </w:pPr>
    </w:p>
    <w:p w14:paraId="66A18EF1">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4828366D">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p>
    <w:p w14:paraId="61A09E7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539743CD">
      <w:pPr>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b/>
          <w:bCs/>
          <w:color w:val="auto"/>
          <w:highlight w:val="none"/>
          <w:lang w:eastAsia="zh-CN"/>
        </w:rPr>
        <w:br w:type="page"/>
      </w:r>
    </w:p>
    <w:p w14:paraId="336CF9DE">
      <w:pPr>
        <w:keepNext w:val="0"/>
        <w:keepLines w:val="0"/>
        <w:pageBreakBefore w:val="0"/>
        <w:kinsoku/>
        <w:wordWrap w:val="0"/>
        <w:overflowPunct/>
        <w:topLinePunct w:val="0"/>
        <w:bidi w:val="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目  录</w:t>
      </w:r>
    </w:p>
    <w:p w14:paraId="0E8345E4">
      <w:pPr>
        <w:keepNext w:val="0"/>
        <w:keepLines w:val="0"/>
        <w:pageBreakBefore w:val="0"/>
        <w:kinsoku/>
        <w:wordWrap w:val="0"/>
        <w:overflowPunct/>
        <w:topLinePunct w:val="0"/>
        <w:bidi w:val="0"/>
        <w:jc w:val="center"/>
        <w:rPr>
          <w:rFonts w:hint="eastAsia" w:ascii="宋体" w:hAnsi="宋体" w:eastAsia="宋体" w:cs="宋体"/>
          <w:b/>
          <w:bCs/>
          <w:color w:val="auto"/>
          <w:sz w:val="24"/>
          <w:szCs w:val="24"/>
          <w:highlight w:val="none"/>
          <w:lang w:eastAsia="zh-CN"/>
        </w:rPr>
      </w:pPr>
      <w:r>
        <w:rPr>
          <w:rFonts w:hint="eastAsia" w:cs="宋体"/>
          <w:b/>
          <w:bCs/>
          <w:color w:val="auto"/>
          <w:sz w:val="24"/>
          <w:szCs w:val="24"/>
          <w:highlight w:val="none"/>
          <w:lang w:eastAsia="zh-CN"/>
        </w:rPr>
        <w:t>（</w:t>
      </w:r>
      <w:r>
        <w:rPr>
          <w:rFonts w:hint="eastAsia" w:cs="宋体"/>
          <w:b/>
          <w:bCs/>
          <w:color w:val="auto"/>
          <w:sz w:val="24"/>
          <w:szCs w:val="24"/>
          <w:highlight w:val="none"/>
          <w:lang w:val="en-US" w:eastAsia="zh-CN"/>
        </w:rPr>
        <w:t>供应商可根据实际情况编辑</w:t>
      </w:r>
      <w:r>
        <w:rPr>
          <w:rFonts w:hint="eastAsia" w:cs="宋体"/>
          <w:b/>
          <w:bCs/>
          <w:color w:val="auto"/>
          <w:sz w:val="24"/>
          <w:szCs w:val="24"/>
          <w:highlight w:val="none"/>
          <w:lang w:eastAsia="zh-CN"/>
        </w:rPr>
        <w:t>）</w:t>
      </w:r>
    </w:p>
    <w:p w14:paraId="5D56B891">
      <w:pPr>
        <w:pStyle w:val="13"/>
        <w:keepNext w:val="0"/>
        <w:keepLines w:val="0"/>
        <w:pageBreakBefore w:val="0"/>
        <w:kinsoku/>
        <w:wordWrap w:val="0"/>
        <w:overflowPunct/>
        <w:topLinePunct w:val="0"/>
        <w:bidi w:val="0"/>
        <w:rPr>
          <w:rFonts w:asciiTheme="minorEastAsia" w:hAnsiTheme="minorEastAsia" w:eastAsiaTheme="minorEastAsia" w:cstheme="minorEastAsia"/>
          <w:b/>
          <w:color w:val="auto"/>
          <w:sz w:val="20"/>
          <w:highlight w:val="none"/>
          <w:lang w:eastAsia="zh-CN"/>
        </w:rPr>
      </w:pPr>
    </w:p>
    <w:p w14:paraId="598080AB">
      <w:pPr>
        <w:pStyle w:val="13"/>
        <w:keepNext w:val="0"/>
        <w:keepLines w:val="0"/>
        <w:pageBreakBefore w:val="0"/>
        <w:kinsoku/>
        <w:wordWrap w:val="0"/>
        <w:overflowPunct/>
        <w:topLinePunct w:val="0"/>
        <w:bidi w:val="0"/>
        <w:rPr>
          <w:rFonts w:asciiTheme="minorEastAsia" w:hAnsiTheme="minorEastAsia" w:eastAsiaTheme="minorEastAsia" w:cstheme="minorEastAsia"/>
          <w:b/>
          <w:color w:val="auto"/>
          <w:sz w:val="20"/>
          <w:highlight w:val="none"/>
          <w:lang w:eastAsia="zh-CN"/>
        </w:rPr>
      </w:pPr>
    </w:p>
    <w:p w14:paraId="747C8132">
      <w:pPr>
        <w:pStyle w:val="13"/>
        <w:keepNext w:val="0"/>
        <w:keepLines w:val="0"/>
        <w:pageBreakBefore w:val="0"/>
        <w:kinsoku/>
        <w:wordWrap w:val="0"/>
        <w:overflowPunct/>
        <w:topLinePunct w:val="0"/>
        <w:bidi w:val="0"/>
        <w:rPr>
          <w:rFonts w:asciiTheme="minorEastAsia" w:hAnsiTheme="minorEastAsia" w:eastAsiaTheme="minorEastAsia" w:cstheme="minorEastAsia"/>
          <w:b/>
          <w:color w:val="auto"/>
          <w:sz w:val="20"/>
          <w:highlight w:val="none"/>
          <w:lang w:eastAsia="zh-CN"/>
        </w:rPr>
      </w:pPr>
    </w:p>
    <w:p w14:paraId="7413F41E">
      <w:pPr>
        <w:pStyle w:val="13"/>
        <w:keepNext w:val="0"/>
        <w:keepLines w:val="0"/>
        <w:pageBreakBefore w:val="0"/>
        <w:kinsoku/>
        <w:wordWrap w:val="0"/>
        <w:overflowPunct/>
        <w:topLinePunct w:val="0"/>
        <w:bidi w:val="0"/>
        <w:spacing w:before="6"/>
        <w:rPr>
          <w:rFonts w:hint="eastAsia" w:ascii="宋体" w:hAnsi="宋体" w:eastAsia="宋体" w:cs="宋体"/>
          <w:b/>
          <w:color w:val="auto"/>
          <w:sz w:val="24"/>
          <w:szCs w:val="24"/>
          <w:highlight w:val="none"/>
          <w:lang w:eastAsia="zh-CN"/>
        </w:rPr>
      </w:pPr>
    </w:p>
    <w:p w14:paraId="10C43925">
      <w:pPr>
        <w:pStyle w:val="13"/>
        <w:keepNext w:val="0"/>
        <w:keepLines w:val="0"/>
        <w:pageBreakBefore w:val="0"/>
        <w:kinsoku/>
        <w:wordWrap w:val="0"/>
        <w:overflowPunct/>
        <w:topLinePunct w:val="0"/>
        <w:bidi w:val="0"/>
        <w:spacing w:before="36" w:line="472" w:lineRule="auto"/>
        <w:ind w:right="3450"/>
        <w:rPr>
          <w:rFonts w:hint="eastAsia" w:ascii="宋体" w:hAnsi="宋体" w:eastAsia="宋体" w:cs="宋体"/>
          <w:color w:val="auto"/>
          <w:sz w:val="24"/>
          <w:szCs w:val="24"/>
          <w:highlight w:val="none"/>
          <w:lang w:eastAsia="zh-CN"/>
        </w:rPr>
      </w:pPr>
      <w:bookmarkStart w:id="187" w:name="_bookmark195"/>
      <w:bookmarkEnd w:id="187"/>
      <w:r>
        <w:rPr>
          <w:rFonts w:hint="eastAsia" w:ascii="宋体" w:hAnsi="宋体" w:eastAsia="宋体" w:cs="宋体"/>
          <w:color w:val="auto"/>
          <w:sz w:val="24"/>
          <w:szCs w:val="24"/>
          <w:highlight w:val="none"/>
          <w:lang w:eastAsia="zh-CN"/>
        </w:rPr>
        <w:t>一、报价函及报价函附录</w:t>
      </w:r>
    </w:p>
    <w:p w14:paraId="2A581534">
      <w:pPr>
        <w:pStyle w:val="13"/>
        <w:keepNext w:val="0"/>
        <w:keepLines w:val="0"/>
        <w:pageBreakBefore w:val="0"/>
        <w:kinsoku/>
        <w:wordWrap w:val="0"/>
        <w:overflowPunct/>
        <w:topLinePunct w:val="0"/>
        <w:bidi w:val="0"/>
        <w:spacing w:before="36" w:line="472" w:lineRule="auto"/>
        <w:ind w:right="34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w:t>
      </w:r>
      <w:r>
        <w:rPr>
          <w:rFonts w:hint="eastAsia" w:cs="宋体"/>
          <w:color w:val="auto"/>
          <w:sz w:val="24"/>
          <w:szCs w:val="24"/>
          <w:highlight w:val="none"/>
          <w:lang w:val="en-US" w:eastAsia="zh-CN"/>
        </w:rPr>
        <w:t>开标</w:t>
      </w:r>
      <w:r>
        <w:rPr>
          <w:rFonts w:hint="eastAsia" w:ascii="宋体" w:hAnsi="宋体" w:eastAsia="宋体" w:cs="宋体"/>
          <w:color w:val="auto"/>
          <w:sz w:val="24"/>
          <w:szCs w:val="24"/>
          <w:highlight w:val="none"/>
          <w:lang w:eastAsia="zh-CN"/>
        </w:rPr>
        <w:t>一览表</w:t>
      </w:r>
    </w:p>
    <w:p w14:paraId="16865EDC">
      <w:pPr>
        <w:pStyle w:val="13"/>
        <w:keepNext w:val="0"/>
        <w:keepLines w:val="0"/>
        <w:pageBreakBefore w:val="0"/>
        <w:kinsoku/>
        <w:wordWrap w:val="0"/>
        <w:overflowPunct/>
        <w:topLinePunct w:val="0"/>
        <w:bidi w:val="0"/>
        <w:spacing w:before="36" w:line="472" w:lineRule="auto"/>
        <w:ind w:right="34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三、法定代表人身份证明</w:t>
      </w:r>
    </w:p>
    <w:p w14:paraId="313EBC7E">
      <w:pPr>
        <w:pStyle w:val="13"/>
        <w:keepNext w:val="0"/>
        <w:keepLines w:val="0"/>
        <w:pageBreakBefore w:val="0"/>
        <w:kinsoku/>
        <w:wordWrap w:val="0"/>
        <w:overflowPunct/>
        <w:topLinePunct w:val="0"/>
        <w:bidi w:val="0"/>
        <w:spacing w:before="36" w:line="472" w:lineRule="auto"/>
        <w:ind w:right="34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四、授权委托书</w:t>
      </w:r>
    </w:p>
    <w:p w14:paraId="27F821AD">
      <w:pPr>
        <w:pStyle w:val="13"/>
        <w:keepNext w:val="0"/>
        <w:keepLines w:val="0"/>
        <w:pageBreakBefore w:val="0"/>
        <w:kinsoku/>
        <w:wordWrap w:val="0"/>
        <w:overflowPunct/>
        <w:topLinePunct w:val="0"/>
        <w:bidi w:val="0"/>
        <w:spacing w:before="36" w:line="472" w:lineRule="auto"/>
        <w:ind w:right="34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五、资格审查资料</w:t>
      </w:r>
    </w:p>
    <w:p w14:paraId="6BA5A3EE">
      <w:pPr>
        <w:pStyle w:val="13"/>
        <w:keepNext w:val="0"/>
        <w:keepLines w:val="0"/>
        <w:pageBreakBefore w:val="0"/>
        <w:kinsoku/>
        <w:wordWrap w:val="0"/>
        <w:overflowPunct/>
        <w:topLinePunct w:val="0"/>
        <w:bidi w:val="0"/>
        <w:spacing w:before="36" w:line="472" w:lineRule="auto"/>
        <w:ind w:right="34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六、服务方案</w:t>
      </w:r>
    </w:p>
    <w:p w14:paraId="27855E04">
      <w:pPr>
        <w:pStyle w:val="13"/>
        <w:keepNext w:val="0"/>
        <w:keepLines w:val="0"/>
        <w:pageBreakBefore w:val="0"/>
        <w:kinsoku/>
        <w:wordWrap w:val="0"/>
        <w:overflowPunct/>
        <w:topLinePunct w:val="0"/>
        <w:bidi w:val="0"/>
        <w:spacing w:before="36" w:line="472" w:lineRule="auto"/>
        <w:ind w:right="3450"/>
        <w:rPr>
          <w:rFonts w:hint="eastAsia" w:asciiTheme="minorEastAsia" w:hAnsiTheme="minorEastAsia" w:eastAsiaTheme="minorEastAsia" w:cstheme="minorEastAsia"/>
          <w:b/>
          <w:bCs/>
          <w:color w:val="auto"/>
          <w:sz w:val="32"/>
          <w:szCs w:val="32"/>
          <w:highlight w:val="none"/>
          <w:lang w:eastAsia="zh-CN"/>
        </w:rPr>
      </w:pPr>
      <w:r>
        <w:rPr>
          <w:rFonts w:hint="eastAsia" w:ascii="宋体" w:hAnsi="宋体" w:eastAsia="宋体" w:cs="宋体"/>
          <w:color w:val="auto"/>
          <w:sz w:val="24"/>
          <w:szCs w:val="24"/>
          <w:highlight w:val="none"/>
          <w:lang w:eastAsia="zh-CN"/>
        </w:rPr>
        <w:t>七、其他资料</w:t>
      </w:r>
      <w:r>
        <w:rPr>
          <w:rFonts w:hint="eastAsia" w:asciiTheme="minorEastAsia" w:hAnsiTheme="minorEastAsia" w:eastAsiaTheme="minorEastAsia" w:cstheme="minorEastAsia"/>
          <w:b/>
          <w:bCs/>
          <w:color w:val="auto"/>
          <w:sz w:val="32"/>
          <w:szCs w:val="32"/>
          <w:highlight w:val="none"/>
          <w:lang w:eastAsia="zh-CN"/>
        </w:rPr>
        <w:br w:type="page"/>
      </w:r>
    </w:p>
    <w:p w14:paraId="2D992007">
      <w:pPr>
        <w:keepNext w:val="0"/>
        <w:keepLines w:val="0"/>
        <w:pageBreakBefore w:val="0"/>
        <w:kinsoku/>
        <w:wordWrap w:val="0"/>
        <w:overflowPunct/>
        <w:topLinePunct w:val="0"/>
        <w:bidi w:val="0"/>
        <w:spacing w:afterLines="100"/>
        <w:jc w:val="center"/>
        <w:rPr>
          <w:rFonts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一、报价函及报价函附录</w:t>
      </w:r>
    </w:p>
    <w:p w14:paraId="136E607C">
      <w:pPr>
        <w:pStyle w:val="4"/>
        <w:keepNext w:val="0"/>
        <w:keepLines w:val="0"/>
        <w:pageBreakBefore w:val="0"/>
        <w:kinsoku/>
        <w:wordWrap w:val="0"/>
        <w:overflowPunct/>
        <w:topLinePunct w:val="0"/>
        <w:bidi w:val="0"/>
        <w:spacing w:line="360" w:lineRule="auto"/>
        <w:ind w:left="0" w:right="0"/>
        <w:jc w:val="center"/>
        <w:rPr>
          <w:rFonts w:asciiTheme="minorEastAsia" w:hAnsiTheme="minorEastAsia" w:eastAsiaTheme="minorEastAsia" w:cstheme="minorEastAsia"/>
          <w:b/>
          <w:bCs/>
          <w:color w:val="auto"/>
          <w:highlight w:val="none"/>
          <w:lang w:eastAsia="zh-CN"/>
        </w:rPr>
      </w:pPr>
      <w:bookmarkStart w:id="188" w:name="_bookmark196"/>
      <w:bookmarkEnd w:id="188"/>
      <w:bookmarkStart w:id="189" w:name="_Toc5430"/>
      <w:r>
        <w:rPr>
          <w:rFonts w:hint="eastAsia" w:asciiTheme="minorEastAsia" w:hAnsiTheme="minorEastAsia" w:eastAsiaTheme="minorEastAsia" w:cstheme="minorEastAsia"/>
          <w:b/>
          <w:bCs/>
          <w:color w:val="auto"/>
          <w:highlight w:val="none"/>
          <w:lang w:eastAsia="zh-CN"/>
        </w:rPr>
        <w:t>（一）报价函</w:t>
      </w:r>
      <w:bookmarkEnd w:id="189"/>
    </w:p>
    <w:p w14:paraId="6CA08274">
      <w:pPr>
        <w:pStyle w:val="13"/>
        <w:keepNext w:val="0"/>
        <w:keepLines w:val="0"/>
        <w:pageBreakBefore w:val="0"/>
        <w:tabs>
          <w:tab w:val="left" w:pos="1991"/>
        </w:tabs>
        <w:kinsoku/>
        <w:wordWrap w:val="0"/>
        <w:overflowPunct/>
        <w:topLinePunct w:val="0"/>
        <w:bidi w:val="0"/>
        <w:ind w:left="100" w:right="10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pacing w:val="-3"/>
          <w:sz w:val="24"/>
          <w:szCs w:val="24"/>
          <w:highlight w:val="none"/>
          <w:lang w:eastAsia="zh-CN"/>
        </w:rPr>
        <w:t>名</w:t>
      </w:r>
      <w:r>
        <w:rPr>
          <w:rFonts w:hint="eastAsia" w:ascii="宋体" w:hAnsi="宋体" w:eastAsia="宋体" w:cs="宋体"/>
          <w:color w:val="auto"/>
          <w:sz w:val="24"/>
          <w:szCs w:val="24"/>
          <w:highlight w:val="none"/>
          <w:lang w:eastAsia="zh-CN"/>
        </w:rPr>
        <w:t>称</w:t>
      </w:r>
      <w:r>
        <w:rPr>
          <w:rFonts w:hint="eastAsia" w:ascii="宋体" w:hAnsi="宋体" w:eastAsia="宋体" w:cs="宋体"/>
          <w:color w:val="auto"/>
          <w:spacing w:val="-108"/>
          <w:sz w:val="24"/>
          <w:szCs w:val="24"/>
          <w:highlight w:val="none"/>
          <w:lang w:eastAsia="zh-CN"/>
        </w:rPr>
        <w:t>）</w:t>
      </w:r>
      <w:r>
        <w:rPr>
          <w:rFonts w:hint="eastAsia" w:ascii="宋体" w:hAnsi="宋体" w:eastAsia="宋体" w:cs="宋体"/>
          <w:color w:val="auto"/>
          <w:sz w:val="24"/>
          <w:szCs w:val="24"/>
          <w:highlight w:val="none"/>
          <w:lang w:eastAsia="zh-CN"/>
        </w:rPr>
        <w:t>：</w:t>
      </w:r>
    </w:p>
    <w:p w14:paraId="5AA6A58D">
      <w:pPr>
        <w:pStyle w:val="13"/>
        <w:keepNext w:val="0"/>
        <w:keepLines w:val="0"/>
        <w:pageBreakBefore w:val="0"/>
        <w:widowControl w:val="0"/>
        <w:tabs>
          <w:tab w:val="left" w:pos="1468"/>
          <w:tab w:val="left" w:pos="3883"/>
        </w:tabs>
        <w:kinsoku/>
        <w:wordWrap w:val="0"/>
        <w:overflowPunct/>
        <w:topLinePunct w:val="0"/>
        <w:autoSpaceDE/>
        <w:autoSpaceDN/>
        <w:bidi w:val="0"/>
        <w:adjustRightInd/>
        <w:snapToGrid/>
        <w:spacing w:line="264"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pacing w:val="-92"/>
          <w:sz w:val="24"/>
          <w:szCs w:val="24"/>
          <w:highlight w:val="none"/>
          <w:lang w:eastAsia="zh-CN"/>
        </w:rPr>
        <w:t>．</w:t>
      </w:r>
      <w:r>
        <w:rPr>
          <w:rFonts w:hint="eastAsia" w:ascii="宋体" w:hAnsi="宋体" w:eastAsia="宋体" w:cs="宋体"/>
          <w:color w:val="auto"/>
          <w:sz w:val="24"/>
          <w:szCs w:val="24"/>
          <w:highlight w:val="none"/>
          <w:lang w:eastAsia="zh-CN"/>
        </w:rPr>
        <w:t>我</w:t>
      </w:r>
      <w:r>
        <w:rPr>
          <w:rFonts w:hint="eastAsia" w:ascii="宋体" w:hAnsi="宋体" w:eastAsia="宋体" w:cs="宋体"/>
          <w:color w:val="auto"/>
          <w:spacing w:val="-3"/>
          <w:sz w:val="24"/>
          <w:szCs w:val="24"/>
          <w:highlight w:val="none"/>
          <w:lang w:eastAsia="zh-CN"/>
        </w:rPr>
        <w:t>方</w:t>
      </w:r>
      <w:r>
        <w:rPr>
          <w:rFonts w:hint="eastAsia" w:ascii="宋体" w:hAnsi="宋体" w:eastAsia="宋体" w:cs="宋体"/>
          <w:color w:val="auto"/>
          <w:sz w:val="24"/>
          <w:szCs w:val="24"/>
          <w:highlight w:val="none"/>
          <w:lang w:eastAsia="zh-CN"/>
        </w:rPr>
        <w:t>已</w:t>
      </w:r>
      <w:r>
        <w:rPr>
          <w:rFonts w:hint="eastAsia" w:ascii="宋体" w:hAnsi="宋体" w:eastAsia="宋体" w:cs="宋体"/>
          <w:color w:val="auto"/>
          <w:spacing w:val="-3"/>
          <w:sz w:val="24"/>
          <w:szCs w:val="24"/>
          <w:highlight w:val="none"/>
          <w:lang w:eastAsia="zh-CN"/>
        </w:rPr>
        <w:t>仔</w:t>
      </w:r>
      <w:r>
        <w:rPr>
          <w:rFonts w:hint="eastAsia" w:ascii="宋体" w:hAnsi="宋体" w:eastAsia="宋体" w:cs="宋体"/>
          <w:color w:val="auto"/>
          <w:sz w:val="24"/>
          <w:szCs w:val="24"/>
          <w:highlight w:val="none"/>
          <w:lang w:eastAsia="zh-CN"/>
        </w:rPr>
        <w:t>细</w:t>
      </w:r>
      <w:r>
        <w:rPr>
          <w:rFonts w:hint="eastAsia" w:ascii="宋体" w:hAnsi="宋体" w:eastAsia="宋体" w:cs="宋体"/>
          <w:color w:val="auto"/>
          <w:spacing w:val="-3"/>
          <w:sz w:val="24"/>
          <w:szCs w:val="24"/>
          <w:highlight w:val="none"/>
          <w:lang w:eastAsia="zh-CN"/>
        </w:rPr>
        <w:t>研</w:t>
      </w:r>
      <w:r>
        <w:rPr>
          <w:rFonts w:hint="eastAsia" w:ascii="宋体" w:hAnsi="宋体" w:eastAsia="宋体" w:cs="宋体"/>
          <w:color w:val="auto"/>
          <w:sz w:val="24"/>
          <w:szCs w:val="24"/>
          <w:highlight w:val="none"/>
          <w:lang w:eastAsia="zh-CN"/>
        </w:rPr>
        <w:t>究了</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pacing w:val="-3"/>
          <w:sz w:val="24"/>
          <w:szCs w:val="24"/>
          <w:highlight w:val="none"/>
          <w:u w:val="single"/>
          <w:lang w:eastAsia="zh-CN"/>
        </w:rPr>
        <w:t>（</w:t>
      </w:r>
      <w:r>
        <w:rPr>
          <w:rFonts w:hint="eastAsia" w:ascii="宋体" w:hAnsi="宋体" w:eastAsia="宋体" w:cs="宋体"/>
          <w:color w:val="auto"/>
          <w:sz w:val="24"/>
          <w:szCs w:val="24"/>
          <w:highlight w:val="none"/>
          <w:lang w:eastAsia="zh-CN"/>
        </w:rPr>
        <w:t>项</w:t>
      </w:r>
      <w:r>
        <w:rPr>
          <w:rFonts w:hint="eastAsia" w:ascii="宋体" w:hAnsi="宋体" w:eastAsia="宋体" w:cs="宋体"/>
          <w:color w:val="auto"/>
          <w:spacing w:val="-3"/>
          <w:sz w:val="24"/>
          <w:szCs w:val="24"/>
          <w:highlight w:val="none"/>
          <w:lang w:eastAsia="zh-CN"/>
        </w:rPr>
        <w:t>目</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pacing w:val="-94"/>
          <w:sz w:val="24"/>
          <w:szCs w:val="24"/>
          <w:highlight w:val="none"/>
          <w:lang w:eastAsia="zh-CN"/>
        </w:rPr>
        <w:t>）</w:t>
      </w:r>
      <w:r>
        <w:rPr>
          <w:rFonts w:hint="eastAsia" w:ascii="宋体" w:hAnsi="宋体" w:eastAsia="宋体" w:cs="宋体"/>
          <w:color w:val="auto"/>
          <w:spacing w:val="-3"/>
          <w:sz w:val="24"/>
          <w:szCs w:val="24"/>
          <w:highlight w:val="none"/>
          <w:lang w:eastAsia="zh-CN"/>
        </w:rPr>
        <w:t>项</w:t>
      </w:r>
      <w:r>
        <w:rPr>
          <w:rFonts w:hint="eastAsia" w:ascii="宋体" w:hAnsi="宋体" w:eastAsia="宋体" w:cs="宋体"/>
          <w:color w:val="auto"/>
          <w:spacing w:val="-1"/>
          <w:sz w:val="24"/>
          <w:szCs w:val="24"/>
          <w:highlight w:val="none"/>
          <w:lang w:eastAsia="zh-CN"/>
        </w:rPr>
        <w:t>目</w:t>
      </w:r>
      <w:r>
        <w:rPr>
          <w:rFonts w:hint="eastAsia" w:cs="宋体"/>
          <w:color w:val="auto"/>
          <w:spacing w:val="-3"/>
          <w:sz w:val="24"/>
          <w:szCs w:val="24"/>
          <w:highlight w:val="none"/>
          <w:lang w:val="en-US" w:eastAsia="zh-CN"/>
        </w:rPr>
        <w:t>招标</w:t>
      </w:r>
      <w:r>
        <w:rPr>
          <w:rFonts w:hint="eastAsia" w:ascii="宋体" w:hAnsi="宋体" w:eastAsia="宋体" w:cs="宋体"/>
          <w:color w:val="auto"/>
          <w:spacing w:val="-3"/>
          <w:sz w:val="24"/>
          <w:szCs w:val="24"/>
          <w:highlight w:val="none"/>
          <w:lang w:eastAsia="zh-CN"/>
        </w:rPr>
        <w:t>文</w:t>
      </w:r>
      <w:r>
        <w:rPr>
          <w:rFonts w:hint="eastAsia" w:ascii="宋体" w:hAnsi="宋体" w:eastAsia="宋体" w:cs="宋体"/>
          <w:color w:val="auto"/>
          <w:sz w:val="24"/>
          <w:szCs w:val="24"/>
          <w:highlight w:val="none"/>
          <w:lang w:eastAsia="zh-CN"/>
        </w:rPr>
        <w:t>件</w:t>
      </w:r>
      <w:r>
        <w:rPr>
          <w:rFonts w:hint="eastAsia" w:ascii="宋体" w:hAnsi="宋体" w:eastAsia="宋体" w:cs="宋体"/>
          <w:color w:val="auto"/>
          <w:spacing w:val="-3"/>
          <w:sz w:val="24"/>
          <w:szCs w:val="24"/>
          <w:highlight w:val="none"/>
          <w:lang w:eastAsia="zh-CN"/>
        </w:rPr>
        <w:t>的</w:t>
      </w:r>
      <w:r>
        <w:rPr>
          <w:rFonts w:hint="eastAsia" w:ascii="宋体" w:hAnsi="宋体" w:eastAsia="宋体" w:cs="宋体"/>
          <w:color w:val="auto"/>
          <w:sz w:val="24"/>
          <w:szCs w:val="24"/>
          <w:highlight w:val="none"/>
          <w:lang w:eastAsia="zh-CN"/>
        </w:rPr>
        <w:t>全部</w:t>
      </w:r>
      <w:r>
        <w:rPr>
          <w:rFonts w:hint="eastAsia" w:ascii="宋体" w:hAnsi="宋体" w:eastAsia="宋体" w:cs="宋体"/>
          <w:color w:val="auto"/>
          <w:spacing w:val="-3"/>
          <w:sz w:val="24"/>
          <w:szCs w:val="24"/>
          <w:highlight w:val="none"/>
          <w:lang w:eastAsia="zh-CN"/>
        </w:rPr>
        <w:t>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4"/>
          <w:sz w:val="24"/>
          <w:szCs w:val="24"/>
          <w:highlight w:val="none"/>
          <w:lang w:eastAsia="zh-CN"/>
        </w:rPr>
        <w:t>愿意以人民币（大写）</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pacing w:val="-5"/>
          <w:sz w:val="24"/>
          <w:szCs w:val="24"/>
          <w:highlight w:val="none"/>
          <w:lang w:eastAsia="zh-CN"/>
        </w:rPr>
        <w:t>）的</w:t>
      </w:r>
      <w:r>
        <w:rPr>
          <w:rFonts w:hint="eastAsia" w:cs="宋体"/>
          <w:color w:val="auto"/>
          <w:spacing w:val="-5"/>
          <w:sz w:val="24"/>
          <w:szCs w:val="24"/>
          <w:highlight w:val="none"/>
          <w:lang w:val="en-US" w:eastAsia="zh-CN"/>
        </w:rPr>
        <w:t>投标</w:t>
      </w:r>
      <w:r>
        <w:rPr>
          <w:rFonts w:hint="eastAsia" w:ascii="宋体" w:hAnsi="宋体" w:eastAsia="宋体" w:cs="宋体"/>
          <w:color w:val="auto"/>
          <w:spacing w:val="-5"/>
          <w:sz w:val="24"/>
          <w:szCs w:val="24"/>
          <w:highlight w:val="none"/>
          <w:lang w:eastAsia="zh-CN"/>
        </w:rPr>
        <w:t>总报价</w:t>
      </w:r>
      <w:r>
        <w:rPr>
          <w:rFonts w:hint="eastAsia" w:ascii="宋体" w:hAnsi="宋体" w:eastAsia="宋体" w:cs="宋体"/>
          <w:color w:val="auto"/>
          <w:sz w:val="24"/>
          <w:szCs w:val="24"/>
          <w:highlight w:val="none"/>
          <w:lang w:eastAsia="zh-CN"/>
        </w:rPr>
        <w:t>，</w:t>
      </w:r>
      <w:r>
        <w:rPr>
          <w:rFonts w:hint="eastAsia"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期限：</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完成本项目工作，质量标准</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w:t>
      </w:r>
    </w:p>
    <w:p w14:paraId="59696E25">
      <w:pPr>
        <w:pStyle w:val="13"/>
        <w:keepNext w:val="0"/>
        <w:keepLines w:val="0"/>
        <w:pageBreakBefore w:val="0"/>
        <w:widowControl w:val="0"/>
        <w:kinsoku/>
        <w:wordWrap w:val="0"/>
        <w:overflowPunct/>
        <w:topLinePunct w:val="0"/>
        <w:autoSpaceDE/>
        <w:autoSpaceDN/>
        <w:bidi w:val="0"/>
        <w:adjustRightInd/>
        <w:snapToGrid/>
        <w:spacing w:line="264"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 我方的响应文件包括下列内容：</w:t>
      </w:r>
    </w:p>
    <w:p w14:paraId="0260250D">
      <w:pPr>
        <w:pStyle w:val="13"/>
        <w:keepNext w:val="0"/>
        <w:keepLines w:val="0"/>
        <w:pageBreakBefore w:val="0"/>
        <w:widowControl w:val="0"/>
        <w:kinsoku/>
        <w:wordWrap w:val="0"/>
        <w:overflowPunct/>
        <w:topLinePunct w:val="0"/>
        <w:autoSpaceDE/>
        <w:autoSpaceDN/>
        <w:bidi w:val="0"/>
        <w:adjustRightInd/>
        <w:snapToGrid/>
        <w:spacing w:line="264" w:lineRule="auto"/>
        <w:ind w:left="0" w:right="0" w:firstLine="840" w:firstLineChars="35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（1）报价函及报价函附录；</w:t>
      </w:r>
    </w:p>
    <w:p w14:paraId="4AFCED39">
      <w:pPr>
        <w:pStyle w:val="13"/>
        <w:keepNext w:val="0"/>
        <w:keepLines w:val="0"/>
        <w:pageBreakBefore w:val="0"/>
        <w:widowControl w:val="0"/>
        <w:kinsoku/>
        <w:wordWrap w:val="0"/>
        <w:overflowPunct/>
        <w:topLinePunct w:val="0"/>
        <w:autoSpaceDE/>
        <w:autoSpaceDN/>
        <w:bidi w:val="0"/>
        <w:adjustRightInd/>
        <w:snapToGrid/>
        <w:spacing w:line="264" w:lineRule="auto"/>
        <w:ind w:left="0" w:right="0" w:firstLine="840" w:firstLineChars="35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cs="宋体"/>
          <w:color w:val="auto"/>
          <w:sz w:val="24"/>
          <w:szCs w:val="24"/>
          <w:highlight w:val="none"/>
          <w:lang w:val="en-US" w:eastAsia="zh-CN"/>
        </w:rPr>
        <w:t>开标</w:t>
      </w:r>
      <w:r>
        <w:rPr>
          <w:rFonts w:hint="eastAsia" w:ascii="宋体" w:hAnsi="宋体" w:eastAsia="宋体" w:cs="宋体"/>
          <w:color w:val="auto"/>
          <w:sz w:val="24"/>
          <w:szCs w:val="24"/>
          <w:highlight w:val="none"/>
          <w:lang w:eastAsia="zh-CN"/>
        </w:rPr>
        <w:t>一览表；</w:t>
      </w:r>
    </w:p>
    <w:p w14:paraId="70D1A049">
      <w:pPr>
        <w:pStyle w:val="13"/>
        <w:keepNext w:val="0"/>
        <w:keepLines w:val="0"/>
        <w:pageBreakBefore w:val="0"/>
        <w:widowControl w:val="0"/>
        <w:kinsoku/>
        <w:wordWrap w:val="0"/>
        <w:overflowPunct/>
        <w:topLinePunct w:val="0"/>
        <w:autoSpaceDE/>
        <w:autoSpaceDN/>
        <w:bidi w:val="0"/>
        <w:adjustRightInd/>
        <w:snapToGrid/>
        <w:spacing w:line="264" w:lineRule="auto"/>
        <w:ind w:left="0" w:right="0" w:firstLine="840" w:firstLineChars="35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）法定代表人身份证明；</w:t>
      </w:r>
    </w:p>
    <w:p w14:paraId="4C019EF9">
      <w:pPr>
        <w:pStyle w:val="13"/>
        <w:keepNext w:val="0"/>
        <w:keepLines w:val="0"/>
        <w:pageBreakBefore w:val="0"/>
        <w:widowControl w:val="0"/>
        <w:kinsoku/>
        <w:wordWrap w:val="0"/>
        <w:overflowPunct/>
        <w:topLinePunct w:val="0"/>
        <w:autoSpaceDE/>
        <w:autoSpaceDN/>
        <w:bidi w:val="0"/>
        <w:adjustRightInd/>
        <w:snapToGrid/>
        <w:spacing w:line="264" w:lineRule="auto"/>
        <w:ind w:left="0" w:right="0" w:firstLine="840" w:firstLineChars="35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）授权委托书；</w:t>
      </w:r>
    </w:p>
    <w:p w14:paraId="08CD0DF5">
      <w:pPr>
        <w:pStyle w:val="13"/>
        <w:keepNext w:val="0"/>
        <w:keepLines w:val="0"/>
        <w:pageBreakBefore w:val="0"/>
        <w:widowControl w:val="0"/>
        <w:kinsoku/>
        <w:wordWrap w:val="0"/>
        <w:overflowPunct/>
        <w:topLinePunct w:val="0"/>
        <w:autoSpaceDE/>
        <w:autoSpaceDN/>
        <w:bidi w:val="0"/>
        <w:adjustRightInd/>
        <w:snapToGrid/>
        <w:spacing w:line="264" w:lineRule="auto"/>
        <w:ind w:left="0" w:right="0" w:firstLine="840" w:firstLineChars="35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（5）资格审查资料；</w:t>
      </w:r>
    </w:p>
    <w:p w14:paraId="0BE53DFF">
      <w:pPr>
        <w:pStyle w:val="13"/>
        <w:keepNext w:val="0"/>
        <w:keepLines w:val="0"/>
        <w:pageBreakBefore w:val="0"/>
        <w:widowControl w:val="0"/>
        <w:kinsoku/>
        <w:wordWrap w:val="0"/>
        <w:overflowPunct/>
        <w:topLinePunct w:val="0"/>
        <w:autoSpaceDE/>
        <w:autoSpaceDN/>
        <w:bidi w:val="0"/>
        <w:adjustRightInd/>
        <w:snapToGrid/>
        <w:spacing w:line="264" w:lineRule="auto"/>
        <w:ind w:left="0" w:right="0" w:firstLine="840" w:firstLineChars="35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方案；</w:t>
      </w:r>
    </w:p>
    <w:p w14:paraId="500F5F99">
      <w:pPr>
        <w:keepNext w:val="0"/>
        <w:keepLines w:val="0"/>
        <w:pageBreakBefore w:val="0"/>
        <w:widowControl w:val="0"/>
        <w:kinsoku/>
        <w:overflowPunct/>
        <w:topLinePunct w:val="0"/>
        <w:autoSpaceDE/>
        <w:autoSpaceDN/>
        <w:bidi w:val="0"/>
        <w:adjustRightInd/>
        <w:snapToGrid/>
        <w:spacing w:line="264"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（7）</w:t>
      </w:r>
      <w:r>
        <w:rPr>
          <w:rFonts w:hint="eastAsia" w:ascii="宋体" w:hAnsi="宋体" w:eastAsia="宋体" w:cs="宋体"/>
          <w:color w:val="auto"/>
          <w:sz w:val="24"/>
          <w:szCs w:val="24"/>
          <w:highlight w:val="none"/>
          <w:lang w:eastAsia="zh-CN"/>
        </w:rPr>
        <w:t>其他资料；</w:t>
      </w:r>
    </w:p>
    <w:p w14:paraId="3373184A">
      <w:pPr>
        <w:pStyle w:val="13"/>
        <w:keepNext w:val="0"/>
        <w:keepLines w:val="0"/>
        <w:pageBreakBefore w:val="0"/>
        <w:widowControl w:val="0"/>
        <w:kinsoku/>
        <w:wordWrap w:val="0"/>
        <w:overflowPunct/>
        <w:topLinePunct w:val="0"/>
        <w:autoSpaceDE/>
        <w:autoSpaceDN/>
        <w:bidi w:val="0"/>
        <w:adjustRightInd/>
        <w:snapToGrid/>
        <w:spacing w:line="312" w:lineRule="auto"/>
        <w:ind w:left="0" w:right="0" w:firstLine="840" w:firstLineChars="35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p>
    <w:p w14:paraId="3FF45807">
      <w:pPr>
        <w:pStyle w:val="13"/>
        <w:keepNext w:val="0"/>
        <w:keepLines w:val="0"/>
        <w:pageBreakBefore w:val="0"/>
        <w:widowControl w:val="0"/>
        <w:kinsoku/>
        <w:wordWrap w:val="0"/>
        <w:overflowPunct/>
        <w:topLinePunct w:val="0"/>
        <w:autoSpaceDE/>
        <w:autoSpaceDN/>
        <w:bidi w:val="0"/>
        <w:adjustRightInd/>
        <w:snapToGrid/>
        <w:spacing w:line="312"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响应文件的上述组成部分如存在内容不一致的，以报价函为准。</w:t>
      </w:r>
    </w:p>
    <w:p w14:paraId="229A4CB4">
      <w:pPr>
        <w:pStyle w:val="13"/>
        <w:keepNext w:val="0"/>
        <w:keepLines w:val="0"/>
        <w:pageBreakBefore w:val="0"/>
        <w:widowControl w:val="0"/>
        <w:kinsoku/>
        <w:wordWrap w:val="0"/>
        <w:overflowPunct/>
        <w:topLinePunct w:val="0"/>
        <w:autoSpaceDE/>
        <w:autoSpaceDN/>
        <w:bidi w:val="0"/>
        <w:adjustRightInd/>
        <w:snapToGrid/>
        <w:spacing w:line="312"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3．我方承诺在投标有效期内不撤销响应文件。</w:t>
      </w:r>
    </w:p>
    <w:p w14:paraId="2320C3A7">
      <w:pPr>
        <w:pStyle w:val="13"/>
        <w:keepNext w:val="0"/>
        <w:keepLines w:val="0"/>
        <w:pageBreakBefore w:val="0"/>
        <w:widowControl w:val="0"/>
        <w:kinsoku/>
        <w:wordWrap w:val="0"/>
        <w:overflowPunct/>
        <w:topLinePunct w:val="0"/>
        <w:autoSpaceDE/>
        <w:autoSpaceDN/>
        <w:bidi w:val="0"/>
        <w:adjustRightInd/>
        <w:snapToGrid/>
        <w:spacing w:line="312"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4．如我方中标，我方承诺：</w:t>
      </w:r>
    </w:p>
    <w:p w14:paraId="3B424C39">
      <w:pPr>
        <w:pStyle w:val="13"/>
        <w:keepNext w:val="0"/>
        <w:keepLines w:val="0"/>
        <w:pageBreakBefore w:val="0"/>
        <w:widowControl w:val="0"/>
        <w:kinsoku/>
        <w:wordWrap w:val="0"/>
        <w:overflowPunct/>
        <w:topLinePunct w:val="0"/>
        <w:autoSpaceDE/>
        <w:autoSpaceDN/>
        <w:bidi w:val="0"/>
        <w:adjustRightInd/>
        <w:snapToGrid/>
        <w:spacing w:line="312"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（1）在收到成交通知书后，在成交通知书规定的期限内与你方签订合同；</w:t>
      </w:r>
    </w:p>
    <w:p w14:paraId="3CC0D7B1">
      <w:pPr>
        <w:pStyle w:val="13"/>
        <w:keepNext w:val="0"/>
        <w:keepLines w:val="0"/>
        <w:pageBreakBefore w:val="0"/>
        <w:widowControl w:val="0"/>
        <w:kinsoku/>
        <w:wordWrap w:val="0"/>
        <w:overflowPunct/>
        <w:topLinePunct w:val="0"/>
        <w:autoSpaceDE/>
        <w:autoSpaceDN/>
        <w:bidi w:val="0"/>
        <w:adjustRightInd/>
        <w:snapToGrid/>
        <w:spacing w:line="312"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（2）在签订合同时不向你方提出附加条件；</w:t>
      </w:r>
    </w:p>
    <w:p w14:paraId="7DBC031E">
      <w:pPr>
        <w:pStyle w:val="13"/>
        <w:keepNext w:val="0"/>
        <w:keepLines w:val="0"/>
        <w:pageBreakBefore w:val="0"/>
        <w:widowControl w:val="0"/>
        <w:kinsoku/>
        <w:wordWrap w:val="0"/>
        <w:overflowPunct/>
        <w:topLinePunct w:val="0"/>
        <w:autoSpaceDE/>
        <w:autoSpaceDN/>
        <w:bidi w:val="0"/>
        <w:adjustRightInd/>
        <w:snapToGrid/>
        <w:spacing w:line="312"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）在合同约定的期限内完成合同规定的全部义务。</w:t>
      </w:r>
    </w:p>
    <w:p w14:paraId="3B119FFB">
      <w:pPr>
        <w:pStyle w:val="13"/>
        <w:keepNext w:val="0"/>
        <w:keepLines w:val="0"/>
        <w:pageBreakBefore w:val="0"/>
        <w:widowControl w:val="0"/>
        <w:tabs>
          <w:tab w:val="left" w:pos="3880"/>
        </w:tabs>
        <w:kinsoku/>
        <w:wordWrap w:val="0"/>
        <w:overflowPunct/>
        <w:topLinePunct w:val="0"/>
        <w:autoSpaceDE/>
        <w:autoSpaceDN/>
        <w:bidi w:val="0"/>
        <w:adjustRightInd/>
        <w:snapToGrid/>
        <w:spacing w:line="312"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（其</w:t>
      </w:r>
      <w:r>
        <w:rPr>
          <w:rFonts w:hint="eastAsia" w:ascii="宋体" w:hAnsi="宋体" w:eastAsia="宋体" w:cs="宋体"/>
          <w:color w:val="auto"/>
          <w:spacing w:val="-3"/>
          <w:sz w:val="24"/>
          <w:szCs w:val="24"/>
          <w:highlight w:val="none"/>
          <w:lang w:eastAsia="zh-CN"/>
        </w:rPr>
        <w:t>他</w:t>
      </w:r>
      <w:r>
        <w:rPr>
          <w:rFonts w:hint="eastAsia" w:ascii="宋体" w:hAnsi="宋体" w:eastAsia="宋体" w:cs="宋体"/>
          <w:color w:val="auto"/>
          <w:sz w:val="24"/>
          <w:szCs w:val="24"/>
          <w:highlight w:val="none"/>
          <w:lang w:eastAsia="zh-CN"/>
        </w:rPr>
        <w:t>补</w:t>
      </w:r>
      <w:r>
        <w:rPr>
          <w:rFonts w:hint="eastAsia" w:ascii="宋体" w:hAnsi="宋体" w:eastAsia="宋体" w:cs="宋体"/>
          <w:color w:val="auto"/>
          <w:spacing w:val="-3"/>
          <w:sz w:val="24"/>
          <w:szCs w:val="24"/>
          <w:highlight w:val="none"/>
          <w:lang w:eastAsia="zh-CN"/>
        </w:rPr>
        <w:t>充</w:t>
      </w:r>
      <w:r>
        <w:rPr>
          <w:rFonts w:hint="eastAsia" w:ascii="宋体" w:hAnsi="宋体" w:eastAsia="宋体" w:cs="宋体"/>
          <w:color w:val="auto"/>
          <w:sz w:val="24"/>
          <w:szCs w:val="24"/>
          <w:highlight w:val="none"/>
          <w:lang w:eastAsia="zh-CN"/>
        </w:rPr>
        <w:t>说</w:t>
      </w:r>
      <w:r>
        <w:rPr>
          <w:rFonts w:hint="eastAsia" w:ascii="宋体" w:hAnsi="宋体" w:eastAsia="宋体" w:cs="宋体"/>
          <w:color w:val="auto"/>
          <w:spacing w:val="-3"/>
          <w:sz w:val="24"/>
          <w:szCs w:val="24"/>
          <w:highlight w:val="none"/>
          <w:lang w:eastAsia="zh-CN"/>
        </w:rPr>
        <w:t>明</w:t>
      </w:r>
      <w:r>
        <w:rPr>
          <w:rFonts w:hint="eastAsia" w:ascii="宋体" w:hAnsi="宋体" w:eastAsia="宋体" w:cs="宋体"/>
          <w:color w:val="auto"/>
          <w:spacing w:val="-106"/>
          <w:sz w:val="24"/>
          <w:szCs w:val="24"/>
          <w:highlight w:val="none"/>
          <w:lang w:eastAsia="zh-CN"/>
        </w:rPr>
        <w:t>）</w:t>
      </w:r>
      <w:r>
        <w:rPr>
          <w:rFonts w:hint="eastAsia" w:ascii="宋体" w:hAnsi="宋体" w:eastAsia="宋体" w:cs="宋体"/>
          <w:color w:val="auto"/>
          <w:sz w:val="24"/>
          <w:szCs w:val="24"/>
          <w:highlight w:val="none"/>
          <w:lang w:eastAsia="zh-CN"/>
        </w:rPr>
        <w:t>。</w:t>
      </w:r>
    </w:p>
    <w:p w14:paraId="53A941DD">
      <w:pPr>
        <w:pStyle w:val="13"/>
        <w:keepNext w:val="0"/>
        <w:keepLines w:val="0"/>
        <w:pageBreakBefore w:val="0"/>
        <w:kinsoku/>
        <w:wordWrap w:val="0"/>
        <w:overflowPunct/>
        <w:topLinePunct w:val="0"/>
        <w:bidi w:val="0"/>
        <w:spacing w:before="4"/>
        <w:rPr>
          <w:rFonts w:hint="eastAsia" w:ascii="宋体" w:hAnsi="宋体" w:eastAsia="宋体" w:cs="宋体"/>
          <w:color w:val="auto"/>
          <w:sz w:val="24"/>
          <w:szCs w:val="24"/>
          <w:highlight w:val="none"/>
          <w:lang w:eastAsia="zh-CN"/>
        </w:rPr>
      </w:pPr>
    </w:p>
    <w:p w14:paraId="43856CCF">
      <w:pPr>
        <w:pStyle w:val="13"/>
        <w:keepNext w:val="0"/>
        <w:keepLines w:val="0"/>
        <w:pageBreakBefore w:val="0"/>
        <w:widowControl w:val="0"/>
        <w:tabs>
          <w:tab w:val="left" w:pos="7241"/>
        </w:tabs>
        <w:kinsoku/>
        <w:wordWrap w:val="0"/>
        <w:overflowPunct/>
        <w:topLinePunct w:val="0"/>
        <w:autoSpaceDE/>
        <w:autoSpaceDN/>
        <w:bidi w:val="0"/>
        <w:adjustRightInd/>
        <w:snapToGrid/>
        <w:spacing w:line="312" w:lineRule="auto"/>
        <w:ind w:left="2520" w:leftChars="120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（盖单位章）</w:t>
      </w:r>
    </w:p>
    <w:p w14:paraId="544C09CB">
      <w:pPr>
        <w:pStyle w:val="13"/>
        <w:keepNext w:val="0"/>
        <w:keepLines w:val="0"/>
        <w:pageBreakBefore w:val="0"/>
        <w:widowControl w:val="0"/>
        <w:tabs>
          <w:tab w:val="left" w:pos="6381"/>
        </w:tabs>
        <w:kinsoku/>
        <w:wordWrap w:val="0"/>
        <w:overflowPunct/>
        <w:topLinePunct w:val="0"/>
        <w:autoSpaceDE/>
        <w:autoSpaceDN/>
        <w:bidi w:val="0"/>
        <w:adjustRightInd/>
        <w:snapToGrid/>
        <w:spacing w:line="312" w:lineRule="auto"/>
        <w:ind w:left="2520" w:leftChars="120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法定代表人或其委托代理人：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（签字）</w:t>
      </w:r>
    </w:p>
    <w:p w14:paraId="644E6907">
      <w:pPr>
        <w:pStyle w:val="13"/>
        <w:keepNext w:val="0"/>
        <w:keepLines w:val="0"/>
        <w:pageBreakBefore w:val="0"/>
        <w:widowControl w:val="0"/>
        <w:tabs>
          <w:tab w:val="left" w:pos="3232"/>
          <w:tab w:val="left" w:pos="8529"/>
        </w:tabs>
        <w:kinsoku/>
        <w:wordWrap w:val="0"/>
        <w:overflowPunct/>
        <w:topLinePunct w:val="0"/>
        <w:autoSpaceDE/>
        <w:autoSpaceDN/>
        <w:bidi w:val="0"/>
        <w:adjustRightInd/>
        <w:snapToGrid/>
        <w:spacing w:line="312" w:lineRule="auto"/>
        <w:ind w:left="2520" w:leftChars="120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址：</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p>
    <w:p w14:paraId="6647057A">
      <w:pPr>
        <w:pStyle w:val="13"/>
        <w:keepNext w:val="0"/>
        <w:keepLines w:val="0"/>
        <w:pageBreakBefore w:val="0"/>
        <w:widowControl w:val="0"/>
        <w:tabs>
          <w:tab w:val="left" w:pos="3232"/>
          <w:tab w:val="left" w:pos="8529"/>
        </w:tabs>
        <w:kinsoku/>
        <w:wordWrap w:val="0"/>
        <w:overflowPunct/>
        <w:topLinePunct w:val="0"/>
        <w:autoSpaceDE/>
        <w:autoSpaceDN/>
        <w:bidi w:val="0"/>
        <w:adjustRightInd/>
        <w:snapToGrid/>
        <w:spacing w:line="312" w:lineRule="auto"/>
        <w:ind w:left="2520" w:leftChars="120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网</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址：</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p>
    <w:p w14:paraId="43C2E79F">
      <w:pPr>
        <w:pStyle w:val="13"/>
        <w:keepNext w:val="0"/>
        <w:keepLines w:val="0"/>
        <w:pageBreakBefore w:val="0"/>
        <w:widowControl w:val="0"/>
        <w:tabs>
          <w:tab w:val="left" w:pos="3232"/>
          <w:tab w:val="left" w:pos="8529"/>
        </w:tabs>
        <w:kinsoku/>
        <w:wordWrap w:val="0"/>
        <w:overflowPunct/>
        <w:topLinePunct w:val="0"/>
        <w:autoSpaceDE/>
        <w:autoSpaceDN/>
        <w:bidi w:val="0"/>
        <w:adjustRightInd/>
        <w:snapToGrid/>
        <w:spacing w:line="312" w:lineRule="auto"/>
        <w:ind w:left="2520" w:leftChars="120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话：</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p>
    <w:p w14:paraId="234FF465">
      <w:pPr>
        <w:pStyle w:val="13"/>
        <w:keepNext w:val="0"/>
        <w:keepLines w:val="0"/>
        <w:pageBreakBefore w:val="0"/>
        <w:widowControl w:val="0"/>
        <w:tabs>
          <w:tab w:val="left" w:pos="3232"/>
          <w:tab w:val="left" w:pos="8529"/>
        </w:tabs>
        <w:kinsoku/>
        <w:wordWrap w:val="0"/>
        <w:overflowPunct/>
        <w:topLinePunct w:val="0"/>
        <w:autoSpaceDE/>
        <w:autoSpaceDN/>
        <w:bidi w:val="0"/>
        <w:adjustRightInd/>
        <w:snapToGrid/>
        <w:spacing w:line="312" w:lineRule="auto"/>
        <w:ind w:left="2520" w:leftChars="120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真：</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p>
    <w:p w14:paraId="170DA16E">
      <w:pPr>
        <w:pStyle w:val="13"/>
        <w:keepNext w:val="0"/>
        <w:keepLines w:val="0"/>
        <w:pageBreakBefore w:val="0"/>
        <w:widowControl w:val="0"/>
        <w:tabs>
          <w:tab w:val="left" w:pos="8529"/>
        </w:tabs>
        <w:kinsoku/>
        <w:wordWrap w:val="0"/>
        <w:overflowPunct/>
        <w:topLinePunct w:val="0"/>
        <w:autoSpaceDE/>
        <w:autoSpaceDN/>
        <w:bidi w:val="0"/>
        <w:adjustRightInd/>
        <w:snapToGrid/>
        <w:spacing w:line="312" w:lineRule="auto"/>
        <w:ind w:left="2520" w:leftChars="120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邮政编码：</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p>
    <w:p w14:paraId="791E7422">
      <w:pPr>
        <w:pStyle w:val="13"/>
        <w:keepNext w:val="0"/>
        <w:keepLines w:val="0"/>
        <w:pageBreakBefore w:val="0"/>
        <w:kinsoku/>
        <w:wordWrap w:val="0"/>
        <w:overflowPunct/>
        <w:topLinePunct w:val="0"/>
        <w:bidi w:val="0"/>
        <w:spacing w:before="1"/>
        <w:rPr>
          <w:rFonts w:hint="eastAsia" w:ascii="宋体" w:hAnsi="宋体" w:eastAsia="宋体" w:cs="宋体"/>
          <w:color w:val="auto"/>
          <w:sz w:val="24"/>
          <w:szCs w:val="24"/>
          <w:highlight w:val="none"/>
          <w:lang w:eastAsia="zh-CN"/>
        </w:rPr>
      </w:pPr>
    </w:p>
    <w:p w14:paraId="1CB37C5E">
      <w:pPr>
        <w:pStyle w:val="13"/>
        <w:keepNext w:val="0"/>
        <w:keepLines w:val="0"/>
        <w:pageBreakBefore w:val="0"/>
        <w:tabs>
          <w:tab w:val="left" w:pos="631"/>
          <w:tab w:val="left" w:pos="1471"/>
          <w:tab w:val="left" w:pos="2311"/>
        </w:tabs>
        <w:kinsoku/>
        <w:wordWrap w:val="0"/>
        <w:overflowPunct/>
        <w:topLinePunct w:val="0"/>
        <w:bidi w:val="0"/>
        <w:spacing w:before="37"/>
        <w:ind w:right="117"/>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pacing w:val="-1"/>
          <w:sz w:val="24"/>
          <w:szCs w:val="24"/>
          <w:highlight w:val="none"/>
          <w:lang w:eastAsia="zh-CN"/>
        </w:rPr>
        <w:t>日</w:t>
      </w:r>
    </w:p>
    <w:p w14:paraId="1F0B66BB">
      <w:pPr>
        <w:keepNext w:val="0"/>
        <w:keepLines w:val="0"/>
        <w:pageBreakBefore w:val="0"/>
        <w:kinsoku/>
        <w:wordWrap w:val="0"/>
        <w:overflowPunct/>
        <w:topLinePunct w:val="0"/>
        <w:bidi w:val="0"/>
        <w:jc w:val="right"/>
        <w:rPr>
          <w:rFonts w:hint="eastAsia" w:ascii="宋体" w:hAnsi="宋体" w:eastAsia="宋体" w:cs="宋体"/>
          <w:color w:val="auto"/>
          <w:sz w:val="24"/>
          <w:szCs w:val="24"/>
          <w:highlight w:val="none"/>
          <w:lang w:eastAsia="zh-CN"/>
        </w:rPr>
        <w:sectPr>
          <w:footerReference r:id="rId3" w:type="default"/>
          <w:pgSz w:w="11906" w:h="16838"/>
          <w:pgMar w:top="1440" w:right="1080" w:bottom="1440" w:left="1080" w:header="0" w:footer="921" w:gutter="0"/>
          <w:pgNumType w:fmt="decimal" w:start="1"/>
          <w:cols w:space="720" w:num="1"/>
        </w:sectPr>
      </w:pPr>
    </w:p>
    <w:p w14:paraId="12B57CCD">
      <w:pPr>
        <w:pStyle w:val="4"/>
        <w:keepNext w:val="0"/>
        <w:keepLines w:val="0"/>
        <w:pageBreakBefore w:val="0"/>
        <w:kinsoku/>
        <w:wordWrap w:val="0"/>
        <w:overflowPunct/>
        <w:topLinePunct w:val="0"/>
        <w:bidi w:val="0"/>
        <w:spacing w:line="360" w:lineRule="auto"/>
        <w:ind w:left="0" w:right="0"/>
        <w:jc w:val="center"/>
        <w:rPr>
          <w:rFonts w:asciiTheme="minorEastAsia" w:hAnsiTheme="minorEastAsia" w:eastAsiaTheme="minorEastAsia" w:cstheme="minorEastAsia"/>
          <w:b/>
          <w:bCs/>
          <w:color w:val="auto"/>
          <w:highlight w:val="none"/>
          <w:lang w:eastAsia="zh-CN"/>
        </w:rPr>
      </w:pPr>
      <w:bookmarkStart w:id="190" w:name="_bookmark197"/>
      <w:bookmarkEnd w:id="190"/>
      <w:bookmarkStart w:id="191" w:name="_Toc4049"/>
      <w:r>
        <w:rPr>
          <w:rFonts w:hint="eastAsia" w:asciiTheme="minorEastAsia" w:hAnsiTheme="minorEastAsia" w:eastAsiaTheme="minorEastAsia" w:cstheme="minorEastAsia"/>
          <w:b/>
          <w:bCs/>
          <w:color w:val="auto"/>
          <w:highlight w:val="none"/>
          <w:lang w:eastAsia="zh-CN"/>
        </w:rPr>
        <w:t>（二）报价函附录</w:t>
      </w:r>
      <w:bookmarkEnd w:id="191"/>
    </w:p>
    <w:p w14:paraId="7A4E2153">
      <w:pPr>
        <w:pStyle w:val="13"/>
        <w:keepNext w:val="0"/>
        <w:keepLines w:val="0"/>
        <w:pageBreakBefore w:val="0"/>
        <w:kinsoku/>
        <w:wordWrap w:val="0"/>
        <w:overflowPunct/>
        <w:topLinePunct w:val="0"/>
        <w:bidi w:val="0"/>
        <w:spacing w:before="11"/>
        <w:rPr>
          <w:rFonts w:asciiTheme="minorEastAsia" w:hAnsiTheme="minorEastAsia" w:eastAsiaTheme="minorEastAsia" w:cstheme="minorEastAsia"/>
          <w:color w:val="auto"/>
          <w:sz w:val="22"/>
          <w:highlight w:val="none"/>
          <w:lang w:eastAsia="zh-CN"/>
        </w:rPr>
      </w:pPr>
    </w:p>
    <w:tbl>
      <w:tblPr>
        <w:tblStyle w:val="29"/>
        <w:tblW w:w="9180" w:type="dxa"/>
        <w:tblInd w:w="0" w:type="dxa"/>
        <w:tblLayout w:type="fixed"/>
        <w:tblCellMar>
          <w:top w:w="0" w:type="dxa"/>
          <w:left w:w="108" w:type="dxa"/>
          <w:bottom w:w="0" w:type="dxa"/>
          <w:right w:w="108" w:type="dxa"/>
        </w:tblCellMar>
      </w:tblPr>
      <w:tblGrid>
        <w:gridCol w:w="846"/>
        <w:gridCol w:w="2215"/>
        <w:gridCol w:w="3887"/>
        <w:gridCol w:w="2232"/>
      </w:tblGrid>
      <w:tr w14:paraId="7EB9246C">
        <w:tblPrEx>
          <w:tblCellMar>
            <w:top w:w="0" w:type="dxa"/>
            <w:left w:w="108" w:type="dxa"/>
            <w:bottom w:w="0" w:type="dxa"/>
            <w:right w:w="108" w:type="dxa"/>
          </w:tblCellMar>
        </w:tblPrEx>
        <w:trPr>
          <w:trHeight w:val="455"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70BF1F76">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69BC6F2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条款名称</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695B7AD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约定内容</w:t>
            </w:r>
          </w:p>
        </w:tc>
        <w:tc>
          <w:tcPr>
            <w:tcW w:w="2232" w:type="dxa"/>
            <w:tcBorders>
              <w:top w:val="single" w:color="auto" w:sz="4" w:space="0"/>
              <w:left w:val="single" w:color="auto" w:sz="4" w:space="0"/>
              <w:bottom w:val="single" w:color="auto" w:sz="4" w:space="0"/>
              <w:right w:val="single" w:color="auto" w:sz="4" w:space="0"/>
            </w:tcBorders>
            <w:noWrap w:val="0"/>
            <w:vAlign w:val="center"/>
          </w:tcPr>
          <w:p w14:paraId="476178B6">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是否响应</w:t>
            </w:r>
          </w:p>
        </w:tc>
      </w:tr>
      <w:tr w14:paraId="45D4D466">
        <w:tblPrEx>
          <w:tblCellMar>
            <w:top w:w="0" w:type="dxa"/>
            <w:left w:w="108" w:type="dxa"/>
            <w:bottom w:w="0" w:type="dxa"/>
            <w:right w:w="108" w:type="dxa"/>
          </w:tblCellMar>
        </w:tblPrEx>
        <w:trPr>
          <w:trHeight w:val="737"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5259AF6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67B478F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期限</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1217BBE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14:paraId="5A1DE076">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4"/>
                <w:szCs w:val="24"/>
                <w:highlight w:val="none"/>
              </w:rPr>
            </w:pPr>
          </w:p>
        </w:tc>
      </w:tr>
      <w:tr w14:paraId="3486DEF0">
        <w:tblPrEx>
          <w:tblCellMar>
            <w:top w:w="0" w:type="dxa"/>
            <w:left w:w="108" w:type="dxa"/>
            <w:bottom w:w="0" w:type="dxa"/>
            <w:right w:w="108" w:type="dxa"/>
          </w:tblCellMar>
        </w:tblPrEx>
        <w:trPr>
          <w:trHeight w:val="737"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399F1CA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198565E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1E5E274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14:paraId="5FEBE28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4"/>
                <w:szCs w:val="24"/>
                <w:highlight w:val="none"/>
              </w:rPr>
            </w:pPr>
          </w:p>
        </w:tc>
      </w:tr>
      <w:tr w14:paraId="009EDCFF">
        <w:tblPrEx>
          <w:tblCellMar>
            <w:top w:w="0" w:type="dxa"/>
            <w:left w:w="108" w:type="dxa"/>
            <w:bottom w:w="0" w:type="dxa"/>
            <w:right w:w="108" w:type="dxa"/>
          </w:tblCellMar>
        </w:tblPrEx>
        <w:trPr>
          <w:trHeight w:val="737"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48BC791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3E22C10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付款方式</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38952DA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kern w:val="2"/>
                <w:sz w:val="24"/>
                <w:szCs w:val="24"/>
                <w:highlight w:val="none"/>
                <w:lang w:val="en-US" w:eastAsia="zh-CN" w:bidi="ar-SA"/>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14:paraId="587E1EA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4"/>
                <w:szCs w:val="24"/>
                <w:highlight w:val="none"/>
              </w:rPr>
            </w:pPr>
          </w:p>
        </w:tc>
      </w:tr>
      <w:tr w14:paraId="4A99C042">
        <w:tblPrEx>
          <w:tblCellMar>
            <w:top w:w="0" w:type="dxa"/>
            <w:left w:w="108" w:type="dxa"/>
            <w:bottom w:w="0" w:type="dxa"/>
            <w:right w:w="108" w:type="dxa"/>
          </w:tblCellMar>
        </w:tblPrEx>
        <w:trPr>
          <w:trHeight w:val="737"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7FEC3C7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1DCD325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cs="宋体"/>
                <w:color w:val="auto"/>
                <w:sz w:val="24"/>
                <w:szCs w:val="24"/>
                <w:highlight w:val="none"/>
                <w:lang w:eastAsia="zh-CN"/>
              </w:rPr>
              <w:t>质量</w:t>
            </w:r>
            <w:r>
              <w:rPr>
                <w:rFonts w:hint="eastAsia" w:ascii="宋体" w:hAnsi="宋体" w:eastAsia="宋体" w:cs="宋体"/>
                <w:color w:val="auto"/>
                <w:sz w:val="24"/>
                <w:szCs w:val="24"/>
                <w:highlight w:val="none"/>
                <w:lang w:eastAsia="zh-CN"/>
              </w:rPr>
              <w:t>标准</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53BFEF1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kern w:val="2"/>
                <w:sz w:val="24"/>
                <w:szCs w:val="24"/>
                <w:highlight w:val="none"/>
                <w:lang w:val="en-US" w:eastAsia="zh-CN" w:bidi="ar-SA"/>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14:paraId="710E93F6">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4"/>
                <w:szCs w:val="24"/>
                <w:highlight w:val="none"/>
              </w:rPr>
            </w:pPr>
          </w:p>
        </w:tc>
      </w:tr>
      <w:tr w14:paraId="681006F1">
        <w:tblPrEx>
          <w:tblCellMar>
            <w:top w:w="0" w:type="dxa"/>
            <w:left w:w="108" w:type="dxa"/>
            <w:bottom w:w="0" w:type="dxa"/>
            <w:right w:w="108" w:type="dxa"/>
          </w:tblCellMar>
        </w:tblPrEx>
        <w:trPr>
          <w:trHeight w:val="742"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3A0BCF6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640794D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服务地点</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64132C5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olor w:val="auto"/>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14:paraId="4A2318A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4"/>
                <w:szCs w:val="24"/>
                <w:highlight w:val="none"/>
              </w:rPr>
            </w:pPr>
          </w:p>
        </w:tc>
      </w:tr>
      <w:tr w14:paraId="45CBB0F4">
        <w:tblPrEx>
          <w:tblCellMar>
            <w:top w:w="0" w:type="dxa"/>
            <w:left w:w="108" w:type="dxa"/>
            <w:bottom w:w="0" w:type="dxa"/>
            <w:right w:w="108" w:type="dxa"/>
          </w:tblCellMar>
        </w:tblPrEx>
        <w:trPr>
          <w:trHeight w:val="737"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14:paraId="664E110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215" w:type="dxa"/>
            <w:tcBorders>
              <w:top w:val="single" w:color="auto" w:sz="4" w:space="0"/>
              <w:left w:val="single" w:color="auto" w:sz="4" w:space="0"/>
              <w:bottom w:val="single" w:color="auto" w:sz="4" w:space="0"/>
              <w:right w:val="single" w:color="auto" w:sz="4" w:space="0"/>
            </w:tcBorders>
            <w:noWrap w:val="0"/>
            <w:vAlign w:val="center"/>
          </w:tcPr>
          <w:p w14:paraId="0A09D78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887" w:type="dxa"/>
            <w:tcBorders>
              <w:top w:val="single" w:color="auto" w:sz="4" w:space="0"/>
              <w:left w:val="single" w:color="auto" w:sz="4" w:space="0"/>
              <w:bottom w:val="single" w:color="auto" w:sz="4" w:space="0"/>
              <w:right w:val="single" w:color="auto" w:sz="4" w:space="0"/>
            </w:tcBorders>
            <w:noWrap w:val="0"/>
            <w:vAlign w:val="center"/>
          </w:tcPr>
          <w:p w14:paraId="2B10162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14:paraId="3A366F86">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4"/>
                <w:szCs w:val="24"/>
                <w:highlight w:val="none"/>
              </w:rPr>
            </w:pPr>
          </w:p>
        </w:tc>
      </w:tr>
      <w:tr w14:paraId="109924B3">
        <w:tblPrEx>
          <w:tblCellMar>
            <w:top w:w="0" w:type="dxa"/>
            <w:left w:w="108" w:type="dxa"/>
            <w:bottom w:w="0" w:type="dxa"/>
            <w:right w:w="108" w:type="dxa"/>
          </w:tblCellMar>
        </w:tblPrEx>
        <w:trPr>
          <w:trHeight w:val="2095" w:hRule="atLeast"/>
        </w:trPr>
        <w:tc>
          <w:tcPr>
            <w:tcW w:w="9180" w:type="dxa"/>
            <w:gridSpan w:val="4"/>
            <w:tcBorders>
              <w:top w:val="single" w:color="auto" w:sz="4" w:space="0"/>
              <w:left w:val="single" w:color="auto" w:sz="4" w:space="0"/>
              <w:bottom w:val="single" w:color="auto" w:sz="4" w:space="0"/>
              <w:right w:val="single" w:color="auto" w:sz="4" w:space="0"/>
            </w:tcBorders>
            <w:noWrap w:val="0"/>
            <w:vAlign w:val="center"/>
          </w:tcPr>
          <w:p w14:paraId="77BED52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在响应</w:t>
            </w:r>
            <w:r>
              <w:rPr>
                <w:rFonts w:hint="eastAsia" w:cs="宋体"/>
                <w:color w:val="auto"/>
                <w:sz w:val="24"/>
                <w:szCs w:val="24"/>
                <w:highlight w:val="none"/>
                <w:lang w:val="en-US" w:eastAsia="zh-CN"/>
              </w:rPr>
              <w:t>招标</w:t>
            </w:r>
            <w:r>
              <w:rPr>
                <w:rFonts w:hint="eastAsia" w:ascii="宋体" w:hAnsi="宋体" w:eastAsia="宋体" w:cs="宋体"/>
                <w:color w:val="auto"/>
                <w:sz w:val="24"/>
                <w:szCs w:val="24"/>
                <w:highlight w:val="none"/>
              </w:rPr>
              <w:t>文件中规定的实质性要求和条件的基础上，可做出其他有利于采购人的承诺。此类承诺可在本表中予以补充填写。</w:t>
            </w:r>
          </w:p>
        </w:tc>
      </w:tr>
    </w:tbl>
    <w:p w14:paraId="4C48DF67">
      <w:pPr>
        <w:pStyle w:val="13"/>
        <w:keepNext w:val="0"/>
        <w:keepLines w:val="0"/>
        <w:pageBreakBefore w:val="0"/>
        <w:kinsoku/>
        <w:wordWrap w:val="0"/>
        <w:overflowPunct/>
        <w:topLinePunct w:val="0"/>
        <w:bidi w:val="0"/>
        <w:rPr>
          <w:rFonts w:asciiTheme="minorEastAsia" w:hAnsiTheme="minorEastAsia" w:eastAsiaTheme="minorEastAsia" w:cstheme="minorEastAsia"/>
          <w:color w:val="auto"/>
          <w:sz w:val="24"/>
          <w:szCs w:val="24"/>
          <w:highlight w:val="none"/>
        </w:rPr>
      </w:pPr>
    </w:p>
    <w:p w14:paraId="16EB42ED">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z w:val="24"/>
          <w:szCs w:val="24"/>
          <w:highlight w:val="none"/>
          <w:lang w:val="en-US" w:eastAsia="zh-CN"/>
        </w:rPr>
      </w:pPr>
    </w:p>
    <w:p w14:paraId="67D2BC2E">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z w:val="24"/>
          <w:szCs w:val="24"/>
          <w:highlight w:val="none"/>
          <w:lang w:val="en-US" w:eastAsia="zh-CN"/>
        </w:rPr>
      </w:pPr>
    </w:p>
    <w:p w14:paraId="790A4704">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z w:val="24"/>
          <w:szCs w:val="24"/>
          <w:highlight w:val="none"/>
          <w:lang w:val="en-US" w:eastAsia="zh-CN"/>
        </w:rPr>
      </w:pPr>
    </w:p>
    <w:p w14:paraId="53595369">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z w:val="24"/>
          <w:szCs w:val="24"/>
          <w:highlight w:val="none"/>
          <w:lang w:val="en-US" w:eastAsia="zh-CN"/>
        </w:rPr>
      </w:pPr>
    </w:p>
    <w:p w14:paraId="5237C8C4">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z w:val="24"/>
          <w:szCs w:val="24"/>
          <w:highlight w:val="none"/>
          <w:lang w:val="en-US" w:eastAsia="zh-CN"/>
        </w:rPr>
      </w:pPr>
    </w:p>
    <w:p w14:paraId="5DCCE2E0">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 应 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5EB74BDF">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305EBB24">
      <w:pPr>
        <w:spacing w:line="440" w:lineRule="exact"/>
        <w:jc w:val="right"/>
        <w:rPr>
          <w:rFonts w:asciiTheme="minorEastAsia" w:hAnsiTheme="minorEastAsia" w:eastAsiaTheme="minorEastAsia" w:cstheme="minorEastAsia"/>
          <w:color w:val="auto"/>
          <w:highlight w:val="none"/>
          <w:lang w:eastAsia="zh-CN"/>
        </w:rPr>
        <w:sectPr>
          <w:pgSz w:w="11906" w:h="16838"/>
          <w:pgMar w:top="1440" w:right="1080" w:bottom="1440" w:left="1080" w:header="0" w:footer="921" w:gutter="0"/>
          <w:pgNumType w:fmt="decimal"/>
          <w:cols w:space="720" w:num="1"/>
        </w:sect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A131A47">
      <w:pPr>
        <w:keepNext w:val="0"/>
        <w:keepLines w:val="0"/>
        <w:pageBreakBefore w:val="0"/>
        <w:numPr>
          <w:ilvl w:val="0"/>
          <w:numId w:val="4"/>
        </w:numPr>
        <w:kinsoku/>
        <w:wordWrap/>
        <w:overflowPunct/>
        <w:topLinePunct w:val="0"/>
        <w:bidi w:val="0"/>
        <w:ind w:left="360" w:leftChars="0" w:hanging="360" w:firstLineChars="0"/>
        <w:jc w:val="center"/>
        <w:rPr>
          <w:rFonts w:hint="eastAsia" w:asciiTheme="minorEastAsia" w:hAnsiTheme="minorEastAsia" w:eastAsiaTheme="minorEastAsia" w:cstheme="minorEastAsia"/>
          <w:b/>
          <w:bCs/>
          <w:color w:val="auto"/>
          <w:sz w:val="32"/>
          <w:szCs w:val="32"/>
          <w:highlight w:val="none"/>
          <w:lang w:eastAsia="zh-CN"/>
        </w:rPr>
      </w:pPr>
      <w:bookmarkStart w:id="192" w:name="_bookmark198"/>
      <w:bookmarkEnd w:id="192"/>
      <w:r>
        <w:rPr>
          <w:rFonts w:hint="eastAsia" w:asciiTheme="minorEastAsia" w:hAnsiTheme="minorEastAsia" w:eastAsiaTheme="minorEastAsia" w:cstheme="minorEastAsia"/>
          <w:b/>
          <w:bCs/>
          <w:color w:val="auto"/>
          <w:sz w:val="32"/>
          <w:szCs w:val="32"/>
          <w:highlight w:val="none"/>
          <w:lang w:val="en-US" w:eastAsia="zh-CN"/>
        </w:rPr>
        <w:t>开标</w:t>
      </w:r>
      <w:r>
        <w:rPr>
          <w:rFonts w:hint="eastAsia" w:asciiTheme="minorEastAsia" w:hAnsiTheme="minorEastAsia" w:eastAsiaTheme="minorEastAsia" w:cstheme="minorEastAsia"/>
          <w:b/>
          <w:bCs/>
          <w:color w:val="auto"/>
          <w:sz w:val="32"/>
          <w:szCs w:val="32"/>
          <w:highlight w:val="none"/>
          <w:lang w:eastAsia="zh-CN"/>
        </w:rPr>
        <w:t>一览表</w:t>
      </w:r>
    </w:p>
    <w:p w14:paraId="3384AA0A">
      <w:pPr>
        <w:keepNext w:val="0"/>
        <w:keepLines w:val="0"/>
        <w:pageBreakBefore w:val="0"/>
        <w:numPr>
          <w:ilvl w:val="0"/>
          <w:numId w:val="0"/>
        </w:numPr>
        <w:kinsoku/>
        <w:wordWrap/>
        <w:overflowPunct/>
        <w:topLinePunct w:val="0"/>
        <w:bidi w:val="0"/>
        <w:ind w:leftChars="0"/>
        <w:jc w:val="center"/>
        <w:rPr>
          <w:rFonts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cstheme="minorEastAsia"/>
          <w:b/>
          <w:bCs/>
          <w:color w:val="auto"/>
          <w:sz w:val="32"/>
          <w:szCs w:val="32"/>
          <w:highlight w:val="none"/>
          <w:lang w:eastAsia="zh-CN"/>
        </w:rPr>
        <w:t>（</w:t>
      </w:r>
      <w:r>
        <w:rPr>
          <w:rFonts w:hint="eastAsia" w:cs="宋体"/>
          <w:color w:val="auto"/>
          <w:sz w:val="24"/>
          <w:szCs w:val="24"/>
          <w:highlight w:val="none"/>
          <w:lang w:val="en-US" w:eastAsia="zh-CN"/>
        </w:rPr>
        <w:t>以政采云系统生成的为准</w:t>
      </w:r>
      <w:r>
        <w:rPr>
          <w:rFonts w:hint="eastAsia" w:asciiTheme="minorEastAsia" w:hAnsiTheme="minorEastAsia" w:cstheme="minorEastAsia"/>
          <w:b/>
          <w:bCs/>
          <w:color w:val="auto"/>
          <w:sz w:val="32"/>
          <w:szCs w:val="32"/>
          <w:highlight w:val="none"/>
          <w:lang w:eastAsia="zh-CN"/>
        </w:rPr>
        <w:t>）</w:t>
      </w:r>
    </w:p>
    <w:p w14:paraId="6387D569">
      <w:pPr>
        <w:keepNext w:val="0"/>
        <w:keepLines w:val="0"/>
        <w:pageBreakBefore w:val="0"/>
        <w:widowControl/>
        <w:kinsoku/>
        <w:wordWrap w:val="0"/>
        <w:overflowPunct/>
        <w:topLinePunct w:val="0"/>
        <w:autoSpaceDE w:val="0"/>
        <w:autoSpaceDN w:val="0"/>
        <w:bidi w:val="0"/>
        <w:spacing w:line="360" w:lineRule="auto"/>
        <w:ind w:right="890"/>
        <w:textAlignment w:val="bottom"/>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cstheme="minorEastAsia"/>
          <w:color w:val="auto"/>
          <w:highlight w:val="none"/>
          <w:lang w:val="en-US" w:eastAsia="zh-CN"/>
        </w:rPr>
        <w:t>项目名称：</w:t>
      </w:r>
      <w:r>
        <w:rPr>
          <w:rFonts w:hint="eastAsia" w:ascii="宋体" w:hAnsi="宋体" w:eastAsia="宋体" w:cs="宋体"/>
          <w:color w:val="auto"/>
          <w:szCs w:val="21"/>
          <w:highlight w:val="none"/>
          <w:lang w:eastAsia="zh-CN"/>
        </w:rPr>
        <w:t>2025-2027年度长春汽车经济技术开发区夏季扫保服务</w:t>
      </w:r>
      <w:r>
        <w:rPr>
          <w:rFonts w:hint="eastAsia" w:ascii="宋体" w:hAnsi="宋体" w:eastAsia="宋体" w:cs="宋体"/>
          <w:color w:val="auto"/>
          <w:szCs w:val="21"/>
          <w:highlight w:val="none"/>
          <w:lang w:val="en-US" w:eastAsia="zh-CN"/>
        </w:rPr>
        <w:t>一标段</w:t>
      </w:r>
    </w:p>
    <w:tbl>
      <w:tblPr>
        <w:tblStyle w:val="29"/>
        <w:tblW w:w="47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2425"/>
        <w:gridCol w:w="2627"/>
        <w:gridCol w:w="1544"/>
        <w:gridCol w:w="944"/>
      </w:tblGrid>
      <w:tr w14:paraId="2D32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28" w:type="pct"/>
            <w:vAlign w:val="center"/>
          </w:tcPr>
          <w:p w14:paraId="7E3C29F2">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lang w:val="zh-CN"/>
              </w:rPr>
              <w:t>名称</w:t>
            </w:r>
          </w:p>
        </w:tc>
        <w:tc>
          <w:tcPr>
            <w:tcW w:w="1277" w:type="pct"/>
            <w:vAlign w:val="center"/>
          </w:tcPr>
          <w:p w14:paraId="30E2A74E">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cs="宋体"/>
                <w:bCs/>
                <w:color w:val="auto"/>
                <w:sz w:val="24"/>
                <w:szCs w:val="24"/>
                <w:highlight w:val="none"/>
                <w:lang w:val="en-US" w:eastAsia="zh-CN"/>
              </w:rPr>
              <w:t>投标</w:t>
            </w:r>
            <w:r>
              <w:rPr>
                <w:rFonts w:hint="eastAsia" w:ascii="宋体" w:hAnsi="宋体" w:eastAsia="宋体" w:cs="宋体"/>
                <w:bCs/>
                <w:color w:val="auto"/>
                <w:sz w:val="24"/>
                <w:szCs w:val="24"/>
                <w:highlight w:val="none"/>
                <w:lang w:val="zh-CN"/>
              </w:rPr>
              <w:t>报价</w:t>
            </w:r>
            <w:r>
              <w:rPr>
                <w:rFonts w:hint="eastAsia" w:cs="宋体"/>
                <w:bCs/>
                <w:color w:val="auto"/>
                <w:sz w:val="24"/>
                <w:szCs w:val="24"/>
                <w:highlight w:val="none"/>
                <w:lang w:val="zh-CN"/>
              </w:rPr>
              <w:t>（</w:t>
            </w:r>
            <w:r>
              <w:rPr>
                <w:rFonts w:hint="eastAsia" w:cs="宋体"/>
                <w:bCs/>
                <w:color w:val="auto"/>
                <w:sz w:val="24"/>
                <w:szCs w:val="24"/>
                <w:highlight w:val="none"/>
                <w:lang w:val="en-US" w:eastAsia="zh-CN"/>
              </w:rPr>
              <w:t>元/年</w:t>
            </w:r>
            <w:r>
              <w:rPr>
                <w:rFonts w:hint="eastAsia" w:cs="宋体"/>
                <w:bCs/>
                <w:color w:val="auto"/>
                <w:sz w:val="24"/>
                <w:szCs w:val="24"/>
                <w:highlight w:val="none"/>
                <w:lang w:val="zh-CN"/>
              </w:rPr>
              <w:t>）</w:t>
            </w:r>
          </w:p>
        </w:tc>
        <w:tc>
          <w:tcPr>
            <w:tcW w:w="1383" w:type="pct"/>
            <w:vAlign w:val="center"/>
          </w:tcPr>
          <w:p w14:paraId="16B005AD">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sz w:val="24"/>
                <w:szCs w:val="24"/>
                <w:highlight w:val="none"/>
                <w:lang w:val="zh-CN" w:eastAsia="zh-CN" w:bidi="ar-SA"/>
              </w:rPr>
            </w:pPr>
            <w:r>
              <w:rPr>
                <w:rFonts w:hint="eastAsia"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期限</w:t>
            </w:r>
          </w:p>
        </w:tc>
        <w:tc>
          <w:tcPr>
            <w:tcW w:w="813" w:type="pct"/>
            <w:vAlign w:val="center"/>
          </w:tcPr>
          <w:p w14:paraId="6E05DF6A">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eastAsia="zh-CN" w:bidi="ar-SA"/>
              </w:rPr>
            </w:pPr>
            <w:r>
              <w:rPr>
                <w:rFonts w:hint="eastAsia" w:ascii="宋体" w:hAnsi="宋体" w:eastAsia="宋体" w:cs="宋体"/>
                <w:bCs/>
                <w:color w:val="auto"/>
                <w:sz w:val="24"/>
                <w:szCs w:val="24"/>
                <w:highlight w:val="none"/>
                <w:lang w:val="zh-CN" w:eastAsia="zh-CN"/>
              </w:rPr>
              <w:t>质量标准</w:t>
            </w:r>
          </w:p>
        </w:tc>
        <w:tc>
          <w:tcPr>
            <w:tcW w:w="497" w:type="pct"/>
            <w:vAlign w:val="center"/>
          </w:tcPr>
          <w:p w14:paraId="50852AB4">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备注</w:t>
            </w:r>
          </w:p>
        </w:tc>
      </w:tr>
      <w:tr w14:paraId="6A73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1028" w:type="pct"/>
            <w:vAlign w:val="center"/>
          </w:tcPr>
          <w:p w14:paraId="41C1D701">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p>
        </w:tc>
        <w:tc>
          <w:tcPr>
            <w:tcW w:w="1277" w:type="pct"/>
            <w:vAlign w:val="center"/>
          </w:tcPr>
          <w:p w14:paraId="41ECB97D">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auto"/>
              <w:rPr>
                <w:rFonts w:hint="default" w:cs="宋体"/>
                <w:bCs/>
                <w:color w:val="auto"/>
                <w:sz w:val="24"/>
                <w:szCs w:val="24"/>
                <w:highlight w:val="none"/>
                <w:lang w:val="en-US" w:eastAsia="zh-CN"/>
              </w:rPr>
            </w:pPr>
          </w:p>
        </w:tc>
        <w:tc>
          <w:tcPr>
            <w:tcW w:w="1383" w:type="pct"/>
            <w:vAlign w:val="center"/>
          </w:tcPr>
          <w:p w14:paraId="267FB54E">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eastAsia="zh-CN" w:bidi="ar-SA"/>
              </w:rPr>
            </w:pPr>
          </w:p>
        </w:tc>
        <w:tc>
          <w:tcPr>
            <w:tcW w:w="813" w:type="pct"/>
            <w:vAlign w:val="center"/>
          </w:tcPr>
          <w:p w14:paraId="2B151E97">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eastAsia="zh-CN" w:bidi="ar-SA"/>
              </w:rPr>
            </w:pPr>
          </w:p>
        </w:tc>
        <w:tc>
          <w:tcPr>
            <w:tcW w:w="497" w:type="pct"/>
            <w:vAlign w:val="center"/>
          </w:tcPr>
          <w:p w14:paraId="1C64CE2D">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eastAsia="zh-CN"/>
              </w:rPr>
            </w:pPr>
          </w:p>
        </w:tc>
      </w:tr>
    </w:tbl>
    <w:p w14:paraId="0F324C93">
      <w:pPr>
        <w:keepNext w:val="0"/>
        <w:keepLines w:val="0"/>
        <w:pageBreakBefore w:val="0"/>
        <w:widowControl/>
        <w:kinsoku/>
        <w:wordWrap w:val="0"/>
        <w:overflowPunct/>
        <w:topLinePunct w:val="0"/>
        <w:autoSpaceDE w:val="0"/>
        <w:autoSpaceDN w:val="0"/>
        <w:bidi w:val="0"/>
        <w:spacing w:line="360" w:lineRule="auto"/>
        <w:ind w:right="893"/>
        <w:textAlignment w:val="bottom"/>
        <w:rPr>
          <w:rFonts w:hint="eastAsia" w:ascii="宋体" w:hAnsi="宋体" w:eastAsia="宋体" w:cs="宋体"/>
          <w:color w:val="auto"/>
          <w:sz w:val="24"/>
          <w:szCs w:val="24"/>
          <w:highlight w:val="none"/>
          <w:u w:val="single"/>
          <w:lang w:eastAsia="zh-CN"/>
        </w:rPr>
      </w:pPr>
    </w:p>
    <w:p w14:paraId="59A42952">
      <w:pP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br w:type="page"/>
      </w:r>
    </w:p>
    <w:tbl>
      <w:tblPr>
        <w:tblStyle w:val="29"/>
        <w:tblW w:w="99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1096"/>
        <w:gridCol w:w="2235"/>
        <w:gridCol w:w="1496"/>
        <w:gridCol w:w="1875"/>
        <w:gridCol w:w="1620"/>
        <w:gridCol w:w="855"/>
      </w:tblGrid>
      <w:tr w14:paraId="1327C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956" w:type="dxa"/>
            <w:gridSpan w:val="7"/>
            <w:vMerge w:val="restart"/>
            <w:tcBorders>
              <w:top w:val="nil"/>
              <w:left w:val="nil"/>
              <w:bottom w:val="nil"/>
              <w:right w:val="nil"/>
            </w:tcBorders>
            <w:shd w:val="clear" w:color="auto" w:fill="auto"/>
            <w:noWrap/>
            <w:vAlign w:val="center"/>
          </w:tcPr>
          <w:p w14:paraId="045BF15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汽开区一标段夏季清扫保洁服务分项报价表</w:t>
            </w:r>
          </w:p>
        </w:tc>
      </w:tr>
      <w:tr w14:paraId="765B9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56" w:type="dxa"/>
            <w:gridSpan w:val="7"/>
            <w:vMerge w:val="continue"/>
            <w:tcBorders>
              <w:top w:val="nil"/>
              <w:left w:val="nil"/>
              <w:bottom w:val="nil"/>
              <w:right w:val="nil"/>
            </w:tcBorders>
            <w:shd w:val="clear" w:color="auto" w:fill="auto"/>
            <w:noWrap/>
            <w:vAlign w:val="center"/>
          </w:tcPr>
          <w:p w14:paraId="2538853B">
            <w:pPr>
              <w:jc w:val="center"/>
              <w:rPr>
                <w:rFonts w:hint="eastAsia" w:ascii="宋体" w:hAnsi="宋体" w:eastAsia="宋体" w:cs="宋体"/>
                <w:b/>
                <w:bCs/>
                <w:i w:val="0"/>
                <w:iCs w:val="0"/>
                <w:color w:val="000000"/>
                <w:sz w:val="40"/>
                <w:szCs w:val="40"/>
                <w:u w:val="none"/>
              </w:rPr>
            </w:pPr>
          </w:p>
        </w:tc>
      </w:tr>
      <w:tr w14:paraId="7B692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8" w:space="0"/>
              <w:left w:val="single" w:color="000000" w:sz="8" w:space="0"/>
              <w:bottom w:val="single" w:color="000000" w:sz="4" w:space="0"/>
              <w:right w:val="single" w:color="000000" w:sz="4" w:space="0"/>
            </w:tcBorders>
            <w:shd w:val="clear" w:color="auto" w:fill="auto"/>
            <w:noWrap/>
            <w:vAlign w:val="center"/>
          </w:tcPr>
          <w:p w14:paraId="3598289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3330"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5BD60F4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    目</w:t>
            </w:r>
          </w:p>
        </w:tc>
        <w:tc>
          <w:tcPr>
            <w:tcW w:w="150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C54380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作业定额 (元)</w:t>
            </w:r>
          </w:p>
        </w:tc>
        <w:tc>
          <w:tcPr>
            <w:tcW w:w="187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1799A2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数量（㎡/吨/座/个）</w:t>
            </w:r>
          </w:p>
        </w:tc>
        <w:tc>
          <w:tcPr>
            <w:tcW w:w="162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69A8E7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总价（元）</w:t>
            </w: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14:paraId="7F9E43F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25199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DD1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63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人工清扫保洁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E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一级街路及商圈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1875">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2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1321936.8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1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1C37AD4D">
            <w:pPr>
              <w:rPr>
                <w:rFonts w:hint="eastAsia" w:ascii="宋体" w:hAnsi="宋体" w:eastAsia="宋体" w:cs="宋体"/>
                <w:i w:val="0"/>
                <w:iCs w:val="0"/>
                <w:color w:val="000000"/>
                <w:sz w:val="22"/>
                <w:szCs w:val="22"/>
                <w:u w:val="none"/>
              </w:rPr>
            </w:pPr>
          </w:p>
        </w:tc>
      </w:tr>
      <w:tr w14:paraId="3DC7C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AB13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994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F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二级街路及商圈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0A1D">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8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2947174.41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B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4D16F8">
            <w:pPr>
              <w:rPr>
                <w:rFonts w:hint="eastAsia" w:ascii="宋体" w:hAnsi="宋体" w:eastAsia="宋体" w:cs="宋体"/>
                <w:i w:val="0"/>
                <w:iCs w:val="0"/>
                <w:color w:val="000000"/>
                <w:sz w:val="22"/>
                <w:szCs w:val="22"/>
                <w:u w:val="none"/>
              </w:rPr>
            </w:pPr>
          </w:p>
        </w:tc>
      </w:tr>
      <w:tr w14:paraId="2F4F4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AF3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1E43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4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22D4">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3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839253.62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C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19AED102">
            <w:pPr>
              <w:rPr>
                <w:rFonts w:hint="eastAsia" w:ascii="宋体" w:hAnsi="宋体" w:eastAsia="宋体" w:cs="宋体"/>
                <w:i w:val="0"/>
                <w:iCs w:val="0"/>
                <w:color w:val="000000"/>
                <w:sz w:val="22"/>
                <w:szCs w:val="22"/>
                <w:u w:val="none"/>
              </w:rPr>
            </w:pPr>
          </w:p>
        </w:tc>
      </w:tr>
      <w:tr w14:paraId="771BD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B2D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35EB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E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四级及以下街路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AA00">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4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159923.94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4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23106898">
            <w:pPr>
              <w:rPr>
                <w:rFonts w:hint="eastAsia" w:ascii="宋体" w:hAnsi="宋体" w:eastAsia="宋体" w:cs="宋体"/>
                <w:i w:val="0"/>
                <w:iCs w:val="0"/>
                <w:color w:val="000000"/>
                <w:sz w:val="22"/>
                <w:szCs w:val="22"/>
                <w:u w:val="none"/>
              </w:rPr>
            </w:pPr>
          </w:p>
        </w:tc>
      </w:tr>
      <w:tr w14:paraId="4A725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07436F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2D07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1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绿化带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AB1A">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A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4464274.17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1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64515BB1">
            <w:pPr>
              <w:rPr>
                <w:rFonts w:hint="eastAsia" w:ascii="宋体" w:hAnsi="宋体" w:eastAsia="宋体" w:cs="宋体"/>
                <w:i w:val="0"/>
                <w:iCs w:val="0"/>
                <w:color w:val="000000"/>
                <w:sz w:val="22"/>
                <w:szCs w:val="22"/>
                <w:u w:val="none"/>
              </w:rPr>
            </w:pPr>
          </w:p>
        </w:tc>
      </w:tr>
      <w:tr w14:paraId="16167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EFCCD9">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CAC4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6F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C11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4D0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55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21C05FBE">
            <w:pPr>
              <w:rPr>
                <w:rFonts w:hint="eastAsia" w:ascii="宋体" w:hAnsi="宋体" w:eastAsia="宋体" w:cs="宋体"/>
                <w:i w:val="0"/>
                <w:iCs w:val="0"/>
                <w:color w:val="000000"/>
                <w:sz w:val="22"/>
                <w:szCs w:val="22"/>
                <w:u w:val="none"/>
              </w:rPr>
            </w:pPr>
          </w:p>
        </w:tc>
      </w:tr>
      <w:tr w14:paraId="7A8CC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695B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E6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机械化清扫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F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道路洗扫车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21EB">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1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3588230.15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7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55C4AB">
            <w:pPr>
              <w:jc w:val="left"/>
              <w:rPr>
                <w:rFonts w:hint="eastAsia" w:ascii="宋体" w:hAnsi="宋体" w:eastAsia="宋体" w:cs="宋体"/>
                <w:i w:val="0"/>
                <w:iCs w:val="0"/>
                <w:color w:val="000000"/>
                <w:sz w:val="22"/>
                <w:szCs w:val="22"/>
                <w:u w:val="none"/>
              </w:rPr>
            </w:pPr>
          </w:p>
        </w:tc>
      </w:tr>
      <w:tr w14:paraId="7967B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490E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525E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0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高压冲洗车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49F8">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4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3588230.15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1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5F9BF14D">
            <w:pPr>
              <w:jc w:val="left"/>
              <w:rPr>
                <w:rFonts w:hint="eastAsia" w:ascii="宋体" w:hAnsi="宋体" w:eastAsia="宋体" w:cs="宋体"/>
                <w:i w:val="0"/>
                <w:iCs w:val="0"/>
                <w:color w:val="000000"/>
                <w:sz w:val="22"/>
                <w:szCs w:val="22"/>
                <w:u w:val="none"/>
              </w:rPr>
            </w:pPr>
          </w:p>
        </w:tc>
      </w:tr>
      <w:tr w14:paraId="2B4CF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20D1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276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5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洒水车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238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8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3588230.15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E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3975D3">
            <w:pPr>
              <w:jc w:val="left"/>
              <w:rPr>
                <w:rFonts w:hint="eastAsia" w:ascii="宋体" w:hAnsi="宋体" w:eastAsia="宋体" w:cs="宋体"/>
                <w:i w:val="0"/>
                <w:iCs w:val="0"/>
                <w:color w:val="000000"/>
                <w:sz w:val="22"/>
                <w:szCs w:val="22"/>
                <w:u w:val="none"/>
              </w:rPr>
            </w:pPr>
          </w:p>
        </w:tc>
      </w:tr>
      <w:tr w14:paraId="33095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6C62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C6AF1">
            <w:pPr>
              <w:jc w:val="center"/>
              <w:rPr>
                <w:rFonts w:hint="eastAsia" w:ascii="宋体" w:hAnsi="宋体" w:eastAsia="宋体" w:cs="宋体"/>
                <w:i w:val="0"/>
                <w:iCs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8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道路保洁车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855A">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5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3588230.15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A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75FEABD8">
            <w:pPr>
              <w:jc w:val="left"/>
              <w:rPr>
                <w:rFonts w:hint="eastAsia" w:ascii="宋体" w:hAnsi="宋体" w:eastAsia="宋体" w:cs="宋体"/>
                <w:i w:val="0"/>
                <w:iCs w:val="0"/>
                <w:color w:val="000000"/>
                <w:sz w:val="22"/>
                <w:szCs w:val="22"/>
                <w:u w:val="none"/>
              </w:rPr>
            </w:pPr>
          </w:p>
        </w:tc>
      </w:tr>
      <w:tr w14:paraId="32738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53C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240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8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人行步道清洗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88E5">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A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1424543.00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F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E4B5E3">
            <w:pPr>
              <w:jc w:val="left"/>
              <w:rPr>
                <w:rFonts w:hint="eastAsia" w:ascii="宋体" w:hAnsi="宋体" w:eastAsia="宋体" w:cs="宋体"/>
                <w:i w:val="0"/>
                <w:iCs w:val="0"/>
                <w:color w:val="000000"/>
                <w:sz w:val="22"/>
                <w:szCs w:val="22"/>
                <w:u w:val="none"/>
              </w:rPr>
            </w:pPr>
          </w:p>
        </w:tc>
      </w:tr>
      <w:tr w14:paraId="48221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102359C">
            <w:pPr>
              <w:jc w:val="center"/>
              <w:rPr>
                <w:rFonts w:hint="eastAsia" w:ascii="宋体" w:hAnsi="宋体" w:eastAsia="宋体" w:cs="宋体"/>
                <w:i w:val="0"/>
                <w:iCs w:val="0"/>
                <w:color w:val="000000"/>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6F49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8E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B7E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127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04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FB37E5">
            <w:pPr>
              <w:rPr>
                <w:rFonts w:hint="eastAsia" w:ascii="宋体" w:hAnsi="宋体" w:eastAsia="宋体" w:cs="宋体"/>
                <w:i w:val="0"/>
                <w:iCs w:val="0"/>
                <w:color w:val="000000"/>
                <w:sz w:val="22"/>
                <w:szCs w:val="22"/>
                <w:u w:val="none"/>
              </w:rPr>
            </w:pPr>
          </w:p>
        </w:tc>
      </w:tr>
      <w:tr w14:paraId="0D426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0DF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D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垃圾收运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7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四轮收集车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CC2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B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F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c>
          <w:tcPr>
            <w:tcW w:w="855"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6EA71BA1">
            <w:pPr>
              <w:jc w:val="left"/>
              <w:rPr>
                <w:rFonts w:hint="eastAsia" w:ascii="宋体" w:hAnsi="宋体" w:eastAsia="宋体" w:cs="宋体"/>
                <w:i w:val="0"/>
                <w:iCs w:val="0"/>
                <w:color w:val="000000"/>
                <w:sz w:val="22"/>
                <w:szCs w:val="22"/>
                <w:u w:val="none"/>
              </w:rPr>
            </w:pPr>
          </w:p>
        </w:tc>
      </w:tr>
      <w:tr w14:paraId="5BDC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FDD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7A6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7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压缩车直运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E84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C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C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c>
          <w:tcPr>
            <w:tcW w:w="85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AF6572C">
            <w:pPr>
              <w:jc w:val="left"/>
              <w:rPr>
                <w:rFonts w:hint="eastAsia" w:ascii="宋体" w:hAnsi="宋体" w:eastAsia="宋体" w:cs="宋体"/>
                <w:i w:val="0"/>
                <w:iCs w:val="0"/>
                <w:color w:val="000000"/>
                <w:sz w:val="22"/>
                <w:szCs w:val="22"/>
                <w:u w:val="none"/>
              </w:rPr>
            </w:pPr>
          </w:p>
        </w:tc>
      </w:tr>
      <w:tr w14:paraId="4D9D5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F75D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0C2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1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移动转运站转运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3D0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7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FB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c>
          <w:tcPr>
            <w:tcW w:w="855"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BAFDB22">
            <w:pPr>
              <w:jc w:val="left"/>
              <w:rPr>
                <w:rFonts w:hint="eastAsia" w:ascii="宋体" w:hAnsi="宋体" w:eastAsia="宋体" w:cs="宋体"/>
                <w:i w:val="0"/>
                <w:iCs w:val="0"/>
                <w:color w:val="000000"/>
                <w:sz w:val="22"/>
                <w:szCs w:val="22"/>
                <w:u w:val="none"/>
              </w:rPr>
            </w:pPr>
          </w:p>
        </w:tc>
      </w:tr>
      <w:tr w14:paraId="480D9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E49E71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DAC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A5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70F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2B4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31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74364AA8">
            <w:pPr>
              <w:rPr>
                <w:rFonts w:hint="eastAsia" w:ascii="宋体" w:hAnsi="宋体" w:eastAsia="宋体" w:cs="宋体"/>
                <w:i w:val="0"/>
                <w:iCs w:val="0"/>
                <w:color w:val="000000"/>
                <w:sz w:val="22"/>
                <w:szCs w:val="22"/>
                <w:u w:val="none"/>
              </w:rPr>
            </w:pPr>
          </w:p>
        </w:tc>
      </w:tr>
      <w:tr w14:paraId="3C948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CD5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A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公厕管理</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0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水冲公厕（标准）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72F7">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1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C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c>
          <w:tcPr>
            <w:tcW w:w="85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4FB40E7">
            <w:pPr>
              <w:rPr>
                <w:rFonts w:hint="eastAsia" w:ascii="宋体" w:hAnsi="宋体" w:eastAsia="宋体" w:cs="宋体"/>
                <w:i w:val="0"/>
                <w:iCs w:val="0"/>
                <w:color w:val="000000"/>
                <w:sz w:val="22"/>
                <w:szCs w:val="22"/>
                <w:u w:val="none"/>
              </w:rPr>
            </w:pPr>
          </w:p>
        </w:tc>
      </w:tr>
      <w:tr w14:paraId="4C219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802E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70A2">
            <w:pPr>
              <w:jc w:val="center"/>
              <w:rPr>
                <w:rFonts w:hint="eastAsia" w:ascii="宋体" w:hAnsi="宋体" w:eastAsia="宋体" w:cs="宋体"/>
                <w:i w:val="0"/>
                <w:iCs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7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水冲公厕（环保）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37D8">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9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E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c>
          <w:tcPr>
            <w:tcW w:w="85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7A268E">
            <w:pPr>
              <w:rPr>
                <w:rFonts w:hint="eastAsia" w:ascii="宋体" w:hAnsi="宋体" w:eastAsia="宋体" w:cs="宋体"/>
                <w:i w:val="0"/>
                <w:iCs w:val="0"/>
                <w:color w:val="000000"/>
                <w:sz w:val="22"/>
                <w:szCs w:val="22"/>
                <w:u w:val="none"/>
              </w:rPr>
            </w:pPr>
          </w:p>
        </w:tc>
      </w:tr>
      <w:tr w14:paraId="416D1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02AF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2A3D">
            <w:pPr>
              <w:jc w:val="center"/>
              <w:rPr>
                <w:rFonts w:hint="eastAsia" w:ascii="宋体" w:hAnsi="宋体" w:eastAsia="宋体" w:cs="宋体"/>
                <w:i w:val="0"/>
                <w:iCs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F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免水冲公厕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2A1D">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3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F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   </w:t>
            </w:r>
          </w:p>
        </w:tc>
        <w:tc>
          <w:tcPr>
            <w:tcW w:w="85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2233AAC">
            <w:pPr>
              <w:rPr>
                <w:rFonts w:hint="eastAsia" w:ascii="宋体" w:hAnsi="宋体" w:eastAsia="宋体" w:cs="宋体"/>
                <w:i w:val="0"/>
                <w:iCs w:val="0"/>
                <w:color w:val="000000"/>
                <w:sz w:val="22"/>
                <w:szCs w:val="22"/>
                <w:u w:val="none"/>
              </w:rPr>
            </w:pPr>
          </w:p>
        </w:tc>
      </w:tr>
      <w:tr w14:paraId="72A20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64B11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9DE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CD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C5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87C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BA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   </w:t>
            </w:r>
          </w:p>
        </w:tc>
        <w:tc>
          <w:tcPr>
            <w:tcW w:w="85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D69D7BF">
            <w:pPr>
              <w:rPr>
                <w:rFonts w:hint="eastAsia" w:ascii="宋体" w:hAnsi="宋体" w:eastAsia="宋体" w:cs="宋体"/>
                <w:i w:val="0"/>
                <w:iCs w:val="0"/>
                <w:color w:val="000000"/>
                <w:sz w:val="22"/>
                <w:szCs w:val="22"/>
                <w:u w:val="none"/>
              </w:rPr>
            </w:pPr>
          </w:p>
        </w:tc>
      </w:tr>
      <w:tr w14:paraId="5155A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D1A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4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环卫休息室租赁费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328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F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231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   </w:t>
            </w:r>
          </w:p>
        </w:tc>
        <w:tc>
          <w:tcPr>
            <w:tcW w:w="85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B32248">
            <w:pPr>
              <w:rPr>
                <w:rFonts w:hint="eastAsia" w:ascii="宋体" w:hAnsi="宋体" w:eastAsia="宋体" w:cs="宋体"/>
                <w:i w:val="0"/>
                <w:iCs w:val="0"/>
                <w:color w:val="000000"/>
                <w:sz w:val="22"/>
                <w:szCs w:val="22"/>
                <w:u w:val="none"/>
              </w:rPr>
            </w:pPr>
          </w:p>
        </w:tc>
      </w:tr>
      <w:tr w14:paraId="62B37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22D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9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环卫设施消杀服务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5B2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E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8F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   </w:t>
            </w:r>
          </w:p>
        </w:tc>
        <w:tc>
          <w:tcPr>
            <w:tcW w:w="85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5C435D">
            <w:pPr>
              <w:rPr>
                <w:rFonts w:hint="eastAsia" w:ascii="宋体" w:hAnsi="宋体" w:eastAsia="宋体" w:cs="宋体"/>
                <w:i w:val="0"/>
                <w:iCs w:val="0"/>
                <w:color w:val="000000"/>
                <w:sz w:val="22"/>
                <w:szCs w:val="22"/>
                <w:u w:val="none"/>
              </w:rPr>
            </w:pPr>
          </w:p>
        </w:tc>
      </w:tr>
      <w:tr w14:paraId="4D5F8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53679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4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机械化清扫车辆GPS定位款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032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3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27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   </w:t>
            </w:r>
          </w:p>
        </w:tc>
        <w:tc>
          <w:tcPr>
            <w:tcW w:w="85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8347DCB">
            <w:pPr>
              <w:rPr>
                <w:rFonts w:hint="eastAsia" w:ascii="宋体" w:hAnsi="宋体" w:eastAsia="宋体" w:cs="宋体"/>
                <w:i w:val="0"/>
                <w:iCs w:val="0"/>
                <w:color w:val="000000"/>
                <w:sz w:val="22"/>
                <w:szCs w:val="22"/>
                <w:u w:val="none"/>
              </w:rPr>
            </w:pPr>
          </w:p>
        </w:tc>
      </w:tr>
      <w:tr w14:paraId="79234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5B5D8B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69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D11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710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AA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F17826">
            <w:pPr>
              <w:rPr>
                <w:rFonts w:hint="eastAsia" w:ascii="宋体" w:hAnsi="宋体" w:eastAsia="宋体" w:cs="宋体"/>
                <w:i w:val="0"/>
                <w:iCs w:val="0"/>
                <w:color w:val="000000"/>
                <w:sz w:val="22"/>
                <w:szCs w:val="22"/>
                <w:u w:val="none"/>
              </w:rPr>
            </w:pPr>
          </w:p>
        </w:tc>
      </w:tr>
      <w:tr w14:paraId="75708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C936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5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F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C85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71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8480B6">
            <w:pPr>
              <w:rPr>
                <w:rFonts w:hint="eastAsia" w:ascii="宋体" w:hAnsi="宋体" w:eastAsia="宋体" w:cs="宋体"/>
                <w:i w:val="0"/>
                <w:iCs w:val="0"/>
                <w:color w:val="000000"/>
                <w:sz w:val="22"/>
                <w:szCs w:val="22"/>
                <w:u w:val="none"/>
              </w:rPr>
            </w:pPr>
          </w:p>
        </w:tc>
      </w:tr>
      <w:tr w14:paraId="351F1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BED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5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  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5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7A9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93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67C63580">
            <w:pPr>
              <w:rPr>
                <w:rFonts w:hint="eastAsia" w:ascii="宋体" w:hAnsi="宋体" w:eastAsia="宋体" w:cs="宋体"/>
                <w:i w:val="0"/>
                <w:iCs w:val="0"/>
                <w:color w:val="000000"/>
                <w:sz w:val="22"/>
                <w:szCs w:val="22"/>
                <w:u w:val="none"/>
              </w:rPr>
            </w:pPr>
          </w:p>
        </w:tc>
      </w:tr>
      <w:tr w14:paraId="43650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8" w:space="0"/>
              <w:bottom w:val="single" w:color="000000" w:sz="8" w:space="0"/>
              <w:right w:val="single" w:color="000000" w:sz="4" w:space="0"/>
            </w:tcBorders>
            <w:shd w:val="clear" w:color="auto" w:fill="auto"/>
            <w:noWrap/>
            <w:vAlign w:val="center"/>
          </w:tcPr>
          <w:p w14:paraId="6432855B">
            <w:pPr>
              <w:rPr>
                <w:rFonts w:hint="eastAsia" w:ascii="宋体" w:hAnsi="宋体" w:eastAsia="宋体" w:cs="宋体"/>
                <w:i w:val="0"/>
                <w:iCs w:val="0"/>
                <w:color w:val="000000"/>
                <w:sz w:val="22"/>
                <w:szCs w:val="22"/>
                <w:u w:val="none"/>
              </w:rPr>
            </w:pPr>
          </w:p>
        </w:tc>
        <w:tc>
          <w:tcPr>
            <w:tcW w:w="333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0862B9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   计</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1EB6E37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6357381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63546B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   </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74ADFE22">
            <w:pPr>
              <w:rPr>
                <w:rFonts w:hint="eastAsia" w:ascii="宋体" w:hAnsi="宋体" w:eastAsia="宋体" w:cs="宋体"/>
                <w:i w:val="0"/>
                <w:iCs w:val="0"/>
                <w:color w:val="000000"/>
                <w:sz w:val="22"/>
                <w:szCs w:val="22"/>
                <w:u w:val="none"/>
              </w:rPr>
            </w:pPr>
          </w:p>
        </w:tc>
      </w:tr>
    </w:tbl>
    <w:p w14:paraId="7DB293DE">
      <w:pP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lang w:eastAsia="zh-CN"/>
        </w:rPr>
        <w:br w:type="page"/>
      </w:r>
    </w:p>
    <w:p w14:paraId="67C1B2BC">
      <w:pPr>
        <w:keepNext w:val="0"/>
        <w:keepLines w:val="0"/>
        <w:pageBreakBefore w:val="0"/>
        <w:numPr>
          <w:ilvl w:val="0"/>
          <w:numId w:val="4"/>
        </w:numPr>
        <w:kinsoku/>
        <w:wordWrap/>
        <w:overflowPunct/>
        <w:topLinePunct w:val="0"/>
        <w:bidi w:val="0"/>
        <w:ind w:left="360" w:leftChars="0" w:hanging="360" w:firstLineChars="0"/>
        <w:jc w:val="center"/>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val="en-US" w:eastAsia="zh-CN"/>
        </w:rPr>
        <w:t>开标</w:t>
      </w:r>
      <w:r>
        <w:rPr>
          <w:rFonts w:hint="eastAsia" w:asciiTheme="minorEastAsia" w:hAnsiTheme="minorEastAsia" w:eastAsiaTheme="minorEastAsia" w:cstheme="minorEastAsia"/>
          <w:b/>
          <w:bCs/>
          <w:color w:val="auto"/>
          <w:sz w:val="32"/>
          <w:szCs w:val="32"/>
          <w:highlight w:val="none"/>
          <w:lang w:eastAsia="zh-CN"/>
        </w:rPr>
        <w:t>一览表</w:t>
      </w:r>
    </w:p>
    <w:p w14:paraId="00776A39">
      <w:pPr>
        <w:keepNext w:val="0"/>
        <w:keepLines w:val="0"/>
        <w:pageBreakBefore w:val="0"/>
        <w:numPr>
          <w:ilvl w:val="0"/>
          <w:numId w:val="0"/>
        </w:numPr>
        <w:kinsoku/>
        <w:wordWrap/>
        <w:overflowPunct/>
        <w:topLinePunct w:val="0"/>
        <w:bidi w:val="0"/>
        <w:ind w:leftChars="0"/>
        <w:jc w:val="center"/>
        <w:rPr>
          <w:rFonts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cstheme="minorEastAsia"/>
          <w:b/>
          <w:bCs/>
          <w:color w:val="auto"/>
          <w:sz w:val="32"/>
          <w:szCs w:val="32"/>
          <w:highlight w:val="none"/>
          <w:lang w:eastAsia="zh-CN"/>
        </w:rPr>
        <w:t>（</w:t>
      </w:r>
      <w:r>
        <w:rPr>
          <w:rFonts w:hint="eastAsia" w:cs="宋体"/>
          <w:color w:val="auto"/>
          <w:sz w:val="24"/>
          <w:szCs w:val="24"/>
          <w:highlight w:val="none"/>
          <w:lang w:val="en-US" w:eastAsia="zh-CN"/>
        </w:rPr>
        <w:t>以政采云系统生成的为准</w:t>
      </w:r>
      <w:r>
        <w:rPr>
          <w:rFonts w:hint="eastAsia" w:asciiTheme="minorEastAsia" w:hAnsiTheme="minorEastAsia" w:cstheme="minorEastAsia"/>
          <w:b/>
          <w:bCs/>
          <w:color w:val="auto"/>
          <w:sz w:val="32"/>
          <w:szCs w:val="32"/>
          <w:highlight w:val="none"/>
          <w:lang w:eastAsia="zh-CN"/>
        </w:rPr>
        <w:t>）</w:t>
      </w:r>
    </w:p>
    <w:p w14:paraId="2C25159E">
      <w:pPr>
        <w:keepNext w:val="0"/>
        <w:keepLines w:val="0"/>
        <w:pageBreakBefore w:val="0"/>
        <w:widowControl/>
        <w:kinsoku/>
        <w:wordWrap w:val="0"/>
        <w:overflowPunct/>
        <w:topLinePunct w:val="0"/>
        <w:autoSpaceDE w:val="0"/>
        <w:autoSpaceDN w:val="0"/>
        <w:bidi w:val="0"/>
        <w:spacing w:line="360" w:lineRule="auto"/>
        <w:ind w:right="890"/>
        <w:textAlignment w:val="bottom"/>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cstheme="minorEastAsia"/>
          <w:color w:val="auto"/>
          <w:highlight w:val="none"/>
          <w:lang w:val="en-US" w:eastAsia="zh-CN"/>
        </w:rPr>
        <w:t>项目名称：</w:t>
      </w:r>
      <w:r>
        <w:rPr>
          <w:rFonts w:hint="eastAsia" w:ascii="宋体" w:hAnsi="宋体" w:eastAsia="宋体" w:cs="宋体"/>
          <w:color w:val="auto"/>
          <w:szCs w:val="21"/>
          <w:highlight w:val="none"/>
          <w:lang w:eastAsia="zh-CN"/>
        </w:rPr>
        <w:t>2025-2027年度长春汽车经济技术开发区夏季扫保服务</w:t>
      </w:r>
      <w:r>
        <w:rPr>
          <w:rFonts w:hint="eastAsia" w:ascii="宋体" w:hAnsi="宋体" w:eastAsia="宋体" w:cs="宋体"/>
          <w:color w:val="auto"/>
          <w:szCs w:val="21"/>
          <w:highlight w:val="none"/>
          <w:lang w:val="en-US" w:eastAsia="zh-CN"/>
        </w:rPr>
        <w:t>二标段</w:t>
      </w:r>
    </w:p>
    <w:tbl>
      <w:tblPr>
        <w:tblStyle w:val="29"/>
        <w:tblW w:w="47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2425"/>
        <w:gridCol w:w="2627"/>
        <w:gridCol w:w="1544"/>
        <w:gridCol w:w="944"/>
      </w:tblGrid>
      <w:tr w14:paraId="20B7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28" w:type="pct"/>
            <w:vAlign w:val="center"/>
          </w:tcPr>
          <w:p w14:paraId="25B5A49E">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lang w:val="zh-CN"/>
              </w:rPr>
              <w:t>名称</w:t>
            </w:r>
          </w:p>
        </w:tc>
        <w:tc>
          <w:tcPr>
            <w:tcW w:w="1277" w:type="pct"/>
            <w:vAlign w:val="center"/>
          </w:tcPr>
          <w:p w14:paraId="24C6181A">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r>
              <w:rPr>
                <w:rFonts w:hint="eastAsia" w:cs="宋体"/>
                <w:bCs/>
                <w:color w:val="auto"/>
                <w:sz w:val="24"/>
                <w:szCs w:val="24"/>
                <w:highlight w:val="none"/>
                <w:lang w:val="en-US" w:eastAsia="zh-CN"/>
              </w:rPr>
              <w:t>投标</w:t>
            </w:r>
            <w:r>
              <w:rPr>
                <w:rFonts w:hint="eastAsia" w:ascii="宋体" w:hAnsi="宋体" w:eastAsia="宋体" w:cs="宋体"/>
                <w:bCs/>
                <w:color w:val="auto"/>
                <w:sz w:val="24"/>
                <w:szCs w:val="24"/>
                <w:highlight w:val="none"/>
                <w:lang w:val="zh-CN"/>
              </w:rPr>
              <w:t>报价</w:t>
            </w:r>
            <w:r>
              <w:rPr>
                <w:rFonts w:hint="eastAsia" w:cs="宋体"/>
                <w:bCs/>
                <w:color w:val="auto"/>
                <w:sz w:val="24"/>
                <w:szCs w:val="24"/>
                <w:highlight w:val="none"/>
                <w:lang w:val="zh-CN"/>
              </w:rPr>
              <w:t>（</w:t>
            </w:r>
            <w:r>
              <w:rPr>
                <w:rFonts w:hint="eastAsia" w:cs="宋体"/>
                <w:bCs/>
                <w:color w:val="auto"/>
                <w:sz w:val="24"/>
                <w:szCs w:val="24"/>
                <w:highlight w:val="none"/>
                <w:lang w:val="en-US" w:eastAsia="zh-CN"/>
              </w:rPr>
              <w:t>元/年</w:t>
            </w:r>
            <w:r>
              <w:rPr>
                <w:rFonts w:hint="eastAsia" w:cs="宋体"/>
                <w:bCs/>
                <w:color w:val="auto"/>
                <w:sz w:val="24"/>
                <w:szCs w:val="24"/>
                <w:highlight w:val="none"/>
                <w:lang w:val="zh-CN"/>
              </w:rPr>
              <w:t>）</w:t>
            </w:r>
          </w:p>
        </w:tc>
        <w:tc>
          <w:tcPr>
            <w:tcW w:w="1383" w:type="pct"/>
            <w:vAlign w:val="center"/>
          </w:tcPr>
          <w:p w14:paraId="0570A772">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auto"/>
              <w:rPr>
                <w:rFonts w:hint="eastAsia" w:ascii="宋体" w:hAnsi="宋体" w:eastAsia="宋体" w:cs="宋体"/>
                <w:color w:val="auto"/>
                <w:sz w:val="24"/>
                <w:szCs w:val="24"/>
                <w:highlight w:val="none"/>
                <w:lang w:val="zh-CN" w:eastAsia="zh-CN" w:bidi="ar-SA"/>
              </w:rPr>
            </w:pPr>
            <w:r>
              <w:rPr>
                <w:rFonts w:hint="eastAsia"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期限</w:t>
            </w:r>
          </w:p>
        </w:tc>
        <w:tc>
          <w:tcPr>
            <w:tcW w:w="813" w:type="pct"/>
            <w:vAlign w:val="center"/>
          </w:tcPr>
          <w:p w14:paraId="76AF7003">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eastAsia="zh-CN" w:bidi="ar-SA"/>
              </w:rPr>
            </w:pPr>
            <w:r>
              <w:rPr>
                <w:rFonts w:hint="eastAsia" w:ascii="宋体" w:hAnsi="宋体" w:eastAsia="宋体" w:cs="宋体"/>
                <w:bCs/>
                <w:color w:val="auto"/>
                <w:sz w:val="24"/>
                <w:szCs w:val="24"/>
                <w:highlight w:val="none"/>
                <w:lang w:val="zh-CN" w:eastAsia="zh-CN"/>
              </w:rPr>
              <w:t>质量标准</w:t>
            </w:r>
          </w:p>
        </w:tc>
        <w:tc>
          <w:tcPr>
            <w:tcW w:w="497" w:type="pct"/>
            <w:vAlign w:val="center"/>
          </w:tcPr>
          <w:p w14:paraId="06CBFE27">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备注</w:t>
            </w:r>
          </w:p>
        </w:tc>
      </w:tr>
      <w:tr w14:paraId="54C8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1028" w:type="pct"/>
            <w:vAlign w:val="center"/>
          </w:tcPr>
          <w:p w14:paraId="22BE6EC1">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rPr>
            </w:pPr>
          </w:p>
        </w:tc>
        <w:tc>
          <w:tcPr>
            <w:tcW w:w="1277" w:type="pct"/>
            <w:vAlign w:val="center"/>
          </w:tcPr>
          <w:p w14:paraId="0F5F1312">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auto"/>
              <w:rPr>
                <w:rFonts w:hint="default" w:cs="宋体"/>
                <w:bCs/>
                <w:color w:val="auto"/>
                <w:sz w:val="24"/>
                <w:szCs w:val="24"/>
                <w:highlight w:val="none"/>
                <w:lang w:val="en-US" w:eastAsia="zh-CN"/>
              </w:rPr>
            </w:pPr>
          </w:p>
        </w:tc>
        <w:tc>
          <w:tcPr>
            <w:tcW w:w="1383" w:type="pct"/>
            <w:vAlign w:val="center"/>
          </w:tcPr>
          <w:p w14:paraId="0669DB08">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eastAsia="zh-CN" w:bidi="ar-SA"/>
              </w:rPr>
            </w:pPr>
          </w:p>
        </w:tc>
        <w:tc>
          <w:tcPr>
            <w:tcW w:w="813" w:type="pct"/>
            <w:vAlign w:val="center"/>
          </w:tcPr>
          <w:p w14:paraId="713FA19C">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eastAsia="zh-CN" w:bidi="ar-SA"/>
              </w:rPr>
            </w:pPr>
          </w:p>
        </w:tc>
        <w:tc>
          <w:tcPr>
            <w:tcW w:w="497" w:type="pct"/>
            <w:vAlign w:val="center"/>
          </w:tcPr>
          <w:p w14:paraId="30253E3D">
            <w:pPr>
              <w:keepNext w:val="0"/>
              <w:keepLines w:val="0"/>
              <w:pageBreakBefore w:val="0"/>
              <w:widowControl w:val="0"/>
              <w:kinsoku/>
              <w:wordWrap w:val="0"/>
              <w:overflowPunct/>
              <w:topLinePunct w:val="0"/>
              <w:autoSpaceDE w:val="0"/>
              <w:autoSpaceDN w:val="0"/>
              <w:bidi w:val="0"/>
              <w:adjustRightInd w:val="0"/>
              <w:snapToGrid/>
              <w:spacing w:line="240" w:lineRule="auto"/>
              <w:jc w:val="center"/>
              <w:textAlignment w:val="auto"/>
              <w:rPr>
                <w:rFonts w:hint="eastAsia" w:ascii="宋体" w:hAnsi="宋体" w:eastAsia="宋体" w:cs="宋体"/>
                <w:bCs/>
                <w:color w:val="auto"/>
                <w:sz w:val="24"/>
                <w:szCs w:val="24"/>
                <w:highlight w:val="none"/>
                <w:lang w:val="zh-CN" w:eastAsia="zh-CN"/>
              </w:rPr>
            </w:pPr>
          </w:p>
        </w:tc>
      </w:tr>
    </w:tbl>
    <w:p w14:paraId="62081993">
      <w:pPr>
        <w:keepNext w:val="0"/>
        <w:keepLines w:val="0"/>
        <w:pageBreakBefore w:val="0"/>
        <w:kinsoku/>
        <w:wordWrap/>
        <w:overflowPunct/>
        <w:topLinePunct w:val="0"/>
        <w:bidi w:val="0"/>
        <w:jc w:val="both"/>
        <w:rPr>
          <w:rFonts w:hint="eastAsia" w:asciiTheme="minorEastAsia" w:hAnsiTheme="minorEastAsia" w:eastAsiaTheme="minorEastAsia" w:cstheme="minorEastAsia"/>
          <w:color w:val="auto"/>
          <w:highlight w:val="none"/>
          <w:lang w:eastAsia="zh-CN"/>
        </w:rPr>
      </w:pPr>
    </w:p>
    <w:p w14:paraId="690B9433">
      <w:pPr>
        <w:pStyle w:val="17"/>
        <w:rPr>
          <w:rFonts w:hint="eastAsia" w:asciiTheme="minorEastAsia" w:hAnsiTheme="minorEastAsia" w:eastAsiaTheme="minorEastAsia" w:cstheme="minorEastAsia"/>
          <w:b/>
          <w:bCs/>
          <w:color w:val="auto"/>
          <w:sz w:val="32"/>
          <w:szCs w:val="32"/>
          <w:highlight w:val="none"/>
          <w:lang w:val="en-US" w:eastAsia="zh-CN" w:bidi="ar-SA"/>
        </w:rPr>
      </w:pPr>
    </w:p>
    <w:p w14:paraId="08F06FB2">
      <w:pPr>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br w:type="page"/>
      </w:r>
    </w:p>
    <w:tbl>
      <w:tblPr>
        <w:tblStyle w:val="29"/>
        <w:tblW w:w="95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1140"/>
        <w:gridCol w:w="1756"/>
        <w:gridCol w:w="1751"/>
        <w:gridCol w:w="1830"/>
        <w:gridCol w:w="1500"/>
        <w:gridCol w:w="780"/>
      </w:tblGrid>
      <w:tr w14:paraId="72F64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536" w:type="dxa"/>
            <w:gridSpan w:val="7"/>
            <w:vMerge w:val="restart"/>
            <w:tcBorders>
              <w:top w:val="nil"/>
              <w:left w:val="nil"/>
              <w:bottom w:val="nil"/>
              <w:right w:val="nil"/>
            </w:tcBorders>
            <w:shd w:val="clear" w:color="auto" w:fill="auto"/>
            <w:noWrap/>
            <w:vAlign w:val="center"/>
          </w:tcPr>
          <w:p w14:paraId="2A1EB08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汽开区二标段夏季清扫保洁服务分项报价表</w:t>
            </w:r>
          </w:p>
        </w:tc>
      </w:tr>
      <w:tr w14:paraId="1A241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536" w:type="dxa"/>
            <w:gridSpan w:val="7"/>
            <w:vMerge w:val="continue"/>
            <w:tcBorders>
              <w:top w:val="nil"/>
              <w:left w:val="nil"/>
              <w:bottom w:val="nil"/>
              <w:right w:val="nil"/>
            </w:tcBorders>
            <w:shd w:val="clear" w:color="auto" w:fill="auto"/>
            <w:noWrap/>
            <w:vAlign w:val="center"/>
          </w:tcPr>
          <w:p w14:paraId="56240974">
            <w:pPr>
              <w:jc w:val="center"/>
              <w:rPr>
                <w:rFonts w:hint="eastAsia" w:ascii="宋体" w:hAnsi="宋体" w:eastAsia="宋体" w:cs="宋体"/>
                <w:b/>
                <w:bCs/>
                <w:i w:val="0"/>
                <w:iCs w:val="0"/>
                <w:color w:val="000000"/>
                <w:sz w:val="40"/>
                <w:szCs w:val="40"/>
                <w:u w:val="none"/>
              </w:rPr>
            </w:pPr>
          </w:p>
        </w:tc>
      </w:tr>
      <w:tr w14:paraId="3CF39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tcBorders>
              <w:top w:val="single" w:color="000000" w:sz="8" w:space="0"/>
              <w:left w:val="single" w:color="000000" w:sz="8" w:space="0"/>
              <w:bottom w:val="single" w:color="000000" w:sz="4" w:space="0"/>
              <w:right w:val="single" w:color="000000" w:sz="4" w:space="0"/>
            </w:tcBorders>
            <w:shd w:val="clear" w:color="auto" w:fill="auto"/>
            <w:noWrap/>
            <w:vAlign w:val="center"/>
          </w:tcPr>
          <w:p w14:paraId="4747AED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820"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1267F67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    目</w:t>
            </w:r>
          </w:p>
        </w:tc>
        <w:tc>
          <w:tcPr>
            <w:tcW w:w="183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ABCFA1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作业定额 (元)</w:t>
            </w:r>
          </w:p>
        </w:tc>
        <w:tc>
          <w:tcPr>
            <w:tcW w:w="183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466A4D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数量（㎡/吨/座/个）</w:t>
            </w:r>
          </w:p>
        </w:tc>
        <w:tc>
          <w:tcPr>
            <w:tcW w:w="150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4A04B5F">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总价</w:t>
            </w:r>
          </w:p>
          <w:p w14:paraId="29D4F43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（元）</w:t>
            </w: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14:paraId="1547FD9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6615E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A0F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89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人工清扫保洁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1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二级街路及商圈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02F8">
            <w:pPr>
              <w:jc w:val="right"/>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15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2029123.48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9BBE">
            <w:pPr>
              <w:jc w:val="right"/>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FE15AA">
            <w:pPr>
              <w:jc w:val="left"/>
              <w:rPr>
                <w:rFonts w:hint="eastAsia" w:ascii="宋体" w:hAnsi="宋体" w:eastAsia="宋体" w:cs="宋体"/>
                <w:i w:val="0"/>
                <w:iCs w:val="0"/>
                <w:color w:val="000000"/>
                <w:sz w:val="22"/>
                <w:szCs w:val="22"/>
                <w:u w:val="none"/>
              </w:rPr>
            </w:pPr>
          </w:p>
        </w:tc>
      </w:tr>
      <w:tr w14:paraId="2E2B2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BFA8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E0F1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1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A95F">
            <w:pPr>
              <w:jc w:val="right"/>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32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393324.00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5B87">
            <w:pPr>
              <w:jc w:val="right"/>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30B309">
            <w:pPr>
              <w:jc w:val="left"/>
              <w:rPr>
                <w:rFonts w:hint="eastAsia" w:ascii="宋体" w:hAnsi="宋体" w:eastAsia="宋体" w:cs="宋体"/>
                <w:i w:val="0"/>
                <w:iCs w:val="0"/>
                <w:color w:val="000000"/>
                <w:sz w:val="22"/>
                <w:szCs w:val="22"/>
                <w:u w:val="none"/>
              </w:rPr>
            </w:pPr>
          </w:p>
        </w:tc>
      </w:tr>
      <w:tr w14:paraId="383D5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B10D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7D65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8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四级及以下街路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2CA4">
            <w:pPr>
              <w:jc w:val="right"/>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63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167945.17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E080">
            <w:pPr>
              <w:jc w:val="right"/>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0CAE5F9">
            <w:pPr>
              <w:jc w:val="left"/>
              <w:rPr>
                <w:rFonts w:hint="eastAsia" w:ascii="宋体" w:hAnsi="宋体" w:eastAsia="宋体" w:cs="宋体"/>
                <w:i w:val="0"/>
                <w:iCs w:val="0"/>
                <w:color w:val="000000"/>
                <w:sz w:val="22"/>
                <w:szCs w:val="22"/>
                <w:u w:val="none"/>
              </w:rPr>
            </w:pPr>
          </w:p>
        </w:tc>
      </w:tr>
      <w:tr w14:paraId="3197B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0BE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0249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27E0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绿化带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9A74">
            <w:pPr>
              <w:jc w:val="right"/>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A9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2479838.57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091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45DA5E">
            <w:pPr>
              <w:rPr>
                <w:rFonts w:hint="eastAsia" w:ascii="宋体" w:hAnsi="宋体" w:eastAsia="宋体" w:cs="宋体"/>
                <w:i w:val="0"/>
                <w:iCs w:val="0"/>
                <w:color w:val="000000"/>
                <w:sz w:val="22"/>
                <w:szCs w:val="22"/>
                <w:u w:val="none"/>
              </w:rPr>
            </w:pPr>
          </w:p>
        </w:tc>
      </w:tr>
      <w:tr w14:paraId="67960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8702EA1">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B90A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B2DC0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2BFD">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EB2F">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5E6D">
            <w:pPr>
              <w:jc w:val="right"/>
              <w:rPr>
                <w:rFonts w:hint="eastAsia" w:ascii="宋体" w:hAnsi="宋体" w:eastAsia="宋体" w:cs="宋体"/>
                <w:b/>
                <w:bCs/>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5A93C53">
            <w:pPr>
              <w:jc w:val="left"/>
              <w:rPr>
                <w:rFonts w:hint="eastAsia" w:ascii="宋体" w:hAnsi="宋体" w:eastAsia="宋体" w:cs="宋体"/>
                <w:i w:val="0"/>
                <w:iCs w:val="0"/>
                <w:color w:val="000000"/>
                <w:sz w:val="22"/>
                <w:szCs w:val="22"/>
                <w:u w:val="none"/>
              </w:rPr>
            </w:pPr>
          </w:p>
        </w:tc>
      </w:tr>
      <w:tr w14:paraId="454D9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0195A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40" w:type="dxa"/>
            <w:vMerge w:val="restart"/>
            <w:tcBorders>
              <w:top w:val="single" w:color="000000" w:sz="4" w:space="0"/>
              <w:left w:val="single" w:color="000000" w:sz="4" w:space="0"/>
              <w:bottom w:val="nil"/>
              <w:right w:val="single" w:color="000000" w:sz="4" w:space="0"/>
            </w:tcBorders>
            <w:shd w:val="clear" w:color="auto" w:fill="auto"/>
            <w:vAlign w:val="center"/>
          </w:tcPr>
          <w:p w14:paraId="22620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机械化清扫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5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道路洗扫车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39CF">
            <w:pPr>
              <w:jc w:val="right"/>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E2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2154538.13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002B">
            <w:pPr>
              <w:jc w:val="right"/>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6B91505">
            <w:pPr>
              <w:jc w:val="left"/>
              <w:rPr>
                <w:rFonts w:hint="eastAsia" w:ascii="宋体" w:hAnsi="宋体" w:eastAsia="宋体" w:cs="宋体"/>
                <w:i w:val="0"/>
                <w:iCs w:val="0"/>
                <w:color w:val="000000"/>
                <w:sz w:val="22"/>
                <w:szCs w:val="22"/>
                <w:u w:val="none"/>
              </w:rPr>
            </w:pPr>
          </w:p>
        </w:tc>
      </w:tr>
      <w:tr w14:paraId="78812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7E20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4199047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43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高压冲洗车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3B58">
            <w:pPr>
              <w:jc w:val="right"/>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18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2154538.13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2A03">
            <w:pPr>
              <w:jc w:val="righ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24BB92">
            <w:pPr>
              <w:jc w:val="left"/>
              <w:rPr>
                <w:rFonts w:hint="eastAsia" w:ascii="宋体" w:hAnsi="宋体" w:eastAsia="宋体" w:cs="宋体"/>
                <w:i w:val="0"/>
                <w:iCs w:val="0"/>
                <w:color w:val="000000"/>
                <w:sz w:val="22"/>
                <w:szCs w:val="22"/>
                <w:u w:val="none"/>
              </w:rPr>
            </w:pPr>
          </w:p>
        </w:tc>
      </w:tr>
      <w:tr w14:paraId="14EA8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56E60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16DB2D4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0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洒水车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DAB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0D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2154538.13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D196">
            <w:pPr>
              <w:jc w:val="righ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1106BC">
            <w:pPr>
              <w:jc w:val="left"/>
              <w:rPr>
                <w:rFonts w:hint="eastAsia" w:ascii="宋体" w:hAnsi="宋体" w:eastAsia="宋体" w:cs="宋体"/>
                <w:i w:val="0"/>
                <w:iCs w:val="0"/>
                <w:color w:val="000000"/>
                <w:sz w:val="22"/>
                <w:szCs w:val="22"/>
                <w:u w:val="none"/>
              </w:rPr>
            </w:pPr>
          </w:p>
        </w:tc>
      </w:tr>
      <w:tr w14:paraId="32AFD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D306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1EC2DCB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E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道路保洁车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72BB">
            <w:pPr>
              <w:jc w:val="right"/>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30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2154538.13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D2A5">
            <w:pPr>
              <w:jc w:val="righ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795EECC8">
            <w:pPr>
              <w:jc w:val="left"/>
              <w:rPr>
                <w:rFonts w:hint="eastAsia" w:ascii="宋体" w:hAnsi="宋体" w:eastAsia="宋体" w:cs="宋体"/>
                <w:i w:val="0"/>
                <w:iCs w:val="0"/>
                <w:color w:val="000000"/>
                <w:sz w:val="22"/>
                <w:szCs w:val="22"/>
                <w:u w:val="none"/>
              </w:rPr>
            </w:pPr>
          </w:p>
        </w:tc>
      </w:tr>
      <w:tr w14:paraId="0B2F7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182E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5B0F68A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5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人行步道清洗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DC7F">
            <w:pPr>
              <w:jc w:val="right"/>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44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325152.86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5555">
            <w:pPr>
              <w:jc w:val="righ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0CD0ED5E">
            <w:pPr>
              <w:jc w:val="left"/>
              <w:rPr>
                <w:rFonts w:hint="eastAsia" w:ascii="宋体" w:hAnsi="宋体" w:eastAsia="宋体" w:cs="宋体"/>
                <w:i w:val="0"/>
                <w:iCs w:val="0"/>
                <w:color w:val="000000"/>
                <w:sz w:val="22"/>
                <w:szCs w:val="22"/>
                <w:u w:val="none"/>
              </w:rPr>
            </w:pPr>
          </w:p>
        </w:tc>
      </w:tr>
      <w:tr w14:paraId="32573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20504D">
            <w:pP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single" w:color="000000" w:sz="4" w:space="0"/>
              <w:bottom w:val="nil"/>
              <w:right w:val="single" w:color="000000" w:sz="4" w:space="0"/>
            </w:tcBorders>
            <w:shd w:val="clear" w:color="auto" w:fill="auto"/>
            <w:vAlign w:val="center"/>
          </w:tcPr>
          <w:p w14:paraId="29C27BD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16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01ED">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FE1C">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AA96">
            <w:pPr>
              <w:jc w:val="right"/>
              <w:rPr>
                <w:rFonts w:hint="eastAsia" w:ascii="宋体" w:hAnsi="宋体" w:eastAsia="宋体" w:cs="宋体"/>
                <w:b/>
                <w:bCs/>
                <w:i w:val="0"/>
                <w:iCs w:val="0"/>
                <w:color w:val="000000"/>
                <w:sz w:val="22"/>
                <w:szCs w:val="22"/>
                <w:u w:val="none"/>
              </w:rPr>
            </w:pPr>
          </w:p>
        </w:tc>
        <w:tc>
          <w:tcPr>
            <w:tcW w:w="780" w:type="dxa"/>
            <w:tcBorders>
              <w:top w:val="single" w:color="000000" w:sz="4" w:space="0"/>
              <w:left w:val="single" w:color="000000" w:sz="4" w:space="0"/>
              <w:bottom w:val="nil"/>
              <w:right w:val="single" w:color="000000" w:sz="8" w:space="0"/>
            </w:tcBorders>
            <w:shd w:val="clear" w:color="auto" w:fill="auto"/>
            <w:vAlign w:val="center"/>
          </w:tcPr>
          <w:p w14:paraId="66B43B43">
            <w:pPr>
              <w:jc w:val="left"/>
              <w:rPr>
                <w:rFonts w:hint="eastAsia" w:ascii="宋体" w:hAnsi="宋体" w:eastAsia="宋体" w:cs="宋体"/>
                <w:i w:val="0"/>
                <w:iCs w:val="0"/>
                <w:color w:val="000000"/>
                <w:sz w:val="22"/>
                <w:szCs w:val="22"/>
                <w:u w:val="none"/>
              </w:rPr>
            </w:pPr>
          </w:p>
        </w:tc>
      </w:tr>
      <w:tr w14:paraId="6DDC6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5A3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3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垃圾收运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D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四轮收集车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C70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9F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F5F8">
            <w:pPr>
              <w:jc w:val="right"/>
              <w:rPr>
                <w:rFonts w:hint="eastAsia" w:ascii="宋体" w:hAnsi="宋体" w:eastAsia="宋体" w:cs="宋体"/>
                <w:b/>
                <w:bCs/>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BF82C94">
            <w:pPr>
              <w:jc w:val="left"/>
              <w:rPr>
                <w:rFonts w:hint="eastAsia" w:ascii="宋体" w:hAnsi="宋体" w:eastAsia="宋体" w:cs="宋体"/>
                <w:i w:val="0"/>
                <w:iCs w:val="0"/>
                <w:color w:val="000000"/>
                <w:sz w:val="22"/>
                <w:szCs w:val="22"/>
                <w:u w:val="none"/>
              </w:rPr>
            </w:pPr>
          </w:p>
        </w:tc>
      </w:tr>
      <w:tr w14:paraId="0316A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CF51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E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环卫休息室租赁费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56B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2C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D318">
            <w:pPr>
              <w:jc w:val="right"/>
              <w:rPr>
                <w:rFonts w:hint="eastAsia" w:ascii="宋体" w:hAnsi="宋体" w:eastAsia="宋体" w:cs="宋体"/>
                <w:b/>
                <w:bCs/>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E569BC">
            <w:pPr>
              <w:jc w:val="left"/>
              <w:rPr>
                <w:rFonts w:hint="eastAsia" w:ascii="宋体" w:hAnsi="宋体" w:eastAsia="宋体" w:cs="宋体"/>
                <w:i w:val="0"/>
                <w:iCs w:val="0"/>
                <w:color w:val="000000"/>
                <w:sz w:val="22"/>
                <w:szCs w:val="22"/>
                <w:u w:val="none"/>
              </w:rPr>
            </w:pPr>
          </w:p>
        </w:tc>
      </w:tr>
      <w:tr w14:paraId="1F32E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3A4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1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机械化清扫车辆GPS定位款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9A2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CB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0F0A">
            <w:pPr>
              <w:jc w:val="right"/>
              <w:rPr>
                <w:rFonts w:hint="eastAsia" w:ascii="宋体" w:hAnsi="宋体" w:eastAsia="宋体" w:cs="宋体"/>
                <w:b/>
                <w:bCs/>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302BA47">
            <w:pPr>
              <w:jc w:val="left"/>
              <w:rPr>
                <w:rFonts w:hint="eastAsia" w:ascii="宋体" w:hAnsi="宋体" w:eastAsia="宋体" w:cs="宋体"/>
                <w:i w:val="0"/>
                <w:iCs w:val="0"/>
                <w:color w:val="000000"/>
                <w:sz w:val="22"/>
                <w:szCs w:val="22"/>
                <w:u w:val="none"/>
              </w:rPr>
            </w:pPr>
          </w:p>
        </w:tc>
      </w:tr>
      <w:tr w14:paraId="1541A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CA708D">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F4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2A55">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A180">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DF17">
            <w:pPr>
              <w:jc w:val="right"/>
              <w:rPr>
                <w:rFonts w:hint="eastAsia" w:ascii="宋体" w:hAnsi="宋体" w:eastAsia="宋体" w:cs="宋体"/>
                <w:b/>
                <w:bCs/>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F1106C1">
            <w:pPr>
              <w:jc w:val="left"/>
              <w:rPr>
                <w:rFonts w:hint="eastAsia" w:ascii="宋体" w:hAnsi="宋体" w:eastAsia="宋体" w:cs="宋体"/>
                <w:i w:val="0"/>
                <w:iCs w:val="0"/>
                <w:color w:val="000000"/>
                <w:sz w:val="22"/>
                <w:szCs w:val="22"/>
                <w:u w:val="none"/>
              </w:rPr>
            </w:pPr>
          </w:p>
        </w:tc>
      </w:tr>
      <w:tr w14:paraId="28257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41CCC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5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F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D0F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E3B9">
            <w:pPr>
              <w:jc w:val="right"/>
              <w:rPr>
                <w:rFonts w:hint="eastAsia" w:ascii="宋体" w:hAnsi="宋体" w:eastAsia="宋体" w:cs="宋体"/>
                <w:b/>
                <w:bCs/>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482513">
            <w:pPr>
              <w:rPr>
                <w:rFonts w:hint="eastAsia" w:ascii="宋体" w:hAnsi="宋体" w:eastAsia="宋体" w:cs="宋体"/>
                <w:i w:val="0"/>
                <w:iCs w:val="0"/>
                <w:color w:val="000000"/>
                <w:sz w:val="22"/>
                <w:szCs w:val="22"/>
                <w:u w:val="none"/>
              </w:rPr>
            </w:pPr>
          </w:p>
        </w:tc>
      </w:tr>
      <w:tr w14:paraId="2A7CC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FF88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1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  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3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099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89E9">
            <w:pPr>
              <w:jc w:val="right"/>
              <w:rPr>
                <w:rFonts w:hint="eastAsia" w:ascii="宋体" w:hAnsi="宋体" w:eastAsia="宋体" w:cs="宋体"/>
                <w:b/>
                <w:bCs/>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FE366DB">
            <w:pPr>
              <w:rPr>
                <w:rFonts w:hint="eastAsia" w:ascii="宋体" w:hAnsi="宋体" w:eastAsia="宋体" w:cs="宋体"/>
                <w:i w:val="0"/>
                <w:iCs w:val="0"/>
                <w:color w:val="000000"/>
                <w:sz w:val="22"/>
                <w:szCs w:val="22"/>
                <w:u w:val="none"/>
              </w:rPr>
            </w:pPr>
          </w:p>
        </w:tc>
      </w:tr>
      <w:tr w14:paraId="184A3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8" w:space="0"/>
              <w:bottom w:val="single" w:color="000000" w:sz="8" w:space="0"/>
              <w:right w:val="single" w:color="000000" w:sz="4" w:space="0"/>
            </w:tcBorders>
            <w:shd w:val="clear" w:color="auto" w:fill="auto"/>
            <w:noWrap/>
            <w:vAlign w:val="center"/>
          </w:tcPr>
          <w:p w14:paraId="56D3F2A3">
            <w:pPr>
              <w:rPr>
                <w:rFonts w:hint="eastAsia" w:ascii="宋体" w:hAnsi="宋体" w:eastAsia="宋体" w:cs="宋体"/>
                <w:i w:val="0"/>
                <w:iCs w:val="0"/>
                <w:color w:val="000000"/>
                <w:sz w:val="22"/>
                <w:szCs w:val="22"/>
                <w:u w:val="none"/>
              </w:rPr>
            </w:pPr>
          </w:p>
        </w:tc>
        <w:tc>
          <w:tcPr>
            <w:tcW w:w="282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0DA23C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  计</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7ABF2B0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05CB7EA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1AFA9750">
            <w:pPr>
              <w:jc w:val="right"/>
              <w:rPr>
                <w:rFonts w:hint="eastAsia" w:ascii="宋体" w:hAnsi="宋体" w:eastAsia="宋体" w:cs="宋体"/>
                <w:b/>
                <w:bCs/>
                <w:i w:val="0"/>
                <w:iCs w:val="0"/>
                <w:color w:val="000000"/>
                <w:sz w:val="22"/>
                <w:szCs w:val="22"/>
                <w:u w:val="none"/>
              </w:rPr>
            </w:pPr>
          </w:p>
        </w:tc>
        <w:tc>
          <w:tcPr>
            <w:tcW w:w="780" w:type="dxa"/>
            <w:tcBorders>
              <w:top w:val="single" w:color="000000" w:sz="4" w:space="0"/>
              <w:left w:val="single" w:color="000000" w:sz="4" w:space="0"/>
              <w:bottom w:val="single" w:color="000000" w:sz="8" w:space="0"/>
              <w:right w:val="single" w:color="000000" w:sz="8" w:space="0"/>
            </w:tcBorders>
            <w:shd w:val="clear" w:color="auto" w:fill="auto"/>
            <w:vAlign w:val="center"/>
          </w:tcPr>
          <w:p w14:paraId="71910D6B">
            <w:pPr>
              <w:rPr>
                <w:rFonts w:hint="eastAsia" w:ascii="宋体" w:hAnsi="宋体" w:eastAsia="宋体" w:cs="宋体"/>
                <w:i w:val="0"/>
                <w:iCs w:val="0"/>
                <w:color w:val="000000"/>
                <w:sz w:val="22"/>
                <w:szCs w:val="22"/>
                <w:u w:val="none"/>
              </w:rPr>
            </w:pPr>
          </w:p>
        </w:tc>
      </w:tr>
    </w:tbl>
    <w:p w14:paraId="58A41C04">
      <w:pPr>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br w:type="page"/>
      </w:r>
    </w:p>
    <w:p w14:paraId="69B72E48">
      <w:pPr>
        <w:jc w:val="center"/>
        <w:rPr>
          <w:rFonts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t>三、法定代表人身份证明</w:t>
      </w:r>
    </w:p>
    <w:p w14:paraId="7DE347D5">
      <w:pPr>
        <w:pStyle w:val="13"/>
        <w:keepNext w:val="0"/>
        <w:keepLines w:val="0"/>
        <w:pageBreakBefore w:val="0"/>
        <w:kinsoku/>
        <w:wordWrap w:val="0"/>
        <w:overflowPunct/>
        <w:topLinePunct w:val="0"/>
        <w:bidi w:val="0"/>
        <w:rPr>
          <w:rFonts w:asciiTheme="minorEastAsia" w:hAnsiTheme="minorEastAsia" w:eastAsiaTheme="minorEastAsia" w:cstheme="minorEastAsia"/>
          <w:b/>
          <w:color w:val="auto"/>
          <w:sz w:val="32"/>
          <w:highlight w:val="none"/>
          <w:lang w:eastAsia="zh-CN"/>
        </w:rPr>
      </w:pPr>
    </w:p>
    <w:p w14:paraId="36907AE6">
      <w:pPr>
        <w:pStyle w:val="13"/>
        <w:keepNext w:val="0"/>
        <w:keepLines w:val="0"/>
        <w:pageBreakBefore w:val="0"/>
        <w:kinsoku/>
        <w:wordWrap w:val="0"/>
        <w:overflowPunct/>
        <w:topLinePunct w:val="0"/>
        <w:bidi w:val="0"/>
        <w:rPr>
          <w:rFonts w:asciiTheme="minorEastAsia" w:hAnsiTheme="minorEastAsia" w:eastAsiaTheme="minorEastAsia" w:cstheme="minorEastAsia"/>
          <w:b/>
          <w:color w:val="auto"/>
          <w:sz w:val="32"/>
          <w:highlight w:val="none"/>
          <w:lang w:eastAsia="zh-CN"/>
        </w:rPr>
      </w:pPr>
    </w:p>
    <w:p w14:paraId="6C9886C0">
      <w:pPr>
        <w:pStyle w:val="13"/>
        <w:keepNext w:val="0"/>
        <w:keepLines w:val="0"/>
        <w:pageBreakBefore w:val="0"/>
        <w:kinsoku/>
        <w:wordWrap w:val="0"/>
        <w:overflowPunct/>
        <w:topLinePunct w:val="0"/>
        <w:bidi w:val="0"/>
        <w:spacing w:before="8"/>
        <w:rPr>
          <w:rFonts w:asciiTheme="minorEastAsia" w:hAnsiTheme="minorEastAsia" w:eastAsiaTheme="minorEastAsia" w:cstheme="minorEastAsia"/>
          <w:b/>
          <w:color w:val="auto"/>
          <w:sz w:val="25"/>
          <w:highlight w:val="none"/>
          <w:lang w:eastAsia="zh-CN"/>
        </w:rPr>
      </w:pPr>
    </w:p>
    <w:p w14:paraId="11E66216">
      <w:pPr>
        <w:pStyle w:val="13"/>
        <w:keepNext w:val="0"/>
        <w:keepLines w:val="0"/>
        <w:pageBreakBefore w:val="0"/>
        <w:tabs>
          <w:tab w:val="left" w:pos="3928"/>
        </w:tabs>
        <w:kinsoku/>
        <w:wordWrap w:val="0"/>
        <w:overflowPunct/>
        <w:topLinePunct w:val="0"/>
        <w:bidi w:val="0"/>
        <w:ind w:left="10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供应商名称：</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p>
    <w:p w14:paraId="19C2FA96">
      <w:pPr>
        <w:pStyle w:val="13"/>
        <w:keepNext w:val="0"/>
        <w:keepLines w:val="0"/>
        <w:pageBreakBefore w:val="0"/>
        <w:kinsoku/>
        <w:wordWrap w:val="0"/>
        <w:overflowPunct/>
        <w:topLinePunct w:val="0"/>
        <w:bidi w:val="0"/>
        <w:spacing w:before="1"/>
        <w:rPr>
          <w:rFonts w:asciiTheme="minorEastAsia" w:hAnsiTheme="minorEastAsia" w:eastAsiaTheme="minorEastAsia" w:cstheme="minorEastAsia"/>
          <w:color w:val="auto"/>
          <w:sz w:val="24"/>
          <w:szCs w:val="24"/>
          <w:highlight w:val="none"/>
          <w:lang w:eastAsia="zh-CN"/>
        </w:rPr>
      </w:pPr>
    </w:p>
    <w:p w14:paraId="0915A813">
      <w:pPr>
        <w:pStyle w:val="13"/>
        <w:keepNext w:val="0"/>
        <w:keepLines w:val="0"/>
        <w:pageBreakBefore w:val="0"/>
        <w:tabs>
          <w:tab w:val="left" w:pos="2412"/>
          <w:tab w:val="left" w:pos="3883"/>
          <w:tab w:val="left" w:pos="5352"/>
          <w:tab w:val="left" w:pos="6869"/>
        </w:tabs>
        <w:kinsoku/>
        <w:wordWrap w:val="0"/>
        <w:overflowPunct/>
        <w:topLinePunct w:val="0"/>
        <w:bidi w:val="0"/>
        <w:spacing w:before="37"/>
        <w:ind w:left="10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姓名：</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性别：</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年龄：</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职务：</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p>
    <w:p w14:paraId="1503A42E">
      <w:pPr>
        <w:pStyle w:val="13"/>
        <w:keepNext w:val="0"/>
        <w:keepLines w:val="0"/>
        <w:pageBreakBefore w:val="0"/>
        <w:kinsoku/>
        <w:wordWrap w:val="0"/>
        <w:overflowPunct/>
        <w:topLinePunct w:val="0"/>
        <w:bidi w:val="0"/>
        <w:spacing w:before="4"/>
        <w:rPr>
          <w:rFonts w:asciiTheme="minorEastAsia" w:hAnsiTheme="minorEastAsia" w:eastAsiaTheme="minorEastAsia" w:cstheme="minorEastAsia"/>
          <w:color w:val="auto"/>
          <w:sz w:val="24"/>
          <w:szCs w:val="24"/>
          <w:highlight w:val="none"/>
          <w:lang w:eastAsia="zh-CN"/>
        </w:rPr>
      </w:pPr>
    </w:p>
    <w:p w14:paraId="5580B748">
      <w:pPr>
        <w:pStyle w:val="13"/>
        <w:keepNext w:val="0"/>
        <w:keepLines w:val="0"/>
        <w:pageBreakBefore w:val="0"/>
        <w:tabs>
          <w:tab w:val="left" w:pos="2832"/>
        </w:tabs>
        <w:kinsoku/>
        <w:wordWrap w:val="0"/>
        <w:overflowPunct/>
        <w:topLinePunct w:val="0"/>
        <w:bidi w:val="0"/>
        <w:spacing w:before="37"/>
        <w:ind w:left="10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系</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（供应商名称）的法定代表人。</w:t>
      </w:r>
    </w:p>
    <w:p w14:paraId="13D2870D">
      <w:pPr>
        <w:pStyle w:val="13"/>
        <w:keepNext w:val="0"/>
        <w:keepLines w:val="0"/>
        <w:pageBreakBefore w:val="0"/>
        <w:kinsoku/>
        <w:wordWrap w:val="0"/>
        <w:overflowPunct/>
        <w:topLinePunct w:val="0"/>
        <w:bidi w:val="0"/>
        <w:spacing w:before="10"/>
        <w:rPr>
          <w:rFonts w:asciiTheme="minorEastAsia" w:hAnsiTheme="minorEastAsia" w:eastAsiaTheme="minorEastAsia" w:cstheme="minorEastAsia"/>
          <w:color w:val="auto"/>
          <w:sz w:val="24"/>
          <w:szCs w:val="24"/>
          <w:highlight w:val="none"/>
          <w:lang w:eastAsia="zh-CN"/>
        </w:rPr>
      </w:pPr>
    </w:p>
    <w:p w14:paraId="3CD6A636">
      <w:pPr>
        <w:pStyle w:val="13"/>
        <w:keepNext w:val="0"/>
        <w:keepLines w:val="0"/>
        <w:pageBreakBefore w:val="0"/>
        <w:kinsoku/>
        <w:wordWrap w:val="0"/>
        <w:overflowPunct/>
        <w:topLinePunct w:val="0"/>
        <w:bidi w:val="0"/>
        <w:spacing w:before="36"/>
        <w:ind w:left="52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特此证明。</w:t>
      </w:r>
    </w:p>
    <w:p w14:paraId="12485AE7">
      <w:pPr>
        <w:pStyle w:val="13"/>
        <w:keepNext w:val="0"/>
        <w:keepLines w:val="0"/>
        <w:pageBreakBefore w:val="0"/>
        <w:kinsoku/>
        <w:wordWrap w:val="0"/>
        <w:overflowPunct/>
        <w:topLinePunct w:val="0"/>
        <w:bidi w:val="0"/>
        <w:rPr>
          <w:rFonts w:asciiTheme="minorEastAsia" w:hAnsiTheme="minorEastAsia" w:eastAsiaTheme="minorEastAsia" w:cstheme="minorEastAsia"/>
          <w:color w:val="auto"/>
          <w:sz w:val="24"/>
          <w:szCs w:val="24"/>
          <w:highlight w:val="none"/>
          <w:lang w:eastAsia="zh-CN"/>
        </w:rPr>
      </w:pPr>
    </w:p>
    <w:p w14:paraId="1B702BB7">
      <w:pPr>
        <w:pStyle w:val="13"/>
        <w:keepNext w:val="0"/>
        <w:keepLines w:val="0"/>
        <w:pageBreakBefore w:val="0"/>
        <w:kinsoku/>
        <w:wordWrap w:val="0"/>
        <w:overflowPunct/>
        <w:topLinePunct w:val="0"/>
        <w:bidi w:val="0"/>
        <w:spacing w:before="4"/>
        <w:rPr>
          <w:rFonts w:asciiTheme="minorEastAsia" w:hAnsiTheme="minorEastAsia" w:eastAsiaTheme="minorEastAsia" w:cstheme="minorEastAsia"/>
          <w:color w:val="auto"/>
          <w:sz w:val="24"/>
          <w:szCs w:val="24"/>
          <w:highlight w:val="none"/>
          <w:lang w:eastAsia="zh-CN"/>
        </w:rPr>
      </w:pPr>
    </w:p>
    <w:p w14:paraId="254E8C62">
      <w:pPr>
        <w:pStyle w:val="13"/>
        <w:keepNext w:val="0"/>
        <w:keepLines w:val="0"/>
        <w:pageBreakBefore w:val="0"/>
        <w:kinsoku/>
        <w:wordWrap w:val="0"/>
        <w:overflowPunct/>
        <w:topLinePunct w:val="0"/>
        <w:bidi w:val="0"/>
        <w:ind w:left="10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附：法定代表人身份证复印件。</w:t>
      </w:r>
    </w:p>
    <w:p w14:paraId="564B2C3C">
      <w:pPr>
        <w:pStyle w:val="13"/>
        <w:keepNext w:val="0"/>
        <w:keepLines w:val="0"/>
        <w:pageBreakBefore w:val="0"/>
        <w:kinsoku/>
        <w:wordWrap w:val="0"/>
        <w:overflowPunct/>
        <w:topLinePunct w:val="0"/>
        <w:bidi w:val="0"/>
        <w:rPr>
          <w:rFonts w:asciiTheme="minorEastAsia" w:hAnsiTheme="minorEastAsia" w:eastAsiaTheme="minorEastAsia" w:cstheme="minorEastAsia"/>
          <w:color w:val="auto"/>
          <w:sz w:val="24"/>
          <w:szCs w:val="24"/>
          <w:highlight w:val="none"/>
          <w:lang w:eastAsia="zh-CN"/>
        </w:rPr>
      </w:pPr>
    </w:p>
    <w:p w14:paraId="617EDFD5">
      <w:pPr>
        <w:pStyle w:val="13"/>
        <w:keepNext w:val="0"/>
        <w:keepLines w:val="0"/>
        <w:pageBreakBefore w:val="0"/>
        <w:kinsoku/>
        <w:wordWrap w:val="0"/>
        <w:overflowPunct/>
        <w:topLinePunct w:val="0"/>
        <w:bidi w:val="0"/>
        <w:spacing w:before="1"/>
        <w:rPr>
          <w:rFonts w:asciiTheme="minorEastAsia" w:hAnsiTheme="minorEastAsia" w:eastAsiaTheme="minorEastAsia" w:cstheme="minorEastAsia"/>
          <w:color w:val="auto"/>
          <w:sz w:val="24"/>
          <w:szCs w:val="24"/>
          <w:highlight w:val="none"/>
          <w:lang w:eastAsia="zh-CN"/>
        </w:rPr>
      </w:pPr>
    </w:p>
    <w:p w14:paraId="06B76EC2">
      <w:pPr>
        <w:pStyle w:val="13"/>
        <w:keepNext w:val="0"/>
        <w:keepLines w:val="0"/>
        <w:pageBreakBefore w:val="0"/>
        <w:kinsoku/>
        <w:wordWrap w:val="0"/>
        <w:overflowPunct/>
        <w:topLinePunct w:val="0"/>
        <w:bidi w:val="0"/>
        <w:ind w:left="100"/>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注：本身份证明需由供应商加盖单位公章。</w:t>
      </w:r>
    </w:p>
    <w:p w14:paraId="6FA93A6F">
      <w:pPr>
        <w:pStyle w:val="13"/>
        <w:keepNext w:val="0"/>
        <w:keepLines w:val="0"/>
        <w:pageBreakBefore w:val="0"/>
        <w:kinsoku/>
        <w:wordWrap w:val="0"/>
        <w:overflowPunct/>
        <w:topLinePunct w:val="0"/>
        <w:bidi w:val="0"/>
        <w:rPr>
          <w:rFonts w:asciiTheme="minorEastAsia" w:hAnsiTheme="minorEastAsia" w:eastAsiaTheme="minorEastAsia" w:cstheme="minorEastAsia"/>
          <w:color w:val="auto"/>
          <w:sz w:val="24"/>
          <w:szCs w:val="24"/>
          <w:highlight w:val="none"/>
          <w:lang w:eastAsia="zh-CN"/>
        </w:rPr>
      </w:pPr>
    </w:p>
    <w:p w14:paraId="17AEAACB">
      <w:pPr>
        <w:pStyle w:val="13"/>
        <w:keepNext w:val="0"/>
        <w:keepLines w:val="0"/>
        <w:pageBreakBefore w:val="0"/>
        <w:kinsoku/>
        <w:wordWrap w:val="0"/>
        <w:overflowPunct/>
        <w:topLinePunct w:val="0"/>
        <w:bidi w:val="0"/>
        <w:rPr>
          <w:rFonts w:asciiTheme="minorEastAsia" w:hAnsiTheme="minorEastAsia" w:eastAsiaTheme="minorEastAsia" w:cstheme="minorEastAsia"/>
          <w:color w:val="auto"/>
          <w:sz w:val="24"/>
          <w:szCs w:val="24"/>
          <w:highlight w:val="none"/>
          <w:lang w:eastAsia="zh-CN"/>
        </w:rPr>
      </w:pPr>
    </w:p>
    <w:p w14:paraId="6F7B0197">
      <w:pPr>
        <w:pStyle w:val="13"/>
        <w:keepNext w:val="0"/>
        <w:keepLines w:val="0"/>
        <w:pageBreakBefore w:val="0"/>
        <w:kinsoku/>
        <w:wordWrap w:val="0"/>
        <w:overflowPunct/>
        <w:topLinePunct w:val="0"/>
        <w:bidi w:val="0"/>
        <w:rPr>
          <w:rFonts w:asciiTheme="minorEastAsia" w:hAnsiTheme="minorEastAsia" w:eastAsiaTheme="minorEastAsia" w:cstheme="minorEastAsia"/>
          <w:color w:val="auto"/>
          <w:sz w:val="24"/>
          <w:szCs w:val="24"/>
          <w:highlight w:val="none"/>
          <w:lang w:eastAsia="zh-CN"/>
        </w:rPr>
      </w:pPr>
    </w:p>
    <w:p w14:paraId="705BF886">
      <w:pPr>
        <w:pStyle w:val="13"/>
        <w:keepNext w:val="0"/>
        <w:keepLines w:val="0"/>
        <w:pageBreakBefore w:val="0"/>
        <w:kinsoku/>
        <w:wordWrap w:val="0"/>
        <w:overflowPunct/>
        <w:topLinePunct w:val="0"/>
        <w:bidi w:val="0"/>
        <w:rPr>
          <w:rFonts w:asciiTheme="minorEastAsia" w:hAnsiTheme="minorEastAsia" w:eastAsiaTheme="minorEastAsia" w:cstheme="minorEastAsia"/>
          <w:color w:val="auto"/>
          <w:sz w:val="24"/>
          <w:szCs w:val="24"/>
          <w:highlight w:val="none"/>
          <w:lang w:eastAsia="zh-CN"/>
        </w:rPr>
      </w:pPr>
    </w:p>
    <w:p w14:paraId="2C488D10">
      <w:pPr>
        <w:pStyle w:val="13"/>
        <w:keepNext w:val="0"/>
        <w:keepLines w:val="0"/>
        <w:pageBreakBefore w:val="0"/>
        <w:kinsoku/>
        <w:wordWrap w:val="0"/>
        <w:overflowPunct/>
        <w:topLinePunct w:val="0"/>
        <w:bidi w:val="0"/>
        <w:rPr>
          <w:rFonts w:asciiTheme="minorEastAsia" w:hAnsiTheme="minorEastAsia" w:eastAsiaTheme="minorEastAsia" w:cstheme="minorEastAsia"/>
          <w:color w:val="auto"/>
          <w:sz w:val="24"/>
          <w:szCs w:val="24"/>
          <w:highlight w:val="none"/>
          <w:lang w:eastAsia="zh-CN"/>
        </w:rPr>
      </w:pPr>
    </w:p>
    <w:p w14:paraId="073B9A98">
      <w:pPr>
        <w:pStyle w:val="13"/>
        <w:keepNext w:val="0"/>
        <w:keepLines w:val="0"/>
        <w:pageBreakBefore w:val="0"/>
        <w:kinsoku/>
        <w:wordWrap w:val="0"/>
        <w:overflowPunct/>
        <w:topLinePunct w:val="0"/>
        <w:bidi w:val="0"/>
        <w:rPr>
          <w:rFonts w:asciiTheme="minorEastAsia" w:hAnsiTheme="minorEastAsia" w:eastAsiaTheme="minorEastAsia" w:cstheme="minorEastAsia"/>
          <w:color w:val="auto"/>
          <w:sz w:val="24"/>
          <w:szCs w:val="24"/>
          <w:highlight w:val="none"/>
          <w:lang w:eastAsia="zh-CN"/>
        </w:rPr>
      </w:pPr>
    </w:p>
    <w:p w14:paraId="42D7E217">
      <w:pPr>
        <w:pStyle w:val="13"/>
        <w:keepNext w:val="0"/>
        <w:keepLines w:val="0"/>
        <w:pageBreakBefore w:val="0"/>
        <w:kinsoku/>
        <w:wordWrap w:val="0"/>
        <w:overflowPunct/>
        <w:topLinePunct w:val="0"/>
        <w:bidi w:val="0"/>
        <w:rPr>
          <w:rFonts w:asciiTheme="minorEastAsia" w:hAnsiTheme="minorEastAsia" w:eastAsiaTheme="minorEastAsia" w:cstheme="minorEastAsia"/>
          <w:color w:val="auto"/>
          <w:sz w:val="24"/>
          <w:szCs w:val="24"/>
          <w:highlight w:val="none"/>
          <w:lang w:eastAsia="zh-CN"/>
        </w:rPr>
      </w:pPr>
    </w:p>
    <w:p w14:paraId="1E95AEAC">
      <w:pPr>
        <w:pStyle w:val="13"/>
        <w:keepNext w:val="0"/>
        <w:keepLines w:val="0"/>
        <w:pageBreakBefore w:val="0"/>
        <w:kinsoku/>
        <w:wordWrap w:val="0"/>
        <w:overflowPunct/>
        <w:topLinePunct w:val="0"/>
        <w:bidi w:val="0"/>
        <w:rPr>
          <w:rFonts w:asciiTheme="minorEastAsia" w:hAnsiTheme="minorEastAsia" w:eastAsiaTheme="minorEastAsia" w:cstheme="minorEastAsia"/>
          <w:color w:val="auto"/>
          <w:sz w:val="24"/>
          <w:szCs w:val="24"/>
          <w:highlight w:val="none"/>
          <w:lang w:eastAsia="zh-CN"/>
        </w:rPr>
      </w:pPr>
    </w:p>
    <w:p w14:paraId="51529AF6">
      <w:pPr>
        <w:pStyle w:val="13"/>
        <w:keepNext w:val="0"/>
        <w:keepLines w:val="0"/>
        <w:pageBreakBefore w:val="0"/>
        <w:kinsoku/>
        <w:wordWrap w:val="0"/>
        <w:overflowPunct/>
        <w:topLinePunct w:val="0"/>
        <w:bidi w:val="0"/>
        <w:spacing w:before="1"/>
        <w:rPr>
          <w:rFonts w:asciiTheme="minorEastAsia" w:hAnsiTheme="minorEastAsia" w:eastAsiaTheme="minorEastAsia" w:cstheme="minorEastAsia"/>
          <w:color w:val="auto"/>
          <w:sz w:val="24"/>
          <w:szCs w:val="24"/>
          <w:highlight w:val="none"/>
          <w:lang w:eastAsia="zh-CN"/>
        </w:rPr>
      </w:pPr>
    </w:p>
    <w:p w14:paraId="72A1D8A6">
      <w:pPr>
        <w:pStyle w:val="13"/>
        <w:keepNext w:val="0"/>
        <w:keepLines w:val="0"/>
        <w:pageBreakBefore w:val="0"/>
        <w:tabs>
          <w:tab w:val="left" w:pos="6521"/>
        </w:tabs>
        <w:kinsoku/>
        <w:wordWrap w:val="0"/>
        <w:overflowPunct/>
        <w:topLinePunct w:val="0"/>
        <w:bidi w:val="0"/>
        <w:spacing w:before="37"/>
        <w:ind w:left="4212"/>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（盖单位章）</w:t>
      </w:r>
    </w:p>
    <w:p w14:paraId="47D2BE5A">
      <w:pPr>
        <w:pStyle w:val="13"/>
        <w:keepNext w:val="0"/>
        <w:keepLines w:val="0"/>
        <w:pageBreakBefore w:val="0"/>
        <w:kinsoku/>
        <w:wordWrap w:val="0"/>
        <w:overflowPunct/>
        <w:topLinePunct w:val="0"/>
        <w:bidi w:val="0"/>
        <w:rPr>
          <w:rFonts w:asciiTheme="minorEastAsia" w:hAnsiTheme="minorEastAsia" w:eastAsiaTheme="minorEastAsia" w:cstheme="minorEastAsia"/>
          <w:color w:val="auto"/>
          <w:sz w:val="24"/>
          <w:szCs w:val="24"/>
          <w:highlight w:val="none"/>
          <w:lang w:eastAsia="zh-CN"/>
        </w:rPr>
      </w:pPr>
    </w:p>
    <w:p w14:paraId="11E0F3E4">
      <w:pPr>
        <w:pStyle w:val="13"/>
        <w:keepNext w:val="0"/>
        <w:keepLines w:val="0"/>
        <w:pageBreakBefore w:val="0"/>
        <w:kinsoku/>
        <w:wordWrap w:val="0"/>
        <w:overflowPunct/>
        <w:topLinePunct w:val="0"/>
        <w:bidi w:val="0"/>
        <w:spacing w:before="7"/>
        <w:rPr>
          <w:rFonts w:asciiTheme="minorEastAsia" w:hAnsiTheme="minorEastAsia" w:eastAsiaTheme="minorEastAsia" w:cstheme="minorEastAsia"/>
          <w:color w:val="auto"/>
          <w:sz w:val="24"/>
          <w:szCs w:val="24"/>
          <w:highlight w:val="none"/>
          <w:lang w:eastAsia="zh-CN"/>
        </w:rPr>
      </w:pPr>
    </w:p>
    <w:p w14:paraId="11406FA9">
      <w:pPr>
        <w:pStyle w:val="13"/>
        <w:keepNext w:val="0"/>
        <w:keepLines w:val="0"/>
        <w:pageBreakBefore w:val="0"/>
        <w:tabs>
          <w:tab w:val="left" w:pos="5352"/>
          <w:tab w:val="left" w:pos="6192"/>
          <w:tab w:val="left" w:pos="7032"/>
        </w:tabs>
        <w:kinsoku/>
        <w:wordWrap w:val="0"/>
        <w:overflowPunct/>
        <w:topLinePunct w:val="0"/>
        <w:bidi w:val="0"/>
        <w:spacing w:before="36"/>
        <w:ind w:left="4721"/>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日</w:t>
      </w:r>
    </w:p>
    <w:p w14:paraId="53F5676A">
      <w:pPr>
        <w:keepNext w:val="0"/>
        <w:keepLines w:val="0"/>
        <w:pageBreakBefore w:val="0"/>
        <w:kinsoku/>
        <w:wordWrap w:val="0"/>
        <w:overflowPunct/>
        <w:topLinePunct w:val="0"/>
        <w:bidi w:val="0"/>
        <w:rPr>
          <w:rFonts w:asciiTheme="minorEastAsia" w:hAnsiTheme="minorEastAsia" w:eastAsiaTheme="minorEastAsia" w:cstheme="minorEastAsia"/>
          <w:color w:val="auto"/>
          <w:sz w:val="21"/>
          <w:szCs w:val="21"/>
          <w:highlight w:val="none"/>
          <w:lang w:eastAsia="zh-CN"/>
        </w:rPr>
        <w:sectPr>
          <w:pgSz w:w="11906" w:h="16838"/>
          <w:pgMar w:top="1440" w:right="1080" w:bottom="1440" w:left="1080" w:header="0" w:footer="921" w:gutter="0"/>
          <w:pgNumType w:fmt="decimal"/>
          <w:cols w:space="720" w:num="1"/>
        </w:sectPr>
      </w:pPr>
    </w:p>
    <w:p w14:paraId="2C6A0AE8">
      <w:pPr>
        <w:keepNext w:val="0"/>
        <w:keepLines w:val="0"/>
        <w:pageBreakBefore w:val="0"/>
        <w:kinsoku/>
        <w:wordWrap w:val="0"/>
        <w:overflowPunct/>
        <w:topLinePunct w:val="0"/>
        <w:bidi w:val="0"/>
        <w:spacing w:afterLines="100"/>
        <w:jc w:val="center"/>
        <w:rPr>
          <w:rFonts w:asciiTheme="minorEastAsia" w:hAnsiTheme="minorEastAsia" w:eastAsiaTheme="minorEastAsia" w:cstheme="minorEastAsia"/>
          <w:b/>
          <w:bCs/>
          <w:color w:val="auto"/>
          <w:sz w:val="32"/>
          <w:szCs w:val="32"/>
          <w:highlight w:val="none"/>
          <w:lang w:eastAsia="zh-CN"/>
        </w:rPr>
      </w:pPr>
      <w:bookmarkStart w:id="193" w:name="_bookmark199"/>
      <w:bookmarkEnd w:id="193"/>
      <w:r>
        <w:rPr>
          <w:rFonts w:hint="eastAsia" w:asciiTheme="minorEastAsia" w:hAnsiTheme="minorEastAsia" w:eastAsiaTheme="minorEastAsia" w:cstheme="minorEastAsia"/>
          <w:b/>
          <w:bCs/>
          <w:color w:val="auto"/>
          <w:sz w:val="32"/>
          <w:szCs w:val="32"/>
          <w:highlight w:val="none"/>
          <w:lang w:eastAsia="zh-CN"/>
        </w:rPr>
        <w:t>四、授权委托书</w:t>
      </w:r>
    </w:p>
    <w:p w14:paraId="50694F75">
      <w:pPr>
        <w:pStyle w:val="13"/>
        <w:keepNext w:val="0"/>
        <w:keepLines w:val="0"/>
        <w:pageBreakBefore w:val="0"/>
        <w:kinsoku/>
        <w:wordWrap w:val="0"/>
        <w:overflowPunct/>
        <w:topLinePunct w:val="0"/>
        <w:bidi w:val="0"/>
        <w:rPr>
          <w:rFonts w:asciiTheme="minorEastAsia" w:hAnsiTheme="minorEastAsia" w:eastAsiaTheme="minorEastAsia" w:cstheme="minorEastAsia"/>
          <w:b/>
          <w:color w:val="auto"/>
          <w:sz w:val="32"/>
          <w:highlight w:val="none"/>
          <w:lang w:eastAsia="zh-CN"/>
        </w:rPr>
      </w:pPr>
    </w:p>
    <w:p w14:paraId="483BF8AA">
      <w:pPr>
        <w:pStyle w:val="13"/>
        <w:keepNext w:val="0"/>
        <w:keepLines w:val="0"/>
        <w:pageBreakBefore w:val="0"/>
        <w:kinsoku/>
        <w:wordWrap w:val="0"/>
        <w:overflowPunct/>
        <w:topLinePunct w:val="0"/>
        <w:bidi w:val="0"/>
        <w:spacing w:before="4"/>
        <w:rPr>
          <w:rFonts w:asciiTheme="minorEastAsia" w:hAnsiTheme="minorEastAsia" w:eastAsiaTheme="minorEastAsia" w:cstheme="minorEastAsia"/>
          <w:b/>
          <w:color w:val="auto"/>
          <w:sz w:val="32"/>
          <w:highlight w:val="none"/>
          <w:lang w:eastAsia="zh-CN"/>
        </w:rPr>
      </w:pPr>
    </w:p>
    <w:p w14:paraId="6719446B">
      <w:pPr>
        <w:pStyle w:val="13"/>
        <w:keepNext w:val="0"/>
        <w:keepLines w:val="0"/>
        <w:pageBreakBefore w:val="0"/>
        <w:widowControl w:val="0"/>
        <w:tabs>
          <w:tab w:val="left" w:pos="2421"/>
          <w:tab w:val="left" w:pos="5585"/>
        </w:tabs>
        <w:kinsoku/>
        <w:wordWrap w:val="0"/>
        <w:overflowPunct/>
        <w:topLinePunct w:val="0"/>
        <w:autoSpaceDE/>
        <w:autoSpaceDN/>
        <w:bidi w:val="0"/>
        <w:adjustRightInd/>
        <w:snapToGrid/>
        <w:spacing w:line="360" w:lineRule="auto"/>
        <w:ind w:left="0" w:right="0" w:firstLine="480" w:firstLineChars="200"/>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本人</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（姓名）系</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（供应商名称）的法定代表人，现委托</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（姓名）为我方代理人。代理人根据授权，以我方名义签署、澄清确认、递</w:t>
      </w:r>
      <w:r>
        <w:rPr>
          <w:rFonts w:hint="eastAsia" w:asciiTheme="minorEastAsia" w:hAnsiTheme="minorEastAsia" w:eastAsiaTheme="minorEastAsia" w:cstheme="minorEastAsia"/>
          <w:color w:val="auto"/>
          <w:spacing w:val="-2"/>
          <w:sz w:val="24"/>
          <w:szCs w:val="24"/>
          <w:highlight w:val="none"/>
          <w:lang w:eastAsia="zh-CN"/>
        </w:rPr>
        <w:t xml:space="preserve">交、撤回、修改招标项目响应文件、签订合同和处理有关事宜，其法律后果由我方承担。 </w:t>
      </w:r>
      <w:r>
        <w:rPr>
          <w:rFonts w:hint="eastAsia" w:asciiTheme="minorEastAsia" w:hAnsiTheme="minorEastAsia" w:eastAsiaTheme="minorEastAsia" w:cstheme="minorEastAsia"/>
          <w:color w:val="auto"/>
          <w:sz w:val="24"/>
          <w:szCs w:val="24"/>
          <w:highlight w:val="none"/>
          <w:lang w:eastAsia="zh-CN"/>
        </w:rPr>
        <w:t>委托期限：</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w:t>
      </w:r>
    </w:p>
    <w:p w14:paraId="03A4EBB4">
      <w:pPr>
        <w:pStyle w:val="13"/>
        <w:keepNext w:val="0"/>
        <w:keepLines w:val="0"/>
        <w:pageBreakBefore w:val="0"/>
        <w:widowControl w:val="0"/>
        <w:kinsoku/>
        <w:wordWrap w:val="0"/>
        <w:overflowPunct/>
        <w:topLinePunct w:val="0"/>
        <w:autoSpaceDE/>
        <w:autoSpaceDN/>
        <w:bidi w:val="0"/>
        <w:adjustRightInd/>
        <w:snapToGrid/>
        <w:spacing w:before="36" w:line="360" w:lineRule="auto"/>
        <w:ind w:left="0" w:right="0"/>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代理人无转委托权。</w:t>
      </w:r>
    </w:p>
    <w:p w14:paraId="0A234B17">
      <w:pPr>
        <w:pStyle w:val="13"/>
        <w:keepNext w:val="0"/>
        <w:keepLines w:val="0"/>
        <w:pageBreakBefore w:val="0"/>
        <w:kinsoku/>
        <w:wordWrap w:val="0"/>
        <w:overflowPunct/>
        <w:topLinePunct w:val="0"/>
        <w:bidi w:val="0"/>
        <w:rPr>
          <w:rFonts w:asciiTheme="minorEastAsia" w:hAnsiTheme="minorEastAsia" w:eastAsiaTheme="minorEastAsia" w:cstheme="minorEastAsia"/>
          <w:color w:val="auto"/>
          <w:sz w:val="24"/>
          <w:szCs w:val="24"/>
          <w:highlight w:val="none"/>
          <w:lang w:eastAsia="zh-CN"/>
        </w:rPr>
      </w:pPr>
    </w:p>
    <w:p w14:paraId="4BEE9C4A">
      <w:pPr>
        <w:pStyle w:val="13"/>
        <w:keepNext w:val="0"/>
        <w:keepLines w:val="0"/>
        <w:pageBreakBefore w:val="0"/>
        <w:kinsoku/>
        <w:wordWrap w:val="0"/>
        <w:overflowPunct/>
        <w:topLinePunct w:val="0"/>
        <w:bidi w:val="0"/>
        <w:spacing w:before="4"/>
        <w:rPr>
          <w:rFonts w:asciiTheme="minorEastAsia" w:hAnsiTheme="minorEastAsia" w:eastAsiaTheme="minorEastAsia" w:cstheme="minorEastAsia"/>
          <w:color w:val="auto"/>
          <w:sz w:val="24"/>
          <w:szCs w:val="24"/>
          <w:highlight w:val="none"/>
          <w:lang w:eastAsia="zh-CN"/>
        </w:rPr>
      </w:pPr>
    </w:p>
    <w:p w14:paraId="0035E193">
      <w:pPr>
        <w:pStyle w:val="13"/>
        <w:keepNext w:val="0"/>
        <w:keepLines w:val="0"/>
        <w:pageBreakBefore w:val="0"/>
        <w:kinsoku/>
        <w:wordWrap w:val="0"/>
        <w:overflowPunct/>
        <w:topLinePunct w:val="0"/>
        <w:bidi w:val="0"/>
        <w:ind w:left="100" w:right="108"/>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附：法定代表人身份证复印件及委托代理人身份证复印件</w:t>
      </w:r>
    </w:p>
    <w:p w14:paraId="67ADAE10">
      <w:pPr>
        <w:pStyle w:val="13"/>
        <w:keepNext w:val="0"/>
        <w:keepLines w:val="0"/>
        <w:pageBreakBefore w:val="0"/>
        <w:kinsoku/>
        <w:wordWrap w:val="0"/>
        <w:overflowPunct/>
        <w:topLinePunct w:val="0"/>
        <w:bidi w:val="0"/>
        <w:rPr>
          <w:rFonts w:asciiTheme="minorEastAsia" w:hAnsiTheme="minorEastAsia" w:eastAsiaTheme="minorEastAsia" w:cstheme="minorEastAsia"/>
          <w:color w:val="auto"/>
          <w:sz w:val="24"/>
          <w:szCs w:val="24"/>
          <w:highlight w:val="none"/>
          <w:lang w:eastAsia="zh-CN"/>
        </w:rPr>
      </w:pPr>
    </w:p>
    <w:p w14:paraId="6AEFAB09">
      <w:pPr>
        <w:pStyle w:val="13"/>
        <w:keepNext w:val="0"/>
        <w:keepLines w:val="0"/>
        <w:pageBreakBefore w:val="0"/>
        <w:kinsoku/>
        <w:wordWrap w:val="0"/>
        <w:overflowPunct/>
        <w:topLinePunct w:val="0"/>
        <w:bidi w:val="0"/>
        <w:spacing w:before="1"/>
        <w:rPr>
          <w:rFonts w:asciiTheme="minorEastAsia" w:hAnsiTheme="minorEastAsia" w:eastAsiaTheme="minorEastAsia" w:cstheme="minorEastAsia"/>
          <w:color w:val="auto"/>
          <w:sz w:val="24"/>
          <w:szCs w:val="24"/>
          <w:highlight w:val="none"/>
          <w:lang w:eastAsia="zh-CN"/>
        </w:rPr>
      </w:pPr>
    </w:p>
    <w:p w14:paraId="2B855F07">
      <w:pPr>
        <w:pStyle w:val="13"/>
        <w:keepNext w:val="0"/>
        <w:keepLines w:val="0"/>
        <w:pageBreakBefore w:val="0"/>
        <w:kinsoku/>
        <w:wordWrap w:val="0"/>
        <w:overflowPunct/>
        <w:topLinePunct w:val="0"/>
        <w:bidi w:val="0"/>
        <w:ind w:left="100" w:right="108"/>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注：本授权委托书需由供应商加盖单位公章并由其法定代表人和委托代理人签字。</w:t>
      </w:r>
    </w:p>
    <w:p w14:paraId="60E05F84">
      <w:pPr>
        <w:pStyle w:val="13"/>
        <w:keepNext w:val="0"/>
        <w:keepLines w:val="0"/>
        <w:pageBreakBefore w:val="0"/>
        <w:kinsoku/>
        <w:wordWrap w:val="0"/>
        <w:overflowPunct/>
        <w:topLinePunct w:val="0"/>
        <w:bidi w:val="0"/>
        <w:rPr>
          <w:rFonts w:asciiTheme="minorEastAsia" w:hAnsiTheme="minorEastAsia" w:eastAsiaTheme="minorEastAsia" w:cstheme="minorEastAsia"/>
          <w:color w:val="auto"/>
          <w:sz w:val="24"/>
          <w:szCs w:val="24"/>
          <w:highlight w:val="none"/>
          <w:lang w:eastAsia="zh-CN"/>
        </w:rPr>
      </w:pPr>
    </w:p>
    <w:p w14:paraId="31316DEA">
      <w:pPr>
        <w:pStyle w:val="13"/>
        <w:keepNext w:val="0"/>
        <w:keepLines w:val="0"/>
        <w:pageBreakBefore w:val="0"/>
        <w:kinsoku/>
        <w:wordWrap w:val="0"/>
        <w:overflowPunct/>
        <w:topLinePunct w:val="0"/>
        <w:bidi w:val="0"/>
        <w:rPr>
          <w:rFonts w:asciiTheme="minorEastAsia" w:hAnsiTheme="minorEastAsia" w:eastAsiaTheme="minorEastAsia" w:cstheme="minorEastAsia"/>
          <w:color w:val="auto"/>
          <w:sz w:val="24"/>
          <w:szCs w:val="24"/>
          <w:highlight w:val="none"/>
          <w:lang w:eastAsia="zh-CN"/>
        </w:rPr>
      </w:pPr>
    </w:p>
    <w:p w14:paraId="1F46C460">
      <w:pPr>
        <w:pStyle w:val="13"/>
        <w:keepNext w:val="0"/>
        <w:keepLines w:val="0"/>
        <w:pageBreakBefore w:val="0"/>
        <w:kinsoku/>
        <w:wordWrap w:val="0"/>
        <w:overflowPunct/>
        <w:topLinePunct w:val="0"/>
        <w:bidi w:val="0"/>
        <w:rPr>
          <w:rFonts w:asciiTheme="minorEastAsia" w:hAnsiTheme="minorEastAsia" w:eastAsiaTheme="minorEastAsia" w:cstheme="minorEastAsia"/>
          <w:color w:val="auto"/>
          <w:sz w:val="24"/>
          <w:szCs w:val="24"/>
          <w:highlight w:val="none"/>
          <w:lang w:eastAsia="zh-CN"/>
        </w:rPr>
      </w:pPr>
    </w:p>
    <w:p w14:paraId="7FED2CFF">
      <w:pPr>
        <w:pStyle w:val="13"/>
        <w:keepNext w:val="0"/>
        <w:keepLines w:val="0"/>
        <w:pageBreakBefore w:val="0"/>
        <w:kinsoku/>
        <w:wordWrap w:val="0"/>
        <w:overflowPunct/>
        <w:topLinePunct w:val="0"/>
        <w:bidi w:val="0"/>
        <w:rPr>
          <w:rFonts w:asciiTheme="minorEastAsia" w:hAnsiTheme="minorEastAsia" w:eastAsiaTheme="minorEastAsia" w:cstheme="minorEastAsia"/>
          <w:color w:val="auto"/>
          <w:sz w:val="24"/>
          <w:szCs w:val="24"/>
          <w:highlight w:val="none"/>
          <w:lang w:eastAsia="zh-CN"/>
        </w:rPr>
      </w:pPr>
    </w:p>
    <w:p w14:paraId="64323E79">
      <w:pPr>
        <w:pStyle w:val="13"/>
        <w:keepNext w:val="0"/>
        <w:keepLines w:val="0"/>
        <w:pageBreakBefore w:val="0"/>
        <w:kinsoku/>
        <w:wordWrap w:val="0"/>
        <w:overflowPunct/>
        <w:topLinePunct w:val="0"/>
        <w:bidi w:val="0"/>
        <w:rPr>
          <w:rFonts w:asciiTheme="minorEastAsia" w:hAnsiTheme="minorEastAsia" w:eastAsiaTheme="minorEastAsia" w:cstheme="minorEastAsia"/>
          <w:color w:val="auto"/>
          <w:sz w:val="24"/>
          <w:szCs w:val="24"/>
          <w:highlight w:val="none"/>
          <w:lang w:eastAsia="zh-CN"/>
        </w:rPr>
      </w:pPr>
    </w:p>
    <w:p w14:paraId="3FDD6541">
      <w:pPr>
        <w:pStyle w:val="13"/>
        <w:keepNext w:val="0"/>
        <w:keepLines w:val="0"/>
        <w:pageBreakBefore w:val="0"/>
        <w:kinsoku/>
        <w:wordWrap w:val="0"/>
        <w:overflowPunct/>
        <w:topLinePunct w:val="0"/>
        <w:bidi w:val="0"/>
        <w:rPr>
          <w:rFonts w:asciiTheme="minorEastAsia" w:hAnsiTheme="minorEastAsia" w:eastAsiaTheme="minorEastAsia" w:cstheme="minorEastAsia"/>
          <w:color w:val="auto"/>
          <w:sz w:val="24"/>
          <w:szCs w:val="24"/>
          <w:highlight w:val="none"/>
          <w:lang w:eastAsia="zh-CN"/>
        </w:rPr>
      </w:pPr>
    </w:p>
    <w:p w14:paraId="2579C7CA">
      <w:pPr>
        <w:pStyle w:val="13"/>
        <w:keepNext w:val="0"/>
        <w:keepLines w:val="0"/>
        <w:pageBreakBefore w:val="0"/>
        <w:kinsoku/>
        <w:wordWrap w:val="0"/>
        <w:overflowPunct/>
        <w:topLinePunct w:val="0"/>
        <w:bidi w:val="0"/>
        <w:spacing w:before="4"/>
        <w:rPr>
          <w:rFonts w:asciiTheme="minorEastAsia" w:hAnsiTheme="minorEastAsia" w:eastAsiaTheme="minorEastAsia" w:cstheme="minorEastAsia"/>
          <w:color w:val="auto"/>
          <w:sz w:val="24"/>
          <w:szCs w:val="24"/>
          <w:highlight w:val="none"/>
          <w:lang w:eastAsia="zh-CN"/>
        </w:rPr>
      </w:pPr>
    </w:p>
    <w:p w14:paraId="24EED995">
      <w:pPr>
        <w:pStyle w:val="13"/>
        <w:keepNext w:val="0"/>
        <w:keepLines w:val="0"/>
        <w:pageBreakBefore w:val="0"/>
        <w:widowControl w:val="0"/>
        <w:tabs>
          <w:tab w:val="left" w:pos="3216"/>
          <w:tab w:val="left" w:pos="3636"/>
          <w:tab w:val="left" w:pos="7241"/>
        </w:tabs>
        <w:kinsoku/>
        <w:wordWrap w:val="0"/>
        <w:overflowPunct/>
        <w:topLinePunct w:val="0"/>
        <w:autoSpaceDE/>
        <w:autoSpaceDN/>
        <w:bidi w:val="0"/>
        <w:adjustRightInd/>
        <w:snapToGrid/>
        <w:ind w:left="2793" w:right="108"/>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供  应  商</w:t>
      </w:r>
      <w:r>
        <w:rPr>
          <w:rFonts w:hint="eastAsia" w:asciiTheme="minorEastAsia" w:hAnsiTheme="minorEastAsia" w:eastAsiaTheme="minorEastAsia" w:cstheme="minorEastAsia"/>
          <w:color w:val="auto"/>
          <w:spacing w:val="-3"/>
          <w:sz w:val="24"/>
          <w:szCs w:val="24"/>
          <w:highlight w:val="none"/>
          <w:lang w:eastAsia="zh-CN"/>
        </w:rPr>
        <w:t>：</w:t>
      </w:r>
      <w:r>
        <w:rPr>
          <w:rFonts w:hint="eastAsia" w:asciiTheme="minorEastAsia" w:hAnsiTheme="minorEastAsia" w:eastAsiaTheme="minorEastAsia" w:cstheme="minorEastAsia"/>
          <w:color w:val="auto"/>
          <w:spacing w:val="-3"/>
          <w:sz w:val="24"/>
          <w:szCs w:val="24"/>
          <w:highlight w:val="none"/>
          <w:u w:val="single"/>
          <w:lang w:eastAsia="zh-CN"/>
        </w:rPr>
        <w:t xml:space="preserve"> </w:t>
      </w:r>
      <w:r>
        <w:rPr>
          <w:rFonts w:hint="eastAsia" w:asciiTheme="minorEastAsia" w:hAnsiTheme="minorEastAsia" w:eastAsiaTheme="minorEastAsia" w:cstheme="minorEastAsia"/>
          <w:color w:val="auto"/>
          <w:spacing w:val="-3"/>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（盖单位章）</w:t>
      </w:r>
    </w:p>
    <w:p w14:paraId="43E01F0C">
      <w:pPr>
        <w:pStyle w:val="13"/>
        <w:keepNext w:val="0"/>
        <w:keepLines w:val="0"/>
        <w:pageBreakBefore w:val="0"/>
        <w:widowControl w:val="0"/>
        <w:kinsoku/>
        <w:wordWrap w:val="0"/>
        <w:overflowPunct/>
        <w:topLinePunct w:val="0"/>
        <w:autoSpaceDE/>
        <w:autoSpaceDN/>
        <w:bidi w:val="0"/>
        <w:adjustRightInd/>
        <w:snapToGrid/>
        <w:spacing w:before="7"/>
        <w:textAlignment w:val="auto"/>
        <w:rPr>
          <w:rFonts w:asciiTheme="minorEastAsia" w:hAnsiTheme="minorEastAsia" w:eastAsiaTheme="minorEastAsia" w:cstheme="minorEastAsia"/>
          <w:color w:val="auto"/>
          <w:sz w:val="24"/>
          <w:szCs w:val="24"/>
          <w:highlight w:val="none"/>
          <w:lang w:eastAsia="zh-CN"/>
        </w:rPr>
      </w:pPr>
    </w:p>
    <w:p w14:paraId="3D84BB9B">
      <w:pPr>
        <w:pStyle w:val="13"/>
        <w:keepNext w:val="0"/>
        <w:keepLines w:val="0"/>
        <w:pageBreakBefore w:val="0"/>
        <w:widowControl w:val="0"/>
        <w:tabs>
          <w:tab w:val="left" w:pos="6401"/>
        </w:tabs>
        <w:kinsoku/>
        <w:wordWrap w:val="0"/>
        <w:overflowPunct/>
        <w:topLinePunct w:val="0"/>
        <w:autoSpaceDE/>
        <w:autoSpaceDN/>
        <w:bidi w:val="0"/>
        <w:adjustRightInd/>
        <w:snapToGrid/>
        <w:spacing w:before="36"/>
        <w:ind w:left="2791" w:right="108"/>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法定代表人：</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（签字）</w:t>
      </w:r>
    </w:p>
    <w:p w14:paraId="45E5D84F">
      <w:pPr>
        <w:pStyle w:val="13"/>
        <w:keepNext w:val="0"/>
        <w:keepLines w:val="0"/>
        <w:pageBreakBefore w:val="0"/>
        <w:widowControl w:val="0"/>
        <w:kinsoku/>
        <w:wordWrap w:val="0"/>
        <w:overflowPunct/>
        <w:topLinePunct w:val="0"/>
        <w:autoSpaceDE/>
        <w:autoSpaceDN/>
        <w:bidi w:val="0"/>
        <w:adjustRightInd/>
        <w:snapToGrid/>
        <w:spacing w:before="4"/>
        <w:textAlignment w:val="auto"/>
        <w:rPr>
          <w:rFonts w:asciiTheme="minorEastAsia" w:hAnsiTheme="minorEastAsia" w:eastAsiaTheme="minorEastAsia" w:cstheme="minorEastAsia"/>
          <w:color w:val="auto"/>
          <w:sz w:val="24"/>
          <w:szCs w:val="24"/>
          <w:highlight w:val="none"/>
          <w:lang w:eastAsia="zh-CN"/>
        </w:rPr>
      </w:pPr>
    </w:p>
    <w:p w14:paraId="5A6A31CB">
      <w:pPr>
        <w:pStyle w:val="13"/>
        <w:keepNext w:val="0"/>
        <w:keepLines w:val="0"/>
        <w:pageBreakBefore w:val="0"/>
        <w:widowControl w:val="0"/>
        <w:tabs>
          <w:tab w:val="left" w:pos="8549"/>
        </w:tabs>
        <w:kinsoku/>
        <w:wordWrap w:val="0"/>
        <w:overflowPunct/>
        <w:topLinePunct w:val="0"/>
        <w:autoSpaceDE/>
        <w:autoSpaceDN/>
        <w:bidi w:val="0"/>
        <w:adjustRightInd/>
        <w:snapToGrid/>
        <w:spacing w:before="37"/>
        <w:ind w:left="2793" w:right="108"/>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身份证号码：</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p>
    <w:p w14:paraId="75F0CF76">
      <w:pPr>
        <w:pStyle w:val="13"/>
        <w:keepNext w:val="0"/>
        <w:keepLines w:val="0"/>
        <w:pageBreakBefore w:val="0"/>
        <w:widowControl w:val="0"/>
        <w:kinsoku/>
        <w:wordWrap w:val="0"/>
        <w:overflowPunct/>
        <w:topLinePunct w:val="0"/>
        <w:autoSpaceDE/>
        <w:autoSpaceDN/>
        <w:bidi w:val="0"/>
        <w:adjustRightInd/>
        <w:snapToGrid/>
        <w:spacing w:before="6"/>
        <w:textAlignment w:val="auto"/>
        <w:rPr>
          <w:rFonts w:asciiTheme="minorEastAsia" w:hAnsiTheme="minorEastAsia" w:eastAsiaTheme="minorEastAsia" w:cstheme="minorEastAsia"/>
          <w:color w:val="auto"/>
          <w:sz w:val="24"/>
          <w:szCs w:val="24"/>
          <w:highlight w:val="none"/>
          <w:lang w:eastAsia="zh-CN"/>
        </w:rPr>
      </w:pPr>
    </w:p>
    <w:p w14:paraId="3FD2D567">
      <w:pPr>
        <w:pStyle w:val="13"/>
        <w:keepNext w:val="0"/>
        <w:keepLines w:val="0"/>
        <w:pageBreakBefore w:val="0"/>
        <w:widowControl w:val="0"/>
        <w:tabs>
          <w:tab w:val="left" w:pos="7661"/>
        </w:tabs>
        <w:kinsoku/>
        <w:wordWrap w:val="0"/>
        <w:overflowPunct/>
        <w:topLinePunct w:val="0"/>
        <w:autoSpaceDE/>
        <w:autoSpaceDN/>
        <w:bidi w:val="0"/>
        <w:adjustRightInd/>
        <w:snapToGrid/>
        <w:spacing w:before="36"/>
        <w:ind w:left="2793" w:right="108"/>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委托代理人：</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（签字）</w:t>
      </w:r>
    </w:p>
    <w:p w14:paraId="2E890741">
      <w:pPr>
        <w:pStyle w:val="13"/>
        <w:keepNext w:val="0"/>
        <w:keepLines w:val="0"/>
        <w:pageBreakBefore w:val="0"/>
        <w:widowControl w:val="0"/>
        <w:kinsoku/>
        <w:wordWrap w:val="0"/>
        <w:overflowPunct/>
        <w:topLinePunct w:val="0"/>
        <w:autoSpaceDE/>
        <w:autoSpaceDN/>
        <w:bidi w:val="0"/>
        <w:adjustRightInd/>
        <w:snapToGrid/>
        <w:spacing w:before="7"/>
        <w:textAlignment w:val="auto"/>
        <w:rPr>
          <w:rFonts w:asciiTheme="minorEastAsia" w:hAnsiTheme="minorEastAsia" w:eastAsiaTheme="minorEastAsia" w:cstheme="minorEastAsia"/>
          <w:color w:val="auto"/>
          <w:sz w:val="24"/>
          <w:szCs w:val="24"/>
          <w:highlight w:val="none"/>
          <w:lang w:eastAsia="zh-CN"/>
        </w:rPr>
      </w:pPr>
    </w:p>
    <w:p w14:paraId="0301717E">
      <w:pPr>
        <w:pStyle w:val="13"/>
        <w:keepNext w:val="0"/>
        <w:keepLines w:val="0"/>
        <w:pageBreakBefore w:val="0"/>
        <w:widowControl w:val="0"/>
        <w:tabs>
          <w:tab w:val="left" w:pos="8549"/>
        </w:tabs>
        <w:kinsoku/>
        <w:wordWrap w:val="0"/>
        <w:overflowPunct/>
        <w:topLinePunct w:val="0"/>
        <w:autoSpaceDE/>
        <w:autoSpaceDN/>
        <w:bidi w:val="0"/>
        <w:adjustRightInd/>
        <w:snapToGrid/>
        <w:spacing w:before="37"/>
        <w:ind w:left="2793" w:right="108"/>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身份证号码：</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p>
    <w:p w14:paraId="12AE5120">
      <w:pPr>
        <w:pStyle w:val="13"/>
        <w:keepNext w:val="0"/>
        <w:keepLines w:val="0"/>
        <w:pageBreakBefore w:val="0"/>
        <w:widowControl w:val="0"/>
        <w:kinsoku/>
        <w:wordWrap w:val="0"/>
        <w:overflowPunct/>
        <w:topLinePunct w:val="0"/>
        <w:autoSpaceDE/>
        <w:autoSpaceDN/>
        <w:bidi w:val="0"/>
        <w:adjustRightInd/>
        <w:snapToGrid/>
        <w:textAlignment w:val="auto"/>
        <w:rPr>
          <w:rFonts w:asciiTheme="minorEastAsia" w:hAnsiTheme="minorEastAsia" w:eastAsiaTheme="minorEastAsia" w:cstheme="minorEastAsia"/>
          <w:color w:val="auto"/>
          <w:sz w:val="24"/>
          <w:szCs w:val="24"/>
          <w:highlight w:val="none"/>
          <w:lang w:eastAsia="zh-CN"/>
        </w:rPr>
      </w:pPr>
    </w:p>
    <w:p w14:paraId="7731A92B">
      <w:pPr>
        <w:pStyle w:val="13"/>
        <w:keepNext w:val="0"/>
        <w:keepLines w:val="0"/>
        <w:pageBreakBefore w:val="0"/>
        <w:widowControl w:val="0"/>
        <w:kinsoku/>
        <w:wordWrap w:val="0"/>
        <w:overflowPunct/>
        <w:topLinePunct w:val="0"/>
        <w:autoSpaceDE/>
        <w:autoSpaceDN/>
        <w:bidi w:val="0"/>
        <w:adjustRightInd/>
        <w:snapToGrid/>
        <w:textAlignment w:val="auto"/>
        <w:rPr>
          <w:rFonts w:asciiTheme="minorEastAsia" w:hAnsiTheme="minorEastAsia" w:eastAsiaTheme="minorEastAsia" w:cstheme="minorEastAsia"/>
          <w:color w:val="auto"/>
          <w:sz w:val="24"/>
          <w:szCs w:val="24"/>
          <w:highlight w:val="none"/>
          <w:lang w:eastAsia="zh-CN"/>
        </w:rPr>
      </w:pPr>
    </w:p>
    <w:p w14:paraId="35E0B160">
      <w:pPr>
        <w:pStyle w:val="13"/>
        <w:keepNext w:val="0"/>
        <w:keepLines w:val="0"/>
        <w:pageBreakBefore w:val="0"/>
        <w:widowControl w:val="0"/>
        <w:kinsoku/>
        <w:wordWrap w:val="0"/>
        <w:overflowPunct/>
        <w:topLinePunct w:val="0"/>
        <w:autoSpaceDE/>
        <w:autoSpaceDN/>
        <w:bidi w:val="0"/>
        <w:adjustRightInd/>
        <w:snapToGrid/>
        <w:textAlignment w:val="auto"/>
        <w:rPr>
          <w:rFonts w:asciiTheme="minorEastAsia" w:hAnsiTheme="minorEastAsia" w:eastAsiaTheme="minorEastAsia" w:cstheme="minorEastAsia"/>
          <w:color w:val="auto"/>
          <w:sz w:val="24"/>
          <w:szCs w:val="24"/>
          <w:highlight w:val="none"/>
          <w:lang w:eastAsia="zh-CN"/>
        </w:rPr>
      </w:pPr>
    </w:p>
    <w:p w14:paraId="323945E3">
      <w:pPr>
        <w:pStyle w:val="13"/>
        <w:keepNext w:val="0"/>
        <w:keepLines w:val="0"/>
        <w:pageBreakBefore w:val="0"/>
        <w:widowControl w:val="0"/>
        <w:kinsoku/>
        <w:wordWrap w:val="0"/>
        <w:overflowPunct/>
        <w:topLinePunct w:val="0"/>
        <w:autoSpaceDE/>
        <w:autoSpaceDN/>
        <w:bidi w:val="0"/>
        <w:adjustRightInd/>
        <w:snapToGrid/>
        <w:spacing w:before="8"/>
        <w:textAlignment w:val="auto"/>
        <w:rPr>
          <w:rFonts w:asciiTheme="minorEastAsia" w:hAnsiTheme="minorEastAsia" w:eastAsiaTheme="minorEastAsia" w:cstheme="minorEastAsia"/>
          <w:color w:val="auto"/>
          <w:sz w:val="24"/>
          <w:szCs w:val="24"/>
          <w:highlight w:val="none"/>
          <w:lang w:eastAsia="zh-CN"/>
        </w:rPr>
      </w:pPr>
    </w:p>
    <w:p w14:paraId="66B8D48D">
      <w:pPr>
        <w:pStyle w:val="13"/>
        <w:keepNext w:val="0"/>
        <w:keepLines w:val="0"/>
        <w:pageBreakBefore w:val="0"/>
        <w:widowControl w:val="0"/>
        <w:tabs>
          <w:tab w:val="left" w:pos="736"/>
          <w:tab w:val="left" w:pos="1682"/>
          <w:tab w:val="left" w:pos="2626"/>
        </w:tabs>
        <w:kinsoku/>
        <w:wordWrap w:val="0"/>
        <w:overflowPunct/>
        <w:topLinePunct w:val="0"/>
        <w:autoSpaceDE/>
        <w:autoSpaceDN/>
        <w:bidi w:val="0"/>
        <w:adjustRightInd/>
        <w:snapToGrid/>
        <w:spacing w:before="36"/>
        <w:ind w:right="113"/>
        <w:jc w:val="right"/>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u w:val="single"/>
          <w:lang w:eastAsia="zh-CN"/>
        </w:rPr>
        <w:t xml:space="preserve"> </w:t>
      </w:r>
      <w:r>
        <w:rPr>
          <w:rFonts w:hint="eastAsia" w:asciiTheme="minorEastAsia" w:hAnsiTheme="minorEastAsia" w:eastAsiaTheme="minorEastAsia" w:cstheme="minorEastAsia"/>
          <w:color w:val="auto"/>
          <w:sz w:val="24"/>
          <w:szCs w:val="24"/>
          <w:highlight w:val="none"/>
          <w:u w:val="single"/>
          <w:lang w:eastAsia="zh-CN"/>
        </w:rPr>
        <w:tab/>
      </w:r>
      <w:r>
        <w:rPr>
          <w:rFonts w:hint="eastAsia" w:asciiTheme="minorEastAsia" w:hAnsiTheme="minorEastAsia" w:eastAsiaTheme="minorEastAsia" w:cstheme="minorEastAsia"/>
          <w:color w:val="auto"/>
          <w:spacing w:val="-3"/>
          <w:sz w:val="24"/>
          <w:szCs w:val="24"/>
          <w:highlight w:val="none"/>
          <w:lang w:eastAsia="zh-CN"/>
        </w:rPr>
        <w:t>月</w:t>
      </w:r>
      <w:r>
        <w:rPr>
          <w:rFonts w:hint="eastAsia" w:asciiTheme="minorEastAsia" w:hAnsiTheme="minorEastAsia" w:eastAsiaTheme="minorEastAsia" w:cstheme="minorEastAsia"/>
          <w:color w:val="auto"/>
          <w:spacing w:val="-3"/>
          <w:sz w:val="24"/>
          <w:szCs w:val="24"/>
          <w:highlight w:val="none"/>
          <w:u w:val="single"/>
          <w:lang w:eastAsia="zh-CN"/>
        </w:rPr>
        <w:t xml:space="preserve"> </w:t>
      </w:r>
      <w:r>
        <w:rPr>
          <w:rFonts w:hint="eastAsia" w:asciiTheme="minorEastAsia" w:hAnsiTheme="minorEastAsia" w:eastAsiaTheme="minorEastAsia" w:cstheme="minorEastAsia"/>
          <w:color w:val="auto"/>
          <w:spacing w:val="-3"/>
          <w:sz w:val="24"/>
          <w:szCs w:val="24"/>
          <w:highlight w:val="none"/>
          <w:u w:val="single"/>
          <w:lang w:eastAsia="zh-CN"/>
        </w:rPr>
        <w:tab/>
      </w:r>
      <w:r>
        <w:rPr>
          <w:rFonts w:hint="eastAsia" w:asciiTheme="minorEastAsia" w:hAnsiTheme="minorEastAsia" w:eastAsiaTheme="minorEastAsia" w:cstheme="minorEastAsia"/>
          <w:color w:val="auto"/>
          <w:sz w:val="24"/>
          <w:szCs w:val="24"/>
          <w:highlight w:val="none"/>
          <w:lang w:eastAsia="zh-CN"/>
        </w:rPr>
        <w:t>日</w:t>
      </w:r>
    </w:p>
    <w:p w14:paraId="087FE8AE">
      <w:pPr>
        <w:keepNext w:val="0"/>
        <w:keepLines w:val="0"/>
        <w:pageBreakBefore w:val="0"/>
        <w:kinsoku/>
        <w:wordWrap w:val="0"/>
        <w:overflowPunct/>
        <w:topLinePunct w:val="0"/>
        <w:bidi w:val="0"/>
        <w:jc w:val="right"/>
        <w:rPr>
          <w:rFonts w:asciiTheme="minorEastAsia" w:hAnsiTheme="minorEastAsia" w:eastAsiaTheme="minorEastAsia" w:cstheme="minorEastAsia"/>
          <w:color w:val="auto"/>
          <w:sz w:val="24"/>
          <w:szCs w:val="24"/>
          <w:highlight w:val="none"/>
          <w:lang w:eastAsia="zh-CN"/>
        </w:rPr>
        <w:sectPr>
          <w:pgSz w:w="11906" w:h="16838"/>
          <w:pgMar w:top="1440" w:right="1080" w:bottom="1440" w:left="1080" w:header="0" w:footer="921" w:gutter="0"/>
          <w:pgNumType w:fmt="decimal"/>
          <w:cols w:space="720" w:num="1"/>
        </w:sectPr>
      </w:pPr>
    </w:p>
    <w:p w14:paraId="2950F8E4">
      <w:pPr>
        <w:keepNext w:val="0"/>
        <w:keepLines w:val="0"/>
        <w:pageBreakBefore w:val="0"/>
        <w:kinsoku/>
        <w:wordWrap w:val="0"/>
        <w:overflowPunct/>
        <w:topLinePunct w:val="0"/>
        <w:bidi w:val="0"/>
        <w:spacing w:afterLines="100"/>
        <w:jc w:val="center"/>
        <w:rPr>
          <w:rFonts w:asciiTheme="minorEastAsia" w:hAnsiTheme="minorEastAsia" w:eastAsiaTheme="minorEastAsia" w:cstheme="minorEastAsia"/>
          <w:b/>
          <w:bCs/>
          <w:color w:val="auto"/>
          <w:sz w:val="32"/>
          <w:szCs w:val="32"/>
          <w:highlight w:val="none"/>
        </w:rPr>
      </w:pPr>
      <w:bookmarkStart w:id="194" w:name="_bookmark200"/>
      <w:bookmarkEnd w:id="194"/>
      <w:r>
        <w:rPr>
          <w:rFonts w:hint="eastAsia" w:asciiTheme="minorEastAsia" w:hAnsiTheme="minorEastAsia" w:eastAsiaTheme="minorEastAsia" w:cstheme="minorEastAsia"/>
          <w:b/>
          <w:bCs/>
          <w:color w:val="auto"/>
          <w:sz w:val="32"/>
          <w:szCs w:val="32"/>
          <w:highlight w:val="none"/>
          <w:lang w:val="en-US" w:eastAsia="zh-CN"/>
        </w:rPr>
        <w:t>五</w:t>
      </w:r>
      <w:r>
        <w:rPr>
          <w:rFonts w:hint="eastAsia" w:asciiTheme="minorEastAsia" w:hAnsiTheme="minorEastAsia" w:eastAsiaTheme="minorEastAsia" w:cstheme="minorEastAsia"/>
          <w:b/>
          <w:bCs/>
          <w:color w:val="auto"/>
          <w:sz w:val="32"/>
          <w:szCs w:val="32"/>
          <w:highlight w:val="none"/>
          <w:lang w:eastAsia="zh-CN"/>
        </w:rPr>
        <w:t>、</w:t>
      </w:r>
      <w:bookmarkStart w:id="195" w:name="_bookmark203"/>
      <w:bookmarkEnd w:id="195"/>
      <w:r>
        <w:rPr>
          <w:rFonts w:hint="eastAsia" w:asciiTheme="minorEastAsia" w:hAnsiTheme="minorEastAsia" w:eastAsiaTheme="minorEastAsia" w:cstheme="minorEastAsia"/>
          <w:b/>
          <w:bCs/>
          <w:color w:val="auto"/>
          <w:sz w:val="32"/>
          <w:szCs w:val="32"/>
          <w:highlight w:val="none"/>
        </w:rPr>
        <w:t>资格审查资料</w:t>
      </w:r>
    </w:p>
    <w:p w14:paraId="2E493908">
      <w:pPr>
        <w:pStyle w:val="13"/>
        <w:keepNext w:val="0"/>
        <w:keepLines w:val="0"/>
        <w:pageBreakBefore w:val="0"/>
        <w:kinsoku/>
        <w:wordWrap w:val="0"/>
        <w:overflowPunct/>
        <w:topLinePunct w:val="0"/>
        <w:bidi w:val="0"/>
        <w:spacing w:before="9"/>
        <w:rPr>
          <w:rFonts w:asciiTheme="minorEastAsia" w:hAnsiTheme="minorEastAsia" w:eastAsiaTheme="minorEastAsia" w:cstheme="minorEastAsia"/>
          <w:b/>
          <w:color w:val="auto"/>
          <w:sz w:val="15"/>
          <w:highlight w:val="none"/>
        </w:rPr>
      </w:pPr>
    </w:p>
    <w:p w14:paraId="0F3DFD6A">
      <w:pPr>
        <w:adjustRightInd w:val="0"/>
        <w:snapToGrid w:val="0"/>
        <w:spacing w:line="300" w:lineRule="auto"/>
        <w:jc w:val="center"/>
        <w:outlineLvl w:val="0"/>
        <w:rPr>
          <w:rFonts w:hint="eastAsia" w:ascii="宋体" w:hAnsi="宋体" w:eastAsia="宋体" w:cs="宋体"/>
          <w:b/>
          <w:bCs/>
          <w:color w:val="auto"/>
          <w:sz w:val="32"/>
          <w:szCs w:val="32"/>
          <w:highlight w:val="none"/>
          <w:lang w:eastAsia="zh-CN"/>
        </w:rPr>
      </w:pPr>
      <w:bookmarkStart w:id="196" w:name="_bookmark204"/>
      <w:bookmarkEnd w:id="196"/>
      <w:bookmarkStart w:id="197" w:name="_Toc4621"/>
      <w:bookmarkStart w:id="198" w:name="_Toc29592"/>
      <w:r>
        <w:rPr>
          <w:rFonts w:hint="eastAsia" w:ascii="宋体" w:hAnsi="宋体" w:eastAsia="宋体" w:cs="宋体"/>
          <w:b/>
          <w:bCs/>
          <w:color w:val="auto"/>
          <w:sz w:val="32"/>
          <w:szCs w:val="32"/>
          <w:highlight w:val="none"/>
          <w:lang w:eastAsia="zh-CN"/>
        </w:rPr>
        <w:t>（一）基本情况表</w:t>
      </w:r>
      <w:bookmarkEnd w:id="197"/>
      <w:bookmarkEnd w:id="198"/>
    </w:p>
    <w:p w14:paraId="6F8EE66C">
      <w:pPr>
        <w:pStyle w:val="13"/>
        <w:keepNext w:val="0"/>
        <w:keepLines w:val="0"/>
        <w:pageBreakBefore w:val="0"/>
        <w:kinsoku/>
        <w:wordWrap w:val="0"/>
        <w:overflowPunct/>
        <w:topLinePunct w:val="0"/>
        <w:bidi w:val="0"/>
        <w:rPr>
          <w:rFonts w:asciiTheme="minorEastAsia" w:hAnsiTheme="minorEastAsia" w:eastAsiaTheme="minorEastAsia" w:cstheme="minorEastAsia"/>
          <w:color w:val="auto"/>
          <w:sz w:val="23"/>
          <w:highlight w:val="none"/>
        </w:rPr>
      </w:pPr>
    </w:p>
    <w:tbl>
      <w:tblPr>
        <w:tblStyle w:val="29"/>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1031"/>
        <w:gridCol w:w="1021"/>
        <w:gridCol w:w="1276"/>
        <w:gridCol w:w="195"/>
        <w:gridCol w:w="1246"/>
        <w:gridCol w:w="260"/>
        <w:gridCol w:w="2410"/>
      </w:tblGrid>
      <w:tr w14:paraId="4D44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61" w:type="dxa"/>
            <w:noWrap w:val="0"/>
            <w:vAlign w:val="center"/>
          </w:tcPr>
          <w:p w14:paraId="34F29FD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p>
        </w:tc>
        <w:tc>
          <w:tcPr>
            <w:tcW w:w="7439" w:type="dxa"/>
            <w:gridSpan w:val="7"/>
            <w:noWrap w:val="0"/>
            <w:vAlign w:val="center"/>
          </w:tcPr>
          <w:p w14:paraId="00B503DA">
            <w:pPr>
              <w:jc w:val="center"/>
              <w:rPr>
                <w:rFonts w:hint="eastAsia" w:ascii="宋体" w:hAnsi="宋体" w:eastAsia="宋体" w:cs="宋体"/>
                <w:color w:val="auto"/>
                <w:sz w:val="24"/>
                <w:szCs w:val="24"/>
                <w:highlight w:val="none"/>
              </w:rPr>
            </w:pPr>
          </w:p>
        </w:tc>
      </w:tr>
      <w:tr w14:paraId="6B6C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1" w:type="dxa"/>
            <w:noWrap w:val="0"/>
            <w:vAlign w:val="center"/>
          </w:tcPr>
          <w:p w14:paraId="422D6C7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523" w:type="dxa"/>
            <w:gridSpan w:val="4"/>
            <w:noWrap w:val="0"/>
            <w:vAlign w:val="center"/>
          </w:tcPr>
          <w:p w14:paraId="51E189C7">
            <w:pPr>
              <w:jc w:val="center"/>
              <w:rPr>
                <w:rFonts w:hint="eastAsia" w:ascii="宋体" w:hAnsi="宋体" w:eastAsia="宋体" w:cs="宋体"/>
                <w:color w:val="auto"/>
                <w:sz w:val="24"/>
                <w:szCs w:val="24"/>
                <w:highlight w:val="none"/>
              </w:rPr>
            </w:pPr>
          </w:p>
        </w:tc>
        <w:tc>
          <w:tcPr>
            <w:tcW w:w="1246" w:type="dxa"/>
            <w:noWrap w:val="0"/>
            <w:vAlign w:val="center"/>
          </w:tcPr>
          <w:p w14:paraId="07432F1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670" w:type="dxa"/>
            <w:gridSpan w:val="2"/>
            <w:noWrap w:val="0"/>
            <w:vAlign w:val="center"/>
          </w:tcPr>
          <w:p w14:paraId="7DEFC839">
            <w:pPr>
              <w:jc w:val="center"/>
              <w:rPr>
                <w:rFonts w:hint="eastAsia" w:ascii="宋体" w:hAnsi="宋体" w:eastAsia="宋体" w:cs="宋体"/>
                <w:color w:val="auto"/>
                <w:sz w:val="24"/>
                <w:szCs w:val="24"/>
                <w:highlight w:val="none"/>
              </w:rPr>
            </w:pPr>
          </w:p>
        </w:tc>
      </w:tr>
      <w:tr w14:paraId="4054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1" w:type="dxa"/>
            <w:vMerge w:val="restart"/>
            <w:noWrap w:val="0"/>
            <w:vAlign w:val="center"/>
          </w:tcPr>
          <w:p w14:paraId="4F2B02F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031" w:type="dxa"/>
            <w:noWrap w:val="0"/>
            <w:vAlign w:val="center"/>
          </w:tcPr>
          <w:p w14:paraId="7A359AF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492" w:type="dxa"/>
            <w:gridSpan w:val="3"/>
            <w:noWrap w:val="0"/>
            <w:vAlign w:val="center"/>
          </w:tcPr>
          <w:p w14:paraId="36AA5D5B">
            <w:pPr>
              <w:jc w:val="center"/>
              <w:rPr>
                <w:rFonts w:hint="eastAsia" w:ascii="宋体" w:hAnsi="宋体" w:eastAsia="宋体" w:cs="宋体"/>
                <w:color w:val="auto"/>
                <w:sz w:val="24"/>
                <w:szCs w:val="24"/>
                <w:highlight w:val="none"/>
              </w:rPr>
            </w:pPr>
          </w:p>
        </w:tc>
        <w:tc>
          <w:tcPr>
            <w:tcW w:w="1246" w:type="dxa"/>
            <w:noWrap w:val="0"/>
            <w:vAlign w:val="center"/>
          </w:tcPr>
          <w:p w14:paraId="48B6977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670" w:type="dxa"/>
            <w:gridSpan w:val="2"/>
            <w:noWrap w:val="0"/>
            <w:vAlign w:val="center"/>
          </w:tcPr>
          <w:p w14:paraId="0A718D0A">
            <w:pPr>
              <w:jc w:val="center"/>
              <w:rPr>
                <w:rFonts w:hint="eastAsia" w:ascii="宋体" w:hAnsi="宋体" w:eastAsia="宋体" w:cs="宋体"/>
                <w:color w:val="auto"/>
                <w:sz w:val="24"/>
                <w:szCs w:val="24"/>
                <w:highlight w:val="none"/>
              </w:rPr>
            </w:pPr>
          </w:p>
        </w:tc>
      </w:tr>
      <w:tr w14:paraId="62B8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1" w:type="dxa"/>
            <w:vMerge w:val="continue"/>
            <w:noWrap w:val="0"/>
            <w:vAlign w:val="center"/>
          </w:tcPr>
          <w:p w14:paraId="732853EB">
            <w:pPr>
              <w:jc w:val="center"/>
              <w:rPr>
                <w:rFonts w:hint="eastAsia" w:ascii="宋体" w:hAnsi="宋体" w:eastAsia="宋体" w:cs="宋体"/>
                <w:color w:val="auto"/>
                <w:sz w:val="24"/>
                <w:szCs w:val="24"/>
                <w:highlight w:val="none"/>
              </w:rPr>
            </w:pPr>
          </w:p>
        </w:tc>
        <w:tc>
          <w:tcPr>
            <w:tcW w:w="1031" w:type="dxa"/>
            <w:noWrap w:val="0"/>
            <w:vAlign w:val="center"/>
          </w:tcPr>
          <w:p w14:paraId="3DA8E16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2492" w:type="dxa"/>
            <w:gridSpan w:val="3"/>
            <w:noWrap w:val="0"/>
            <w:vAlign w:val="center"/>
          </w:tcPr>
          <w:p w14:paraId="6C2B8686">
            <w:pPr>
              <w:jc w:val="center"/>
              <w:rPr>
                <w:rFonts w:hint="eastAsia" w:ascii="宋体" w:hAnsi="宋体" w:eastAsia="宋体" w:cs="宋体"/>
                <w:color w:val="auto"/>
                <w:sz w:val="24"/>
                <w:szCs w:val="24"/>
                <w:highlight w:val="none"/>
              </w:rPr>
            </w:pPr>
          </w:p>
        </w:tc>
        <w:tc>
          <w:tcPr>
            <w:tcW w:w="1246" w:type="dxa"/>
            <w:noWrap w:val="0"/>
            <w:vAlign w:val="center"/>
          </w:tcPr>
          <w:p w14:paraId="2CBE069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  址</w:t>
            </w:r>
          </w:p>
        </w:tc>
        <w:tc>
          <w:tcPr>
            <w:tcW w:w="2670" w:type="dxa"/>
            <w:gridSpan w:val="2"/>
            <w:noWrap w:val="0"/>
            <w:vAlign w:val="center"/>
          </w:tcPr>
          <w:p w14:paraId="254F6E5F">
            <w:pPr>
              <w:jc w:val="center"/>
              <w:rPr>
                <w:rFonts w:hint="eastAsia" w:ascii="宋体" w:hAnsi="宋体" w:eastAsia="宋体" w:cs="宋体"/>
                <w:color w:val="auto"/>
                <w:sz w:val="24"/>
                <w:szCs w:val="24"/>
                <w:highlight w:val="none"/>
              </w:rPr>
            </w:pPr>
          </w:p>
        </w:tc>
      </w:tr>
      <w:tr w14:paraId="4173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1" w:type="dxa"/>
            <w:noWrap w:val="0"/>
            <w:vAlign w:val="center"/>
          </w:tcPr>
          <w:p w14:paraId="057B556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7439" w:type="dxa"/>
            <w:gridSpan w:val="7"/>
            <w:noWrap w:val="0"/>
            <w:vAlign w:val="center"/>
          </w:tcPr>
          <w:p w14:paraId="3FC26CC5">
            <w:pPr>
              <w:jc w:val="center"/>
              <w:rPr>
                <w:rFonts w:hint="eastAsia" w:ascii="宋体" w:hAnsi="宋体" w:eastAsia="宋体" w:cs="宋体"/>
                <w:color w:val="auto"/>
                <w:sz w:val="24"/>
                <w:szCs w:val="24"/>
                <w:highlight w:val="none"/>
              </w:rPr>
            </w:pPr>
          </w:p>
        </w:tc>
      </w:tr>
      <w:tr w14:paraId="4197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1" w:type="dxa"/>
            <w:noWrap w:val="0"/>
            <w:vAlign w:val="center"/>
          </w:tcPr>
          <w:p w14:paraId="5FE095D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031" w:type="dxa"/>
            <w:noWrap w:val="0"/>
            <w:vAlign w:val="center"/>
          </w:tcPr>
          <w:p w14:paraId="1511825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297" w:type="dxa"/>
            <w:gridSpan w:val="2"/>
            <w:noWrap w:val="0"/>
            <w:vAlign w:val="center"/>
          </w:tcPr>
          <w:p w14:paraId="7CC39B58">
            <w:pPr>
              <w:jc w:val="center"/>
              <w:rPr>
                <w:rFonts w:hint="eastAsia" w:ascii="宋体" w:hAnsi="宋体" w:eastAsia="宋体" w:cs="宋体"/>
                <w:color w:val="auto"/>
                <w:sz w:val="24"/>
                <w:szCs w:val="24"/>
                <w:highlight w:val="none"/>
              </w:rPr>
            </w:pPr>
          </w:p>
        </w:tc>
        <w:tc>
          <w:tcPr>
            <w:tcW w:w="1701" w:type="dxa"/>
            <w:gridSpan w:val="3"/>
            <w:noWrap w:val="0"/>
            <w:vAlign w:val="center"/>
          </w:tcPr>
          <w:p w14:paraId="4F829135">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电话</w:t>
            </w:r>
          </w:p>
        </w:tc>
        <w:tc>
          <w:tcPr>
            <w:tcW w:w="2410" w:type="dxa"/>
            <w:noWrap w:val="0"/>
            <w:vAlign w:val="center"/>
          </w:tcPr>
          <w:p w14:paraId="41026031">
            <w:pPr>
              <w:jc w:val="center"/>
              <w:rPr>
                <w:rFonts w:hint="eastAsia" w:ascii="宋体" w:hAnsi="宋体" w:eastAsia="宋体" w:cs="宋体"/>
                <w:color w:val="auto"/>
                <w:sz w:val="24"/>
                <w:szCs w:val="24"/>
                <w:highlight w:val="none"/>
              </w:rPr>
            </w:pPr>
          </w:p>
        </w:tc>
      </w:tr>
      <w:tr w14:paraId="07D9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1" w:type="dxa"/>
            <w:noWrap w:val="0"/>
            <w:vAlign w:val="center"/>
          </w:tcPr>
          <w:p w14:paraId="31478D8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052" w:type="dxa"/>
            <w:gridSpan w:val="2"/>
            <w:noWrap w:val="0"/>
            <w:vAlign w:val="center"/>
          </w:tcPr>
          <w:p w14:paraId="1D85714B">
            <w:pPr>
              <w:jc w:val="center"/>
              <w:rPr>
                <w:rFonts w:hint="eastAsia" w:ascii="宋体" w:hAnsi="宋体" w:eastAsia="宋体" w:cs="宋体"/>
                <w:color w:val="auto"/>
                <w:sz w:val="24"/>
                <w:szCs w:val="24"/>
                <w:highlight w:val="none"/>
              </w:rPr>
            </w:pPr>
          </w:p>
        </w:tc>
        <w:tc>
          <w:tcPr>
            <w:tcW w:w="5387" w:type="dxa"/>
            <w:gridSpan w:val="5"/>
            <w:noWrap w:val="0"/>
            <w:vAlign w:val="center"/>
          </w:tcPr>
          <w:p w14:paraId="54B62A14">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员工总人数：</w:t>
            </w:r>
            <w:r>
              <w:rPr>
                <w:rFonts w:hint="eastAsia" w:ascii="宋体" w:hAnsi="宋体" w:eastAsia="宋体" w:cs="宋体"/>
                <w:color w:val="auto"/>
                <w:sz w:val="24"/>
                <w:szCs w:val="24"/>
                <w:highlight w:val="none"/>
                <w:lang w:val="en-US" w:eastAsia="zh-CN"/>
              </w:rPr>
              <w:t xml:space="preserve">              </w:t>
            </w:r>
          </w:p>
        </w:tc>
      </w:tr>
      <w:tr w14:paraId="0CE8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1" w:type="dxa"/>
            <w:noWrap w:val="0"/>
            <w:vAlign w:val="center"/>
          </w:tcPr>
          <w:p w14:paraId="771013A1">
            <w:pPr>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社会统一信用代码</w:t>
            </w:r>
          </w:p>
        </w:tc>
        <w:tc>
          <w:tcPr>
            <w:tcW w:w="7439" w:type="dxa"/>
            <w:gridSpan w:val="7"/>
            <w:noWrap w:val="0"/>
            <w:vAlign w:val="center"/>
          </w:tcPr>
          <w:p w14:paraId="4877D349">
            <w:pPr>
              <w:jc w:val="center"/>
              <w:rPr>
                <w:rFonts w:hint="eastAsia" w:ascii="宋体" w:hAnsi="宋体" w:eastAsia="宋体" w:cs="宋体"/>
                <w:color w:val="auto"/>
                <w:sz w:val="24"/>
                <w:szCs w:val="24"/>
                <w:highlight w:val="none"/>
              </w:rPr>
            </w:pPr>
          </w:p>
        </w:tc>
      </w:tr>
      <w:tr w14:paraId="070A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1" w:type="dxa"/>
            <w:noWrap w:val="0"/>
            <w:vAlign w:val="center"/>
          </w:tcPr>
          <w:p w14:paraId="6EE0AA9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7439" w:type="dxa"/>
            <w:gridSpan w:val="7"/>
            <w:noWrap w:val="0"/>
            <w:vAlign w:val="center"/>
          </w:tcPr>
          <w:p w14:paraId="32D22785">
            <w:pPr>
              <w:jc w:val="center"/>
              <w:rPr>
                <w:rFonts w:hint="eastAsia" w:ascii="宋体" w:hAnsi="宋体" w:eastAsia="宋体" w:cs="宋体"/>
                <w:color w:val="auto"/>
                <w:sz w:val="24"/>
                <w:szCs w:val="24"/>
                <w:highlight w:val="none"/>
              </w:rPr>
            </w:pPr>
          </w:p>
        </w:tc>
      </w:tr>
      <w:tr w14:paraId="4BFB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1" w:type="dxa"/>
            <w:noWrap w:val="0"/>
            <w:vAlign w:val="center"/>
          </w:tcPr>
          <w:p w14:paraId="6971CEE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7439" w:type="dxa"/>
            <w:gridSpan w:val="7"/>
            <w:noWrap w:val="0"/>
            <w:vAlign w:val="center"/>
          </w:tcPr>
          <w:p w14:paraId="12D685C7">
            <w:pPr>
              <w:jc w:val="center"/>
              <w:rPr>
                <w:rFonts w:hint="eastAsia" w:ascii="宋体" w:hAnsi="宋体" w:eastAsia="宋体" w:cs="宋体"/>
                <w:color w:val="auto"/>
                <w:sz w:val="24"/>
                <w:szCs w:val="24"/>
                <w:highlight w:val="none"/>
              </w:rPr>
            </w:pPr>
          </w:p>
        </w:tc>
      </w:tr>
      <w:tr w14:paraId="4DDA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1" w:type="dxa"/>
            <w:noWrap w:val="0"/>
            <w:vAlign w:val="center"/>
          </w:tcPr>
          <w:p w14:paraId="7B514E6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7439" w:type="dxa"/>
            <w:gridSpan w:val="7"/>
            <w:noWrap w:val="0"/>
            <w:vAlign w:val="center"/>
          </w:tcPr>
          <w:p w14:paraId="48C083D0">
            <w:pPr>
              <w:jc w:val="center"/>
              <w:rPr>
                <w:rFonts w:hint="eastAsia" w:ascii="宋体" w:hAnsi="宋体" w:eastAsia="宋体" w:cs="宋体"/>
                <w:color w:val="auto"/>
                <w:sz w:val="24"/>
                <w:szCs w:val="24"/>
                <w:highlight w:val="none"/>
              </w:rPr>
            </w:pPr>
          </w:p>
        </w:tc>
      </w:tr>
      <w:tr w14:paraId="6BB4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561" w:type="dxa"/>
            <w:noWrap w:val="0"/>
            <w:vAlign w:val="center"/>
          </w:tcPr>
          <w:p w14:paraId="0F69CEA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439" w:type="dxa"/>
            <w:gridSpan w:val="7"/>
            <w:noWrap w:val="0"/>
            <w:vAlign w:val="center"/>
          </w:tcPr>
          <w:p w14:paraId="50604303">
            <w:pPr>
              <w:jc w:val="center"/>
              <w:rPr>
                <w:rFonts w:hint="eastAsia" w:ascii="宋体" w:hAnsi="宋体" w:eastAsia="宋体" w:cs="宋体"/>
                <w:color w:val="auto"/>
                <w:sz w:val="24"/>
                <w:szCs w:val="24"/>
                <w:highlight w:val="none"/>
              </w:rPr>
            </w:pPr>
          </w:p>
        </w:tc>
      </w:tr>
      <w:tr w14:paraId="7E5D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1" w:type="dxa"/>
            <w:noWrap w:val="0"/>
            <w:vAlign w:val="center"/>
          </w:tcPr>
          <w:p w14:paraId="0D9F4E4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439" w:type="dxa"/>
            <w:gridSpan w:val="7"/>
            <w:noWrap w:val="0"/>
            <w:vAlign w:val="center"/>
          </w:tcPr>
          <w:p w14:paraId="01080444">
            <w:pPr>
              <w:jc w:val="center"/>
              <w:rPr>
                <w:rFonts w:hint="eastAsia" w:ascii="宋体" w:hAnsi="宋体" w:eastAsia="宋体" w:cs="宋体"/>
                <w:color w:val="auto"/>
                <w:sz w:val="24"/>
                <w:szCs w:val="24"/>
                <w:highlight w:val="none"/>
              </w:rPr>
            </w:pPr>
          </w:p>
        </w:tc>
      </w:tr>
    </w:tbl>
    <w:p w14:paraId="646F58B6">
      <w:pPr>
        <w:pStyle w:val="13"/>
        <w:keepNext w:val="0"/>
        <w:keepLines w:val="0"/>
        <w:pageBreakBefore w:val="0"/>
        <w:kinsoku/>
        <w:wordWrap w:val="0"/>
        <w:overflowPunct/>
        <w:topLinePunct w:val="0"/>
        <w:bidi w:val="0"/>
        <w:spacing w:before="74" w:line="331" w:lineRule="auto"/>
        <w:ind w:left="240"/>
        <w:rPr>
          <w:rFonts w:hint="default" w:asciiTheme="minorEastAsia" w:hAnsiTheme="minorEastAsia" w:eastAsiaTheme="minorEastAsia" w:cstheme="minorEastAsia"/>
          <w:color w:val="auto"/>
          <w:highlight w:val="none"/>
          <w:lang w:val="en-US" w:eastAsia="zh-CN"/>
        </w:rPr>
        <w:sectPr>
          <w:footerReference r:id="rId4" w:type="default"/>
          <w:pgSz w:w="11906" w:h="16838"/>
          <w:pgMar w:top="1440" w:right="1080" w:bottom="1440" w:left="1080" w:header="0" w:footer="921" w:gutter="0"/>
          <w:pgNumType w:fmt="decimal"/>
          <w:cols w:space="720" w:num="1"/>
        </w:sectPr>
      </w:pPr>
      <w:r>
        <w:rPr>
          <w:rFonts w:hint="eastAsia" w:ascii="宋体" w:hAnsi="宋体" w:eastAsia="宋体" w:cs="宋体"/>
          <w:color w:val="auto"/>
          <w:spacing w:val="-5"/>
          <w:sz w:val="24"/>
          <w:szCs w:val="24"/>
          <w:highlight w:val="none"/>
          <w:lang w:eastAsia="zh-CN"/>
        </w:rPr>
        <w:t>注：后附营业执照、</w:t>
      </w:r>
      <w:r>
        <w:rPr>
          <w:rFonts w:hint="eastAsia" w:ascii="宋体" w:hAnsi="宋体" w:eastAsia="宋体" w:cs="宋体"/>
          <w:color w:val="auto"/>
          <w:spacing w:val="-5"/>
          <w:sz w:val="24"/>
          <w:szCs w:val="24"/>
          <w:highlight w:val="none"/>
          <w:lang w:val="en-US" w:eastAsia="zh-CN"/>
        </w:rPr>
        <w:t>银行开户许可证</w:t>
      </w:r>
      <w:r>
        <w:rPr>
          <w:rFonts w:hint="eastAsia" w:cs="宋体"/>
          <w:color w:val="auto"/>
          <w:spacing w:val="-5"/>
          <w:sz w:val="24"/>
          <w:szCs w:val="24"/>
          <w:highlight w:val="none"/>
          <w:lang w:val="en-US" w:eastAsia="zh-CN"/>
        </w:rPr>
        <w:t>等。</w:t>
      </w:r>
    </w:p>
    <w:p w14:paraId="333E1E69">
      <w:pPr>
        <w:adjustRightInd w:val="0"/>
        <w:snapToGrid w:val="0"/>
        <w:spacing w:line="300" w:lineRule="auto"/>
        <w:jc w:val="center"/>
        <w:outlineLvl w:val="0"/>
        <w:rPr>
          <w:rFonts w:hint="eastAsia" w:cs="宋体"/>
          <w:b/>
          <w:bCs/>
          <w:color w:val="auto"/>
          <w:sz w:val="32"/>
          <w:szCs w:val="32"/>
          <w:highlight w:val="none"/>
          <w:lang w:val="en-US" w:eastAsia="zh-CN"/>
        </w:rPr>
      </w:pPr>
      <w:bookmarkStart w:id="199" w:name="_bookmark205"/>
      <w:bookmarkEnd w:id="199"/>
      <w:bookmarkStart w:id="200" w:name="_Toc150"/>
      <w:r>
        <w:rPr>
          <w:rFonts w:hint="eastAsia" w:ascii="宋体" w:hAnsi="宋体" w:eastAsia="宋体" w:cs="宋体"/>
          <w:b/>
          <w:bCs/>
          <w:color w:val="auto"/>
          <w:sz w:val="32"/>
          <w:szCs w:val="32"/>
          <w:highlight w:val="none"/>
          <w:lang w:eastAsia="zh-CN"/>
        </w:rPr>
        <w:t>（</w:t>
      </w:r>
      <w:r>
        <w:rPr>
          <w:rFonts w:hint="eastAsia" w:cs="宋体"/>
          <w:b/>
          <w:bCs/>
          <w:color w:val="auto"/>
          <w:sz w:val="32"/>
          <w:szCs w:val="32"/>
          <w:highlight w:val="none"/>
          <w:lang w:eastAsia="zh-CN"/>
        </w:rPr>
        <w:t>二</w:t>
      </w:r>
      <w:r>
        <w:rPr>
          <w:rFonts w:hint="eastAsia" w:ascii="宋体" w:hAnsi="宋体" w:eastAsia="宋体" w:cs="宋体"/>
          <w:b/>
          <w:bCs/>
          <w:color w:val="auto"/>
          <w:sz w:val="32"/>
          <w:szCs w:val="32"/>
          <w:highlight w:val="none"/>
          <w:lang w:eastAsia="zh-CN"/>
        </w:rPr>
        <w:t>）</w:t>
      </w:r>
      <w:r>
        <w:rPr>
          <w:rFonts w:hint="eastAsia" w:cs="宋体"/>
          <w:b/>
          <w:bCs/>
          <w:color w:val="auto"/>
          <w:sz w:val="32"/>
          <w:szCs w:val="32"/>
          <w:highlight w:val="none"/>
          <w:lang w:val="en-US" w:eastAsia="zh-CN"/>
        </w:rPr>
        <w:t>财务状况</w:t>
      </w:r>
      <w:bookmarkEnd w:id="200"/>
    </w:p>
    <w:p w14:paraId="00C5753F">
      <w:pPr>
        <w:spacing w:line="360" w:lineRule="exact"/>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eastAsia="zh-CN"/>
        </w:rPr>
        <w:t>投标人须具有会计师事务所或审计机构出具的近三年（2021年、2022年、2023年）财务审计报告或财务报表，（新成立不足三年的企业提供自成立之日起至2023年的财务审计报告，2023年12月31日之后成立企业提供财务状况良好承诺书）</w:t>
      </w:r>
      <w:r>
        <w:rPr>
          <w:rFonts w:hint="eastAsia" w:ascii="宋体" w:hAnsi="宋体" w:eastAsia="宋体" w:cs="宋体"/>
          <w:color w:val="auto"/>
          <w:szCs w:val="21"/>
          <w:highlight w:val="none"/>
          <w:lang w:val="zh-CN"/>
        </w:rPr>
        <w:t>投标文件内提交证明资料并加盖公章。</w:t>
      </w:r>
    </w:p>
    <w:p w14:paraId="2EB750B2">
      <w:pPr>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2.根据[长财采购[2022]2066号文件]关于加强政府采购信用体系建设简化供应商资格条件有关事项的通知提供资格条件承诺函。</w:t>
      </w:r>
    </w:p>
    <w:p w14:paraId="6632B27F">
      <w:pPr>
        <w:spacing w:line="360" w:lineRule="auto"/>
        <w:ind w:firstLine="420" w:firstLineChars="200"/>
        <w:rPr>
          <w:rFonts w:hint="eastAsia" w:cs="宋体"/>
          <w:b/>
          <w:bCs/>
          <w:color w:val="auto"/>
          <w:sz w:val="32"/>
          <w:szCs w:val="32"/>
          <w:highlight w:val="none"/>
          <w:lang w:val="en-US" w:eastAsia="zh-CN"/>
        </w:rPr>
      </w:pPr>
      <w:r>
        <w:rPr>
          <w:rFonts w:hint="eastAsia" w:ascii="宋体" w:hAnsi="宋体" w:eastAsia="宋体" w:cs="宋体"/>
          <w:color w:val="auto"/>
          <w:kern w:val="2"/>
          <w:sz w:val="21"/>
          <w:szCs w:val="21"/>
          <w:highlight w:val="none"/>
          <w:lang w:val="en-US" w:eastAsia="zh-CN" w:bidi="ar-SA"/>
        </w:rPr>
        <w:t>提供上述1或2均可。</w:t>
      </w:r>
      <w:r>
        <w:rPr>
          <w:rFonts w:hint="eastAsia" w:cs="宋体"/>
          <w:b/>
          <w:bCs/>
          <w:color w:val="auto"/>
          <w:sz w:val="32"/>
          <w:szCs w:val="32"/>
          <w:highlight w:val="none"/>
          <w:lang w:val="en-US" w:eastAsia="zh-CN"/>
        </w:rPr>
        <w:br w:type="page"/>
      </w:r>
    </w:p>
    <w:p w14:paraId="75BA1F0E">
      <w:pPr>
        <w:numPr>
          <w:ilvl w:val="0"/>
          <w:numId w:val="6"/>
        </w:numPr>
        <w:adjustRightInd w:val="0"/>
        <w:snapToGrid w:val="0"/>
        <w:spacing w:line="300" w:lineRule="auto"/>
        <w:jc w:val="center"/>
        <w:outlineLvl w:val="0"/>
        <w:rPr>
          <w:rFonts w:hint="eastAsia" w:cs="宋体"/>
          <w:b/>
          <w:bCs/>
          <w:color w:val="auto"/>
          <w:sz w:val="32"/>
          <w:szCs w:val="32"/>
          <w:highlight w:val="none"/>
          <w:lang w:val="en-US" w:eastAsia="zh-CN"/>
        </w:rPr>
      </w:pPr>
      <w:bookmarkStart w:id="201" w:name="_Toc1400"/>
      <w:r>
        <w:rPr>
          <w:rFonts w:hint="eastAsia" w:cs="宋体"/>
          <w:b/>
          <w:bCs/>
          <w:color w:val="auto"/>
          <w:sz w:val="32"/>
          <w:szCs w:val="32"/>
          <w:highlight w:val="none"/>
          <w:lang w:val="en-US" w:eastAsia="zh-CN"/>
        </w:rPr>
        <w:t>依法缴纳税收和社保保障资金情况</w:t>
      </w:r>
      <w:bookmarkEnd w:id="201"/>
    </w:p>
    <w:p w14:paraId="0D6F946B">
      <w:pPr>
        <w:spacing w:line="360" w:lineRule="exact"/>
        <w:jc w:val="left"/>
        <w:rPr>
          <w:rFonts w:hint="eastAsia" w:ascii="宋体" w:hAnsi="宋体" w:eastAsia="宋体" w:cs="宋体"/>
          <w:b/>
          <w:color w:val="auto"/>
          <w:szCs w:val="21"/>
          <w:highlight w:val="none"/>
          <w:lang w:val="zh-CN"/>
        </w:rPr>
      </w:pPr>
      <w:bookmarkStart w:id="202" w:name="_bookmark206"/>
      <w:bookmarkEnd w:id="202"/>
      <w:bookmarkStart w:id="203" w:name="_Toc15067"/>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val="zh-CN"/>
        </w:rPr>
        <w:t>依法缴纳税收和社会保障资金的相关材料</w:t>
      </w:r>
      <w:r>
        <w:rPr>
          <w:rFonts w:hint="eastAsia" w:ascii="宋体" w:hAnsi="宋体" w:eastAsia="宋体" w:cs="宋体"/>
          <w:b w:val="0"/>
          <w:bCs/>
          <w:color w:val="auto"/>
          <w:szCs w:val="21"/>
          <w:highlight w:val="none"/>
          <w:lang w:val="zh-CN" w:eastAsia="zh-CN"/>
        </w:rPr>
        <w:t>（</w:t>
      </w:r>
      <w:r>
        <w:rPr>
          <w:rFonts w:hint="eastAsia" w:ascii="宋体" w:hAnsi="宋体" w:eastAsia="宋体" w:cs="宋体"/>
          <w:b w:val="0"/>
          <w:bCs/>
          <w:color w:val="auto"/>
          <w:szCs w:val="21"/>
          <w:highlight w:val="none"/>
          <w:lang w:val="zh-CN"/>
        </w:rPr>
        <w:t>提供近</w:t>
      </w:r>
      <w:r>
        <w:rPr>
          <w:rFonts w:hint="eastAsia" w:ascii="宋体" w:hAnsi="宋体" w:eastAsia="宋体" w:cs="宋体"/>
          <w:b w:val="0"/>
          <w:bCs/>
          <w:color w:val="auto"/>
          <w:szCs w:val="21"/>
          <w:highlight w:val="none"/>
          <w:lang w:val="zh-CN" w:eastAsia="zh-CN"/>
        </w:rPr>
        <w:t>一年内任意一个月</w:t>
      </w:r>
      <w:r>
        <w:rPr>
          <w:rFonts w:hint="eastAsia" w:ascii="宋体" w:hAnsi="宋体" w:eastAsia="宋体" w:cs="宋体"/>
          <w:b w:val="0"/>
          <w:bCs/>
          <w:color w:val="auto"/>
          <w:szCs w:val="21"/>
          <w:highlight w:val="none"/>
          <w:lang w:val="zh-CN"/>
        </w:rPr>
        <w:t>的缴税凭证，依法免税的应提供相应证明资料；提供近</w:t>
      </w:r>
      <w:r>
        <w:rPr>
          <w:rFonts w:hint="eastAsia" w:ascii="宋体" w:hAnsi="宋体" w:eastAsia="宋体" w:cs="宋体"/>
          <w:b w:val="0"/>
          <w:bCs/>
          <w:color w:val="auto"/>
          <w:szCs w:val="21"/>
          <w:highlight w:val="none"/>
          <w:lang w:val="zh-CN" w:eastAsia="zh-CN"/>
        </w:rPr>
        <w:t>三个月内任意一</w:t>
      </w:r>
      <w:r>
        <w:rPr>
          <w:rFonts w:hint="eastAsia" w:ascii="宋体" w:hAnsi="宋体" w:eastAsia="宋体" w:cs="宋体"/>
          <w:b w:val="0"/>
          <w:bCs/>
          <w:color w:val="auto"/>
          <w:szCs w:val="21"/>
          <w:highlight w:val="none"/>
          <w:lang w:val="zh-CN"/>
        </w:rPr>
        <w:t>个</w:t>
      </w:r>
      <w:r>
        <w:rPr>
          <w:rFonts w:hint="eastAsia" w:ascii="宋体" w:hAnsi="宋体" w:eastAsia="宋体" w:cs="宋体"/>
          <w:b w:val="0"/>
          <w:bCs/>
          <w:color w:val="auto"/>
          <w:szCs w:val="21"/>
          <w:highlight w:val="none"/>
          <w:lang w:val="zh-CN" w:eastAsia="zh-CN"/>
        </w:rPr>
        <w:t>月</w:t>
      </w:r>
      <w:r>
        <w:rPr>
          <w:rFonts w:hint="eastAsia" w:ascii="宋体" w:hAnsi="宋体" w:eastAsia="宋体" w:cs="宋体"/>
          <w:b w:val="0"/>
          <w:bCs/>
          <w:color w:val="auto"/>
          <w:szCs w:val="21"/>
          <w:highlight w:val="none"/>
          <w:lang w:val="zh-CN"/>
        </w:rPr>
        <w:t>企业依法为员工缴纳社会保障资金的证明资料）</w:t>
      </w:r>
      <w:r>
        <w:rPr>
          <w:rFonts w:hint="eastAsia" w:ascii="宋体" w:hAnsi="宋体" w:eastAsia="宋体" w:cs="宋体"/>
          <w:b/>
          <w:color w:val="auto"/>
          <w:szCs w:val="21"/>
          <w:highlight w:val="none"/>
          <w:lang w:val="zh-CN"/>
        </w:rPr>
        <w:t>投标文件内提交证明资料并加盖公章。</w:t>
      </w:r>
    </w:p>
    <w:p w14:paraId="7810F424">
      <w:pPr>
        <w:spacing w:line="36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2.根据[长财采购[2022]2066号文件]关于加强政府采购信用体系建设简化供应商资格条件有关事项的通知提供资格条件承诺函。</w:t>
      </w:r>
    </w:p>
    <w:p w14:paraId="148C1CDD">
      <w:pPr>
        <w:rPr>
          <w:rFonts w:hint="eastAsia" w:ascii="宋体" w:hAnsi="Times New Roman" w:eastAsia="宋体" w:cs="宋体"/>
          <w:color w:val="auto"/>
          <w:sz w:val="24"/>
          <w:szCs w:val="24"/>
          <w:highlight w:val="none"/>
        </w:rPr>
      </w:pPr>
      <w:r>
        <w:rPr>
          <w:rFonts w:hint="eastAsia" w:ascii="宋体" w:hAnsi="宋体" w:eastAsia="宋体" w:cs="宋体"/>
          <w:color w:val="auto"/>
          <w:kern w:val="2"/>
          <w:sz w:val="21"/>
          <w:szCs w:val="21"/>
          <w:highlight w:val="none"/>
          <w:lang w:val="en-US" w:eastAsia="zh-CN" w:bidi="ar-SA"/>
        </w:rPr>
        <w:t>提供上述1或2均可。</w:t>
      </w:r>
      <w:r>
        <w:rPr>
          <w:rFonts w:hint="eastAsia" w:ascii="宋体" w:hAnsi="Times New Roman" w:eastAsia="宋体" w:cs="宋体"/>
          <w:color w:val="auto"/>
          <w:sz w:val="24"/>
          <w:szCs w:val="24"/>
          <w:highlight w:val="none"/>
        </w:rPr>
        <w:br w:type="page"/>
      </w:r>
    </w:p>
    <w:p w14:paraId="15D39836">
      <w:pPr>
        <w:adjustRightInd w:val="0"/>
        <w:snapToGrid w:val="0"/>
        <w:spacing w:line="300" w:lineRule="auto"/>
        <w:jc w:val="center"/>
        <w:outlineLvl w:val="0"/>
        <w:rPr>
          <w:rFonts w:hint="eastAsia" w:ascii="宋体" w:hAnsi="宋体" w:eastAsia="宋体" w:cs="宋体"/>
          <w:b/>
          <w:bCs/>
          <w:color w:val="auto"/>
          <w:sz w:val="32"/>
          <w:szCs w:val="32"/>
          <w:highlight w:val="none"/>
          <w:lang w:eastAsia="zh-CN"/>
        </w:rPr>
      </w:pPr>
      <w:bookmarkStart w:id="204" w:name="_Toc13360"/>
      <w:r>
        <w:rPr>
          <w:rFonts w:hint="eastAsia" w:ascii="宋体" w:hAnsi="宋体" w:eastAsia="宋体" w:cs="宋体"/>
          <w:b/>
          <w:bCs/>
          <w:color w:val="auto"/>
          <w:sz w:val="32"/>
          <w:szCs w:val="32"/>
          <w:highlight w:val="none"/>
          <w:lang w:eastAsia="zh-CN"/>
        </w:rPr>
        <w:t>（</w:t>
      </w:r>
      <w:r>
        <w:rPr>
          <w:rFonts w:hint="eastAsia" w:cs="宋体"/>
          <w:b/>
          <w:bCs/>
          <w:color w:val="auto"/>
          <w:sz w:val="32"/>
          <w:szCs w:val="32"/>
          <w:highlight w:val="none"/>
          <w:lang w:val="en-US" w:eastAsia="zh-CN"/>
        </w:rPr>
        <w:t>四</w:t>
      </w:r>
      <w:r>
        <w:rPr>
          <w:rFonts w:hint="eastAsia" w:ascii="宋体" w:hAnsi="宋体" w:eastAsia="宋体" w:cs="宋体"/>
          <w:b/>
          <w:bCs/>
          <w:color w:val="auto"/>
          <w:sz w:val="32"/>
          <w:szCs w:val="32"/>
          <w:highlight w:val="none"/>
          <w:lang w:eastAsia="zh-CN"/>
        </w:rPr>
        <w:t>）近年完成的类似项目情况表</w:t>
      </w:r>
      <w:bookmarkEnd w:id="203"/>
      <w:bookmarkEnd w:id="204"/>
    </w:p>
    <w:p w14:paraId="3715261C">
      <w:pPr>
        <w:pStyle w:val="13"/>
        <w:keepNext w:val="0"/>
        <w:keepLines w:val="0"/>
        <w:pageBreakBefore w:val="0"/>
        <w:kinsoku/>
        <w:wordWrap w:val="0"/>
        <w:overflowPunct/>
        <w:topLinePunct w:val="0"/>
        <w:bidi w:val="0"/>
        <w:rPr>
          <w:rFonts w:asciiTheme="minorEastAsia" w:hAnsiTheme="minorEastAsia" w:eastAsiaTheme="minorEastAsia" w:cstheme="minorEastAsia"/>
          <w:color w:val="auto"/>
          <w:sz w:val="20"/>
          <w:highlight w:val="none"/>
          <w:lang w:eastAsia="zh-CN"/>
        </w:rPr>
      </w:pPr>
    </w:p>
    <w:p w14:paraId="5D8E68AF">
      <w:pPr>
        <w:pStyle w:val="13"/>
        <w:keepNext w:val="0"/>
        <w:keepLines w:val="0"/>
        <w:pageBreakBefore w:val="0"/>
        <w:kinsoku/>
        <w:wordWrap w:val="0"/>
        <w:overflowPunct/>
        <w:topLinePunct w:val="0"/>
        <w:bidi w:val="0"/>
        <w:spacing w:before="11"/>
        <w:rPr>
          <w:rFonts w:asciiTheme="minorEastAsia" w:hAnsiTheme="minorEastAsia" w:eastAsiaTheme="minorEastAsia" w:cstheme="minorEastAsia"/>
          <w:color w:val="auto"/>
          <w:sz w:val="22"/>
          <w:highlight w:val="none"/>
          <w:lang w:eastAsia="zh-CN"/>
        </w:rPr>
      </w:pPr>
    </w:p>
    <w:tbl>
      <w:tblPr>
        <w:tblStyle w:val="29"/>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598"/>
        <w:gridCol w:w="7166"/>
      </w:tblGrid>
      <w:tr w14:paraId="7CAF4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62BB0EA9">
            <w:pPr>
              <w:pStyle w:val="70"/>
              <w:keepNext w:val="0"/>
              <w:keepLines w:val="0"/>
              <w:pageBreakBefore w:val="0"/>
              <w:kinsoku/>
              <w:wordWrap w:val="0"/>
              <w:overflowPunct/>
              <w:topLinePunct w:val="0"/>
              <w:bidi w:val="0"/>
              <w:rPr>
                <w:rFonts w:hint="eastAsia" w:ascii="宋体" w:hAnsi="宋体" w:eastAsia="宋体" w:cs="宋体"/>
                <w:color w:val="auto"/>
                <w:sz w:val="24"/>
                <w:szCs w:val="24"/>
                <w:highlight w:val="none"/>
                <w:lang w:eastAsia="zh-CN"/>
              </w:rPr>
            </w:pPr>
          </w:p>
          <w:p w14:paraId="5AC04F8A">
            <w:pPr>
              <w:pStyle w:val="70"/>
              <w:keepNext w:val="0"/>
              <w:keepLines w:val="0"/>
              <w:pageBreakBefore w:val="0"/>
              <w:kinsoku/>
              <w:wordWrap w:val="0"/>
              <w:overflowPunct/>
              <w:topLinePunct w:val="0"/>
              <w:bidi w:val="0"/>
              <w:ind w:left="478" w:right="47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669" w:type="pct"/>
          </w:tcPr>
          <w:p w14:paraId="689AF7D1">
            <w:pPr>
              <w:keepNext w:val="0"/>
              <w:keepLines w:val="0"/>
              <w:pageBreakBefore w:val="0"/>
              <w:kinsoku/>
              <w:wordWrap w:val="0"/>
              <w:overflowPunct/>
              <w:topLinePunct w:val="0"/>
              <w:bidi w:val="0"/>
              <w:rPr>
                <w:rFonts w:hint="eastAsia" w:ascii="宋体" w:hAnsi="宋体" w:eastAsia="宋体" w:cs="宋体"/>
                <w:color w:val="auto"/>
                <w:sz w:val="24"/>
                <w:szCs w:val="24"/>
                <w:highlight w:val="none"/>
              </w:rPr>
            </w:pPr>
          </w:p>
        </w:tc>
      </w:tr>
      <w:tr w14:paraId="3C9D9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0" w:type="pct"/>
          </w:tcPr>
          <w:p w14:paraId="1CC94475">
            <w:pPr>
              <w:pStyle w:val="70"/>
              <w:keepNext w:val="0"/>
              <w:keepLines w:val="0"/>
              <w:pageBreakBefore w:val="0"/>
              <w:kinsoku/>
              <w:wordWrap w:val="0"/>
              <w:overflowPunct/>
              <w:topLinePunct w:val="0"/>
              <w:bidi w:val="0"/>
              <w:rPr>
                <w:rFonts w:hint="eastAsia" w:ascii="宋体" w:hAnsi="宋体" w:eastAsia="宋体" w:cs="宋体"/>
                <w:color w:val="auto"/>
                <w:sz w:val="24"/>
                <w:szCs w:val="24"/>
                <w:highlight w:val="none"/>
              </w:rPr>
            </w:pPr>
          </w:p>
          <w:p w14:paraId="3221B15F">
            <w:pPr>
              <w:pStyle w:val="70"/>
              <w:keepNext w:val="0"/>
              <w:keepLines w:val="0"/>
              <w:pageBreakBefore w:val="0"/>
              <w:kinsoku/>
              <w:wordWrap w:val="0"/>
              <w:overflowPunct/>
              <w:topLinePunct w:val="0"/>
              <w:bidi w:val="0"/>
              <w:ind w:left="478" w:right="47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3669" w:type="pct"/>
          </w:tcPr>
          <w:p w14:paraId="312F2FB2">
            <w:pPr>
              <w:keepNext w:val="0"/>
              <w:keepLines w:val="0"/>
              <w:pageBreakBefore w:val="0"/>
              <w:kinsoku/>
              <w:wordWrap w:val="0"/>
              <w:overflowPunct/>
              <w:topLinePunct w:val="0"/>
              <w:bidi w:val="0"/>
              <w:rPr>
                <w:rFonts w:hint="eastAsia" w:ascii="宋体" w:hAnsi="宋体" w:eastAsia="宋体" w:cs="宋体"/>
                <w:color w:val="auto"/>
                <w:sz w:val="24"/>
                <w:szCs w:val="24"/>
                <w:highlight w:val="none"/>
              </w:rPr>
            </w:pPr>
          </w:p>
        </w:tc>
      </w:tr>
      <w:tr w14:paraId="797C7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513F9293">
            <w:pPr>
              <w:pStyle w:val="70"/>
              <w:keepNext w:val="0"/>
              <w:keepLines w:val="0"/>
              <w:pageBreakBefore w:val="0"/>
              <w:kinsoku/>
              <w:wordWrap w:val="0"/>
              <w:overflowPunct/>
              <w:topLinePunct w:val="0"/>
              <w:bidi w:val="0"/>
              <w:rPr>
                <w:rFonts w:hint="eastAsia" w:ascii="宋体" w:hAnsi="宋体" w:eastAsia="宋体" w:cs="宋体"/>
                <w:color w:val="auto"/>
                <w:sz w:val="24"/>
                <w:szCs w:val="24"/>
                <w:highlight w:val="none"/>
              </w:rPr>
            </w:pPr>
          </w:p>
          <w:p w14:paraId="59BE9D6B">
            <w:pPr>
              <w:pStyle w:val="70"/>
              <w:keepNext w:val="0"/>
              <w:keepLines w:val="0"/>
              <w:pageBreakBefore w:val="0"/>
              <w:kinsoku/>
              <w:wordWrap w:val="0"/>
              <w:overflowPunct/>
              <w:topLinePunct w:val="0"/>
              <w:bidi w:val="0"/>
              <w:ind w:left="478" w:right="47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3669" w:type="pct"/>
          </w:tcPr>
          <w:p w14:paraId="3FBF8EBD">
            <w:pPr>
              <w:keepNext w:val="0"/>
              <w:keepLines w:val="0"/>
              <w:pageBreakBefore w:val="0"/>
              <w:kinsoku/>
              <w:wordWrap w:val="0"/>
              <w:overflowPunct/>
              <w:topLinePunct w:val="0"/>
              <w:bidi w:val="0"/>
              <w:rPr>
                <w:rFonts w:hint="eastAsia" w:ascii="宋体" w:hAnsi="宋体" w:eastAsia="宋体" w:cs="宋体"/>
                <w:color w:val="auto"/>
                <w:sz w:val="24"/>
                <w:szCs w:val="24"/>
                <w:highlight w:val="none"/>
              </w:rPr>
            </w:pPr>
          </w:p>
        </w:tc>
      </w:tr>
      <w:tr w14:paraId="3979B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1330" w:type="pct"/>
          </w:tcPr>
          <w:p w14:paraId="50DF685A">
            <w:pPr>
              <w:pStyle w:val="70"/>
              <w:keepNext w:val="0"/>
              <w:keepLines w:val="0"/>
              <w:pageBreakBefore w:val="0"/>
              <w:kinsoku/>
              <w:wordWrap w:val="0"/>
              <w:overflowPunct/>
              <w:topLinePunct w:val="0"/>
              <w:bidi w:val="0"/>
              <w:rPr>
                <w:rFonts w:hint="eastAsia" w:ascii="宋体" w:hAnsi="宋体" w:eastAsia="宋体" w:cs="宋体"/>
                <w:color w:val="auto"/>
                <w:sz w:val="24"/>
                <w:szCs w:val="24"/>
                <w:highlight w:val="none"/>
              </w:rPr>
            </w:pPr>
          </w:p>
          <w:p w14:paraId="5989A5DF">
            <w:pPr>
              <w:pStyle w:val="70"/>
              <w:keepNext w:val="0"/>
              <w:keepLines w:val="0"/>
              <w:pageBreakBefore w:val="0"/>
              <w:kinsoku/>
              <w:wordWrap w:val="0"/>
              <w:overflowPunct/>
              <w:topLinePunct w:val="0"/>
              <w:bidi w:val="0"/>
              <w:spacing w:before="1"/>
              <w:ind w:left="478" w:right="47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3669" w:type="pct"/>
          </w:tcPr>
          <w:p w14:paraId="318FEC79">
            <w:pPr>
              <w:keepNext w:val="0"/>
              <w:keepLines w:val="0"/>
              <w:pageBreakBefore w:val="0"/>
              <w:kinsoku/>
              <w:wordWrap w:val="0"/>
              <w:overflowPunct/>
              <w:topLinePunct w:val="0"/>
              <w:bidi w:val="0"/>
              <w:rPr>
                <w:rFonts w:hint="eastAsia" w:ascii="宋体" w:hAnsi="宋体" w:eastAsia="宋体" w:cs="宋体"/>
                <w:color w:val="auto"/>
                <w:sz w:val="24"/>
                <w:szCs w:val="24"/>
                <w:highlight w:val="none"/>
              </w:rPr>
            </w:pPr>
          </w:p>
        </w:tc>
      </w:tr>
      <w:tr w14:paraId="4A270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0" w:type="pct"/>
          </w:tcPr>
          <w:p w14:paraId="3524624E">
            <w:pPr>
              <w:pStyle w:val="70"/>
              <w:keepNext w:val="0"/>
              <w:keepLines w:val="0"/>
              <w:pageBreakBefore w:val="0"/>
              <w:kinsoku/>
              <w:wordWrap w:val="0"/>
              <w:overflowPunct/>
              <w:topLinePunct w:val="0"/>
              <w:bidi w:val="0"/>
              <w:rPr>
                <w:rFonts w:hint="eastAsia" w:ascii="宋体" w:hAnsi="宋体" w:eastAsia="宋体" w:cs="宋体"/>
                <w:color w:val="auto"/>
                <w:sz w:val="24"/>
                <w:szCs w:val="24"/>
                <w:highlight w:val="none"/>
              </w:rPr>
            </w:pPr>
          </w:p>
          <w:p w14:paraId="37851A54">
            <w:pPr>
              <w:pStyle w:val="70"/>
              <w:keepNext w:val="0"/>
              <w:keepLines w:val="0"/>
              <w:pageBreakBefore w:val="0"/>
              <w:kinsoku/>
              <w:wordWrap w:val="0"/>
              <w:overflowPunct/>
              <w:topLinePunct w:val="0"/>
              <w:bidi w:val="0"/>
              <w:ind w:left="478" w:right="47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发包人电话</w:t>
            </w:r>
          </w:p>
        </w:tc>
        <w:tc>
          <w:tcPr>
            <w:tcW w:w="3669" w:type="pct"/>
          </w:tcPr>
          <w:p w14:paraId="4F9840E4">
            <w:pPr>
              <w:keepNext w:val="0"/>
              <w:keepLines w:val="0"/>
              <w:pageBreakBefore w:val="0"/>
              <w:kinsoku/>
              <w:wordWrap w:val="0"/>
              <w:overflowPunct/>
              <w:topLinePunct w:val="0"/>
              <w:bidi w:val="0"/>
              <w:rPr>
                <w:rFonts w:hint="eastAsia" w:ascii="宋体" w:hAnsi="宋体" w:eastAsia="宋体" w:cs="宋体"/>
                <w:color w:val="auto"/>
                <w:sz w:val="24"/>
                <w:szCs w:val="24"/>
                <w:highlight w:val="none"/>
              </w:rPr>
            </w:pPr>
          </w:p>
        </w:tc>
      </w:tr>
      <w:tr w14:paraId="7C418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7612BB73">
            <w:pPr>
              <w:pStyle w:val="70"/>
              <w:keepNext w:val="0"/>
              <w:keepLines w:val="0"/>
              <w:pageBreakBefore w:val="0"/>
              <w:kinsoku/>
              <w:wordWrap w:val="0"/>
              <w:overflowPunct/>
              <w:topLinePunct w:val="0"/>
              <w:bidi w:val="0"/>
              <w:rPr>
                <w:rFonts w:hint="eastAsia" w:ascii="宋体" w:hAnsi="宋体" w:eastAsia="宋体" w:cs="宋体"/>
                <w:color w:val="auto"/>
                <w:sz w:val="24"/>
                <w:szCs w:val="24"/>
                <w:highlight w:val="none"/>
              </w:rPr>
            </w:pPr>
          </w:p>
          <w:p w14:paraId="30700611">
            <w:pPr>
              <w:pStyle w:val="70"/>
              <w:keepNext w:val="0"/>
              <w:keepLines w:val="0"/>
              <w:pageBreakBefore w:val="0"/>
              <w:kinsoku/>
              <w:wordWrap w:val="0"/>
              <w:overflowPunct/>
              <w:topLinePunct w:val="0"/>
              <w:bidi w:val="0"/>
              <w:ind w:left="478" w:right="47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3669" w:type="pct"/>
          </w:tcPr>
          <w:p w14:paraId="50420590">
            <w:pPr>
              <w:keepNext w:val="0"/>
              <w:keepLines w:val="0"/>
              <w:pageBreakBefore w:val="0"/>
              <w:kinsoku/>
              <w:wordWrap w:val="0"/>
              <w:overflowPunct/>
              <w:topLinePunct w:val="0"/>
              <w:bidi w:val="0"/>
              <w:rPr>
                <w:rFonts w:hint="eastAsia" w:ascii="宋体" w:hAnsi="宋体" w:eastAsia="宋体" w:cs="宋体"/>
                <w:color w:val="auto"/>
                <w:sz w:val="24"/>
                <w:szCs w:val="24"/>
                <w:highlight w:val="none"/>
              </w:rPr>
            </w:pPr>
          </w:p>
        </w:tc>
      </w:tr>
      <w:tr w14:paraId="500FE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exact"/>
        </w:trPr>
        <w:tc>
          <w:tcPr>
            <w:tcW w:w="1330" w:type="pct"/>
          </w:tcPr>
          <w:p w14:paraId="098AD259">
            <w:pPr>
              <w:pStyle w:val="70"/>
              <w:keepNext w:val="0"/>
              <w:keepLines w:val="0"/>
              <w:pageBreakBefore w:val="0"/>
              <w:kinsoku/>
              <w:wordWrap w:val="0"/>
              <w:overflowPunct/>
              <w:topLinePunct w:val="0"/>
              <w:bidi w:val="0"/>
              <w:rPr>
                <w:rFonts w:hint="eastAsia" w:ascii="宋体" w:hAnsi="宋体" w:eastAsia="宋体" w:cs="宋体"/>
                <w:color w:val="auto"/>
                <w:sz w:val="24"/>
                <w:szCs w:val="24"/>
                <w:highlight w:val="none"/>
              </w:rPr>
            </w:pPr>
          </w:p>
          <w:p w14:paraId="4EC67ADF">
            <w:pPr>
              <w:pStyle w:val="70"/>
              <w:keepNext w:val="0"/>
              <w:keepLines w:val="0"/>
              <w:pageBreakBefore w:val="0"/>
              <w:kinsoku/>
              <w:wordWrap w:val="0"/>
              <w:overflowPunct/>
              <w:topLinePunct w:val="0"/>
              <w:bidi w:val="0"/>
              <w:ind w:right="47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合同履行期限</w:t>
            </w:r>
          </w:p>
        </w:tc>
        <w:tc>
          <w:tcPr>
            <w:tcW w:w="3669" w:type="pct"/>
          </w:tcPr>
          <w:p w14:paraId="666B6AEB">
            <w:pPr>
              <w:keepNext w:val="0"/>
              <w:keepLines w:val="0"/>
              <w:pageBreakBefore w:val="0"/>
              <w:kinsoku/>
              <w:wordWrap w:val="0"/>
              <w:overflowPunct/>
              <w:topLinePunct w:val="0"/>
              <w:bidi w:val="0"/>
              <w:rPr>
                <w:rFonts w:hint="eastAsia" w:ascii="宋体" w:hAnsi="宋体" w:eastAsia="宋体" w:cs="宋体"/>
                <w:color w:val="auto"/>
                <w:sz w:val="24"/>
                <w:szCs w:val="24"/>
                <w:highlight w:val="none"/>
              </w:rPr>
            </w:pPr>
          </w:p>
        </w:tc>
      </w:tr>
      <w:tr w14:paraId="302DC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1330" w:type="pct"/>
          </w:tcPr>
          <w:p w14:paraId="32F652F9">
            <w:pPr>
              <w:pStyle w:val="70"/>
              <w:keepNext w:val="0"/>
              <w:keepLines w:val="0"/>
              <w:pageBreakBefore w:val="0"/>
              <w:kinsoku/>
              <w:wordWrap w:val="0"/>
              <w:overflowPunct/>
              <w:topLinePunct w:val="0"/>
              <w:bidi w:val="0"/>
              <w:rPr>
                <w:rFonts w:hint="eastAsia" w:ascii="宋体" w:hAnsi="宋体" w:eastAsia="宋体" w:cs="宋体"/>
                <w:color w:val="auto"/>
                <w:sz w:val="24"/>
                <w:szCs w:val="24"/>
                <w:highlight w:val="none"/>
              </w:rPr>
            </w:pPr>
          </w:p>
          <w:p w14:paraId="50F4D221">
            <w:pPr>
              <w:pStyle w:val="70"/>
              <w:keepNext w:val="0"/>
              <w:keepLines w:val="0"/>
              <w:pageBreakBefore w:val="0"/>
              <w:kinsoku/>
              <w:wordWrap w:val="0"/>
              <w:overflowPunct/>
              <w:topLinePunct w:val="0"/>
              <w:bidi w:val="0"/>
              <w:ind w:left="477" w:right="47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工作内容</w:t>
            </w:r>
          </w:p>
        </w:tc>
        <w:tc>
          <w:tcPr>
            <w:tcW w:w="3669" w:type="pct"/>
          </w:tcPr>
          <w:p w14:paraId="73ECAC59">
            <w:pPr>
              <w:keepNext w:val="0"/>
              <w:keepLines w:val="0"/>
              <w:pageBreakBefore w:val="0"/>
              <w:kinsoku/>
              <w:wordWrap w:val="0"/>
              <w:overflowPunct/>
              <w:topLinePunct w:val="0"/>
              <w:bidi w:val="0"/>
              <w:rPr>
                <w:rFonts w:hint="eastAsia" w:ascii="宋体" w:hAnsi="宋体" w:eastAsia="宋体" w:cs="宋体"/>
                <w:color w:val="auto"/>
                <w:sz w:val="24"/>
                <w:szCs w:val="24"/>
                <w:highlight w:val="none"/>
              </w:rPr>
            </w:pPr>
          </w:p>
        </w:tc>
      </w:tr>
      <w:tr w14:paraId="20022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1330" w:type="pct"/>
          </w:tcPr>
          <w:p w14:paraId="3E5A7C8B">
            <w:pPr>
              <w:pStyle w:val="70"/>
              <w:keepNext w:val="0"/>
              <w:keepLines w:val="0"/>
              <w:pageBreakBefore w:val="0"/>
              <w:kinsoku/>
              <w:wordWrap w:val="0"/>
              <w:overflowPunct/>
              <w:topLinePunct w:val="0"/>
              <w:bidi w:val="0"/>
              <w:rPr>
                <w:rFonts w:hint="eastAsia" w:ascii="宋体" w:hAnsi="宋体" w:eastAsia="宋体" w:cs="宋体"/>
                <w:color w:val="auto"/>
                <w:sz w:val="24"/>
                <w:szCs w:val="24"/>
                <w:highlight w:val="none"/>
              </w:rPr>
            </w:pPr>
          </w:p>
          <w:p w14:paraId="1905F091">
            <w:pPr>
              <w:pStyle w:val="70"/>
              <w:keepNext w:val="0"/>
              <w:keepLines w:val="0"/>
              <w:pageBreakBefore w:val="0"/>
              <w:kinsoku/>
              <w:wordWrap w:val="0"/>
              <w:overflowPunct/>
              <w:topLinePunct w:val="0"/>
              <w:bidi w:val="0"/>
              <w:rPr>
                <w:rFonts w:hint="eastAsia" w:ascii="宋体" w:hAnsi="宋体" w:eastAsia="宋体" w:cs="宋体"/>
                <w:color w:val="auto"/>
                <w:sz w:val="24"/>
                <w:szCs w:val="24"/>
                <w:highlight w:val="none"/>
              </w:rPr>
            </w:pPr>
          </w:p>
          <w:p w14:paraId="057CE6EA">
            <w:pPr>
              <w:pStyle w:val="70"/>
              <w:keepNext w:val="0"/>
              <w:keepLines w:val="0"/>
              <w:pageBreakBefore w:val="0"/>
              <w:kinsoku/>
              <w:wordWrap w:val="0"/>
              <w:overflowPunct/>
              <w:topLinePunct w:val="0"/>
              <w:bidi w:val="0"/>
              <w:rPr>
                <w:rFonts w:hint="eastAsia" w:ascii="宋体" w:hAnsi="宋体" w:eastAsia="宋体" w:cs="宋体"/>
                <w:color w:val="auto"/>
                <w:sz w:val="24"/>
                <w:szCs w:val="24"/>
                <w:highlight w:val="none"/>
              </w:rPr>
            </w:pPr>
          </w:p>
          <w:p w14:paraId="53F601FE">
            <w:pPr>
              <w:pStyle w:val="70"/>
              <w:keepNext w:val="0"/>
              <w:keepLines w:val="0"/>
              <w:pageBreakBefore w:val="0"/>
              <w:kinsoku/>
              <w:wordWrap w:val="0"/>
              <w:overflowPunct/>
              <w:topLinePunct w:val="0"/>
              <w:bidi w:val="0"/>
              <w:rPr>
                <w:rFonts w:hint="eastAsia" w:ascii="宋体" w:hAnsi="宋体" w:eastAsia="宋体" w:cs="宋体"/>
                <w:color w:val="auto"/>
                <w:sz w:val="24"/>
                <w:szCs w:val="24"/>
                <w:highlight w:val="none"/>
              </w:rPr>
            </w:pPr>
          </w:p>
          <w:p w14:paraId="535E14AD">
            <w:pPr>
              <w:pStyle w:val="70"/>
              <w:keepNext w:val="0"/>
              <w:keepLines w:val="0"/>
              <w:pageBreakBefore w:val="0"/>
              <w:kinsoku/>
              <w:wordWrap w:val="0"/>
              <w:overflowPunct/>
              <w:topLinePunct w:val="0"/>
              <w:bidi w:val="0"/>
              <w:spacing w:before="1"/>
              <w:rPr>
                <w:rFonts w:hint="eastAsia" w:ascii="宋体" w:hAnsi="宋体" w:eastAsia="宋体" w:cs="宋体"/>
                <w:color w:val="auto"/>
                <w:sz w:val="24"/>
                <w:szCs w:val="24"/>
                <w:highlight w:val="none"/>
              </w:rPr>
            </w:pPr>
          </w:p>
          <w:p w14:paraId="0B1ABFF1">
            <w:pPr>
              <w:pStyle w:val="70"/>
              <w:keepNext w:val="0"/>
              <w:keepLines w:val="0"/>
              <w:pageBreakBefore w:val="0"/>
              <w:kinsoku/>
              <w:wordWrap w:val="0"/>
              <w:overflowPunct/>
              <w:topLinePunct w:val="0"/>
              <w:bidi w:val="0"/>
              <w:ind w:left="478" w:right="47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3669" w:type="pct"/>
          </w:tcPr>
          <w:p w14:paraId="1BDD142E">
            <w:pPr>
              <w:keepNext w:val="0"/>
              <w:keepLines w:val="0"/>
              <w:pageBreakBefore w:val="0"/>
              <w:kinsoku/>
              <w:wordWrap w:val="0"/>
              <w:overflowPunct/>
              <w:topLinePunct w:val="0"/>
              <w:bidi w:val="0"/>
              <w:rPr>
                <w:rFonts w:hint="eastAsia" w:ascii="宋体" w:hAnsi="宋体" w:eastAsia="宋体" w:cs="宋体"/>
                <w:color w:val="auto"/>
                <w:sz w:val="24"/>
                <w:szCs w:val="24"/>
                <w:highlight w:val="none"/>
              </w:rPr>
            </w:pPr>
          </w:p>
        </w:tc>
      </w:tr>
      <w:tr w14:paraId="15062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1330" w:type="pct"/>
          </w:tcPr>
          <w:p w14:paraId="131091D8">
            <w:pPr>
              <w:pStyle w:val="70"/>
              <w:keepNext w:val="0"/>
              <w:keepLines w:val="0"/>
              <w:pageBreakBefore w:val="0"/>
              <w:kinsoku/>
              <w:wordWrap w:val="0"/>
              <w:overflowPunct/>
              <w:topLinePunct w:val="0"/>
              <w:bidi w:val="0"/>
              <w:rPr>
                <w:rFonts w:hint="eastAsia" w:ascii="宋体" w:hAnsi="宋体" w:eastAsia="宋体" w:cs="宋体"/>
                <w:color w:val="auto"/>
                <w:sz w:val="24"/>
                <w:szCs w:val="24"/>
                <w:highlight w:val="none"/>
              </w:rPr>
            </w:pPr>
          </w:p>
          <w:p w14:paraId="6D6BB610">
            <w:pPr>
              <w:pStyle w:val="70"/>
              <w:keepNext w:val="0"/>
              <w:keepLines w:val="0"/>
              <w:pageBreakBefore w:val="0"/>
              <w:kinsoku/>
              <w:wordWrap w:val="0"/>
              <w:overflowPunct/>
              <w:topLinePunct w:val="0"/>
              <w:bidi w:val="0"/>
              <w:ind w:left="479" w:right="47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3669" w:type="pct"/>
          </w:tcPr>
          <w:p w14:paraId="3EB444A6">
            <w:pPr>
              <w:keepNext w:val="0"/>
              <w:keepLines w:val="0"/>
              <w:pageBreakBefore w:val="0"/>
              <w:kinsoku/>
              <w:wordWrap w:val="0"/>
              <w:overflowPunct/>
              <w:topLinePunct w:val="0"/>
              <w:bidi w:val="0"/>
              <w:rPr>
                <w:rFonts w:hint="eastAsia" w:ascii="宋体" w:hAnsi="宋体" w:eastAsia="宋体" w:cs="宋体"/>
                <w:color w:val="auto"/>
                <w:sz w:val="24"/>
                <w:szCs w:val="24"/>
                <w:highlight w:val="none"/>
              </w:rPr>
            </w:pPr>
          </w:p>
        </w:tc>
      </w:tr>
    </w:tbl>
    <w:p w14:paraId="6CE87211">
      <w:pPr>
        <w:pStyle w:val="13"/>
        <w:keepNext w:val="0"/>
        <w:keepLines w:val="0"/>
        <w:pageBreakBefore w:val="0"/>
        <w:kinsoku/>
        <w:wordWrap w:val="0"/>
        <w:overflowPunct/>
        <w:topLinePunct w:val="0"/>
        <w:bidi w:val="0"/>
        <w:spacing w:before="5"/>
        <w:rPr>
          <w:rFonts w:hint="eastAsia" w:ascii="宋体" w:hAnsi="宋体" w:eastAsia="宋体" w:cs="宋体"/>
          <w:color w:val="auto"/>
          <w:sz w:val="24"/>
          <w:szCs w:val="24"/>
          <w:highlight w:val="none"/>
        </w:rPr>
      </w:pPr>
    </w:p>
    <w:p w14:paraId="5042C77A">
      <w:pPr>
        <w:pStyle w:val="13"/>
        <w:keepNext w:val="0"/>
        <w:keepLines w:val="0"/>
        <w:pageBreakBefore w:val="0"/>
        <w:kinsoku/>
        <w:wordWrap w:val="0"/>
        <w:overflowPunct/>
        <w:topLinePunct w:val="0"/>
        <w:bidi w:val="0"/>
        <w:spacing w:before="37"/>
        <w:ind w:left="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pacing w:val="-5"/>
          <w:sz w:val="24"/>
          <w:szCs w:val="24"/>
          <w:highlight w:val="none"/>
          <w:lang w:eastAsia="zh-CN"/>
        </w:rPr>
        <w:t>需提供证明资料内容详见评标方法</w:t>
      </w:r>
      <w:r>
        <w:rPr>
          <w:rFonts w:hint="eastAsia" w:ascii="宋体" w:hAnsi="宋体" w:eastAsia="宋体" w:cs="宋体"/>
          <w:color w:val="auto"/>
          <w:sz w:val="24"/>
          <w:szCs w:val="24"/>
          <w:highlight w:val="none"/>
          <w:lang w:eastAsia="zh-CN"/>
        </w:rPr>
        <w:t>。</w:t>
      </w:r>
    </w:p>
    <w:p w14:paraId="3D09CEF4">
      <w:pPr>
        <w:keepNext w:val="0"/>
        <w:keepLines w:val="0"/>
        <w:pageBreakBefore w:val="0"/>
        <w:kinsoku/>
        <w:wordWrap w:val="0"/>
        <w:overflowPunct/>
        <w:topLinePunct w:val="0"/>
        <w:bidi w:val="0"/>
        <w:rPr>
          <w:rFonts w:asciiTheme="minorEastAsia" w:hAnsiTheme="minorEastAsia" w:eastAsiaTheme="minorEastAsia" w:cstheme="minorEastAsia"/>
          <w:color w:val="auto"/>
          <w:highlight w:val="none"/>
          <w:lang w:eastAsia="zh-CN"/>
        </w:rPr>
        <w:sectPr>
          <w:pgSz w:w="11906" w:h="16838"/>
          <w:pgMar w:top="1440" w:right="1080" w:bottom="1440" w:left="1080" w:header="0" w:footer="921" w:gutter="0"/>
          <w:pgNumType w:fmt="decimal"/>
          <w:cols w:space="720" w:num="1"/>
        </w:sectPr>
      </w:pPr>
    </w:p>
    <w:p w14:paraId="6D256F66">
      <w:pPr>
        <w:adjustRightInd w:val="0"/>
        <w:snapToGrid w:val="0"/>
        <w:spacing w:line="300" w:lineRule="auto"/>
        <w:jc w:val="center"/>
        <w:outlineLvl w:val="0"/>
        <w:rPr>
          <w:rFonts w:hint="default" w:ascii="宋体" w:hAnsi="宋体" w:eastAsia="宋体" w:cs="宋体"/>
          <w:b/>
          <w:bCs/>
          <w:color w:val="auto"/>
          <w:sz w:val="32"/>
          <w:szCs w:val="32"/>
          <w:highlight w:val="none"/>
          <w:lang w:val="en-US" w:eastAsia="zh-CN"/>
        </w:rPr>
      </w:pPr>
      <w:bookmarkStart w:id="205" w:name="_bookmark207"/>
      <w:bookmarkEnd w:id="205"/>
      <w:bookmarkStart w:id="206" w:name="_Toc14170"/>
      <w:bookmarkStart w:id="207" w:name="_Toc27935"/>
      <w:r>
        <w:rPr>
          <w:rFonts w:hint="eastAsia" w:ascii="宋体" w:hAnsi="宋体" w:eastAsia="宋体" w:cs="宋体"/>
          <w:b/>
          <w:bCs/>
          <w:color w:val="auto"/>
          <w:sz w:val="32"/>
          <w:szCs w:val="32"/>
          <w:highlight w:val="none"/>
          <w:lang w:eastAsia="zh-CN"/>
        </w:rPr>
        <w:t>（</w:t>
      </w:r>
      <w:r>
        <w:rPr>
          <w:rFonts w:hint="eastAsia" w:cs="宋体"/>
          <w:b/>
          <w:bCs/>
          <w:color w:val="auto"/>
          <w:sz w:val="32"/>
          <w:szCs w:val="32"/>
          <w:highlight w:val="none"/>
          <w:lang w:val="en-US" w:eastAsia="zh-CN"/>
        </w:rPr>
        <w:t>五</w:t>
      </w:r>
      <w:r>
        <w:rPr>
          <w:rFonts w:hint="eastAsia" w:ascii="宋体" w:hAnsi="宋体" w:eastAsia="宋体" w:cs="宋体"/>
          <w:b/>
          <w:bCs/>
          <w:color w:val="auto"/>
          <w:sz w:val="32"/>
          <w:szCs w:val="32"/>
          <w:highlight w:val="none"/>
          <w:lang w:eastAsia="zh-CN"/>
        </w:rPr>
        <w:t>）</w:t>
      </w:r>
      <w:bookmarkEnd w:id="206"/>
      <w:r>
        <w:rPr>
          <w:rFonts w:hint="eastAsia" w:cs="宋体"/>
          <w:b/>
          <w:bCs/>
          <w:color w:val="auto"/>
          <w:sz w:val="32"/>
          <w:szCs w:val="32"/>
          <w:highlight w:val="none"/>
          <w:lang w:val="en-US" w:eastAsia="zh-CN"/>
        </w:rPr>
        <w:t>服务标准和要求</w:t>
      </w:r>
      <w:bookmarkEnd w:id="207"/>
    </w:p>
    <w:p w14:paraId="27714F3B">
      <w:pPr>
        <w:pStyle w:val="13"/>
        <w:keepNext w:val="0"/>
        <w:keepLines w:val="0"/>
        <w:pageBreakBefore w:val="0"/>
        <w:kinsoku/>
        <w:wordWrap w:val="0"/>
        <w:overflowPunct/>
        <w:topLinePunct w:val="0"/>
        <w:bidi w:val="0"/>
        <w:spacing w:before="5"/>
        <w:rPr>
          <w:rFonts w:asciiTheme="minorEastAsia" w:hAnsiTheme="minorEastAsia" w:eastAsiaTheme="minorEastAsia" w:cstheme="minorEastAsia"/>
          <w:color w:val="auto"/>
          <w:sz w:val="24"/>
          <w:szCs w:val="24"/>
          <w:highlight w:val="none"/>
        </w:rPr>
      </w:pPr>
    </w:p>
    <w:tbl>
      <w:tblPr>
        <w:tblStyle w:val="29"/>
        <w:tblW w:w="91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11"/>
        <w:gridCol w:w="3225"/>
        <w:gridCol w:w="3634"/>
        <w:gridCol w:w="1391"/>
      </w:tblGrid>
      <w:tr w14:paraId="457E4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1253" w:hRule="atLeast"/>
          <w:jc w:val="center"/>
        </w:trPr>
        <w:tc>
          <w:tcPr>
            <w:tcW w:w="911" w:type="dxa"/>
            <w:tcBorders>
              <w:top w:val="single" w:color="auto" w:sz="12" w:space="0"/>
              <w:left w:val="single" w:color="auto" w:sz="12" w:space="0"/>
              <w:bottom w:val="single" w:color="auto" w:sz="6" w:space="0"/>
              <w:right w:val="single" w:color="auto" w:sz="6" w:space="0"/>
            </w:tcBorders>
            <w:noWrap w:val="0"/>
            <w:tcMar>
              <w:top w:w="15" w:type="dxa"/>
              <w:left w:w="15" w:type="dxa"/>
              <w:bottom w:w="0" w:type="dxa"/>
              <w:right w:w="15" w:type="dxa"/>
            </w:tcMar>
            <w:vAlign w:val="center"/>
          </w:tcPr>
          <w:p w14:paraId="5CE9ABDE">
            <w:pPr>
              <w:adjustRightInd w:val="0"/>
              <w:snapToGrid w:val="0"/>
              <w:spacing w:line="30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序号</w:t>
            </w:r>
          </w:p>
        </w:tc>
        <w:tc>
          <w:tcPr>
            <w:tcW w:w="3225" w:type="dxa"/>
            <w:tcBorders>
              <w:top w:val="single" w:color="auto" w:sz="1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464B21AF">
            <w:pPr>
              <w:adjustRightInd w:val="0"/>
              <w:snapToGrid w:val="0"/>
              <w:spacing w:line="300" w:lineRule="auto"/>
              <w:jc w:val="center"/>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招标</w:t>
            </w:r>
            <w:r>
              <w:rPr>
                <w:rFonts w:hint="eastAsia" w:ascii="宋体" w:hAnsi="宋体" w:eastAsia="宋体" w:cs="宋体"/>
                <w:b w:val="0"/>
                <w:bCs w:val="0"/>
                <w:color w:val="auto"/>
                <w:sz w:val="24"/>
                <w:szCs w:val="24"/>
                <w:highlight w:val="none"/>
                <w:lang w:val="en-US" w:eastAsia="zh-CN"/>
              </w:rPr>
              <w:t>文件条款内容</w:t>
            </w:r>
          </w:p>
        </w:tc>
        <w:tc>
          <w:tcPr>
            <w:tcW w:w="3634" w:type="dxa"/>
            <w:tcBorders>
              <w:top w:val="single" w:color="auto" w:sz="1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4FB400C0">
            <w:pPr>
              <w:adjustRightInd w:val="0"/>
              <w:snapToGrid w:val="0"/>
              <w:spacing w:line="30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响应文件是否响应</w:t>
            </w:r>
          </w:p>
        </w:tc>
        <w:tc>
          <w:tcPr>
            <w:tcW w:w="1391" w:type="dxa"/>
            <w:tcBorders>
              <w:top w:val="single" w:color="auto" w:sz="12" w:space="0"/>
              <w:left w:val="single" w:color="auto" w:sz="6" w:space="0"/>
              <w:bottom w:val="single" w:color="auto" w:sz="6" w:space="0"/>
              <w:right w:val="single" w:color="auto" w:sz="6" w:space="0"/>
            </w:tcBorders>
            <w:noWrap w:val="0"/>
            <w:vAlign w:val="center"/>
          </w:tcPr>
          <w:p w14:paraId="7E565117">
            <w:pPr>
              <w:spacing w:line="440" w:lineRule="atLeas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备注</w:t>
            </w:r>
          </w:p>
        </w:tc>
      </w:tr>
      <w:tr w14:paraId="10BD7E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59" w:hRule="atLeast"/>
          <w:jc w:val="center"/>
        </w:trPr>
        <w:tc>
          <w:tcPr>
            <w:tcW w:w="911" w:type="dxa"/>
            <w:tcBorders>
              <w:top w:val="single" w:color="auto" w:sz="6" w:space="0"/>
              <w:left w:val="single" w:color="auto" w:sz="12" w:space="0"/>
              <w:bottom w:val="single" w:color="auto" w:sz="6" w:space="0"/>
              <w:right w:val="single" w:color="auto" w:sz="6" w:space="0"/>
            </w:tcBorders>
            <w:noWrap w:val="0"/>
            <w:tcMar>
              <w:top w:w="15" w:type="dxa"/>
              <w:left w:w="15" w:type="dxa"/>
              <w:bottom w:w="0" w:type="dxa"/>
              <w:right w:w="15" w:type="dxa"/>
            </w:tcMar>
            <w:vAlign w:val="center"/>
          </w:tcPr>
          <w:p w14:paraId="53F1FCAA">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225"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308042F1">
            <w:pPr>
              <w:rPr>
                <w:rFonts w:hint="eastAsia" w:ascii="宋体" w:hAnsi="宋体" w:eastAsia="宋体" w:cs="宋体"/>
                <w:color w:val="auto"/>
                <w:sz w:val="24"/>
                <w:szCs w:val="24"/>
                <w:highlight w:val="none"/>
              </w:rPr>
            </w:pPr>
          </w:p>
        </w:tc>
        <w:tc>
          <w:tcPr>
            <w:tcW w:w="3634"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1DB83A30">
            <w:pPr>
              <w:rPr>
                <w:rFonts w:hint="eastAsia" w:ascii="宋体" w:hAnsi="宋体" w:eastAsia="宋体" w:cs="宋体"/>
                <w:color w:val="auto"/>
                <w:sz w:val="24"/>
                <w:szCs w:val="24"/>
                <w:highlight w:val="none"/>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309BBB8E">
            <w:pPr>
              <w:adjustRightInd w:val="0"/>
              <w:snapToGrid w:val="0"/>
              <w:spacing w:line="300" w:lineRule="auto"/>
              <w:rPr>
                <w:rFonts w:hint="eastAsia" w:ascii="宋体" w:hAnsi="宋体" w:eastAsia="宋体" w:cs="宋体"/>
                <w:color w:val="auto"/>
                <w:sz w:val="24"/>
                <w:szCs w:val="24"/>
                <w:highlight w:val="none"/>
                <w:lang w:val="en-US" w:eastAsia="zh-CN"/>
              </w:rPr>
            </w:pPr>
          </w:p>
        </w:tc>
      </w:tr>
      <w:tr w14:paraId="1D2B7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12" w:hRule="atLeast"/>
          <w:jc w:val="center"/>
        </w:trPr>
        <w:tc>
          <w:tcPr>
            <w:tcW w:w="911" w:type="dxa"/>
            <w:tcBorders>
              <w:top w:val="single" w:color="auto" w:sz="6" w:space="0"/>
              <w:left w:val="single" w:color="auto" w:sz="12" w:space="0"/>
              <w:bottom w:val="single" w:color="auto" w:sz="6" w:space="0"/>
              <w:right w:val="single" w:color="auto" w:sz="6" w:space="0"/>
            </w:tcBorders>
            <w:noWrap w:val="0"/>
            <w:tcMar>
              <w:top w:w="15" w:type="dxa"/>
              <w:left w:w="15" w:type="dxa"/>
              <w:bottom w:w="0" w:type="dxa"/>
              <w:right w:w="15" w:type="dxa"/>
            </w:tcMar>
            <w:vAlign w:val="center"/>
          </w:tcPr>
          <w:p w14:paraId="39F856DE">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225"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32D6E78B">
            <w:pPr>
              <w:rPr>
                <w:rFonts w:hint="eastAsia" w:ascii="宋体" w:hAnsi="宋体" w:eastAsia="宋体" w:cs="宋体"/>
                <w:color w:val="auto"/>
                <w:sz w:val="24"/>
                <w:szCs w:val="24"/>
                <w:highlight w:val="none"/>
              </w:rPr>
            </w:pPr>
          </w:p>
        </w:tc>
        <w:tc>
          <w:tcPr>
            <w:tcW w:w="3634"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6A4582C4">
            <w:pPr>
              <w:rPr>
                <w:rFonts w:hint="eastAsia" w:ascii="宋体" w:hAnsi="宋体" w:eastAsia="宋体" w:cs="宋体"/>
                <w:color w:val="auto"/>
                <w:sz w:val="24"/>
                <w:szCs w:val="24"/>
                <w:highlight w:val="none"/>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4002DEB5">
            <w:pPr>
              <w:adjustRightInd w:val="0"/>
              <w:snapToGrid w:val="0"/>
              <w:spacing w:line="300" w:lineRule="auto"/>
              <w:rPr>
                <w:rFonts w:hint="eastAsia" w:ascii="宋体" w:hAnsi="宋体" w:eastAsia="宋体" w:cs="宋体"/>
                <w:color w:val="auto"/>
                <w:sz w:val="24"/>
                <w:szCs w:val="24"/>
                <w:highlight w:val="none"/>
              </w:rPr>
            </w:pPr>
          </w:p>
        </w:tc>
      </w:tr>
      <w:tr w14:paraId="271174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8" w:hRule="atLeast"/>
          <w:jc w:val="center"/>
        </w:trPr>
        <w:tc>
          <w:tcPr>
            <w:tcW w:w="911" w:type="dxa"/>
            <w:tcBorders>
              <w:top w:val="single" w:color="auto" w:sz="6" w:space="0"/>
              <w:left w:val="single" w:color="auto" w:sz="12" w:space="0"/>
              <w:bottom w:val="single" w:color="auto" w:sz="6" w:space="0"/>
              <w:right w:val="single" w:color="auto" w:sz="6" w:space="0"/>
            </w:tcBorders>
            <w:noWrap w:val="0"/>
            <w:tcMar>
              <w:top w:w="15" w:type="dxa"/>
              <w:left w:w="15" w:type="dxa"/>
              <w:bottom w:w="0" w:type="dxa"/>
              <w:right w:w="15" w:type="dxa"/>
            </w:tcMar>
            <w:vAlign w:val="center"/>
          </w:tcPr>
          <w:p w14:paraId="7A4D5015">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225"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42F30B33">
            <w:pPr>
              <w:jc w:val="left"/>
              <w:rPr>
                <w:rFonts w:hint="eastAsia" w:ascii="宋体" w:hAnsi="宋体" w:eastAsia="宋体" w:cs="宋体"/>
                <w:color w:val="auto"/>
                <w:sz w:val="24"/>
                <w:szCs w:val="24"/>
                <w:highlight w:val="none"/>
              </w:rPr>
            </w:pPr>
          </w:p>
        </w:tc>
        <w:tc>
          <w:tcPr>
            <w:tcW w:w="3634"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703C47E6">
            <w:pPr>
              <w:spacing w:line="360" w:lineRule="auto"/>
              <w:rPr>
                <w:rFonts w:hint="eastAsia" w:ascii="宋体" w:hAnsi="宋体" w:eastAsia="宋体" w:cs="宋体"/>
                <w:color w:val="auto"/>
                <w:sz w:val="24"/>
                <w:szCs w:val="24"/>
                <w:highlight w:val="none"/>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54629225">
            <w:pPr>
              <w:adjustRightInd w:val="0"/>
              <w:snapToGrid w:val="0"/>
              <w:spacing w:line="300" w:lineRule="auto"/>
              <w:rPr>
                <w:rFonts w:hint="eastAsia" w:ascii="宋体" w:hAnsi="宋体" w:eastAsia="宋体" w:cs="宋体"/>
                <w:color w:val="auto"/>
                <w:sz w:val="24"/>
                <w:szCs w:val="24"/>
                <w:highlight w:val="none"/>
              </w:rPr>
            </w:pPr>
          </w:p>
        </w:tc>
      </w:tr>
      <w:tr w14:paraId="7CD46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84" w:hRule="atLeast"/>
          <w:jc w:val="center"/>
        </w:trPr>
        <w:tc>
          <w:tcPr>
            <w:tcW w:w="911" w:type="dxa"/>
            <w:tcBorders>
              <w:top w:val="single" w:color="auto" w:sz="6" w:space="0"/>
              <w:left w:val="single" w:color="auto" w:sz="12" w:space="0"/>
              <w:bottom w:val="single" w:color="auto" w:sz="6" w:space="0"/>
              <w:right w:val="single" w:color="auto" w:sz="6" w:space="0"/>
            </w:tcBorders>
            <w:noWrap w:val="0"/>
            <w:tcMar>
              <w:top w:w="15" w:type="dxa"/>
              <w:left w:w="15" w:type="dxa"/>
              <w:bottom w:w="0" w:type="dxa"/>
              <w:right w:w="15" w:type="dxa"/>
            </w:tcMar>
            <w:vAlign w:val="center"/>
          </w:tcPr>
          <w:p w14:paraId="34C6113E">
            <w:pPr>
              <w:adjustRightInd w:val="0"/>
              <w:snapToGrid w:val="0"/>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225"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770BDC49">
            <w:pPr>
              <w:rPr>
                <w:rFonts w:hint="eastAsia" w:ascii="宋体" w:hAnsi="宋体" w:eastAsia="宋体" w:cs="宋体"/>
                <w:color w:val="auto"/>
                <w:sz w:val="24"/>
                <w:szCs w:val="24"/>
                <w:highlight w:val="none"/>
              </w:rPr>
            </w:pPr>
          </w:p>
        </w:tc>
        <w:tc>
          <w:tcPr>
            <w:tcW w:w="3634"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26BF0B02">
            <w:pPr>
              <w:spacing w:line="360" w:lineRule="auto"/>
              <w:rPr>
                <w:rFonts w:hint="eastAsia" w:ascii="宋体" w:hAnsi="宋体" w:eastAsia="宋体" w:cs="宋体"/>
                <w:color w:val="auto"/>
                <w:sz w:val="24"/>
                <w:szCs w:val="24"/>
                <w:highlight w:val="none"/>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363A00DF">
            <w:pPr>
              <w:adjustRightInd w:val="0"/>
              <w:snapToGrid w:val="0"/>
              <w:spacing w:line="300" w:lineRule="auto"/>
              <w:rPr>
                <w:rFonts w:hint="eastAsia" w:ascii="宋体" w:hAnsi="宋体" w:eastAsia="宋体" w:cs="宋体"/>
                <w:color w:val="auto"/>
                <w:sz w:val="24"/>
                <w:szCs w:val="24"/>
                <w:highlight w:val="none"/>
              </w:rPr>
            </w:pPr>
          </w:p>
        </w:tc>
      </w:tr>
      <w:tr w14:paraId="71736B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54" w:hRule="atLeast"/>
          <w:jc w:val="center"/>
        </w:trPr>
        <w:tc>
          <w:tcPr>
            <w:tcW w:w="911" w:type="dxa"/>
            <w:tcBorders>
              <w:top w:val="single" w:color="auto" w:sz="6" w:space="0"/>
              <w:left w:val="single" w:color="auto" w:sz="12" w:space="0"/>
              <w:bottom w:val="single" w:color="auto" w:sz="6" w:space="0"/>
              <w:right w:val="single" w:color="auto" w:sz="6" w:space="0"/>
            </w:tcBorders>
            <w:noWrap w:val="0"/>
            <w:tcMar>
              <w:top w:w="15" w:type="dxa"/>
              <w:left w:w="15" w:type="dxa"/>
              <w:bottom w:w="0" w:type="dxa"/>
              <w:right w:w="15" w:type="dxa"/>
            </w:tcMar>
            <w:vAlign w:val="center"/>
          </w:tcPr>
          <w:p w14:paraId="2CFB41ED">
            <w:pPr>
              <w:adjustRightInd w:val="0"/>
              <w:snapToGrid w:val="0"/>
              <w:spacing w:line="30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3225"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1D2C46AE">
            <w:pPr>
              <w:rPr>
                <w:rFonts w:hint="eastAsia" w:ascii="宋体" w:hAnsi="宋体" w:eastAsia="宋体" w:cs="宋体"/>
                <w:color w:val="auto"/>
                <w:sz w:val="24"/>
                <w:szCs w:val="24"/>
                <w:highlight w:val="none"/>
              </w:rPr>
            </w:pPr>
          </w:p>
        </w:tc>
        <w:tc>
          <w:tcPr>
            <w:tcW w:w="3634"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7812223E">
            <w:pPr>
              <w:spacing w:line="360" w:lineRule="auto"/>
              <w:rPr>
                <w:rFonts w:hint="eastAsia" w:ascii="宋体" w:hAnsi="宋体" w:eastAsia="宋体" w:cs="宋体"/>
                <w:color w:val="auto"/>
                <w:sz w:val="24"/>
                <w:szCs w:val="24"/>
                <w:highlight w:val="none"/>
              </w:rPr>
            </w:pPr>
          </w:p>
        </w:tc>
        <w:tc>
          <w:tcPr>
            <w:tcW w:w="1391" w:type="dxa"/>
            <w:tcBorders>
              <w:top w:val="single" w:color="auto" w:sz="6" w:space="0"/>
              <w:left w:val="single" w:color="auto" w:sz="6" w:space="0"/>
              <w:bottom w:val="single" w:color="auto" w:sz="6" w:space="0"/>
              <w:right w:val="single" w:color="auto" w:sz="6" w:space="0"/>
            </w:tcBorders>
            <w:noWrap w:val="0"/>
            <w:vAlign w:val="top"/>
          </w:tcPr>
          <w:p w14:paraId="1229E9C7">
            <w:pPr>
              <w:adjustRightInd w:val="0"/>
              <w:snapToGrid w:val="0"/>
              <w:spacing w:line="300" w:lineRule="auto"/>
              <w:rPr>
                <w:rFonts w:hint="eastAsia" w:ascii="宋体" w:hAnsi="宋体" w:eastAsia="宋体" w:cs="宋体"/>
                <w:color w:val="auto"/>
                <w:sz w:val="24"/>
                <w:szCs w:val="24"/>
                <w:highlight w:val="none"/>
              </w:rPr>
            </w:pPr>
          </w:p>
        </w:tc>
      </w:tr>
    </w:tbl>
    <w:p w14:paraId="322ADCE2">
      <w:pPr>
        <w:keepNext w:val="0"/>
        <w:keepLines w:val="0"/>
        <w:pageBreakBefore w:val="0"/>
        <w:kinsoku/>
        <w:wordWrap w:val="0"/>
        <w:overflowPunct/>
        <w:topLinePunct w:val="0"/>
        <w:bidi w:val="0"/>
        <w:ind w:firstLine="420" w:firstLineChars="200"/>
        <w:rPr>
          <w:rFonts w:hint="default" w:asciiTheme="minorEastAsia" w:hAnsiTheme="minorEastAsia" w:eastAsiaTheme="minorEastAsia" w:cstheme="minorEastAsia"/>
          <w:color w:val="auto"/>
          <w:highlight w:val="none"/>
          <w:lang w:val="en-US" w:eastAsia="zh-CN"/>
        </w:rPr>
        <w:sectPr>
          <w:pgSz w:w="11906" w:h="16838"/>
          <w:pgMar w:top="1440" w:right="1080" w:bottom="1440" w:left="1080" w:header="0" w:footer="921" w:gutter="0"/>
          <w:pgNumType w:fmt="decimal"/>
          <w:cols w:space="720" w:num="1"/>
        </w:sectPr>
      </w:pPr>
    </w:p>
    <w:p w14:paraId="253DE058">
      <w:pPr>
        <w:adjustRightInd w:val="0"/>
        <w:snapToGrid w:val="0"/>
        <w:spacing w:line="300" w:lineRule="auto"/>
        <w:jc w:val="center"/>
        <w:outlineLvl w:val="0"/>
        <w:rPr>
          <w:rFonts w:hint="eastAsia" w:ascii="宋体" w:hAnsi="宋体" w:eastAsia="宋体" w:cs="宋体"/>
          <w:b/>
          <w:bCs/>
          <w:color w:val="auto"/>
          <w:sz w:val="32"/>
          <w:szCs w:val="32"/>
          <w:highlight w:val="none"/>
          <w:lang w:eastAsia="zh-CN"/>
        </w:rPr>
      </w:pPr>
      <w:bookmarkStart w:id="208" w:name="_bookmark208"/>
      <w:bookmarkEnd w:id="208"/>
      <w:bookmarkStart w:id="209" w:name="_Toc15229"/>
      <w:r>
        <w:rPr>
          <w:rFonts w:hint="eastAsia" w:ascii="宋体" w:hAnsi="宋体" w:eastAsia="宋体" w:cs="宋体"/>
          <w:b/>
          <w:bCs/>
          <w:color w:val="auto"/>
          <w:sz w:val="32"/>
          <w:szCs w:val="32"/>
          <w:highlight w:val="none"/>
          <w:lang w:eastAsia="zh-CN"/>
        </w:rPr>
        <w:t>（</w:t>
      </w:r>
      <w:r>
        <w:rPr>
          <w:rFonts w:hint="eastAsia" w:cs="宋体"/>
          <w:b/>
          <w:bCs/>
          <w:color w:val="auto"/>
          <w:sz w:val="32"/>
          <w:szCs w:val="32"/>
          <w:highlight w:val="none"/>
          <w:lang w:val="en-US" w:eastAsia="zh-CN"/>
        </w:rPr>
        <w:t>六</w:t>
      </w:r>
      <w:r>
        <w:rPr>
          <w:rFonts w:hint="eastAsia" w:ascii="宋体" w:hAnsi="宋体" w:eastAsia="宋体" w:cs="宋体"/>
          <w:b/>
          <w:bCs/>
          <w:color w:val="auto"/>
          <w:sz w:val="32"/>
          <w:szCs w:val="32"/>
          <w:highlight w:val="none"/>
          <w:lang w:eastAsia="zh-CN"/>
        </w:rPr>
        <w:t>）近年发生的诉讼及仲裁情况</w:t>
      </w:r>
      <w:bookmarkEnd w:id="209"/>
    </w:p>
    <w:p w14:paraId="64C8BD7A">
      <w:pPr>
        <w:pStyle w:val="13"/>
        <w:keepNext w:val="0"/>
        <w:keepLines w:val="0"/>
        <w:pageBreakBefore w:val="0"/>
        <w:kinsoku/>
        <w:wordWrap w:val="0"/>
        <w:overflowPunct/>
        <w:topLinePunct w:val="0"/>
        <w:bidi w:val="0"/>
        <w:spacing w:before="8"/>
        <w:rPr>
          <w:rFonts w:asciiTheme="minorEastAsia" w:hAnsiTheme="minorEastAsia" w:eastAsiaTheme="minorEastAsia" w:cstheme="minorEastAsia"/>
          <w:color w:val="auto"/>
          <w:sz w:val="31"/>
          <w:highlight w:val="none"/>
          <w:lang w:eastAsia="zh-CN"/>
        </w:rPr>
      </w:pPr>
    </w:p>
    <w:p w14:paraId="4A023944">
      <w:pPr>
        <w:keepNext w:val="0"/>
        <w:keepLines w:val="0"/>
        <w:pageBreakBefore w:val="0"/>
        <w:kinsoku/>
        <w:wordWrap w:val="0"/>
        <w:overflowPunct/>
        <w:topLinePunct w:val="0"/>
        <w:bidi w:val="0"/>
        <w:rPr>
          <w:rFonts w:hint="default" w:asciiTheme="minorEastAsia" w:hAnsiTheme="minorEastAsia" w:eastAsiaTheme="minorEastAsia" w:cstheme="minorEastAsia"/>
          <w:color w:val="auto"/>
          <w:sz w:val="24"/>
          <w:szCs w:val="24"/>
          <w:highlight w:val="none"/>
          <w:lang w:val="en-US" w:eastAsia="zh-CN"/>
        </w:rPr>
        <w:sectPr>
          <w:pgSz w:w="11906" w:h="16838"/>
          <w:pgMar w:top="1440" w:right="1080" w:bottom="1440" w:left="1080" w:header="0" w:footer="921" w:gutter="0"/>
          <w:pgNumType w:fmt="decimal"/>
          <w:cols w:space="720" w:num="1"/>
        </w:sectPr>
      </w:pPr>
      <w:r>
        <w:rPr>
          <w:rFonts w:hint="eastAsia" w:asciiTheme="minorEastAsia" w:hAnsiTheme="minorEastAsia" w:eastAsiaTheme="minorEastAsia" w:cstheme="minorEastAsia"/>
          <w:color w:val="auto"/>
          <w:sz w:val="24"/>
          <w:szCs w:val="24"/>
          <w:highlight w:val="none"/>
          <w:lang w:val="en-US" w:eastAsia="zh-CN"/>
        </w:rPr>
        <w:t>格式自拟。</w:t>
      </w:r>
    </w:p>
    <w:p w14:paraId="0D63F380">
      <w:pPr>
        <w:numPr>
          <w:ilvl w:val="0"/>
          <w:numId w:val="0"/>
        </w:numPr>
        <w:jc w:val="center"/>
        <w:rPr>
          <w:rFonts w:hint="eastAsia"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bidi="ar-SA"/>
        </w:rPr>
        <w:t>（</w:t>
      </w:r>
      <w:r>
        <w:rPr>
          <w:rFonts w:hint="eastAsia" w:cs="宋体"/>
          <w:b/>
          <w:bCs/>
          <w:color w:val="auto"/>
          <w:sz w:val="32"/>
          <w:szCs w:val="32"/>
          <w:highlight w:val="none"/>
          <w:lang w:val="en-US" w:eastAsia="zh-CN" w:bidi="ar-SA"/>
        </w:rPr>
        <w:t>七</w:t>
      </w:r>
      <w:r>
        <w:rPr>
          <w:rFonts w:hint="eastAsia" w:ascii="宋体" w:hAnsi="宋体" w:eastAsia="宋体" w:cs="宋体"/>
          <w:b/>
          <w:bCs/>
          <w:color w:val="auto"/>
          <w:sz w:val="32"/>
          <w:szCs w:val="32"/>
          <w:highlight w:val="none"/>
          <w:lang w:val="en-US" w:eastAsia="zh-CN" w:bidi="ar-SA"/>
        </w:rPr>
        <w:t>）</w:t>
      </w:r>
      <w:r>
        <w:rPr>
          <w:rFonts w:hint="eastAsia" w:cs="宋体"/>
          <w:b/>
          <w:bCs/>
          <w:color w:val="auto"/>
          <w:sz w:val="32"/>
          <w:szCs w:val="32"/>
          <w:highlight w:val="none"/>
          <w:lang w:val="en-US" w:eastAsia="zh-CN"/>
        </w:rPr>
        <w:t>信誉要求</w:t>
      </w:r>
    </w:p>
    <w:p w14:paraId="4F9F20D8">
      <w:pPr>
        <w:spacing w:line="360" w:lineRule="exact"/>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cs" w:ascii="宋体" w:hAnsi="宋体" w:eastAsia="宋体" w:cs="宋体"/>
          <w:bCs/>
          <w:color w:val="auto"/>
          <w:szCs w:val="21"/>
          <w:highlight w:val="none"/>
          <w:cs/>
        </w:rPr>
        <w:t>“</w:t>
      </w:r>
      <w:r>
        <w:rPr>
          <w:rFonts w:hint="eastAsia" w:ascii="宋体" w:hAnsi="宋体" w:eastAsia="宋体" w:cs="宋体"/>
          <w:bCs/>
          <w:color w:val="auto"/>
          <w:szCs w:val="21"/>
          <w:highlight w:val="none"/>
        </w:rPr>
        <w:t>信用中国</w:t>
      </w:r>
      <w:r>
        <w:rPr>
          <w:rFonts w:hint="cs" w:ascii="宋体" w:hAnsi="宋体" w:eastAsia="宋体" w:cs="宋体"/>
          <w:bCs/>
          <w:color w:val="auto"/>
          <w:szCs w:val="21"/>
          <w:highlight w:val="none"/>
          <w:cs/>
        </w:rPr>
        <w:t>”</w:t>
      </w:r>
      <w:r>
        <w:rPr>
          <w:rFonts w:hint="eastAsia" w:ascii="宋体" w:hAnsi="宋体" w:eastAsia="宋体" w:cs="宋体"/>
          <w:bCs/>
          <w:color w:val="auto"/>
          <w:szCs w:val="21"/>
          <w:highlight w:val="none"/>
        </w:rPr>
        <w:t>网站（</w:t>
      </w:r>
      <w:r>
        <w:rPr>
          <w:rFonts w:ascii="宋体" w:hAnsi="宋体" w:eastAsia="宋体" w:cs="宋体"/>
          <w:bCs/>
          <w:color w:val="auto"/>
          <w:szCs w:val="21"/>
          <w:highlight w:val="none"/>
        </w:rPr>
        <w:t>www.creditchina.gov.cn</w:t>
      </w:r>
      <w:r>
        <w:rPr>
          <w:rFonts w:hint="eastAsia" w:ascii="宋体" w:hAnsi="宋体" w:eastAsia="宋体" w:cs="宋体"/>
          <w:bCs/>
          <w:color w:val="auto"/>
          <w:szCs w:val="21"/>
          <w:highlight w:val="none"/>
        </w:rPr>
        <w:t>）未列入①失信被执行人②重大税收违法案件当事人名单的官网截图并加盖公章（以上截图须包括单位名称、查询内容及查询时间）；</w:t>
      </w:r>
    </w:p>
    <w:p w14:paraId="0BBAAA84">
      <w:pPr>
        <w:spacing w:line="360" w:lineRule="exact"/>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cs" w:ascii="宋体" w:hAnsi="宋体" w:eastAsia="宋体" w:cs="宋体"/>
          <w:bCs/>
          <w:color w:val="auto"/>
          <w:szCs w:val="21"/>
          <w:highlight w:val="none"/>
          <w:cs/>
        </w:rPr>
        <w:t>“</w:t>
      </w:r>
      <w:r>
        <w:rPr>
          <w:rFonts w:hint="eastAsia" w:ascii="宋体" w:hAnsi="宋体" w:eastAsia="宋体" w:cs="宋体"/>
          <w:bCs/>
          <w:color w:val="auto"/>
          <w:szCs w:val="21"/>
          <w:highlight w:val="none"/>
        </w:rPr>
        <w:t>中国政府采购网</w:t>
      </w:r>
      <w:r>
        <w:rPr>
          <w:rFonts w:hint="cs" w:ascii="宋体" w:hAnsi="宋体" w:eastAsia="宋体" w:cs="宋体"/>
          <w:bCs/>
          <w:color w:val="auto"/>
          <w:szCs w:val="21"/>
          <w:highlight w:val="none"/>
          <w:cs/>
        </w:rPr>
        <w:t>”</w:t>
      </w:r>
      <w:r>
        <w:rPr>
          <w:rFonts w:hint="eastAsia" w:ascii="宋体" w:hAnsi="宋体" w:eastAsia="宋体" w:cs="宋体"/>
          <w:bCs/>
          <w:color w:val="auto"/>
          <w:szCs w:val="21"/>
          <w:highlight w:val="none"/>
        </w:rPr>
        <w:t>（</w:t>
      </w:r>
      <w:r>
        <w:rPr>
          <w:rFonts w:ascii="宋体" w:hAnsi="宋体" w:eastAsia="宋体" w:cs="宋体"/>
          <w:bCs/>
          <w:color w:val="auto"/>
          <w:szCs w:val="21"/>
          <w:highlight w:val="none"/>
        </w:rPr>
        <w:t>www.ccgp.gov.cn</w:t>
      </w:r>
      <w:r>
        <w:rPr>
          <w:rFonts w:hint="eastAsia" w:ascii="宋体" w:hAnsi="宋体" w:eastAsia="宋体" w:cs="宋体"/>
          <w:bCs/>
          <w:color w:val="auto"/>
          <w:szCs w:val="21"/>
          <w:highlight w:val="none"/>
        </w:rPr>
        <w:t>）未列入政府采购严重违法失信行为记录名单的官网截图并加盖公章（以上截图须包括单位名称、查询内容及查询时间）；</w:t>
      </w:r>
    </w:p>
    <w:p w14:paraId="3264EDEB">
      <w:pPr>
        <w:spacing w:line="360" w:lineRule="exact"/>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3.</w:t>
      </w:r>
      <w:r>
        <w:rPr>
          <w:rFonts w:hint="cs" w:ascii="宋体" w:hAnsi="宋体" w:eastAsia="宋体" w:cs="宋体"/>
          <w:bCs/>
          <w:color w:val="auto"/>
          <w:szCs w:val="21"/>
          <w:highlight w:val="none"/>
          <w:cs/>
        </w:rPr>
        <w:t>“</w:t>
      </w:r>
      <w:r>
        <w:rPr>
          <w:rFonts w:hint="eastAsia" w:ascii="宋体" w:hAnsi="宋体" w:eastAsia="宋体" w:cs="宋体"/>
          <w:bCs/>
          <w:color w:val="auto"/>
          <w:szCs w:val="21"/>
          <w:highlight w:val="none"/>
        </w:rPr>
        <w:t>中国裁判文书网</w:t>
      </w:r>
      <w:r>
        <w:rPr>
          <w:rFonts w:hint="cs" w:ascii="宋体" w:hAnsi="宋体" w:eastAsia="宋体" w:cs="宋体"/>
          <w:bCs/>
          <w:color w:val="auto"/>
          <w:szCs w:val="21"/>
          <w:highlight w:val="none"/>
          <w:cs/>
        </w:rPr>
        <w:t>”</w:t>
      </w:r>
      <w:r>
        <w:rPr>
          <w:rFonts w:hint="eastAsia" w:ascii="宋体" w:hAnsi="宋体" w:eastAsia="宋体" w:cs="宋体"/>
          <w:bCs/>
          <w:color w:val="auto"/>
          <w:szCs w:val="21"/>
          <w:highlight w:val="none"/>
        </w:rPr>
        <w:t>（</w:t>
      </w:r>
      <w:r>
        <w:rPr>
          <w:rFonts w:ascii="宋体" w:hAnsi="宋体" w:eastAsia="宋体" w:cs="宋体"/>
          <w:bCs/>
          <w:color w:val="auto"/>
          <w:szCs w:val="21"/>
          <w:highlight w:val="none"/>
        </w:rPr>
        <w:t>http://wenshu.court.gov.cn/</w:t>
      </w:r>
      <w:r>
        <w:rPr>
          <w:rFonts w:hint="eastAsia" w:ascii="宋体" w:hAnsi="宋体" w:eastAsia="宋体" w:cs="宋体"/>
          <w:bCs/>
          <w:color w:val="auto"/>
          <w:szCs w:val="21"/>
          <w:highlight w:val="none"/>
        </w:rPr>
        <w:t>）的无行贿犯罪查询证明网站截图并加盖单位公章（以上截图须包括单位名称、法定代表人名称、查询内容及查询时间）。</w:t>
      </w:r>
    </w:p>
    <w:p w14:paraId="25DE49D5">
      <w:pPr>
        <w:spacing w:line="360" w:lineRule="auto"/>
        <w:jc w:val="cente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投标文件内提交证明资料并加盖公章。</w:t>
      </w:r>
    </w:p>
    <w:p w14:paraId="671973B3">
      <w:pPr>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br w:type="page"/>
      </w:r>
    </w:p>
    <w:p w14:paraId="4A9685B5">
      <w:pPr>
        <w:spacing w:line="360" w:lineRule="auto"/>
        <w:jc w:val="center"/>
        <w:rPr>
          <w:rFonts w:hint="eastAsia" w:ascii="宋体" w:hAnsi="宋体" w:eastAsia="宋体" w:cs="宋体"/>
          <w:b/>
          <w:color w:val="auto"/>
          <w:szCs w:val="21"/>
          <w:highlight w:val="none"/>
          <w:lang w:val="zh-CN" w:eastAsia="zh-CN"/>
        </w:rPr>
      </w:pPr>
    </w:p>
    <w:p w14:paraId="235D720E">
      <w:pPr>
        <w:spacing w:line="360" w:lineRule="auto"/>
        <w:jc w:val="center"/>
        <w:rPr>
          <w:rFonts w:hint="eastAsia" w:ascii="宋体" w:hAnsi="宋体" w:eastAsia="宋体" w:cs="宋体"/>
          <w:b/>
          <w:color w:val="auto"/>
          <w:sz w:val="28"/>
          <w:szCs w:val="28"/>
          <w:highlight w:val="none"/>
        </w:rPr>
      </w:pPr>
      <w:r>
        <w:rPr>
          <w:rFonts w:hint="eastAsia" w:cs="宋体"/>
          <w:b/>
          <w:bCs/>
          <w:color w:val="auto"/>
          <w:sz w:val="32"/>
          <w:szCs w:val="32"/>
          <w:highlight w:val="none"/>
          <w:lang w:eastAsia="zh-CN"/>
        </w:rPr>
        <w:t>（</w:t>
      </w:r>
      <w:r>
        <w:rPr>
          <w:rFonts w:hint="eastAsia" w:cs="宋体"/>
          <w:b/>
          <w:bCs/>
          <w:color w:val="auto"/>
          <w:sz w:val="32"/>
          <w:szCs w:val="32"/>
          <w:highlight w:val="none"/>
          <w:lang w:val="en-US" w:eastAsia="zh-CN"/>
        </w:rPr>
        <w:t>八</w:t>
      </w:r>
      <w:r>
        <w:rPr>
          <w:rFonts w:hint="eastAsia" w:cs="宋体"/>
          <w:b/>
          <w:bCs/>
          <w:color w:val="auto"/>
          <w:sz w:val="32"/>
          <w:szCs w:val="32"/>
          <w:highlight w:val="none"/>
          <w:lang w:eastAsia="zh-CN"/>
        </w:rPr>
        <w:t>）</w:t>
      </w:r>
      <w:r>
        <w:rPr>
          <w:rFonts w:hint="eastAsia" w:ascii="宋体" w:hAnsi="宋体" w:eastAsia="宋体" w:cs="宋体"/>
          <w:b/>
          <w:color w:val="auto"/>
          <w:sz w:val="28"/>
          <w:szCs w:val="28"/>
          <w:highlight w:val="none"/>
          <w:lang w:val="en-US" w:eastAsia="zh-CN"/>
        </w:rPr>
        <w:t>资格条件承诺函</w:t>
      </w:r>
    </w:p>
    <w:p w14:paraId="2912BD5C">
      <w:pPr>
        <w:keepNext w:val="0"/>
        <w:keepLines w:val="0"/>
        <w:pageBreakBefore w:val="0"/>
        <w:widowControl w:val="0"/>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致：</w:t>
      </w:r>
      <w:r>
        <w:rPr>
          <w:rFonts w:hint="eastAsia" w:ascii="宋体" w:hAnsi="宋体" w:eastAsia="宋体" w:cs="宋体"/>
          <w:b w:val="0"/>
          <w:bCs w:val="0"/>
          <w:color w:val="auto"/>
          <w:sz w:val="21"/>
          <w:szCs w:val="21"/>
          <w:highlight w:val="none"/>
          <w:u w:val="single"/>
          <w:lang w:eastAsia="zh-CN"/>
        </w:rPr>
        <w:t>（采购人、采购代理机构）</w:t>
      </w:r>
      <w:r>
        <w:rPr>
          <w:rFonts w:hint="eastAsia" w:ascii="宋体" w:hAnsi="宋体" w:eastAsia="宋体" w:cs="宋体"/>
          <w:b w:val="0"/>
          <w:bCs w:val="0"/>
          <w:color w:val="auto"/>
          <w:sz w:val="21"/>
          <w:szCs w:val="21"/>
          <w:highlight w:val="none"/>
          <w:lang w:eastAsia="zh-CN"/>
        </w:rPr>
        <w:t>:</w:t>
      </w:r>
    </w:p>
    <w:p w14:paraId="6CD55151">
      <w:pPr>
        <w:keepNext w:val="0"/>
        <w:keepLines w:val="0"/>
        <w:pageBreakBefore w:val="0"/>
        <w:widowControl w:val="0"/>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我单位</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eastAsia="zh-CN"/>
        </w:rPr>
        <w:t>（公司）</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eastAsia="zh-CN"/>
        </w:rPr>
        <w:t>参与</w:t>
      </w:r>
      <w:r>
        <w:rPr>
          <w:rFonts w:hint="eastAsia" w:ascii="宋体" w:hAnsi="宋体" w:eastAsia="宋体" w:cs="宋体"/>
          <w:b w:val="0"/>
          <w:bCs w:val="0"/>
          <w:color w:val="auto"/>
          <w:sz w:val="21"/>
          <w:szCs w:val="21"/>
          <w:highlight w:val="none"/>
          <w:u w:val="single"/>
          <w:lang w:eastAsia="zh-CN"/>
        </w:rPr>
        <w:t>（采购项目名称</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eastAsia="zh-CN"/>
        </w:rPr>
        <w:t>项目编号）</w:t>
      </w:r>
      <w:r>
        <w:rPr>
          <w:rFonts w:hint="eastAsia" w:ascii="宋体" w:hAnsi="宋体" w:eastAsia="宋体" w:cs="宋体"/>
          <w:b w:val="0"/>
          <w:bCs w:val="0"/>
          <w:color w:val="auto"/>
          <w:sz w:val="21"/>
          <w:szCs w:val="21"/>
          <w:highlight w:val="none"/>
          <w:lang w:eastAsia="zh-CN"/>
        </w:rPr>
        <w:t>采购项目的政府采购活动，现承诺如下：</w:t>
      </w:r>
    </w:p>
    <w:p w14:paraId="6170504B">
      <w:pPr>
        <w:keepNext w:val="0"/>
        <w:keepLines w:val="0"/>
        <w:pageBreakBefore w:val="0"/>
        <w:widowControl w:val="0"/>
        <w:numPr>
          <w:ilvl w:val="0"/>
          <w:numId w:val="0"/>
        </w:numPr>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具有良好的商业信誉和健全的财务会计制度；</w:t>
      </w:r>
    </w:p>
    <w:p w14:paraId="52085310">
      <w:pPr>
        <w:keepNext w:val="0"/>
        <w:keepLines w:val="0"/>
        <w:pageBreakBefore w:val="0"/>
        <w:widowControl w:val="0"/>
        <w:numPr>
          <w:ilvl w:val="0"/>
          <w:numId w:val="0"/>
        </w:numPr>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2.具有依法缴纳税收的良好记录；</w:t>
      </w:r>
    </w:p>
    <w:p w14:paraId="026C965B">
      <w:pPr>
        <w:keepNext w:val="0"/>
        <w:keepLines w:val="0"/>
        <w:pageBreakBefore w:val="0"/>
        <w:widowControl w:val="0"/>
        <w:numPr>
          <w:ilvl w:val="0"/>
          <w:numId w:val="0"/>
        </w:numPr>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.具有依法缴纳社会保障金的良好记录。</w:t>
      </w:r>
    </w:p>
    <w:p w14:paraId="6673F45E">
      <w:pPr>
        <w:keepNext w:val="0"/>
        <w:keepLines w:val="0"/>
        <w:pageBreakBefore w:val="0"/>
        <w:widowControl w:val="0"/>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我方在采购项目评审（评标）环节结束后，随时接受采购人、采购代理机构的检查验证，配合提供相关证明材料，证明符合《中华人民共和国政府采购法》规定的供应商基本资格条件。</w:t>
      </w:r>
    </w:p>
    <w:p w14:paraId="79F603C9">
      <w:pPr>
        <w:keepNext w:val="0"/>
        <w:keepLines w:val="0"/>
        <w:pageBreakBefore w:val="0"/>
        <w:widowControl w:val="0"/>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我单位</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eastAsia="zh-CN"/>
        </w:rPr>
        <w:t>（公司）</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eastAsia="zh-CN"/>
        </w:rPr>
        <w:t>对上述承诺的真实性负责。如有虚假，将依法承担相应责任。</w:t>
      </w:r>
    </w:p>
    <w:p w14:paraId="322A74A2">
      <w:pPr>
        <w:keepNext w:val="0"/>
        <w:keepLines w:val="0"/>
        <w:pageBreakBefore w:val="0"/>
        <w:widowControl w:val="0"/>
        <w:kinsoku/>
        <w:overflowPunct/>
        <w:topLinePunct w:val="0"/>
        <w:autoSpaceDE/>
        <w:autoSpaceDN/>
        <w:bidi w:val="0"/>
        <w:adjustRightInd/>
        <w:snapToGrid/>
        <w:spacing w:line="432"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特此承诺。</w:t>
      </w:r>
    </w:p>
    <w:p w14:paraId="366DAA1B">
      <w:pPr>
        <w:keepNext w:val="0"/>
        <w:keepLines w:val="0"/>
        <w:pageBreakBefore w:val="0"/>
        <w:widowControl w:val="0"/>
        <w:kinsoku/>
        <w:wordWrap/>
        <w:overflowPunct/>
        <w:topLinePunct w:val="0"/>
        <w:autoSpaceDE w:val="0"/>
        <w:autoSpaceDN w:val="0"/>
        <w:bidi w:val="0"/>
        <w:adjustRightInd w:val="0"/>
        <w:snapToGrid/>
        <w:spacing w:line="420" w:lineRule="exact"/>
        <w:ind w:left="840" w:leftChars="400" w:firstLine="2520" w:firstLineChars="1200"/>
        <w:jc w:val="lef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供应商名称：</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kern w:val="0"/>
          <w:szCs w:val="21"/>
          <w:highlight w:val="none"/>
          <w:lang w:val="zh-CN"/>
        </w:rPr>
        <w:t>(盖单位章)</w:t>
      </w:r>
    </w:p>
    <w:p w14:paraId="68D76BC5">
      <w:pPr>
        <w:keepNext w:val="0"/>
        <w:keepLines w:val="0"/>
        <w:pageBreakBefore w:val="0"/>
        <w:widowControl w:val="0"/>
        <w:kinsoku/>
        <w:wordWrap/>
        <w:overflowPunct/>
        <w:topLinePunct w:val="0"/>
        <w:autoSpaceDE w:val="0"/>
        <w:autoSpaceDN w:val="0"/>
        <w:bidi w:val="0"/>
        <w:adjustRightInd w:val="0"/>
        <w:snapToGrid/>
        <w:spacing w:line="420" w:lineRule="exact"/>
        <w:ind w:firstLine="3360" w:firstLineChars="1600"/>
        <w:jc w:val="lef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法定代表人或其委托代理人：</w:t>
      </w:r>
      <w:r>
        <w:rPr>
          <w:rFonts w:hint="eastAsia" w:ascii="宋体" w:hAnsi="宋体" w:eastAsia="宋体" w:cs="宋体"/>
          <w:color w:val="auto"/>
          <w:kern w:val="0"/>
          <w:szCs w:val="21"/>
          <w:highlight w:val="none"/>
          <w:u w:val="single"/>
          <w:lang w:val="zh-CN"/>
        </w:rPr>
        <w:t xml:space="preserve">              </w:t>
      </w:r>
      <w:r>
        <w:rPr>
          <w:rFonts w:hint="eastAsia" w:ascii="宋体" w:hAnsi="宋体" w:eastAsia="宋体" w:cs="宋体"/>
          <w:color w:val="auto"/>
          <w:kern w:val="0"/>
          <w:szCs w:val="21"/>
          <w:highlight w:val="none"/>
          <w:lang w:val="zh-CN"/>
        </w:rPr>
        <w:t xml:space="preserve"> (签字)</w:t>
      </w:r>
    </w:p>
    <w:p w14:paraId="0C908553">
      <w:pPr>
        <w:rPr>
          <w:rFonts w:hint="eastAsia"/>
          <w:highlight w:val="none"/>
          <w:lang w:eastAsia="zh-CN"/>
        </w:rPr>
      </w:pPr>
      <w:r>
        <w:rPr>
          <w:rFonts w:hint="eastAsia" w:ascii="宋体" w:hAnsi="宋体" w:eastAsia="宋体" w:cs="宋体"/>
          <w:b w:val="0"/>
          <w:color w:val="auto"/>
          <w:kern w:val="0"/>
          <w:sz w:val="21"/>
          <w:szCs w:val="21"/>
          <w:highlight w:val="none"/>
          <w:lang w:val="en-US" w:eastAsia="zh-CN" w:bidi="ar-SA"/>
        </w:rPr>
        <w:t xml:space="preserve">                                       </w:t>
      </w:r>
      <w:r>
        <w:rPr>
          <w:rFonts w:hint="eastAsia" w:ascii="宋体" w:hAnsi="宋体" w:eastAsia="宋体" w:cs="宋体"/>
          <w:b w:val="0"/>
          <w:color w:val="auto"/>
          <w:kern w:val="0"/>
          <w:sz w:val="21"/>
          <w:szCs w:val="21"/>
          <w:highlight w:val="none"/>
          <w:lang w:val="zh-CN" w:eastAsia="zh-CN" w:bidi="ar-SA"/>
        </w:rPr>
        <w:t>年     月     日</w:t>
      </w:r>
      <w:r>
        <w:rPr>
          <w:rFonts w:hint="eastAsia" w:ascii="宋体" w:hAnsi="宋体" w:eastAsia="宋体" w:cs="宋体"/>
          <w:b w:val="0"/>
          <w:color w:val="auto"/>
          <w:kern w:val="0"/>
          <w:sz w:val="21"/>
          <w:szCs w:val="21"/>
          <w:highlight w:val="none"/>
          <w:lang w:val="zh-CN" w:eastAsia="zh-CN" w:bidi="ar-SA"/>
        </w:rPr>
        <w:br w:type="page"/>
      </w:r>
    </w:p>
    <w:p w14:paraId="459E5E3F">
      <w:pPr>
        <w:numPr>
          <w:ilvl w:val="0"/>
          <w:numId w:val="0"/>
        </w:num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w:t>
      </w:r>
      <w:r>
        <w:rPr>
          <w:rFonts w:hint="eastAsia" w:cs="宋体"/>
          <w:b/>
          <w:bCs/>
          <w:color w:val="auto"/>
          <w:sz w:val="32"/>
          <w:szCs w:val="32"/>
          <w:highlight w:val="none"/>
          <w:lang w:val="en-US" w:eastAsia="zh-CN"/>
        </w:rPr>
        <w:t>九</w:t>
      </w:r>
      <w:r>
        <w:rPr>
          <w:rFonts w:hint="eastAsia" w:ascii="宋体" w:hAnsi="宋体" w:eastAsia="宋体" w:cs="宋体"/>
          <w:b/>
          <w:bCs/>
          <w:color w:val="auto"/>
          <w:sz w:val="32"/>
          <w:szCs w:val="32"/>
          <w:highlight w:val="none"/>
          <w:lang w:val="en-US" w:eastAsia="zh-CN"/>
        </w:rPr>
        <w:t>）人员配备</w:t>
      </w:r>
    </w:p>
    <w:p w14:paraId="0A5F09E4">
      <w:pPr>
        <w:spacing w:before="65" w:line="228" w:lineRule="auto"/>
        <w:jc w:val="center"/>
        <w:rPr>
          <w:rFonts w:hint="eastAsia" w:ascii="宋体" w:hAnsi="宋体" w:eastAsia="宋体" w:cs="宋体"/>
          <w:b/>
          <w:bCs/>
          <w:color w:val="auto"/>
          <w:spacing w:val="11"/>
          <w:sz w:val="24"/>
          <w:szCs w:val="24"/>
          <w:highlight w:val="none"/>
          <w:lang w:eastAsia="zh-CN"/>
        </w:rPr>
      </w:pPr>
      <w:r>
        <w:rPr>
          <w:rFonts w:hint="eastAsia" w:ascii="宋体" w:hAnsi="宋体" w:eastAsia="宋体" w:cs="宋体"/>
          <w:b/>
          <w:bCs/>
          <w:color w:val="auto"/>
          <w:spacing w:val="11"/>
          <w:sz w:val="24"/>
          <w:szCs w:val="24"/>
          <w:highlight w:val="none"/>
          <w:lang w:val="en-US" w:eastAsia="zh-CN"/>
        </w:rPr>
        <w:t>一、</w:t>
      </w:r>
      <w:r>
        <w:rPr>
          <w:rFonts w:hint="eastAsia" w:ascii="宋体" w:hAnsi="宋体" w:eastAsia="宋体" w:cs="宋体"/>
          <w:b/>
          <w:bCs/>
          <w:color w:val="auto"/>
          <w:spacing w:val="11"/>
          <w:sz w:val="24"/>
          <w:szCs w:val="24"/>
          <w:highlight w:val="none"/>
          <w:lang w:eastAsia="zh-CN"/>
        </w:rPr>
        <w:t>服务人员配备表</w:t>
      </w:r>
    </w:p>
    <w:tbl>
      <w:tblPr>
        <w:tblStyle w:val="69"/>
        <w:tblW w:w="98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8"/>
        <w:gridCol w:w="1561"/>
        <w:gridCol w:w="1469"/>
        <w:gridCol w:w="1261"/>
        <w:gridCol w:w="2106"/>
        <w:gridCol w:w="2224"/>
      </w:tblGrid>
      <w:tr w14:paraId="7EDAA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238" w:type="dxa"/>
          </w:tcPr>
          <w:p w14:paraId="071656AF">
            <w:pPr>
              <w:spacing w:before="170" w:line="230" w:lineRule="auto"/>
              <w:ind w:left="41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1561" w:type="dxa"/>
          </w:tcPr>
          <w:p w14:paraId="2A6CF53D">
            <w:pPr>
              <w:spacing w:before="170" w:line="228" w:lineRule="auto"/>
              <w:ind w:left="57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姓</w:t>
            </w:r>
            <w:r>
              <w:rPr>
                <w:rFonts w:hint="eastAsia" w:ascii="宋体" w:hAnsi="宋体" w:eastAsia="宋体" w:cs="宋体"/>
                <w:color w:val="auto"/>
                <w:spacing w:val="4"/>
                <w:sz w:val="24"/>
                <w:szCs w:val="24"/>
                <w:highlight w:val="none"/>
              </w:rPr>
              <w:t>名</w:t>
            </w:r>
          </w:p>
        </w:tc>
        <w:tc>
          <w:tcPr>
            <w:tcW w:w="1469" w:type="dxa"/>
          </w:tcPr>
          <w:p w14:paraId="35BFBAC7">
            <w:pPr>
              <w:spacing w:before="170" w:line="230" w:lineRule="auto"/>
              <w:ind w:left="53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学</w:t>
            </w:r>
            <w:r>
              <w:rPr>
                <w:rFonts w:hint="eastAsia" w:ascii="宋体" w:hAnsi="宋体" w:eastAsia="宋体" w:cs="宋体"/>
                <w:color w:val="auto"/>
                <w:spacing w:val="2"/>
                <w:sz w:val="24"/>
                <w:szCs w:val="24"/>
                <w:highlight w:val="none"/>
              </w:rPr>
              <w:t>历</w:t>
            </w:r>
          </w:p>
        </w:tc>
        <w:tc>
          <w:tcPr>
            <w:tcW w:w="1261" w:type="dxa"/>
          </w:tcPr>
          <w:p w14:paraId="048C0BB6">
            <w:pPr>
              <w:spacing w:before="170" w:line="228" w:lineRule="auto"/>
              <w:ind w:left="42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职务</w:t>
            </w:r>
          </w:p>
        </w:tc>
        <w:tc>
          <w:tcPr>
            <w:tcW w:w="2106" w:type="dxa"/>
          </w:tcPr>
          <w:p w14:paraId="44509EA0">
            <w:pPr>
              <w:spacing w:before="170" w:line="229" w:lineRule="auto"/>
              <w:ind w:left="643"/>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从</w:t>
            </w:r>
            <w:r>
              <w:rPr>
                <w:rFonts w:hint="eastAsia" w:ascii="宋体" w:hAnsi="宋体" w:eastAsia="宋体" w:cs="宋体"/>
                <w:color w:val="auto"/>
                <w:spacing w:val="6"/>
                <w:sz w:val="24"/>
                <w:szCs w:val="24"/>
                <w:highlight w:val="none"/>
              </w:rPr>
              <w:t>业时间</w:t>
            </w:r>
          </w:p>
        </w:tc>
        <w:tc>
          <w:tcPr>
            <w:tcW w:w="2224" w:type="dxa"/>
          </w:tcPr>
          <w:p w14:paraId="3197D07A">
            <w:pPr>
              <w:spacing w:before="36" w:line="271" w:lineRule="exact"/>
              <w:ind w:left="487"/>
              <w:rPr>
                <w:rFonts w:hint="eastAsia" w:ascii="宋体" w:hAnsi="宋体" w:eastAsia="宋体" w:cs="宋体"/>
                <w:color w:val="auto"/>
                <w:sz w:val="24"/>
                <w:szCs w:val="24"/>
                <w:highlight w:val="none"/>
              </w:rPr>
            </w:pPr>
            <w:r>
              <w:rPr>
                <w:rFonts w:hint="eastAsia" w:ascii="宋体" w:hAnsi="宋体" w:eastAsia="宋体" w:cs="宋体"/>
                <w:color w:val="auto"/>
                <w:spacing w:val="10"/>
                <w:position w:val="4"/>
                <w:sz w:val="24"/>
                <w:szCs w:val="24"/>
                <w:highlight w:val="none"/>
              </w:rPr>
              <w:t>在</w:t>
            </w:r>
            <w:r>
              <w:rPr>
                <w:rFonts w:hint="eastAsia" w:ascii="宋体" w:hAnsi="宋体" w:eastAsia="宋体" w:cs="宋体"/>
                <w:color w:val="auto"/>
                <w:spacing w:val="8"/>
                <w:position w:val="4"/>
                <w:sz w:val="24"/>
                <w:szCs w:val="24"/>
                <w:highlight w:val="none"/>
              </w:rPr>
              <w:t>本项目中的</w:t>
            </w:r>
          </w:p>
          <w:p w14:paraId="48DEF477">
            <w:pPr>
              <w:spacing w:line="227" w:lineRule="auto"/>
              <w:ind w:left="72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岗位</w:t>
            </w:r>
            <w:r>
              <w:rPr>
                <w:rFonts w:hint="eastAsia" w:ascii="宋体" w:hAnsi="宋体" w:eastAsia="宋体" w:cs="宋体"/>
                <w:color w:val="auto"/>
                <w:spacing w:val="1"/>
                <w:sz w:val="24"/>
                <w:szCs w:val="24"/>
                <w:highlight w:val="none"/>
              </w:rPr>
              <w:t>分工</w:t>
            </w:r>
          </w:p>
        </w:tc>
      </w:tr>
      <w:tr w14:paraId="3A7BC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238" w:type="dxa"/>
          </w:tcPr>
          <w:p w14:paraId="183E9E42">
            <w:pPr>
              <w:rPr>
                <w:rFonts w:hint="eastAsia" w:ascii="宋体" w:hAnsi="宋体" w:eastAsia="宋体" w:cs="宋体"/>
                <w:color w:val="auto"/>
                <w:sz w:val="24"/>
                <w:szCs w:val="24"/>
                <w:highlight w:val="none"/>
              </w:rPr>
            </w:pPr>
          </w:p>
        </w:tc>
        <w:tc>
          <w:tcPr>
            <w:tcW w:w="1561" w:type="dxa"/>
          </w:tcPr>
          <w:p w14:paraId="3A891EE9">
            <w:pPr>
              <w:rPr>
                <w:rFonts w:hint="eastAsia" w:ascii="宋体" w:hAnsi="宋体" w:eastAsia="宋体" w:cs="宋体"/>
                <w:color w:val="auto"/>
                <w:sz w:val="24"/>
                <w:szCs w:val="24"/>
                <w:highlight w:val="none"/>
              </w:rPr>
            </w:pPr>
          </w:p>
        </w:tc>
        <w:tc>
          <w:tcPr>
            <w:tcW w:w="1469" w:type="dxa"/>
          </w:tcPr>
          <w:p w14:paraId="1C426157">
            <w:pPr>
              <w:rPr>
                <w:rFonts w:hint="eastAsia" w:ascii="宋体" w:hAnsi="宋体" w:eastAsia="宋体" w:cs="宋体"/>
                <w:color w:val="auto"/>
                <w:sz w:val="24"/>
                <w:szCs w:val="24"/>
                <w:highlight w:val="none"/>
              </w:rPr>
            </w:pPr>
          </w:p>
        </w:tc>
        <w:tc>
          <w:tcPr>
            <w:tcW w:w="1261" w:type="dxa"/>
          </w:tcPr>
          <w:p w14:paraId="4B9EF3D8">
            <w:pPr>
              <w:rPr>
                <w:rFonts w:hint="eastAsia" w:ascii="宋体" w:hAnsi="宋体" w:eastAsia="宋体" w:cs="宋体"/>
                <w:color w:val="auto"/>
                <w:sz w:val="24"/>
                <w:szCs w:val="24"/>
                <w:highlight w:val="none"/>
              </w:rPr>
            </w:pPr>
          </w:p>
        </w:tc>
        <w:tc>
          <w:tcPr>
            <w:tcW w:w="2106" w:type="dxa"/>
          </w:tcPr>
          <w:p w14:paraId="29F7645A">
            <w:pPr>
              <w:rPr>
                <w:rFonts w:hint="eastAsia" w:ascii="宋体" w:hAnsi="宋体" w:eastAsia="宋体" w:cs="宋体"/>
                <w:color w:val="auto"/>
                <w:sz w:val="24"/>
                <w:szCs w:val="24"/>
                <w:highlight w:val="none"/>
              </w:rPr>
            </w:pPr>
          </w:p>
        </w:tc>
        <w:tc>
          <w:tcPr>
            <w:tcW w:w="2224" w:type="dxa"/>
          </w:tcPr>
          <w:p w14:paraId="0C667BAC">
            <w:pPr>
              <w:rPr>
                <w:rFonts w:hint="eastAsia" w:ascii="宋体" w:hAnsi="宋体" w:eastAsia="宋体" w:cs="宋体"/>
                <w:color w:val="auto"/>
                <w:sz w:val="24"/>
                <w:szCs w:val="24"/>
                <w:highlight w:val="none"/>
              </w:rPr>
            </w:pPr>
          </w:p>
        </w:tc>
      </w:tr>
      <w:tr w14:paraId="60E6A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238" w:type="dxa"/>
          </w:tcPr>
          <w:p w14:paraId="1AED2340">
            <w:pPr>
              <w:rPr>
                <w:rFonts w:hint="eastAsia" w:ascii="宋体" w:hAnsi="宋体" w:eastAsia="宋体" w:cs="宋体"/>
                <w:color w:val="auto"/>
                <w:sz w:val="24"/>
                <w:szCs w:val="24"/>
                <w:highlight w:val="none"/>
              </w:rPr>
            </w:pPr>
          </w:p>
        </w:tc>
        <w:tc>
          <w:tcPr>
            <w:tcW w:w="1561" w:type="dxa"/>
          </w:tcPr>
          <w:p w14:paraId="03EF559F">
            <w:pPr>
              <w:rPr>
                <w:rFonts w:hint="eastAsia" w:ascii="宋体" w:hAnsi="宋体" w:eastAsia="宋体" w:cs="宋体"/>
                <w:color w:val="auto"/>
                <w:sz w:val="24"/>
                <w:szCs w:val="24"/>
                <w:highlight w:val="none"/>
              </w:rPr>
            </w:pPr>
          </w:p>
        </w:tc>
        <w:tc>
          <w:tcPr>
            <w:tcW w:w="1469" w:type="dxa"/>
          </w:tcPr>
          <w:p w14:paraId="1365B7DA">
            <w:pPr>
              <w:rPr>
                <w:rFonts w:hint="eastAsia" w:ascii="宋体" w:hAnsi="宋体" w:eastAsia="宋体" w:cs="宋体"/>
                <w:color w:val="auto"/>
                <w:sz w:val="24"/>
                <w:szCs w:val="24"/>
                <w:highlight w:val="none"/>
              </w:rPr>
            </w:pPr>
          </w:p>
        </w:tc>
        <w:tc>
          <w:tcPr>
            <w:tcW w:w="1261" w:type="dxa"/>
          </w:tcPr>
          <w:p w14:paraId="53A5DC9A">
            <w:pPr>
              <w:rPr>
                <w:rFonts w:hint="eastAsia" w:ascii="宋体" w:hAnsi="宋体" w:eastAsia="宋体" w:cs="宋体"/>
                <w:color w:val="auto"/>
                <w:sz w:val="24"/>
                <w:szCs w:val="24"/>
                <w:highlight w:val="none"/>
              </w:rPr>
            </w:pPr>
          </w:p>
        </w:tc>
        <w:tc>
          <w:tcPr>
            <w:tcW w:w="2106" w:type="dxa"/>
          </w:tcPr>
          <w:p w14:paraId="7248FB03">
            <w:pPr>
              <w:rPr>
                <w:rFonts w:hint="eastAsia" w:ascii="宋体" w:hAnsi="宋体" w:eastAsia="宋体" w:cs="宋体"/>
                <w:color w:val="auto"/>
                <w:sz w:val="24"/>
                <w:szCs w:val="24"/>
                <w:highlight w:val="none"/>
              </w:rPr>
            </w:pPr>
          </w:p>
        </w:tc>
        <w:tc>
          <w:tcPr>
            <w:tcW w:w="2224" w:type="dxa"/>
          </w:tcPr>
          <w:p w14:paraId="3C4EB2B2">
            <w:pPr>
              <w:rPr>
                <w:rFonts w:hint="eastAsia" w:ascii="宋体" w:hAnsi="宋体" w:eastAsia="宋体" w:cs="宋体"/>
                <w:color w:val="auto"/>
                <w:sz w:val="24"/>
                <w:szCs w:val="24"/>
                <w:highlight w:val="none"/>
              </w:rPr>
            </w:pPr>
          </w:p>
        </w:tc>
      </w:tr>
      <w:tr w14:paraId="206E8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238" w:type="dxa"/>
          </w:tcPr>
          <w:p w14:paraId="0662969D">
            <w:pPr>
              <w:rPr>
                <w:rFonts w:hint="eastAsia" w:ascii="宋体" w:hAnsi="宋体" w:eastAsia="宋体" w:cs="宋体"/>
                <w:color w:val="auto"/>
                <w:sz w:val="24"/>
                <w:szCs w:val="24"/>
                <w:highlight w:val="none"/>
              </w:rPr>
            </w:pPr>
          </w:p>
        </w:tc>
        <w:tc>
          <w:tcPr>
            <w:tcW w:w="1561" w:type="dxa"/>
          </w:tcPr>
          <w:p w14:paraId="38711E62">
            <w:pPr>
              <w:rPr>
                <w:rFonts w:hint="eastAsia" w:ascii="宋体" w:hAnsi="宋体" w:eastAsia="宋体" w:cs="宋体"/>
                <w:color w:val="auto"/>
                <w:sz w:val="24"/>
                <w:szCs w:val="24"/>
                <w:highlight w:val="none"/>
              </w:rPr>
            </w:pPr>
          </w:p>
        </w:tc>
        <w:tc>
          <w:tcPr>
            <w:tcW w:w="1469" w:type="dxa"/>
          </w:tcPr>
          <w:p w14:paraId="00884EE7">
            <w:pPr>
              <w:rPr>
                <w:rFonts w:hint="eastAsia" w:ascii="宋体" w:hAnsi="宋体" w:eastAsia="宋体" w:cs="宋体"/>
                <w:color w:val="auto"/>
                <w:sz w:val="24"/>
                <w:szCs w:val="24"/>
                <w:highlight w:val="none"/>
              </w:rPr>
            </w:pPr>
          </w:p>
        </w:tc>
        <w:tc>
          <w:tcPr>
            <w:tcW w:w="1261" w:type="dxa"/>
          </w:tcPr>
          <w:p w14:paraId="7BBC35EA">
            <w:pPr>
              <w:rPr>
                <w:rFonts w:hint="eastAsia" w:ascii="宋体" w:hAnsi="宋体" w:eastAsia="宋体" w:cs="宋体"/>
                <w:color w:val="auto"/>
                <w:sz w:val="24"/>
                <w:szCs w:val="24"/>
                <w:highlight w:val="none"/>
              </w:rPr>
            </w:pPr>
          </w:p>
        </w:tc>
        <w:tc>
          <w:tcPr>
            <w:tcW w:w="2106" w:type="dxa"/>
          </w:tcPr>
          <w:p w14:paraId="5F02A318">
            <w:pPr>
              <w:rPr>
                <w:rFonts w:hint="eastAsia" w:ascii="宋体" w:hAnsi="宋体" w:eastAsia="宋体" w:cs="宋体"/>
                <w:color w:val="auto"/>
                <w:sz w:val="24"/>
                <w:szCs w:val="24"/>
                <w:highlight w:val="none"/>
              </w:rPr>
            </w:pPr>
          </w:p>
        </w:tc>
        <w:tc>
          <w:tcPr>
            <w:tcW w:w="2224" w:type="dxa"/>
          </w:tcPr>
          <w:p w14:paraId="7452850E">
            <w:pPr>
              <w:rPr>
                <w:rFonts w:hint="eastAsia" w:ascii="宋体" w:hAnsi="宋体" w:eastAsia="宋体" w:cs="宋体"/>
                <w:color w:val="auto"/>
                <w:sz w:val="24"/>
                <w:szCs w:val="24"/>
                <w:highlight w:val="none"/>
              </w:rPr>
            </w:pPr>
          </w:p>
        </w:tc>
      </w:tr>
      <w:tr w14:paraId="5FB44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238" w:type="dxa"/>
          </w:tcPr>
          <w:p w14:paraId="76B4F250">
            <w:pPr>
              <w:rPr>
                <w:rFonts w:hint="eastAsia" w:ascii="宋体" w:hAnsi="宋体" w:eastAsia="宋体" w:cs="宋体"/>
                <w:color w:val="auto"/>
                <w:sz w:val="24"/>
                <w:szCs w:val="24"/>
                <w:highlight w:val="none"/>
              </w:rPr>
            </w:pPr>
          </w:p>
        </w:tc>
        <w:tc>
          <w:tcPr>
            <w:tcW w:w="1561" w:type="dxa"/>
          </w:tcPr>
          <w:p w14:paraId="4BB44826">
            <w:pPr>
              <w:rPr>
                <w:rFonts w:hint="eastAsia" w:ascii="宋体" w:hAnsi="宋体" w:eastAsia="宋体" w:cs="宋体"/>
                <w:color w:val="auto"/>
                <w:sz w:val="24"/>
                <w:szCs w:val="24"/>
                <w:highlight w:val="none"/>
              </w:rPr>
            </w:pPr>
          </w:p>
        </w:tc>
        <w:tc>
          <w:tcPr>
            <w:tcW w:w="1469" w:type="dxa"/>
          </w:tcPr>
          <w:p w14:paraId="18CCE063">
            <w:pPr>
              <w:rPr>
                <w:rFonts w:hint="eastAsia" w:ascii="宋体" w:hAnsi="宋体" w:eastAsia="宋体" w:cs="宋体"/>
                <w:color w:val="auto"/>
                <w:sz w:val="24"/>
                <w:szCs w:val="24"/>
                <w:highlight w:val="none"/>
              </w:rPr>
            </w:pPr>
          </w:p>
        </w:tc>
        <w:tc>
          <w:tcPr>
            <w:tcW w:w="1261" w:type="dxa"/>
          </w:tcPr>
          <w:p w14:paraId="1BB6CA09">
            <w:pPr>
              <w:rPr>
                <w:rFonts w:hint="eastAsia" w:ascii="宋体" w:hAnsi="宋体" w:eastAsia="宋体" w:cs="宋体"/>
                <w:color w:val="auto"/>
                <w:sz w:val="24"/>
                <w:szCs w:val="24"/>
                <w:highlight w:val="none"/>
              </w:rPr>
            </w:pPr>
          </w:p>
        </w:tc>
        <w:tc>
          <w:tcPr>
            <w:tcW w:w="2106" w:type="dxa"/>
          </w:tcPr>
          <w:p w14:paraId="486FBF5C">
            <w:pPr>
              <w:rPr>
                <w:rFonts w:hint="eastAsia" w:ascii="宋体" w:hAnsi="宋体" w:eastAsia="宋体" w:cs="宋体"/>
                <w:color w:val="auto"/>
                <w:sz w:val="24"/>
                <w:szCs w:val="24"/>
                <w:highlight w:val="none"/>
              </w:rPr>
            </w:pPr>
          </w:p>
        </w:tc>
        <w:tc>
          <w:tcPr>
            <w:tcW w:w="2224" w:type="dxa"/>
          </w:tcPr>
          <w:p w14:paraId="6669F2AD">
            <w:pPr>
              <w:rPr>
                <w:rFonts w:hint="eastAsia" w:ascii="宋体" w:hAnsi="宋体" w:eastAsia="宋体" w:cs="宋体"/>
                <w:color w:val="auto"/>
                <w:sz w:val="24"/>
                <w:szCs w:val="24"/>
                <w:highlight w:val="none"/>
              </w:rPr>
            </w:pPr>
          </w:p>
        </w:tc>
      </w:tr>
      <w:tr w14:paraId="1D0FA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238" w:type="dxa"/>
          </w:tcPr>
          <w:p w14:paraId="1B527740">
            <w:pPr>
              <w:rPr>
                <w:rFonts w:hint="eastAsia" w:ascii="宋体" w:hAnsi="宋体" w:eastAsia="宋体" w:cs="宋体"/>
                <w:color w:val="auto"/>
                <w:sz w:val="24"/>
                <w:szCs w:val="24"/>
                <w:highlight w:val="none"/>
              </w:rPr>
            </w:pPr>
          </w:p>
        </w:tc>
        <w:tc>
          <w:tcPr>
            <w:tcW w:w="1561" w:type="dxa"/>
          </w:tcPr>
          <w:p w14:paraId="5D975068">
            <w:pPr>
              <w:rPr>
                <w:rFonts w:hint="eastAsia" w:ascii="宋体" w:hAnsi="宋体" w:eastAsia="宋体" w:cs="宋体"/>
                <w:color w:val="auto"/>
                <w:sz w:val="24"/>
                <w:szCs w:val="24"/>
                <w:highlight w:val="none"/>
              </w:rPr>
            </w:pPr>
          </w:p>
        </w:tc>
        <w:tc>
          <w:tcPr>
            <w:tcW w:w="1469" w:type="dxa"/>
          </w:tcPr>
          <w:p w14:paraId="01AE611D">
            <w:pPr>
              <w:rPr>
                <w:rFonts w:hint="eastAsia" w:ascii="宋体" w:hAnsi="宋体" w:eastAsia="宋体" w:cs="宋体"/>
                <w:color w:val="auto"/>
                <w:sz w:val="24"/>
                <w:szCs w:val="24"/>
                <w:highlight w:val="none"/>
              </w:rPr>
            </w:pPr>
          </w:p>
        </w:tc>
        <w:tc>
          <w:tcPr>
            <w:tcW w:w="1261" w:type="dxa"/>
          </w:tcPr>
          <w:p w14:paraId="27A33E7F">
            <w:pPr>
              <w:rPr>
                <w:rFonts w:hint="eastAsia" w:ascii="宋体" w:hAnsi="宋体" w:eastAsia="宋体" w:cs="宋体"/>
                <w:color w:val="auto"/>
                <w:sz w:val="24"/>
                <w:szCs w:val="24"/>
                <w:highlight w:val="none"/>
              </w:rPr>
            </w:pPr>
          </w:p>
        </w:tc>
        <w:tc>
          <w:tcPr>
            <w:tcW w:w="2106" w:type="dxa"/>
          </w:tcPr>
          <w:p w14:paraId="42B318B9">
            <w:pPr>
              <w:rPr>
                <w:rFonts w:hint="eastAsia" w:ascii="宋体" w:hAnsi="宋体" w:eastAsia="宋体" w:cs="宋体"/>
                <w:color w:val="auto"/>
                <w:sz w:val="24"/>
                <w:szCs w:val="24"/>
                <w:highlight w:val="none"/>
              </w:rPr>
            </w:pPr>
          </w:p>
        </w:tc>
        <w:tc>
          <w:tcPr>
            <w:tcW w:w="2224" w:type="dxa"/>
          </w:tcPr>
          <w:p w14:paraId="51C178A3">
            <w:pPr>
              <w:rPr>
                <w:rFonts w:hint="eastAsia" w:ascii="宋体" w:hAnsi="宋体" w:eastAsia="宋体" w:cs="宋体"/>
                <w:color w:val="auto"/>
                <w:sz w:val="24"/>
                <w:szCs w:val="24"/>
                <w:highlight w:val="none"/>
              </w:rPr>
            </w:pPr>
          </w:p>
        </w:tc>
      </w:tr>
      <w:tr w14:paraId="1ECA2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238" w:type="dxa"/>
          </w:tcPr>
          <w:p w14:paraId="2659476F">
            <w:pPr>
              <w:rPr>
                <w:rFonts w:hint="eastAsia" w:ascii="宋体" w:hAnsi="宋体" w:eastAsia="宋体" w:cs="宋体"/>
                <w:color w:val="auto"/>
                <w:sz w:val="24"/>
                <w:szCs w:val="24"/>
                <w:highlight w:val="none"/>
              </w:rPr>
            </w:pPr>
          </w:p>
        </w:tc>
        <w:tc>
          <w:tcPr>
            <w:tcW w:w="1561" w:type="dxa"/>
          </w:tcPr>
          <w:p w14:paraId="73D6EED2">
            <w:pPr>
              <w:rPr>
                <w:rFonts w:hint="eastAsia" w:ascii="宋体" w:hAnsi="宋体" w:eastAsia="宋体" w:cs="宋体"/>
                <w:color w:val="auto"/>
                <w:sz w:val="24"/>
                <w:szCs w:val="24"/>
                <w:highlight w:val="none"/>
              </w:rPr>
            </w:pPr>
          </w:p>
        </w:tc>
        <w:tc>
          <w:tcPr>
            <w:tcW w:w="1469" w:type="dxa"/>
          </w:tcPr>
          <w:p w14:paraId="1F4C53C8">
            <w:pPr>
              <w:rPr>
                <w:rFonts w:hint="eastAsia" w:ascii="宋体" w:hAnsi="宋体" w:eastAsia="宋体" w:cs="宋体"/>
                <w:color w:val="auto"/>
                <w:sz w:val="24"/>
                <w:szCs w:val="24"/>
                <w:highlight w:val="none"/>
              </w:rPr>
            </w:pPr>
          </w:p>
        </w:tc>
        <w:tc>
          <w:tcPr>
            <w:tcW w:w="1261" w:type="dxa"/>
          </w:tcPr>
          <w:p w14:paraId="3CB9567A">
            <w:pPr>
              <w:rPr>
                <w:rFonts w:hint="eastAsia" w:ascii="宋体" w:hAnsi="宋体" w:eastAsia="宋体" w:cs="宋体"/>
                <w:color w:val="auto"/>
                <w:sz w:val="24"/>
                <w:szCs w:val="24"/>
                <w:highlight w:val="none"/>
              </w:rPr>
            </w:pPr>
          </w:p>
        </w:tc>
        <w:tc>
          <w:tcPr>
            <w:tcW w:w="2106" w:type="dxa"/>
          </w:tcPr>
          <w:p w14:paraId="24403995">
            <w:pPr>
              <w:rPr>
                <w:rFonts w:hint="eastAsia" w:ascii="宋体" w:hAnsi="宋体" w:eastAsia="宋体" w:cs="宋体"/>
                <w:color w:val="auto"/>
                <w:sz w:val="24"/>
                <w:szCs w:val="24"/>
                <w:highlight w:val="none"/>
              </w:rPr>
            </w:pPr>
          </w:p>
        </w:tc>
        <w:tc>
          <w:tcPr>
            <w:tcW w:w="2224" w:type="dxa"/>
          </w:tcPr>
          <w:p w14:paraId="6C059190">
            <w:pPr>
              <w:rPr>
                <w:rFonts w:hint="eastAsia" w:ascii="宋体" w:hAnsi="宋体" w:eastAsia="宋体" w:cs="宋体"/>
                <w:color w:val="auto"/>
                <w:sz w:val="24"/>
                <w:szCs w:val="24"/>
                <w:highlight w:val="none"/>
              </w:rPr>
            </w:pPr>
          </w:p>
        </w:tc>
      </w:tr>
      <w:tr w14:paraId="2C17E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238" w:type="dxa"/>
          </w:tcPr>
          <w:p w14:paraId="653BA7BE">
            <w:pPr>
              <w:rPr>
                <w:rFonts w:hint="eastAsia" w:ascii="宋体" w:hAnsi="宋体" w:eastAsia="宋体" w:cs="宋体"/>
                <w:color w:val="auto"/>
                <w:sz w:val="24"/>
                <w:szCs w:val="24"/>
                <w:highlight w:val="none"/>
              </w:rPr>
            </w:pPr>
          </w:p>
        </w:tc>
        <w:tc>
          <w:tcPr>
            <w:tcW w:w="1561" w:type="dxa"/>
          </w:tcPr>
          <w:p w14:paraId="57CBFB49">
            <w:pPr>
              <w:rPr>
                <w:rFonts w:hint="eastAsia" w:ascii="宋体" w:hAnsi="宋体" w:eastAsia="宋体" w:cs="宋体"/>
                <w:color w:val="auto"/>
                <w:sz w:val="24"/>
                <w:szCs w:val="24"/>
                <w:highlight w:val="none"/>
              </w:rPr>
            </w:pPr>
          </w:p>
        </w:tc>
        <w:tc>
          <w:tcPr>
            <w:tcW w:w="1469" w:type="dxa"/>
          </w:tcPr>
          <w:p w14:paraId="29BE84EE">
            <w:pPr>
              <w:rPr>
                <w:rFonts w:hint="eastAsia" w:ascii="宋体" w:hAnsi="宋体" w:eastAsia="宋体" w:cs="宋体"/>
                <w:color w:val="auto"/>
                <w:sz w:val="24"/>
                <w:szCs w:val="24"/>
                <w:highlight w:val="none"/>
              </w:rPr>
            </w:pPr>
          </w:p>
        </w:tc>
        <w:tc>
          <w:tcPr>
            <w:tcW w:w="1261" w:type="dxa"/>
          </w:tcPr>
          <w:p w14:paraId="26E847DD">
            <w:pPr>
              <w:rPr>
                <w:rFonts w:hint="eastAsia" w:ascii="宋体" w:hAnsi="宋体" w:eastAsia="宋体" w:cs="宋体"/>
                <w:color w:val="auto"/>
                <w:sz w:val="24"/>
                <w:szCs w:val="24"/>
                <w:highlight w:val="none"/>
              </w:rPr>
            </w:pPr>
          </w:p>
        </w:tc>
        <w:tc>
          <w:tcPr>
            <w:tcW w:w="2106" w:type="dxa"/>
          </w:tcPr>
          <w:p w14:paraId="2D09C060">
            <w:pPr>
              <w:rPr>
                <w:rFonts w:hint="eastAsia" w:ascii="宋体" w:hAnsi="宋体" w:eastAsia="宋体" w:cs="宋体"/>
                <w:color w:val="auto"/>
                <w:sz w:val="24"/>
                <w:szCs w:val="24"/>
                <w:highlight w:val="none"/>
              </w:rPr>
            </w:pPr>
          </w:p>
        </w:tc>
        <w:tc>
          <w:tcPr>
            <w:tcW w:w="2224" w:type="dxa"/>
          </w:tcPr>
          <w:p w14:paraId="7A036446">
            <w:pPr>
              <w:rPr>
                <w:rFonts w:hint="eastAsia" w:ascii="宋体" w:hAnsi="宋体" w:eastAsia="宋体" w:cs="宋体"/>
                <w:color w:val="auto"/>
                <w:sz w:val="24"/>
                <w:szCs w:val="24"/>
                <w:highlight w:val="none"/>
              </w:rPr>
            </w:pPr>
          </w:p>
        </w:tc>
      </w:tr>
      <w:tr w14:paraId="28B2C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238" w:type="dxa"/>
          </w:tcPr>
          <w:p w14:paraId="045B9992">
            <w:pPr>
              <w:rPr>
                <w:rFonts w:hint="eastAsia" w:ascii="宋体" w:hAnsi="宋体" w:eastAsia="宋体" w:cs="宋体"/>
                <w:color w:val="auto"/>
                <w:sz w:val="24"/>
                <w:szCs w:val="24"/>
                <w:highlight w:val="none"/>
              </w:rPr>
            </w:pPr>
          </w:p>
        </w:tc>
        <w:tc>
          <w:tcPr>
            <w:tcW w:w="1561" w:type="dxa"/>
          </w:tcPr>
          <w:p w14:paraId="13CB19CE">
            <w:pPr>
              <w:rPr>
                <w:rFonts w:hint="eastAsia" w:ascii="宋体" w:hAnsi="宋体" w:eastAsia="宋体" w:cs="宋体"/>
                <w:color w:val="auto"/>
                <w:sz w:val="24"/>
                <w:szCs w:val="24"/>
                <w:highlight w:val="none"/>
              </w:rPr>
            </w:pPr>
          </w:p>
        </w:tc>
        <w:tc>
          <w:tcPr>
            <w:tcW w:w="1469" w:type="dxa"/>
          </w:tcPr>
          <w:p w14:paraId="224FBCE8">
            <w:pPr>
              <w:rPr>
                <w:rFonts w:hint="eastAsia" w:ascii="宋体" w:hAnsi="宋体" w:eastAsia="宋体" w:cs="宋体"/>
                <w:color w:val="auto"/>
                <w:sz w:val="24"/>
                <w:szCs w:val="24"/>
                <w:highlight w:val="none"/>
              </w:rPr>
            </w:pPr>
          </w:p>
        </w:tc>
        <w:tc>
          <w:tcPr>
            <w:tcW w:w="1261" w:type="dxa"/>
          </w:tcPr>
          <w:p w14:paraId="64E9E261">
            <w:pPr>
              <w:rPr>
                <w:rFonts w:hint="eastAsia" w:ascii="宋体" w:hAnsi="宋体" w:eastAsia="宋体" w:cs="宋体"/>
                <w:color w:val="auto"/>
                <w:sz w:val="24"/>
                <w:szCs w:val="24"/>
                <w:highlight w:val="none"/>
              </w:rPr>
            </w:pPr>
          </w:p>
        </w:tc>
        <w:tc>
          <w:tcPr>
            <w:tcW w:w="2106" w:type="dxa"/>
          </w:tcPr>
          <w:p w14:paraId="57162E22">
            <w:pPr>
              <w:rPr>
                <w:rFonts w:hint="eastAsia" w:ascii="宋体" w:hAnsi="宋体" w:eastAsia="宋体" w:cs="宋体"/>
                <w:color w:val="auto"/>
                <w:sz w:val="24"/>
                <w:szCs w:val="24"/>
                <w:highlight w:val="none"/>
              </w:rPr>
            </w:pPr>
          </w:p>
        </w:tc>
        <w:tc>
          <w:tcPr>
            <w:tcW w:w="2224" w:type="dxa"/>
          </w:tcPr>
          <w:p w14:paraId="51FB41C4">
            <w:pPr>
              <w:rPr>
                <w:rFonts w:hint="eastAsia" w:ascii="宋体" w:hAnsi="宋体" w:eastAsia="宋体" w:cs="宋体"/>
                <w:color w:val="auto"/>
                <w:sz w:val="24"/>
                <w:szCs w:val="24"/>
                <w:highlight w:val="none"/>
              </w:rPr>
            </w:pPr>
          </w:p>
        </w:tc>
      </w:tr>
      <w:tr w14:paraId="2BE03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238" w:type="dxa"/>
          </w:tcPr>
          <w:p w14:paraId="0E13B183">
            <w:pPr>
              <w:rPr>
                <w:rFonts w:hint="eastAsia" w:ascii="宋体" w:hAnsi="宋体" w:eastAsia="宋体" w:cs="宋体"/>
                <w:color w:val="auto"/>
                <w:sz w:val="24"/>
                <w:szCs w:val="24"/>
                <w:highlight w:val="none"/>
              </w:rPr>
            </w:pPr>
          </w:p>
        </w:tc>
        <w:tc>
          <w:tcPr>
            <w:tcW w:w="1561" w:type="dxa"/>
          </w:tcPr>
          <w:p w14:paraId="13845DB0">
            <w:pPr>
              <w:rPr>
                <w:rFonts w:hint="eastAsia" w:ascii="宋体" w:hAnsi="宋体" w:eastAsia="宋体" w:cs="宋体"/>
                <w:color w:val="auto"/>
                <w:sz w:val="24"/>
                <w:szCs w:val="24"/>
                <w:highlight w:val="none"/>
              </w:rPr>
            </w:pPr>
          </w:p>
        </w:tc>
        <w:tc>
          <w:tcPr>
            <w:tcW w:w="1469" w:type="dxa"/>
          </w:tcPr>
          <w:p w14:paraId="75E086A8">
            <w:pPr>
              <w:rPr>
                <w:rFonts w:hint="eastAsia" w:ascii="宋体" w:hAnsi="宋体" w:eastAsia="宋体" w:cs="宋体"/>
                <w:color w:val="auto"/>
                <w:sz w:val="24"/>
                <w:szCs w:val="24"/>
                <w:highlight w:val="none"/>
              </w:rPr>
            </w:pPr>
          </w:p>
        </w:tc>
        <w:tc>
          <w:tcPr>
            <w:tcW w:w="1261" w:type="dxa"/>
          </w:tcPr>
          <w:p w14:paraId="2DBF9CEA">
            <w:pPr>
              <w:rPr>
                <w:rFonts w:hint="eastAsia" w:ascii="宋体" w:hAnsi="宋体" w:eastAsia="宋体" w:cs="宋体"/>
                <w:color w:val="auto"/>
                <w:sz w:val="24"/>
                <w:szCs w:val="24"/>
                <w:highlight w:val="none"/>
              </w:rPr>
            </w:pPr>
          </w:p>
        </w:tc>
        <w:tc>
          <w:tcPr>
            <w:tcW w:w="2106" w:type="dxa"/>
          </w:tcPr>
          <w:p w14:paraId="6115DC9B">
            <w:pPr>
              <w:rPr>
                <w:rFonts w:hint="eastAsia" w:ascii="宋体" w:hAnsi="宋体" w:eastAsia="宋体" w:cs="宋体"/>
                <w:color w:val="auto"/>
                <w:sz w:val="24"/>
                <w:szCs w:val="24"/>
                <w:highlight w:val="none"/>
              </w:rPr>
            </w:pPr>
          </w:p>
        </w:tc>
        <w:tc>
          <w:tcPr>
            <w:tcW w:w="2224" w:type="dxa"/>
          </w:tcPr>
          <w:p w14:paraId="13C84975">
            <w:pPr>
              <w:rPr>
                <w:rFonts w:hint="eastAsia" w:ascii="宋体" w:hAnsi="宋体" w:eastAsia="宋体" w:cs="宋体"/>
                <w:color w:val="auto"/>
                <w:sz w:val="24"/>
                <w:szCs w:val="24"/>
                <w:highlight w:val="none"/>
              </w:rPr>
            </w:pPr>
          </w:p>
        </w:tc>
      </w:tr>
      <w:tr w14:paraId="56697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238" w:type="dxa"/>
          </w:tcPr>
          <w:p w14:paraId="7E7CCDEA">
            <w:pPr>
              <w:rPr>
                <w:rFonts w:hint="eastAsia" w:ascii="宋体" w:hAnsi="宋体" w:eastAsia="宋体" w:cs="宋体"/>
                <w:color w:val="auto"/>
                <w:sz w:val="24"/>
                <w:szCs w:val="24"/>
                <w:highlight w:val="none"/>
              </w:rPr>
            </w:pPr>
          </w:p>
        </w:tc>
        <w:tc>
          <w:tcPr>
            <w:tcW w:w="1561" w:type="dxa"/>
          </w:tcPr>
          <w:p w14:paraId="690E83A3">
            <w:pPr>
              <w:rPr>
                <w:rFonts w:hint="eastAsia" w:ascii="宋体" w:hAnsi="宋体" w:eastAsia="宋体" w:cs="宋体"/>
                <w:color w:val="auto"/>
                <w:sz w:val="24"/>
                <w:szCs w:val="24"/>
                <w:highlight w:val="none"/>
              </w:rPr>
            </w:pPr>
          </w:p>
        </w:tc>
        <w:tc>
          <w:tcPr>
            <w:tcW w:w="1469" w:type="dxa"/>
          </w:tcPr>
          <w:p w14:paraId="52740367">
            <w:pPr>
              <w:rPr>
                <w:rFonts w:hint="eastAsia" w:ascii="宋体" w:hAnsi="宋体" w:eastAsia="宋体" w:cs="宋体"/>
                <w:color w:val="auto"/>
                <w:sz w:val="24"/>
                <w:szCs w:val="24"/>
                <w:highlight w:val="none"/>
              </w:rPr>
            </w:pPr>
          </w:p>
        </w:tc>
        <w:tc>
          <w:tcPr>
            <w:tcW w:w="1261" w:type="dxa"/>
          </w:tcPr>
          <w:p w14:paraId="20ECEA95">
            <w:pPr>
              <w:rPr>
                <w:rFonts w:hint="eastAsia" w:ascii="宋体" w:hAnsi="宋体" w:eastAsia="宋体" w:cs="宋体"/>
                <w:color w:val="auto"/>
                <w:sz w:val="24"/>
                <w:szCs w:val="24"/>
                <w:highlight w:val="none"/>
              </w:rPr>
            </w:pPr>
          </w:p>
        </w:tc>
        <w:tc>
          <w:tcPr>
            <w:tcW w:w="2106" w:type="dxa"/>
          </w:tcPr>
          <w:p w14:paraId="2AD04873">
            <w:pPr>
              <w:rPr>
                <w:rFonts w:hint="eastAsia" w:ascii="宋体" w:hAnsi="宋体" w:eastAsia="宋体" w:cs="宋体"/>
                <w:color w:val="auto"/>
                <w:sz w:val="24"/>
                <w:szCs w:val="24"/>
                <w:highlight w:val="none"/>
              </w:rPr>
            </w:pPr>
          </w:p>
        </w:tc>
        <w:tc>
          <w:tcPr>
            <w:tcW w:w="2224" w:type="dxa"/>
          </w:tcPr>
          <w:p w14:paraId="3722EE3F">
            <w:pPr>
              <w:rPr>
                <w:rFonts w:hint="eastAsia" w:ascii="宋体" w:hAnsi="宋体" w:eastAsia="宋体" w:cs="宋体"/>
                <w:color w:val="auto"/>
                <w:sz w:val="24"/>
                <w:szCs w:val="24"/>
                <w:highlight w:val="none"/>
              </w:rPr>
            </w:pPr>
          </w:p>
        </w:tc>
      </w:tr>
      <w:tr w14:paraId="49095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238" w:type="dxa"/>
          </w:tcPr>
          <w:p w14:paraId="574ED23D">
            <w:pPr>
              <w:rPr>
                <w:rFonts w:hint="eastAsia" w:ascii="宋体" w:hAnsi="宋体" w:eastAsia="宋体" w:cs="宋体"/>
                <w:color w:val="auto"/>
                <w:sz w:val="24"/>
                <w:szCs w:val="24"/>
                <w:highlight w:val="none"/>
              </w:rPr>
            </w:pPr>
          </w:p>
        </w:tc>
        <w:tc>
          <w:tcPr>
            <w:tcW w:w="1561" w:type="dxa"/>
          </w:tcPr>
          <w:p w14:paraId="3644FE3D">
            <w:pPr>
              <w:rPr>
                <w:rFonts w:hint="eastAsia" w:ascii="宋体" w:hAnsi="宋体" w:eastAsia="宋体" w:cs="宋体"/>
                <w:color w:val="auto"/>
                <w:sz w:val="24"/>
                <w:szCs w:val="24"/>
                <w:highlight w:val="none"/>
              </w:rPr>
            </w:pPr>
          </w:p>
        </w:tc>
        <w:tc>
          <w:tcPr>
            <w:tcW w:w="1469" w:type="dxa"/>
          </w:tcPr>
          <w:p w14:paraId="07569737">
            <w:pPr>
              <w:rPr>
                <w:rFonts w:hint="eastAsia" w:ascii="宋体" w:hAnsi="宋体" w:eastAsia="宋体" w:cs="宋体"/>
                <w:color w:val="auto"/>
                <w:sz w:val="24"/>
                <w:szCs w:val="24"/>
                <w:highlight w:val="none"/>
              </w:rPr>
            </w:pPr>
          </w:p>
        </w:tc>
        <w:tc>
          <w:tcPr>
            <w:tcW w:w="1261" w:type="dxa"/>
          </w:tcPr>
          <w:p w14:paraId="07690E54">
            <w:pPr>
              <w:rPr>
                <w:rFonts w:hint="eastAsia" w:ascii="宋体" w:hAnsi="宋体" w:eastAsia="宋体" w:cs="宋体"/>
                <w:color w:val="auto"/>
                <w:sz w:val="24"/>
                <w:szCs w:val="24"/>
                <w:highlight w:val="none"/>
              </w:rPr>
            </w:pPr>
          </w:p>
        </w:tc>
        <w:tc>
          <w:tcPr>
            <w:tcW w:w="2106" w:type="dxa"/>
          </w:tcPr>
          <w:p w14:paraId="51DE23A0">
            <w:pPr>
              <w:rPr>
                <w:rFonts w:hint="eastAsia" w:ascii="宋体" w:hAnsi="宋体" w:eastAsia="宋体" w:cs="宋体"/>
                <w:color w:val="auto"/>
                <w:sz w:val="24"/>
                <w:szCs w:val="24"/>
                <w:highlight w:val="none"/>
              </w:rPr>
            </w:pPr>
          </w:p>
        </w:tc>
        <w:tc>
          <w:tcPr>
            <w:tcW w:w="2224" w:type="dxa"/>
          </w:tcPr>
          <w:p w14:paraId="140E9F90">
            <w:pPr>
              <w:rPr>
                <w:rFonts w:hint="eastAsia" w:ascii="宋体" w:hAnsi="宋体" w:eastAsia="宋体" w:cs="宋体"/>
                <w:color w:val="auto"/>
                <w:sz w:val="24"/>
                <w:szCs w:val="24"/>
                <w:highlight w:val="none"/>
              </w:rPr>
            </w:pPr>
          </w:p>
        </w:tc>
      </w:tr>
      <w:tr w14:paraId="58095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238" w:type="dxa"/>
          </w:tcPr>
          <w:p w14:paraId="46877DBE">
            <w:pPr>
              <w:rPr>
                <w:rFonts w:hint="eastAsia" w:ascii="宋体" w:hAnsi="宋体" w:eastAsia="宋体" w:cs="宋体"/>
                <w:color w:val="auto"/>
                <w:sz w:val="24"/>
                <w:szCs w:val="24"/>
                <w:highlight w:val="none"/>
              </w:rPr>
            </w:pPr>
          </w:p>
        </w:tc>
        <w:tc>
          <w:tcPr>
            <w:tcW w:w="1561" w:type="dxa"/>
          </w:tcPr>
          <w:p w14:paraId="36BF64DA">
            <w:pPr>
              <w:rPr>
                <w:rFonts w:hint="eastAsia" w:ascii="宋体" w:hAnsi="宋体" w:eastAsia="宋体" w:cs="宋体"/>
                <w:color w:val="auto"/>
                <w:sz w:val="24"/>
                <w:szCs w:val="24"/>
                <w:highlight w:val="none"/>
              </w:rPr>
            </w:pPr>
          </w:p>
        </w:tc>
        <w:tc>
          <w:tcPr>
            <w:tcW w:w="1469" w:type="dxa"/>
          </w:tcPr>
          <w:p w14:paraId="5DE16909">
            <w:pPr>
              <w:rPr>
                <w:rFonts w:hint="eastAsia" w:ascii="宋体" w:hAnsi="宋体" w:eastAsia="宋体" w:cs="宋体"/>
                <w:color w:val="auto"/>
                <w:sz w:val="24"/>
                <w:szCs w:val="24"/>
                <w:highlight w:val="none"/>
              </w:rPr>
            </w:pPr>
          </w:p>
        </w:tc>
        <w:tc>
          <w:tcPr>
            <w:tcW w:w="1261" w:type="dxa"/>
          </w:tcPr>
          <w:p w14:paraId="74F01DD4">
            <w:pPr>
              <w:rPr>
                <w:rFonts w:hint="eastAsia" w:ascii="宋体" w:hAnsi="宋体" w:eastAsia="宋体" w:cs="宋体"/>
                <w:color w:val="auto"/>
                <w:sz w:val="24"/>
                <w:szCs w:val="24"/>
                <w:highlight w:val="none"/>
              </w:rPr>
            </w:pPr>
          </w:p>
        </w:tc>
        <w:tc>
          <w:tcPr>
            <w:tcW w:w="2106" w:type="dxa"/>
          </w:tcPr>
          <w:p w14:paraId="05AADF14">
            <w:pPr>
              <w:rPr>
                <w:rFonts w:hint="eastAsia" w:ascii="宋体" w:hAnsi="宋体" w:eastAsia="宋体" w:cs="宋体"/>
                <w:color w:val="auto"/>
                <w:sz w:val="24"/>
                <w:szCs w:val="24"/>
                <w:highlight w:val="none"/>
              </w:rPr>
            </w:pPr>
          </w:p>
        </w:tc>
        <w:tc>
          <w:tcPr>
            <w:tcW w:w="2224" w:type="dxa"/>
          </w:tcPr>
          <w:p w14:paraId="0C57C2EA">
            <w:pPr>
              <w:rPr>
                <w:rFonts w:hint="eastAsia" w:ascii="宋体" w:hAnsi="宋体" w:eastAsia="宋体" w:cs="宋体"/>
                <w:color w:val="auto"/>
                <w:sz w:val="24"/>
                <w:szCs w:val="24"/>
                <w:highlight w:val="none"/>
              </w:rPr>
            </w:pPr>
          </w:p>
        </w:tc>
      </w:tr>
      <w:tr w14:paraId="61D2F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238" w:type="dxa"/>
          </w:tcPr>
          <w:p w14:paraId="063C7299">
            <w:pPr>
              <w:rPr>
                <w:rFonts w:hint="eastAsia" w:ascii="宋体" w:hAnsi="宋体" w:eastAsia="宋体" w:cs="宋体"/>
                <w:color w:val="auto"/>
                <w:sz w:val="24"/>
                <w:szCs w:val="24"/>
                <w:highlight w:val="none"/>
              </w:rPr>
            </w:pPr>
          </w:p>
        </w:tc>
        <w:tc>
          <w:tcPr>
            <w:tcW w:w="1561" w:type="dxa"/>
          </w:tcPr>
          <w:p w14:paraId="7E88D3DF">
            <w:pPr>
              <w:rPr>
                <w:rFonts w:hint="eastAsia" w:ascii="宋体" w:hAnsi="宋体" w:eastAsia="宋体" w:cs="宋体"/>
                <w:color w:val="auto"/>
                <w:sz w:val="24"/>
                <w:szCs w:val="24"/>
                <w:highlight w:val="none"/>
              </w:rPr>
            </w:pPr>
          </w:p>
        </w:tc>
        <w:tc>
          <w:tcPr>
            <w:tcW w:w="1469" w:type="dxa"/>
          </w:tcPr>
          <w:p w14:paraId="176FE86E">
            <w:pPr>
              <w:rPr>
                <w:rFonts w:hint="eastAsia" w:ascii="宋体" w:hAnsi="宋体" w:eastAsia="宋体" w:cs="宋体"/>
                <w:color w:val="auto"/>
                <w:sz w:val="24"/>
                <w:szCs w:val="24"/>
                <w:highlight w:val="none"/>
              </w:rPr>
            </w:pPr>
          </w:p>
        </w:tc>
        <w:tc>
          <w:tcPr>
            <w:tcW w:w="1261" w:type="dxa"/>
          </w:tcPr>
          <w:p w14:paraId="0EB83CB3">
            <w:pPr>
              <w:rPr>
                <w:rFonts w:hint="eastAsia" w:ascii="宋体" w:hAnsi="宋体" w:eastAsia="宋体" w:cs="宋体"/>
                <w:color w:val="auto"/>
                <w:sz w:val="24"/>
                <w:szCs w:val="24"/>
                <w:highlight w:val="none"/>
              </w:rPr>
            </w:pPr>
          </w:p>
        </w:tc>
        <w:tc>
          <w:tcPr>
            <w:tcW w:w="2106" w:type="dxa"/>
          </w:tcPr>
          <w:p w14:paraId="319D0915">
            <w:pPr>
              <w:rPr>
                <w:rFonts w:hint="eastAsia" w:ascii="宋体" w:hAnsi="宋体" w:eastAsia="宋体" w:cs="宋体"/>
                <w:color w:val="auto"/>
                <w:sz w:val="24"/>
                <w:szCs w:val="24"/>
                <w:highlight w:val="none"/>
              </w:rPr>
            </w:pPr>
          </w:p>
        </w:tc>
        <w:tc>
          <w:tcPr>
            <w:tcW w:w="2224" w:type="dxa"/>
          </w:tcPr>
          <w:p w14:paraId="1EDB3874">
            <w:pPr>
              <w:rPr>
                <w:rFonts w:hint="eastAsia" w:ascii="宋体" w:hAnsi="宋体" w:eastAsia="宋体" w:cs="宋体"/>
                <w:color w:val="auto"/>
                <w:sz w:val="24"/>
                <w:szCs w:val="24"/>
                <w:highlight w:val="none"/>
              </w:rPr>
            </w:pPr>
          </w:p>
        </w:tc>
      </w:tr>
      <w:tr w14:paraId="1370C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238" w:type="dxa"/>
          </w:tcPr>
          <w:p w14:paraId="7865C1E3">
            <w:pPr>
              <w:rPr>
                <w:rFonts w:hint="eastAsia" w:ascii="宋体" w:hAnsi="宋体" w:eastAsia="宋体" w:cs="宋体"/>
                <w:color w:val="auto"/>
                <w:sz w:val="24"/>
                <w:szCs w:val="24"/>
                <w:highlight w:val="none"/>
              </w:rPr>
            </w:pPr>
          </w:p>
        </w:tc>
        <w:tc>
          <w:tcPr>
            <w:tcW w:w="1561" w:type="dxa"/>
          </w:tcPr>
          <w:p w14:paraId="14D2D4A0">
            <w:pPr>
              <w:rPr>
                <w:rFonts w:hint="eastAsia" w:ascii="宋体" w:hAnsi="宋体" w:eastAsia="宋体" w:cs="宋体"/>
                <w:color w:val="auto"/>
                <w:sz w:val="24"/>
                <w:szCs w:val="24"/>
                <w:highlight w:val="none"/>
              </w:rPr>
            </w:pPr>
          </w:p>
        </w:tc>
        <w:tc>
          <w:tcPr>
            <w:tcW w:w="1469" w:type="dxa"/>
          </w:tcPr>
          <w:p w14:paraId="6499B264">
            <w:pPr>
              <w:rPr>
                <w:rFonts w:hint="eastAsia" w:ascii="宋体" w:hAnsi="宋体" w:eastAsia="宋体" w:cs="宋体"/>
                <w:color w:val="auto"/>
                <w:sz w:val="24"/>
                <w:szCs w:val="24"/>
                <w:highlight w:val="none"/>
              </w:rPr>
            </w:pPr>
          </w:p>
        </w:tc>
        <w:tc>
          <w:tcPr>
            <w:tcW w:w="1261" w:type="dxa"/>
          </w:tcPr>
          <w:p w14:paraId="68E65C76">
            <w:pPr>
              <w:rPr>
                <w:rFonts w:hint="eastAsia" w:ascii="宋体" w:hAnsi="宋体" w:eastAsia="宋体" w:cs="宋体"/>
                <w:color w:val="auto"/>
                <w:sz w:val="24"/>
                <w:szCs w:val="24"/>
                <w:highlight w:val="none"/>
              </w:rPr>
            </w:pPr>
          </w:p>
        </w:tc>
        <w:tc>
          <w:tcPr>
            <w:tcW w:w="2106" w:type="dxa"/>
          </w:tcPr>
          <w:p w14:paraId="5AF3F999">
            <w:pPr>
              <w:rPr>
                <w:rFonts w:hint="eastAsia" w:ascii="宋体" w:hAnsi="宋体" w:eastAsia="宋体" w:cs="宋体"/>
                <w:color w:val="auto"/>
                <w:sz w:val="24"/>
                <w:szCs w:val="24"/>
                <w:highlight w:val="none"/>
              </w:rPr>
            </w:pPr>
          </w:p>
        </w:tc>
        <w:tc>
          <w:tcPr>
            <w:tcW w:w="2224" w:type="dxa"/>
          </w:tcPr>
          <w:p w14:paraId="555BBB18">
            <w:pPr>
              <w:rPr>
                <w:rFonts w:hint="eastAsia" w:ascii="宋体" w:hAnsi="宋体" w:eastAsia="宋体" w:cs="宋体"/>
                <w:color w:val="auto"/>
                <w:sz w:val="24"/>
                <w:szCs w:val="24"/>
                <w:highlight w:val="none"/>
              </w:rPr>
            </w:pPr>
          </w:p>
        </w:tc>
      </w:tr>
      <w:tr w14:paraId="5FFD4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238" w:type="dxa"/>
          </w:tcPr>
          <w:p w14:paraId="5780DBAA">
            <w:pPr>
              <w:spacing w:before="188" w:line="85" w:lineRule="exact"/>
              <w:ind w:left="261"/>
              <w:rPr>
                <w:rFonts w:hint="eastAsia" w:ascii="宋体" w:hAnsi="宋体" w:eastAsia="宋体" w:cs="宋体"/>
                <w:color w:val="auto"/>
                <w:sz w:val="24"/>
                <w:szCs w:val="24"/>
                <w:highlight w:val="none"/>
              </w:rPr>
            </w:pPr>
            <w:r>
              <w:rPr>
                <w:rFonts w:hint="eastAsia" w:ascii="宋体" w:hAnsi="宋体" w:eastAsia="宋体" w:cs="宋体"/>
                <w:color w:val="auto"/>
                <w:spacing w:val="7"/>
                <w:position w:val="1"/>
                <w:sz w:val="24"/>
                <w:szCs w:val="24"/>
                <w:highlight w:val="none"/>
              </w:rPr>
              <w:t>.</w:t>
            </w:r>
            <w:r>
              <w:rPr>
                <w:rFonts w:hint="eastAsia" w:ascii="宋体" w:hAnsi="宋体" w:eastAsia="宋体" w:cs="宋体"/>
                <w:color w:val="auto"/>
                <w:spacing w:val="4"/>
                <w:position w:val="1"/>
                <w:sz w:val="24"/>
                <w:szCs w:val="24"/>
                <w:highlight w:val="none"/>
              </w:rPr>
              <w:t>......</w:t>
            </w:r>
          </w:p>
        </w:tc>
        <w:tc>
          <w:tcPr>
            <w:tcW w:w="1561" w:type="dxa"/>
          </w:tcPr>
          <w:p w14:paraId="648CC73C">
            <w:pPr>
              <w:rPr>
                <w:rFonts w:hint="eastAsia" w:ascii="宋体" w:hAnsi="宋体" w:eastAsia="宋体" w:cs="宋体"/>
                <w:color w:val="auto"/>
                <w:sz w:val="24"/>
                <w:szCs w:val="24"/>
                <w:highlight w:val="none"/>
              </w:rPr>
            </w:pPr>
          </w:p>
        </w:tc>
        <w:tc>
          <w:tcPr>
            <w:tcW w:w="1469" w:type="dxa"/>
          </w:tcPr>
          <w:p w14:paraId="79D05FB5">
            <w:pPr>
              <w:rPr>
                <w:rFonts w:hint="eastAsia" w:ascii="宋体" w:hAnsi="宋体" w:eastAsia="宋体" w:cs="宋体"/>
                <w:color w:val="auto"/>
                <w:sz w:val="24"/>
                <w:szCs w:val="24"/>
                <w:highlight w:val="none"/>
              </w:rPr>
            </w:pPr>
          </w:p>
        </w:tc>
        <w:tc>
          <w:tcPr>
            <w:tcW w:w="1261" w:type="dxa"/>
          </w:tcPr>
          <w:p w14:paraId="7EAF9FF5">
            <w:pPr>
              <w:rPr>
                <w:rFonts w:hint="eastAsia" w:ascii="宋体" w:hAnsi="宋体" w:eastAsia="宋体" w:cs="宋体"/>
                <w:color w:val="auto"/>
                <w:sz w:val="24"/>
                <w:szCs w:val="24"/>
                <w:highlight w:val="none"/>
              </w:rPr>
            </w:pPr>
          </w:p>
        </w:tc>
        <w:tc>
          <w:tcPr>
            <w:tcW w:w="2106" w:type="dxa"/>
          </w:tcPr>
          <w:p w14:paraId="7B079496">
            <w:pPr>
              <w:rPr>
                <w:rFonts w:hint="eastAsia" w:ascii="宋体" w:hAnsi="宋体" w:eastAsia="宋体" w:cs="宋体"/>
                <w:color w:val="auto"/>
                <w:sz w:val="24"/>
                <w:szCs w:val="24"/>
                <w:highlight w:val="none"/>
              </w:rPr>
            </w:pPr>
          </w:p>
        </w:tc>
        <w:tc>
          <w:tcPr>
            <w:tcW w:w="2224" w:type="dxa"/>
          </w:tcPr>
          <w:p w14:paraId="41932881">
            <w:pPr>
              <w:rPr>
                <w:rFonts w:hint="eastAsia" w:ascii="宋体" w:hAnsi="宋体" w:eastAsia="宋体" w:cs="宋体"/>
                <w:color w:val="auto"/>
                <w:sz w:val="24"/>
                <w:szCs w:val="24"/>
                <w:highlight w:val="none"/>
              </w:rPr>
            </w:pPr>
          </w:p>
        </w:tc>
      </w:tr>
    </w:tbl>
    <w:p w14:paraId="1DEADDD2">
      <w:pPr>
        <w:pStyle w:val="17"/>
        <w:spacing w:line="360" w:lineRule="auto"/>
        <w:jc w:val="center"/>
        <w:outlineLvl w:val="1"/>
        <w:rPr>
          <w:rFonts w:hint="eastAsia" w:hAnsi="宋体" w:cs="宋体"/>
          <w:bCs/>
          <w:sz w:val="24"/>
          <w:szCs w:val="24"/>
          <w:highlight w:val="none"/>
        </w:rPr>
      </w:pPr>
      <w:r>
        <w:rPr>
          <w:rFonts w:hint="eastAsia" w:ascii="宋体" w:hAnsi="宋体" w:eastAsia="宋体" w:cs="宋体"/>
          <w:b/>
          <w:bCs/>
          <w:color w:val="auto"/>
          <w:spacing w:val="11"/>
          <w:sz w:val="24"/>
          <w:szCs w:val="24"/>
          <w:highlight w:val="none"/>
        </w:rPr>
        <w:br w:type="page"/>
      </w:r>
      <w:bookmarkStart w:id="210" w:name="_Toc19348"/>
      <w:r>
        <w:rPr>
          <w:rFonts w:hint="eastAsia" w:hAnsi="宋体" w:eastAsia="宋体" w:cs="宋体"/>
          <w:b/>
          <w:bCs/>
          <w:color w:val="auto"/>
          <w:spacing w:val="11"/>
          <w:sz w:val="24"/>
          <w:szCs w:val="24"/>
          <w:highlight w:val="none"/>
          <w:lang w:val="en-US" w:eastAsia="zh-CN"/>
        </w:rPr>
        <w:t>二、</w:t>
      </w:r>
      <w:r>
        <w:rPr>
          <w:rFonts w:hint="eastAsia" w:hAnsi="宋体" w:cs="宋体"/>
          <w:bCs/>
          <w:sz w:val="24"/>
          <w:szCs w:val="24"/>
          <w:highlight w:val="none"/>
        </w:rPr>
        <w:t>承诺书</w:t>
      </w:r>
      <w:bookmarkEnd w:id="210"/>
    </w:p>
    <w:p w14:paraId="52F6D726">
      <w:pPr>
        <w:spacing w:line="480" w:lineRule="auto"/>
        <w:rPr>
          <w:rFonts w:hint="eastAsia" w:ascii="宋体" w:hAnsi="宋体" w:cs="宋体"/>
          <w:sz w:val="24"/>
          <w:highlight w:val="none"/>
        </w:rPr>
      </w:pPr>
    </w:p>
    <w:p w14:paraId="41968A96">
      <w:pPr>
        <w:spacing w:line="360" w:lineRule="auto"/>
        <w:rPr>
          <w:rFonts w:hint="eastAsia" w:ascii="宋体" w:hAnsi="宋体" w:cs="宋体"/>
          <w:sz w:val="21"/>
          <w:szCs w:val="21"/>
          <w:highlight w:val="none"/>
        </w:rPr>
      </w:pPr>
      <w:r>
        <w:rPr>
          <w:rFonts w:hint="eastAsia"/>
          <w:highlight w:val="none"/>
        </w:rPr>
        <w:tab/>
      </w:r>
      <w:r>
        <w:rPr>
          <w:rFonts w:hint="eastAsia" w:ascii="宋体" w:hAnsi="宋体" w:cs="宋体"/>
          <w:sz w:val="21"/>
          <w:szCs w:val="21"/>
          <w:highlight w:val="none"/>
        </w:rPr>
        <w:t>致：</w:t>
      </w:r>
      <w:r>
        <w:rPr>
          <w:rFonts w:hint="eastAsia" w:ascii="宋体" w:hAnsi="宋体" w:cs="宋体"/>
          <w:sz w:val="21"/>
          <w:szCs w:val="21"/>
          <w:highlight w:val="none"/>
          <w:u w:val="single"/>
        </w:rPr>
        <w:t xml:space="preserve">                      </w:t>
      </w:r>
      <w:r>
        <w:rPr>
          <w:rFonts w:hint="eastAsia" w:ascii="宋体" w:hAnsi="宋体" w:cs="宋体"/>
          <w:sz w:val="21"/>
          <w:szCs w:val="21"/>
          <w:highlight w:val="none"/>
        </w:rPr>
        <w:t>（采购人）</w:t>
      </w:r>
    </w:p>
    <w:p w14:paraId="1DAF6542">
      <w:pPr>
        <w:spacing w:line="360" w:lineRule="auto"/>
        <w:rPr>
          <w:rFonts w:hint="eastAsia" w:ascii="宋体" w:hAnsi="宋体" w:cs="宋体"/>
          <w:sz w:val="21"/>
          <w:szCs w:val="21"/>
          <w:highlight w:val="none"/>
        </w:rPr>
      </w:pPr>
    </w:p>
    <w:p w14:paraId="50ED6405">
      <w:pPr>
        <w:tabs>
          <w:tab w:val="left" w:pos="1573"/>
        </w:tabs>
        <w:autoSpaceDN w:val="0"/>
        <w:spacing w:line="360" w:lineRule="auto"/>
        <w:ind w:left="105" w:leftChars="50" w:firstLine="630" w:firstLineChars="300"/>
        <w:rPr>
          <w:rFonts w:hint="eastAsia" w:ascii="宋体" w:hAnsi="宋体" w:cs="宋体"/>
          <w:sz w:val="21"/>
          <w:szCs w:val="21"/>
          <w:highlight w:val="none"/>
        </w:rPr>
      </w:pPr>
      <w:r>
        <w:rPr>
          <w:rFonts w:hint="eastAsia" w:ascii="宋体" w:hAnsi="宋体" w:eastAsia="宋体" w:cs="宋体"/>
          <w:sz w:val="21"/>
          <w:szCs w:val="21"/>
          <w:highlight w:val="none"/>
        </w:rPr>
        <w:t>本公司郑重承诺：我单位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（供应商名称）</w:t>
      </w:r>
      <w:r>
        <w:rPr>
          <w:rFonts w:hint="eastAsia" w:ascii="宋体" w:hAnsi="宋体" w:cs="宋体"/>
          <w:sz w:val="21"/>
          <w:szCs w:val="21"/>
          <w:highlight w:val="none"/>
        </w:rPr>
        <w:t>中标后，</w:t>
      </w:r>
      <w:r>
        <w:rPr>
          <w:rFonts w:hint="eastAsia" w:ascii="宋体" w:hAnsi="宋体" w:cs="宋体"/>
          <w:sz w:val="21"/>
          <w:szCs w:val="21"/>
          <w:highlight w:val="none"/>
          <w:lang w:val="en-US" w:eastAsia="zh-CN"/>
        </w:rPr>
        <w:t>为</w:t>
      </w:r>
      <w:r>
        <w:rPr>
          <w:rFonts w:hint="eastAsia" w:ascii="宋体" w:hAnsi="宋体" w:cs="宋体"/>
          <w:sz w:val="21"/>
          <w:szCs w:val="21"/>
          <w:highlight w:val="none"/>
        </w:rPr>
        <w:t>所有</w:t>
      </w:r>
      <w:r>
        <w:rPr>
          <w:rFonts w:hint="eastAsia" w:ascii="宋体"/>
          <w:color w:val="auto"/>
          <w:szCs w:val="21"/>
          <w:highlight w:val="none"/>
          <w:shd w:val="clear" w:color="auto" w:fill="FFFFFF"/>
        </w:rPr>
        <w:t>服务</w:t>
      </w:r>
      <w:r>
        <w:rPr>
          <w:rFonts w:hint="eastAsia" w:ascii="宋体"/>
          <w:color w:val="auto"/>
          <w:szCs w:val="21"/>
          <w:highlight w:val="none"/>
          <w:shd w:val="clear" w:color="auto" w:fill="FFFFFF"/>
          <w:lang w:val="en-US" w:eastAsia="zh-CN"/>
        </w:rPr>
        <w:t>于本项目的工作</w:t>
      </w:r>
      <w:r>
        <w:rPr>
          <w:rFonts w:hint="eastAsia" w:ascii="宋体"/>
          <w:color w:val="auto"/>
          <w:szCs w:val="21"/>
          <w:highlight w:val="none"/>
          <w:shd w:val="clear" w:color="auto" w:fill="FFFFFF"/>
        </w:rPr>
        <w:t>人员购买意外伤害保险</w:t>
      </w:r>
      <w:r>
        <w:rPr>
          <w:rFonts w:hint="eastAsia"/>
          <w:color w:val="auto"/>
          <w:szCs w:val="21"/>
          <w:highlight w:val="none"/>
          <w:shd w:val="clear" w:color="auto" w:fill="FFFFFF"/>
          <w:lang w:eastAsia="zh-CN"/>
        </w:rPr>
        <w:t>。</w:t>
      </w:r>
    </w:p>
    <w:p w14:paraId="7BE22D31">
      <w:pPr>
        <w:tabs>
          <w:tab w:val="left" w:pos="1573"/>
        </w:tabs>
        <w:autoSpaceDN w:val="0"/>
        <w:spacing w:line="360" w:lineRule="auto"/>
        <w:ind w:left="105" w:leftChars="50"/>
        <w:rPr>
          <w:rFonts w:hint="eastAsia" w:ascii="宋体" w:hAnsi="宋体" w:cs="宋体"/>
          <w:sz w:val="21"/>
          <w:szCs w:val="21"/>
          <w:highlight w:val="none"/>
        </w:rPr>
      </w:pPr>
    </w:p>
    <w:p w14:paraId="4920CF5A">
      <w:pPr>
        <w:rPr>
          <w:rFonts w:hint="eastAsia" w:ascii="宋体" w:hAnsi="宋体" w:cs="宋体"/>
          <w:sz w:val="21"/>
          <w:szCs w:val="21"/>
          <w:highlight w:val="none"/>
        </w:rPr>
      </w:pPr>
    </w:p>
    <w:p w14:paraId="7A288833">
      <w:pPr>
        <w:tabs>
          <w:tab w:val="left" w:pos="670"/>
        </w:tabs>
        <w:jc w:val="left"/>
        <w:rPr>
          <w:rFonts w:hint="eastAsia" w:ascii="宋体" w:hAnsi="宋体" w:cs="宋体"/>
          <w:sz w:val="21"/>
          <w:szCs w:val="21"/>
          <w:highlight w:val="none"/>
        </w:rPr>
      </w:pPr>
    </w:p>
    <w:p w14:paraId="5B6645C0">
      <w:pPr>
        <w:tabs>
          <w:tab w:val="left" w:pos="670"/>
        </w:tabs>
        <w:jc w:val="left"/>
        <w:rPr>
          <w:rFonts w:hint="eastAsia" w:ascii="宋体" w:hAnsi="宋体" w:eastAsia="宋体" w:cs="宋体"/>
          <w:sz w:val="21"/>
          <w:szCs w:val="21"/>
          <w:highlight w:val="none"/>
          <w:lang w:eastAsia="zh-CN"/>
        </w:rPr>
      </w:pPr>
    </w:p>
    <w:p w14:paraId="1D11E2AD">
      <w:pPr>
        <w:tabs>
          <w:tab w:val="left" w:pos="670"/>
        </w:tabs>
        <w:jc w:val="left"/>
        <w:rPr>
          <w:rFonts w:hint="eastAsia" w:ascii="宋体" w:hAnsi="宋体" w:eastAsia="宋体" w:cs="宋体"/>
          <w:sz w:val="21"/>
          <w:szCs w:val="21"/>
          <w:highlight w:val="none"/>
          <w:shd w:val="clear" w:color="auto" w:fill="FFFFFF"/>
          <w:lang w:eastAsia="zh-CN"/>
        </w:rPr>
      </w:pPr>
      <w:r>
        <w:rPr>
          <w:rFonts w:hint="eastAsia" w:ascii="宋体" w:hAnsi="宋体" w:cs="宋体"/>
          <w:sz w:val="21"/>
          <w:szCs w:val="21"/>
          <w:highlight w:val="none"/>
        </w:rPr>
        <w:t xml:space="preserve">                                 供应商</w:t>
      </w:r>
      <w:r>
        <w:rPr>
          <w:rFonts w:hint="eastAsia" w:ascii="宋体" w:hAnsi="宋体" w:cs="宋体"/>
          <w:sz w:val="21"/>
          <w:szCs w:val="21"/>
          <w:highlight w:val="none"/>
          <w:shd w:val="clear" w:color="auto" w:fill="FFFFFF"/>
        </w:rPr>
        <w:t>（</w:t>
      </w:r>
      <w:r>
        <w:rPr>
          <w:rFonts w:hint="eastAsia" w:ascii="宋体" w:hAnsi="宋体" w:cs="宋体"/>
          <w:sz w:val="21"/>
          <w:szCs w:val="21"/>
          <w:highlight w:val="none"/>
        </w:rPr>
        <w:t>盖</w:t>
      </w:r>
      <w:r>
        <w:rPr>
          <w:rFonts w:hint="eastAsia" w:ascii="宋体" w:hAnsi="宋体" w:cs="宋体"/>
          <w:sz w:val="21"/>
          <w:szCs w:val="21"/>
          <w:highlight w:val="none"/>
          <w:shd w:val="clear" w:color="auto" w:fill="FFFFFF"/>
        </w:rPr>
        <w:t>单位公章）</w:t>
      </w:r>
    </w:p>
    <w:p w14:paraId="5D8A148A">
      <w:pPr>
        <w:pStyle w:val="42"/>
        <w:rPr>
          <w:rFonts w:hint="eastAsia"/>
          <w:highlight w:val="none"/>
          <w:lang w:eastAsia="zh-CN"/>
        </w:rPr>
      </w:pPr>
    </w:p>
    <w:p w14:paraId="0DEE4972">
      <w:pPr>
        <w:tabs>
          <w:tab w:val="left" w:pos="670"/>
        </w:tabs>
        <w:jc w:val="left"/>
        <w:rPr>
          <w:rFonts w:hint="eastAsia" w:ascii="宋体" w:hAnsi="宋体" w:eastAsia="宋体"/>
          <w:sz w:val="21"/>
          <w:szCs w:val="21"/>
          <w:highlight w:val="none"/>
          <w:lang w:eastAsia="zh-CN"/>
        </w:rPr>
      </w:pPr>
      <w:r>
        <w:rPr>
          <w:rFonts w:hint="eastAsia" w:ascii="宋体" w:hAnsi="宋体" w:cs="宋体"/>
          <w:sz w:val="21"/>
          <w:szCs w:val="21"/>
          <w:highlight w:val="none"/>
        </w:rPr>
        <w:t xml:space="preserve">                                 </w:t>
      </w:r>
      <w:r>
        <w:rPr>
          <w:rFonts w:hint="eastAsia" w:ascii="宋体" w:hAnsi="宋体"/>
          <w:sz w:val="21"/>
          <w:szCs w:val="21"/>
          <w:highlight w:val="none"/>
        </w:rPr>
        <w:t xml:space="preserve"> 法定代表人或其委托代理人（签字）</w:t>
      </w:r>
    </w:p>
    <w:p w14:paraId="25229E43">
      <w:pPr>
        <w:pStyle w:val="42"/>
        <w:rPr>
          <w:rFonts w:hint="eastAsia"/>
          <w:highlight w:val="none"/>
          <w:lang w:eastAsia="zh-CN"/>
        </w:rPr>
      </w:pPr>
    </w:p>
    <w:p w14:paraId="1EC2E6B0">
      <w:pPr>
        <w:tabs>
          <w:tab w:val="left" w:pos="670"/>
        </w:tabs>
        <w:jc w:val="left"/>
        <w:rPr>
          <w:rFonts w:hint="eastAsia" w:ascii="宋体" w:hAnsi="宋体" w:eastAsia="宋体" w:cs="宋体"/>
          <w:sz w:val="21"/>
          <w:szCs w:val="21"/>
          <w:highlight w:val="none"/>
          <w:shd w:val="clear" w:color="auto" w:fill="FFFFFF"/>
          <w:lang w:eastAsia="zh-CN"/>
        </w:rPr>
      </w:pPr>
      <w:r>
        <w:rPr>
          <w:rFonts w:hint="eastAsia" w:ascii="宋体" w:hAnsi="宋体" w:cs="宋体"/>
          <w:sz w:val="21"/>
          <w:szCs w:val="21"/>
          <w:highlight w:val="none"/>
        </w:rPr>
        <w:t xml:space="preserve">                                              </w:t>
      </w:r>
      <w:r>
        <w:rPr>
          <w:rFonts w:hint="eastAsia" w:ascii="宋体" w:hAnsi="宋体" w:cs="宋体"/>
          <w:sz w:val="21"/>
          <w:szCs w:val="21"/>
          <w:highlight w:val="none"/>
          <w:shd w:val="clear" w:color="auto" w:fill="FFFFFF"/>
        </w:rPr>
        <w:t>年    月   日</w:t>
      </w:r>
    </w:p>
    <w:p w14:paraId="01F57A07">
      <w:pPr>
        <w:rPr>
          <w:rFonts w:hint="eastAsia" w:ascii="宋体" w:hAnsi="宋体" w:eastAsia="宋体" w:cs="宋体"/>
          <w:b/>
          <w:bCs/>
          <w:color w:val="auto"/>
          <w:spacing w:val="11"/>
          <w:sz w:val="24"/>
          <w:szCs w:val="24"/>
          <w:highlight w:val="none"/>
        </w:rPr>
      </w:pPr>
    </w:p>
    <w:p w14:paraId="319117E3">
      <w:pPr>
        <w:rPr>
          <w:rFonts w:hint="eastAsia" w:ascii="宋体" w:hAnsi="宋体" w:eastAsia="宋体" w:cs="宋体"/>
          <w:b/>
          <w:bCs/>
          <w:color w:val="auto"/>
          <w:spacing w:val="11"/>
          <w:sz w:val="24"/>
          <w:szCs w:val="24"/>
          <w:highlight w:val="none"/>
        </w:rPr>
      </w:pPr>
    </w:p>
    <w:p w14:paraId="2C48105A">
      <w:pP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br w:type="page"/>
      </w:r>
    </w:p>
    <w:p w14:paraId="3317D2B8">
      <w:pPr>
        <w:jc w:val="center"/>
        <w:rPr>
          <w:b/>
          <w:color w:val="auto"/>
          <w:sz w:val="28"/>
          <w:szCs w:val="28"/>
          <w:highlight w:val="none"/>
        </w:rPr>
      </w:pPr>
      <w:r>
        <w:rPr>
          <w:rFonts w:hint="eastAsia" w:ascii="宋体" w:hAnsi="宋体" w:eastAsia="宋体" w:cs="宋体"/>
          <w:b/>
          <w:bCs/>
          <w:color w:val="auto"/>
          <w:kern w:val="2"/>
          <w:sz w:val="32"/>
          <w:szCs w:val="32"/>
          <w:highlight w:val="none"/>
          <w:lang w:val="en-US" w:eastAsia="zh-CN" w:bidi="ar-SA"/>
        </w:rPr>
        <w:t>（</w:t>
      </w:r>
      <w:r>
        <w:rPr>
          <w:rFonts w:hint="eastAsia" w:cs="宋体"/>
          <w:b/>
          <w:bCs/>
          <w:color w:val="auto"/>
          <w:kern w:val="2"/>
          <w:sz w:val="32"/>
          <w:szCs w:val="32"/>
          <w:highlight w:val="none"/>
          <w:lang w:val="en-US" w:eastAsia="zh-CN" w:bidi="ar-SA"/>
        </w:rPr>
        <w:t>十</w:t>
      </w:r>
      <w:r>
        <w:rPr>
          <w:rFonts w:hint="eastAsia" w:ascii="宋体" w:hAnsi="宋体" w:eastAsia="宋体" w:cs="宋体"/>
          <w:b/>
          <w:bCs/>
          <w:color w:val="auto"/>
          <w:kern w:val="2"/>
          <w:sz w:val="32"/>
          <w:szCs w:val="32"/>
          <w:highlight w:val="none"/>
          <w:lang w:val="en-US" w:eastAsia="zh-CN" w:bidi="ar-SA"/>
        </w:rPr>
        <w:t>）</w:t>
      </w:r>
      <w:r>
        <w:rPr>
          <w:rFonts w:hint="eastAsia"/>
          <w:b/>
          <w:color w:val="auto"/>
          <w:sz w:val="28"/>
          <w:szCs w:val="28"/>
          <w:highlight w:val="none"/>
        </w:rPr>
        <w:t>中小企业声明函</w:t>
      </w:r>
    </w:p>
    <w:p w14:paraId="69CB51B1">
      <w:pPr>
        <w:rPr>
          <w:b/>
          <w:color w:val="auto"/>
          <w:sz w:val="28"/>
          <w:szCs w:val="28"/>
          <w:highlight w:val="none"/>
        </w:rPr>
      </w:pPr>
    </w:p>
    <w:p w14:paraId="53537A05">
      <w:pPr>
        <w:spacing w:line="500" w:lineRule="exact"/>
        <w:ind w:firstLine="480" w:firstLineChars="200"/>
        <w:rPr>
          <w:color w:val="auto"/>
          <w:sz w:val="24"/>
          <w:szCs w:val="24"/>
          <w:highlight w:val="none"/>
        </w:rPr>
      </w:pPr>
      <w:r>
        <w:rPr>
          <w:rFonts w:hint="eastAsia"/>
          <w:color w:val="auto"/>
          <w:sz w:val="24"/>
          <w:szCs w:val="24"/>
          <w:highlight w:val="none"/>
        </w:rPr>
        <w:t>本公司(联合体)郑重声明，根据《政府采购促进中小企业发展管理办法》(财库(2020)46号)的规定，本公司(联合体)参加</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(单位名称)</w:t>
      </w:r>
      <w:r>
        <w:rPr>
          <w:rFonts w:hint="eastAsia"/>
          <w:color w:val="auto"/>
          <w:sz w:val="24"/>
          <w:szCs w:val="24"/>
          <w:highlight w:val="none"/>
          <w:u w:val="single"/>
          <w:lang w:val="en-US" w:eastAsia="zh-CN"/>
        </w:rPr>
        <w:t xml:space="preserve">  </w:t>
      </w:r>
      <w:r>
        <w:rPr>
          <w:rFonts w:hint="eastAsia"/>
          <w:color w:val="auto"/>
          <w:sz w:val="24"/>
          <w:szCs w:val="24"/>
          <w:highlight w:val="none"/>
        </w:rPr>
        <w:t>的</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(项目名称)</w:t>
      </w:r>
      <w:r>
        <w:rPr>
          <w:rFonts w:hint="eastAsia"/>
          <w:color w:val="auto"/>
          <w:sz w:val="24"/>
          <w:szCs w:val="24"/>
          <w:highlight w:val="none"/>
          <w:u w:val="single"/>
          <w:lang w:val="en-US" w:eastAsia="zh-CN"/>
        </w:rPr>
        <w:t xml:space="preserve">  </w:t>
      </w:r>
      <w:r>
        <w:rPr>
          <w:rFonts w:hint="eastAsia"/>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6D649E9">
      <w:pPr>
        <w:spacing w:line="500" w:lineRule="exact"/>
        <w:ind w:firstLine="480" w:firstLineChars="200"/>
        <w:rPr>
          <w:color w:val="auto"/>
          <w:sz w:val="24"/>
          <w:szCs w:val="24"/>
          <w:highlight w:val="none"/>
        </w:rPr>
      </w:pPr>
      <w:r>
        <w:rPr>
          <w:rFonts w:hint="eastAsia"/>
          <w:color w:val="auto"/>
          <w:sz w:val="24"/>
          <w:szCs w:val="24"/>
          <w:highlight w:val="none"/>
        </w:rPr>
        <w:t>1.</w:t>
      </w:r>
      <w:r>
        <w:rPr>
          <w:rFonts w:hint="eastAsia"/>
          <w:color w:val="auto"/>
          <w:sz w:val="24"/>
          <w:szCs w:val="24"/>
          <w:highlight w:val="none"/>
          <w:u w:val="single"/>
        </w:rPr>
        <w:t xml:space="preserve"> (标的名称)</w:t>
      </w:r>
      <w:r>
        <w:rPr>
          <w:rFonts w:hint="eastAsia"/>
          <w:color w:val="auto"/>
          <w:sz w:val="24"/>
          <w:szCs w:val="24"/>
          <w:highlight w:val="none"/>
        </w:rPr>
        <w:t>，属于</w:t>
      </w:r>
      <w:r>
        <w:rPr>
          <w:rFonts w:hint="eastAsia"/>
          <w:color w:val="auto"/>
          <w:sz w:val="24"/>
          <w:szCs w:val="24"/>
          <w:highlight w:val="none"/>
          <w:u w:val="single"/>
          <w:lang w:eastAsia="zh-CN"/>
        </w:rPr>
        <w:t>（</w:t>
      </w:r>
      <w:r>
        <w:rPr>
          <w:rFonts w:hint="eastAsia"/>
          <w:color w:val="auto"/>
          <w:sz w:val="24"/>
          <w:szCs w:val="24"/>
          <w:highlight w:val="none"/>
          <w:u w:val="single"/>
          <w:lang w:val="en-US" w:eastAsia="zh-CN"/>
        </w:rPr>
        <w:t>招标文件中列明的行业</w:t>
      </w:r>
      <w:r>
        <w:rPr>
          <w:rFonts w:hint="eastAsia"/>
          <w:color w:val="auto"/>
          <w:sz w:val="24"/>
          <w:szCs w:val="24"/>
          <w:highlight w:val="none"/>
          <w:u w:val="single"/>
          <w:lang w:eastAsia="zh-CN"/>
        </w:rPr>
        <w:t>）</w:t>
      </w:r>
      <w:r>
        <w:rPr>
          <w:rFonts w:hint="eastAsia"/>
          <w:color w:val="auto"/>
          <w:sz w:val="24"/>
          <w:szCs w:val="24"/>
          <w:highlight w:val="none"/>
        </w:rPr>
        <w:t>；承建（承接）企业为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 xml:space="preserve">(企业名称) </w:t>
      </w:r>
      <w:r>
        <w:rPr>
          <w:rFonts w:hint="eastAsia"/>
          <w:color w:val="auto"/>
          <w:sz w:val="24"/>
          <w:szCs w:val="24"/>
          <w:highlight w:val="none"/>
          <w:u w:val="single"/>
          <w:lang w:val="en-US" w:eastAsia="zh-CN"/>
        </w:rPr>
        <w:t xml:space="preserve">  </w:t>
      </w:r>
      <w:r>
        <w:rPr>
          <w:rFonts w:hint="eastAsia"/>
          <w:color w:val="auto"/>
          <w:sz w:val="24"/>
          <w:szCs w:val="24"/>
          <w:highlight w:val="none"/>
        </w:rPr>
        <w:t>，从业人员</w:t>
      </w:r>
      <w:r>
        <w:rPr>
          <w:rFonts w:hint="eastAsia"/>
          <w:color w:val="auto"/>
          <w:sz w:val="24"/>
          <w:szCs w:val="24"/>
          <w:highlight w:val="none"/>
          <w:u w:val="single"/>
          <w:lang w:val="en-US" w:eastAsia="zh-CN"/>
        </w:rPr>
        <w:t xml:space="preserve">     </w:t>
      </w:r>
      <w:r>
        <w:rPr>
          <w:rFonts w:hint="eastAsia"/>
          <w:color w:val="auto"/>
          <w:sz w:val="24"/>
          <w:szCs w:val="24"/>
          <w:highlight w:val="none"/>
        </w:rPr>
        <w:t>人，营业收入为</w:t>
      </w:r>
      <w:r>
        <w:rPr>
          <w:rFonts w:hint="eastAsia"/>
          <w:color w:val="auto"/>
          <w:sz w:val="24"/>
          <w:szCs w:val="24"/>
          <w:highlight w:val="none"/>
          <w:u w:val="single"/>
          <w:lang w:val="en-US" w:eastAsia="zh-CN"/>
        </w:rPr>
        <w:t xml:space="preserve">    </w:t>
      </w:r>
      <w:r>
        <w:rPr>
          <w:rFonts w:hint="eastAsia"/>
          <w:color w:val="auto"/>
          <w:sz w:val="24"/>
          <w:szCs w:val="24"/>
          <w:highlight w:val="none"/>
        </w:rPr>
        <w:t>万元，资产总额为</w:t>
      </w:r>
      <w:r>
        <w:rPr>
          <w:rFonts w:hint="eastAsia"/>
          <w:color w:val="auto"/>
          <w:sz w:val="24"/>
          <w:szCs w:val="24"/>
          <w:highlight w:val="none"/>
          <w:u w:val="single"/>
          <w:lang w:val="en-US" w:eastAsia="zh-CN"/>
        </w:rPr>
        <w:t xml:space="preserve">    </w:t>
      </w:r>
      <w:r>
        <w:rPr>
          <w:rFonts w:hint="eastAsia"/>
          <w:color w:val="auto"/>
          <w:sz w:val="24"/>
          <w:szCs w:val="24"/>
          <w:highlight w:val="none"/>
        </w:rPr>
        <w:t>万元，属于</w:t>
      </w:r>
      <w:r>
        <w:rPr>
          <w:rFonts w:hint="eastAsia"/>
          <w:color w:val="auto"/>
          <w:sz w:val="24"/>
          <w:szCs w:val="24"/>
          <w:highlight w:val="none"/>
          <w:u w:val="single"/>
          <w:lang w:val="en-US" w:eastAsia="zh-CN"/>
        </w:rPr>
        <w:t xml:space="preserve">    </w:t>
      </w:r>
      <w:r>
        <w:rPr>
          <w:rFonts w:hint="eastAsia"/>
          <w:color w:val="auto"/>
          <w:sz w:val="24"/>
          <w:szCs w:val="24"/>
          <w:highlight w:val="none"/>
          <w:u w:val="single"/>
        </w:rPr>
        <w:t>(中型企业、小型企业、微型企业)</w:t>
      </w:r>
      <w:r>
        <w:rPr>
          <w:rFonts w:hint="eastAsia"/>
          <w:color w:val="auto"/>
          <w:sz w:val="24"/>
          <w:szCs w:val="24"/>
          <w:highlight w:val="none"/>
        </w:rPr>
        <w:t>；</w:t>
      </w:r>
    </w:p>
    <w:p w14:paraId="371D1207">
      <w:pPr>
        <w:spacing w:line="500" w:lineRule="exact"/>
        <w:ind w:firstLine="480" w:firstLineChars="200"/>
        <w:rPr>
          <w:color w:val="auto"/>
          <w:sz w:val="24"/>
          <w:szCs w:val="24"/>
          <w:highlight w:val="none"/>
        </w:rPr>
      </w:pPr>
      <w:r>
        <w:rPr>
          <w:rFonts w:hint="eastAsia"/>
          <w:color w:val="auto"/>
          <w:sz w:val="24"/>
          <w:szCs w:val="24"/>
          <w:highlight w:val="none"/>
        </w:rPr>
        <w:t>2.</w:t>
      </w:r>
      <w:r>
        <w:rPr>
          <w:rFonts w:hint="eastAsia"/>
          <w:color w:val="auto"/>
          <w:sz w:val="24"/>
          <w:szCs w:val="24"/>
          <w:highlight w:val="none"/>
          <w:u w:val="single"/>
        </w:rPr>
        <w:t xml:space="preserve"> (标的名称)</w:t>
      </w:r>
      <w:r>
        <w:rPr>
          <w:rFonts w:hint="eastAsia"/>
          <w:color w:val="auto"/>
          <w:sz w:val="24"/>
          <w:szCs w:val="24"/>
          <w:highlight w:val="none"/>
        </w:rPr>
        <w:t>，属于</w:t>
      </w:r>
      <w:r>
        <w:rPr>
          <w:rFonts w:hint="eastAsia"/>
          <w:color w:val="auto"/>
          <w:sz w:val="24"/>
          <w:szCs w:val="24"/>
          <w:highlight w:val="none"/>
          <w:u w:val="single"/>
          <w:lang w:eastAsia="zh-CN"/>
        </w:rPr>
        <w:t>（</w:t>
      </w:r>
      <w:r>
        <w:rPr>
          <w:rFonts w:hint="eastAsia"/>
          <w:color w:val="auto"/>
          <w:sz w:val="24"/>
          <w:szCs w:val="24"/>
          <w:highlight w:val="none"/>
          <w:u w:val="single"/>
          <w:lang w:val="en-US" w:eastAsia="zh-CN"/>
        </w:rPr>
        <w:t>招标文件中列明的行业</w:t>
      </w:r>
      <w:r>
        <w:rPr>
          <w:rFonts w:hint="eastAsia"/>
          <w:color w:val="auto"/>
          <w:sz w:val="24"/>
          <w:szCs w:val="24"/>
          <w:highlight w:val="none"/>
          <w:u w:val="single"/>
          <w:lang w:eastAsia="zh-CN"/>
        </w:rPr>
        <w:t>）</w:t>
      </w:r>
      <w:r>
        <w:rPr>
          <w:rFonts w:hint="eastAsia"/>
          <w:color w:val="auto"/>
          <w:sz w:val="24"/>
          <w:szCs w:val="24"/>
          <w:highlight w:val="none"/>
        </w:rPr>
        <w:t>；承建（承接）企业为</w:t>
      </w:r>
      <w:r>
        <w:rPr>
          <w:rFonts w:hint="eastAsia"/>
          <w:color w:val="auto"/>
          <w:sz w:val="24"/>
          <w:szCs w:val="24"/>
          <w:highlight w:val="none"/>
          <w:u w:val="single"/>
        </w:rPr>
        <w:t xml:space="preserve"> (企业名称) </w:t>
      </w:r>
      <w:r>
        <w:rPr>
          <w:rFonts w:hint="eastAsia"/>
          <w:color w:val="auto"/>
          <w:sz w:val="24"/>
          <w:szCs w:val="24"/>
          <w:highlight w:val="none"/>
        </w:rPr>
        <w:t>，从业人员___人，营业收入为___万元，资产总额为___万元，属于</w:t>
      </w:r>
      <w:r>
        <w:rPr>
          <w:rFonts w:hint="eastAsia"/>
          <w:color w:val="auto"/>
          <w:sz w:val="24"/>
          <w:szCs w:val="24"/>
          <w:highlight w:val="none"/>
          <w:u w:val="single"/>
        </w:rPr>
        <w:t>(中型企业、小型企业、微型企业)</w:t>
      </w:r>
      <w:r>
        <w:rPr>
          <w:rFonts w:hint="eastAsia"/>
          <w:color w:val="auto"/>
          <w:sz w:val="24"/>
          <w:szCs w:val="24"/>
          <w:highlight w:val="none"/>
        </w:rPr>
        <w:t>；</w:t>
      </w:r>
    </w:p>
    <w:p w14:paraId="7E70B51D">
      <w:pPr>
        <w:spacing w:line="500" w:lineRule="exact"/>
        <w:ind w:firstLine="480" w:firstLineChars="200"/>
        <w:rPr>
          <w:color w:val="auto"/>
          <w:sz w:val="24"/>
          <w:szCs w:val="24"/>
          <w:highlight w:val="none"/>
        </w:rPr>
      </w:pPr>
      <w:r>
        <w:rPr>
          <w:color w:val="auto"/>
          <w:sz w:val="24"/>
          <w:szCs w:val="24"/>
          <w:highlight w:val="none"/>
        </w:rPr>
        <w:t>....</w:t>
      </w:r>
    </w:p>
    <w:p w14:paraId="246193ED">
      <w:pPr>
        <w:spacing w:line="500" w:lineRule="exact"/>
        <w:ind w:firstLine="480" w:firstLineChars="200"/>
        <w:rPr>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14:paraId="1CCD8A21">
      <w:pPr>
        <w:spacing w:line="500" w:lineRule="exact"/>
        <w:ind w:firstLine="480" w:firstLineChars="200"/>
        <w:rPr>
          <w:color w:val="auto"/>
          <w:sz w:val="24"/>
          <w:szCs w:val="24"/>
          <w:highlight w:val="none"/>
        </w:rPr>
      </w:pPr>
      <w:r>
        <w:rPr>
          <w:rFonts w:hint="eastAsia"/>
          <w:color w:val="auto"/>
          <w:sz w:val="24"/>
          <w:szCs w:val="24"/>
          <w:highlight w:val="none"/>
        </w:rPr>
        <w:t>本企业对上述声明内容的真实性负责。如有虚假，将依法承担相应责任。</w:t>
      </w:r>
    </w:p>
    <w:p w14:paraId="2563E044">
      <w:pPr>
        <w:spacing w:line="500" w:lineRule="exact"/>
        <w:ind w:firstLine="480" w:firstLineChars="200"/>
        <w:rPr>
          <w:color w:val="auto"/>
          <w:sz w:val="24"/>
          <w:szCs w:val="24"/>
          <w:highlight w:val="none"/>
        </w:rPr>
      </w:pPr>
    </w:p>
    <w:p w14:paraId="0B75CE59">
      <w:pPr>
        <w:spacing w:line="500" w:lineRule="exact"/>
        <w:ind w:firstLine="6240" w:firstLineChars="2600"/>
        <w:rPr>
          <w:color w:val="auto"/>
          <w:sz w:val="24"/>
          <w:szCs w:val="24"/>
          <w:highlight w:val="none"/>
        </w:rPr>
      </w:pPr>
      <w:r>
        <w:rPr>
          <w:rFonts w:hint="eastAsia"/>
          <w:color w:val="auto"/>
          <w:sz w:val="24"/>
          <w:szCs w:val="24"/>
          <w:highlight w:val="none"/>
        </w:rPr>
        <w:t>企业名称(盖章):</w:t>
      </w:r>
    </w:p>
    <w:p w14:paraId="4798FAEC">
      <w:pPr>
        <w:spacing w:line="500" w:lineRule="exact"/>
        <w:ind w:firstLine="480" w:firstLineChars="200"/>
        <w:jc w:val="center"/>
        <w:rPr>
          <w:color w:val="auto"/>
          <w:sz w:val="24"/>
          <w:szCs w:val="24"/>
          <w:highlight w:val="none"/>
          <w:lang w:val="zh-CN"/>
        </w:rPr>
      </w:pPr>
      <w:r>
        <w:rPr>
          <w:rFonts w:hint="eastAsia"/>
          <w:color w:val="auto"/>
          <w:sz w:val="24"/>
          <w:szCs w:val="24"/>
          <w:highlight w:val="none"/>
        </w:rPr>
        <w:t xml:space="preserve">                         日期:</w:t>
      </w:r>
    </w:p>
    <w:p w14:paraId="3A8F7FC3">
      <w:pPr>
        <w:spacing w:line="248" w:lineRule="auto"/>
        <w:rPr>
          <w:color w:val="auto"/>
          <w:sz w:val="24"/>
          <w:szCs w:val="24"/>
          <w:highlight w:val="none"/>
        </w:rPr>
      </w:pPr>
    </w:p>
    <w:p w14:paraId="50477C4D">
      <w:pPr>
        <w:spacing w:before="75" w:line="381" w:lineRule="auto"/>
        <w:ind w:left="3" w:firstLine="494"/>
        <w:rPr>
          <w:color w:val="auto"/>
          <w:sz w:val="24"/>
          <w:szCs w:val="24"/>
          <w:highlight w:val="none"/>
        </w:rPr>
      </w:pPr>
      <w:r>
        <w:rPr>
          <w:rFonts w:hint="eastAsia"/>
          <w:color w:val="auto"/>
          <w:spacing w:val="22"/>
          <w:sz w:val="24"/>
          <w:szCs w:val="24"/>
          <w:highlight w:val="none"/>
        </w:rPr>
        <w:t>1、</w:t>
      </w:r>
      <w:r>
        <w:rPr>
          <w:rFonts w:hint="eastAsia"/>
          <w:color w:val="auto"/>
          <w:spacing w:val="15"/>
          <w:sz w:val="24"/>
          <w:szCs w:val="24"/>
          <w:highlight w:val="none"/>
        </w:rPr>
        <w:t>从</w:t>
      </w:r>
      <w:r>
        <w:rPr>
          <w:rFonts w:hint="eastAsia"/>
          <w:color w:val="auto"/>
          <w:spacing w:val="11"/>
          <w:sz w:val="24"/>
          <w:szCs w:val="24"/>
          <w:highlight w:val="none"/>
        </w:rPr>
        <w:t>业人员、营业收入、资产总额填报上一年度数据，无上一年度数据的新成立企业可不</w:t>
      </w:r>
      <w:r>
        <w:rPr>
          <w:rFonts w:hint="eastAsia"/>
          <w:color w:val="auto"/>
          <w:spacing w:val="2"/>
          <w:sz w:val="24"/>
          <w:szCs w:val="24"/>
          <w:highlight w:val="none"/>
        </w:rPr>
        <w:t>填报。</w:t>
      </w:r>
    </w:p>
    <w:p w14:paraId="2BBEC360">
      <w:pPr>
        <w:rPr>
          <w:color w:val="auto"/>
          <w:sz w:val="24"/>
          <w:szCs w:val="24"/>
          <w:highlight w:val="none"/>
        </w:rPr>
        <w:sectPr>
          <w:footerReference r:id="rId5" w:type="default"/>
          <w:pgSz w:w="11906" w:h="16839"/>
          <w:pgMar w:top="1440" w:right="1080" w:bottom="1440" w:left="1080" w:header="0" w:footer="739" w:gutter="0"/>
          <w:pgNumType w:fmt="decimal"/>
          <w:cols w:space="720" w:num="1"/>
        </w:sectPr>
      </w:pPr>
    </w:p>
    <w:p w14:paraId="6E625712">
      <w:pPr>
        <w:adjustRightInd/>
        <w:snapToGrid/>
        <w:spacing w:after="0" w:line="360" w:lineRule="auto"/>
        <w:rPr>
          <w:rFonts w:ascii="Times New Roman" w:hAnsi="宋体" w:eastAsia="宋体" w:cs="宋体"/>
          <w:color w:val="auto"/>
          <w:sz w:val="24"/>
          <w:szCs w:val="24"/>
          <w:highlight w:val="none"/>
        </w:rPr>
      </w:pPr>
    </w:p>
    <w:p w14:paraId="2D474B2D">
      <w:pPr>
        <w:adjustRightInd w:val="0"/>
        <w:snapToGrid w:val="0"/>
        <w:spacing w:line="300" w:lineRule="auto"/>
        <w:jc w:val="center"/>
        <w:outlineLvl w:val="0"/>
        <w:rPr>
          <w:rFonts w:hint="eastAsia" w:ascii="宋体" w:hAnsi="宋体" w:eastAsia="宋体" w:cs="宋体"/>
          <w:b/>
          <w:bCs/>
          <w:color w:val="auto"/>
          <w:kern w:val="2"/>
          <w:sz w:val="32"/>
          <w:szCs w:val="32"/>
          <w:highlight w:val="none"/>
          <w:lang w:val="zh-CN" w:eastAsia="zh-CN" w:bidi="ar-SA"/>
        </w:rPr>
      </w:pPr>
      <w:bookmarkStart w:id="211" w:name="_Toc13736"/>
      <w:r>
        <w:rPr>
          <w:rFonts w:hint="eastAsia" w:ascii="宋体" w:hAnsi="宋体" w:eastAsia="宋体" w:cs="宋体"/>
          <w:b/>
          <w:bCs/>
          <w:color w:val="auto"/>
          <w:kern w:val="2"/>
          <w:sz w:val="32"/>
          <w:szCs w:val="32"/>
          <w:highlight w:val="none"/>
          <w:lang w:val="zh-CN" w:eastAsia="zh-CN" w:bidi="ar-SA"/>
        </w:rPr>
        <w:t>监狱企业的证明文件</w:t>
      </w:r>
      <w:r>
        <w:rPr>
          <w:rFonts w:hint="eastAsia" w:cs="宋体"/>
          <w:b/>
          <w:bCs/>
          <w:color w:val="auto"/>
          <w:kern w:val="2"/>
          <w:sz w:val="32"/>
          <w:szCs w:val="32"/>
          <w:highlight w:val="none"/>
          <w:lang w:val="zh-CN" w:eastAsia="zh-CN" w:bidi="ar-SA"/>
        </w:rPr>
        <w:t>（</w:t>
      </w:r>
      <w:r>
        <w:rPr>
          <w:rFonts w:hint="eastAsia" w:cs="宋体"/>
          <w:b/>
          <w:bCs/>
          <w:color w:val="auto"/>
          <w:kern w:val="2"/>
          <w:sz w:val="32"/>
          <w:szCs w:val="32"/>
          <w:highlight w:val="none"/>
          <w:lang w:val="en-US" w:eastAsia="zh-CN" w:bidi="ar-SA"/>
        </w:rPr>
        <w:t>如是</w:t>
      </w:r>
      <w:r>
        <w:rPr>
          <w:rFonts w:hint="eastAsia" w:cs="宋体"/>
          <w:b/>
          <w:bCs/>
          <w:color w:val="auto"/>
          <w:kern w:val="2"/>
          <w:sz w:val="32"/>
          <w:szCs w:val="32"/>
          <w:highlight w:val="none"/>
          <w:lang w:val="zh-CN" w:eastAsia="zh-CN" w:bidi="ar-SA"/>
        </w:rPr>
        <w:t>）</w:t>
      </w:r>
      <w:bookmarkEnd w:id="211"/>
    </w:p>
    <w:p w14:paraId="42B3D0EA">
      <w:pPr>
        <w:adjustRightInd w:val="0"/>
        <w:snapToGrid w:val="0"/>
        <w:spacing w:line="400" w:lineRule="exact"/>
        <w:ind w:firstLine="480" w:firstLineChars="200"/>
        <w:jc w:val="left"/>
        <w:rPr>
          <w:rFonts w:hint="eastAsia" w:ascii="宋体" w:hAnsi="宋体" w:eastAsia="宋体" w:cs="宋体"/>
          <w:b w:val="0"/>
          <w:bCs w:val="0"/>
          <w:color w:val="auto"/>
          <w:kern w:val="2"/>
          <w:sz w:val="24"/>
          <w:szCs w:val="24"/>
          <w:highlight w:val="none"/>
          <w:lang w:val="zh-CN" w:eastAsia="zh-CN" w:bidi="ar-SA"/>
        </w:rPr>
      </w:pPr>
    </w:p>
    <w:p w14:paraId="4A8FE100">
      <w:pPr>
        <w:adjustRightInd w:val="0"/>
        <w:snapToGrid w:val="0"/>
        <w:spacing w:line="400" w:lineRule="exact"/>
        <w:ind w:firstLine="480" w:firstLineChars="200"/>
        <w:jc w:val="left"/>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本公司</w:t>
      </w:r>
      <w:r>
        <w:rPr>
          <w:rFonts w:hint="eastAsia" w:ascii="宋体" w:hAnsi="宋体" w:eastAsia="宋体" w:cs="宋体"/>
          <w:b w:val="0"/>
          <w:bCs w:val="0"/>
          <w:color w:val="auto"/>
          <w:kern w:val="2"/>
          <w:sz w:val="24"/>
          <w:szCs w:val="24"/>
          <w:highlight w:val="none"/>
          <w:u w:val="single"/>
          <w:lang w:val="zh-CN" w:eastAsia="zh-CN" w:bidi="ar-SA"/>
        </w:rPr>
        <w:t xml:space="preserve"> </w:t>
      </w:r>
      <w:r>
        <w:rPr>
          <w:rFonts w:hint="eastAsia" w:cs="宋体"/>
          <w:b w:val="0"/>
          <w:bCs w:val="0"/>
          <w:color w:val="auto"/>
          <w:kern w:val="2"/>
          <w:sz w:val="24"/>
          <w:szCs w:val="24"/>
          <w:highlight w:val="none"/>
          <w:u w:val="single"/>
          <w:lang w:val="en-US" w:eastAsia="zh-CN" w:bidi="ar-SA"/>
        </w:rPr>
        <w:t xml:space="preserve">      </w:t>
      </w:r>
      <w:r>
        <w:rPr>
          <w:rFonts w:hint="eastAsia" w:ascii="宋体" w:hAnsi="宋体" w:eastAsia="宋体" w:cs="宋体"/>
          <w:b w:val="0"/>
          <w:bCs w:val="0"/>
          <w:color w:val="auto"/>
          <w:kern w:val="2"/>
          <w:sz w:val="24"/>
          <w:szCs w:val="24"/>
          <w:highlight w:val="none"/>
          <w:u w:val="single"/>
          <w:lang w:val="zh-CN" w:eastAsia="zh-CN" w:bidi="ar-SA"/>
        </w:rPr>
        <w:t xml:space="preserve"> </w:t>
      </w:r>
      <w:r>
        <w:rPr>
          <w:rFonts w:hint="eastAsia" w:ascii="宋体" w:hAnsi="宋体" w:eastAsia="宋体" w:cs="宋体"/>
          <w:b w:val="0"/>
          <w:bCs w:val="0"/>
          <w:color w:val="auto"/>
          <w:kern w:val="2"/>
          <w:sz w:val="24"/>
          <w:szCs w:val="24"/>
          <w:highlight w:val="none"/>
          <w:lang w:val="zh-CN" w:eastAsia="zh-CN" w:bidi="ar-SA"/>
        </w:rPr>
        <w:t>监狱企业。如是，提供由省级以上监狱管理局、戒毒管理局（含新疆生产建设兵团）出具的属于监狱企业的证明文件。</w:t>
      </w:r>
    </w:p>
    <w:p w14:paraId="31377346">
      <w:pPr>
        <w:widowControl/>
        <w:autoSpaceDE w:val="0"/>
        <w:autoSpaceDN w:val="0"/>
        <w:spacing w:line="360" w:lineRule="auto"/>
        <w:ind w:right="890"/>
        <w:textAlignment w:val="bottom"/>
        <w:rPr>
          <w:rFonts w:hint="eastAsia" w:ascii="宋体" w:hAnsi="宋体" w:eastAsia="宋体" w:cs="宋体"/>
          <w:color w:val="auto"/>
          <w:sz w:val="24"/>
          <w:szCs w:val="24"/>
          <w:highlight w:val="none"/>
          <w:lang w:eastAsia="zh-CN"/>
        </w:rPr>
      </w:pPr>
    </w:p>
    <w:p w14:paraId="29E372D5">
      <w:pPr>
        <w:widowControl/>
        <w:autoSpaceDE w:val="0"/>
        <w:autoSpaceDN w:val="0"/>
        <w:spacing w:line="360" w:lineRule="auto"/>
        <w:ind w:right="890"/>
        <w:textAlignment w:val="bottom"/>
        <w:rPr>
          <w:rFonts w:hint="eastAsia" w:ascii="宋体" w:hAnsi="宋体" w:eastAsia="宋体" w:cs="宋体"/>
          <w:color w:val="auto"/>
          <w:sz w:val="24"/>
          <w:szCs w:val="24"/>
          <w:highlight w:val="none"/>
          <w:lang w:eastAsia="zh-CN"/>
        </w:rPr>
      </w:pPr>
    </w:p>
    <w:p w14:paraId="50EBA1CF">
      <w:pPr>
        <w:pStyle w:val="42"/>
        <w:rPr>
          <w:rFonts w:hint="eastAsia" w:ascii="宋体" w:hAnsi="宋体" w:eastAsia="宋体" w:cs="宋体"/>
          <w:color w:val="auto"/>
          <w:sz w:val="24"/>
          <w:szCs w:val="24"/>
          <w:highlight w:val="none"/>
          <w:lang w:eastAsia="zh-CN"/>
        </w:rPr>
      </w:pPr>
    </w:p>
    <w:p w14:paraId="2059F87D">
      <w:pPr>
        <w:pStyle w:val="18"/>
        <w:rPr>
          <w:rFonts w:hint="eastAsia" w:ascii="宋体" w:hAnsi="宋体" w:eastAsia="宋体" w:cs="宋体"/>
          <w:color w:val="auto"/>
          <w:sz w:val="24"/>
          <w:szCs w:val="24"/>
          <w:highlight w:val="none"/>
          <w:lang w:eastAsia="zh-CN"/>
        </w:rPr>
      </w:pPr>
    </w:p>
    <w:p w14:paraId="138D9A58">
      <w:pPr>
        <w:rPr>
          <w:rFonts w:hint="eastAsia" w:ascii="宋体" w:hAnsi="宋体" w:eastAsia="宋体" w:cs="宋体"/>
          <w:color w:val="auto"/>
          <w:sz w:val="24"/>
          <w:szCs w:val="24"/>
          <w:highlight w:val="none"/>
          <w:lang w:eastAsia="zh-CN"/>
        </w:rPr>
      </w:pPr>
    </w:p>
    <w:p w14:paraId="594E518C">
      <w:pPr>
        <w:pStyle w:val="42"/>
        <w:rPr>
          <w:rFonts w:hint="eastAsia" w:ascii="宋体" w:hAnsi="宋体" w:eastAsia="宋体" w:cs="宋体"/>
          <w:color w:val="auto"/>
          <w:sz w:val="24"/>
          <w:szCs w:val="24"/>
          <w:highlight w:val="none"/>
          <w:lang w:eastAsia="zh-CN"/>
        </w:rPr>
      </w:pPr>
    </w:p>
    <w:p w14:paraId="73FE2E41">
      <w:pPr>
        <w:pStyle w:val="18"/>
        <w:rPr>
          <w:rFonts w:hint="eastAsia"/>
          <w:color w:val="auto"/>
          <w:sz w:val="24"/>
          <w:szCs w:val="24"/>
          <w:highlight w:val="none"/>
          <w:lang w:eastAsia="zh-CN"/>
        </w:rPr>
      </w:pPr>
    </w:p>
    <w:p w14:paraId="40AB3490">
      <w:pPr>
        <w:widowControl/>
        <w:autoSpaceDE w:val="0"/>
        <w:autoSpaceDN w:val="0"/>
        <w:spacing w:line="360" w:lineRule="auto"/>
        <w:ind w:right="890"/>
        <w:textAlignment w:val="bottom"/>
        <w:rPr>
          <w:rFonts w:hint="eastAsia" w:ascii="宋体" w:hAnsi="宋体" w:eastAsia="宋体" w:cs="宋体"/>
          <w:color w:val="auto"/>
          <w:sz w:val="24"/>
          <w:szCs w:val="24"/>
          <w:highlight w:val="none"/>
          <w:lang w:eastAsia="zh-CN"/>
        </w:rPr>
      </w:pPr>
    </w:p>
    <w:p w14:paraId="25D17861">
      <w:pPr>
        <w:widowControl/>
        <w:autoSpaceDE w:val="0"/>
        <w:autoSpaceDN w:val="0"/>
        <w:spacing w:line="360" w:lineRule="auto"/>
        <w:ind w:right="890"/>
        <w:textAlignment w:val="bottom"/>
        <w:rPr>
          <w:rFonts w:hint="eastAsia" w:ascii="宋体" w:hAnsi="宋体" w:eastAsia="宋体" w:cs="宋体"/>
          <w:color w:val="auto"/>
          <w:sz w:val="24"/>
          <w:szCs w:val="24"/>
          <w:highlight w:val="none"/>
          <w:lang w:eastAsia="zh-CN"/>
        </w:rPr>
      </w:pPr>
    </w:p>
    <w:p w14:paraId="19781016">
      <w:pPr>
        <w:widowControl/>
        <w:autoSpaceDE w:val="0"/>
        <w:autoSpaceDN w:val="0"/>
        <w:spacing w:line="360" w:lineRule="auto"/>
        <w:ind w:right="890"/>
        <w:textAlignment w:val="bottom"/>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盖单位章</w:t>
      </w:r>
      <w:r>
        <w:rPr>
          <w:rFonts w:hint="eastAsia" w:ascii="宋体" w:hAnsi="宋体" w:eastAsia="宋体" w:cs="宋体"/>
          <w:color w:val="auto"/>
          <w:sz w:val="24"/>
          <w:szCs w:val="24"/>
          <w:highlight w:val="none"/>
          <w:lang w:eastAsia="zh-CN"/>
        </w:rPr>
        <w:t>）</w:t>
      </w:r>
    </w:p>
    <w:p w14:paraId="19139297">
      <w:pPr>
        <w:bidi w:val="0"/>
        <w:jc w:val="left"/>
        <w:rPr>
          <w:rFonts w:hint="default"/>
          <w:color w:val="auto"/>
          <w:sz w:val="24"/>
          <w:szCs w:val="24"/>
          <w:highlight w:val="none"/>
          <w:lang w:val="en-US" w:eastAsia="zh-CN"/>
        </w:rPr>
      </w:pPr>
    </w:p>
    <w:p w14:paraId="03D39BD3">
      <w:pPr>
        <w:bidi w:val="0"/>
        <w:jc w:val="left"/>
        <w:rPr>
          <w:rFonts w:hint="eastAsia"/>
          <w:b w:val="0"/>
          <w:bCs/>
          <w:color w:val="auto"/>
          <w:sz w:val="24"/>
          <w:szCs w:val="24"/>
          <w:highlight w:val="none"/>
          <w:u w:val="single"/>
          <w:lang w:val="en-US" w:eastAsia="zh-CN"/>
        </w:rPr>
      </w:pPr>
      <w:r>
        <w:rPr>
          <w:rFonts w:hint="eastAsia"/>
          <w:b w:val="0"/>
          <w:bCs/>
          <w:color w:val="auto"/>
          <w:sz w:val="24"/>
          <w:szCs w:val="24"/>
          <w:highlight w:val="none"/>
          <w:lang w:val="en-US" w:eastAsia="zh-CN"/>
        </w:rPr>
        <w:t>日  期：</w:t>
      </w:r>
      <w:r>
        <w:rPr>
          <w:rFonts w:hint="eastAsia"/>
          <w:b w:val="0"/>
          <w:bCs/>
          <w:color w:val="auto"/>
          <w:sz w:val="24"/>
          <w:szCs w:val="24"/>
          <w:highlight w:val="none"/>
          <w:u w:val="single"/>
          <w:lang w:val="en-US" w:eastAsia="zh-CN"/>
        </w:rPr>
        <w:t xml:space="preserve">                            </w:t>
      </w:r>
    </w:p>
    <w:p w14:paraId="1FCFE0D5">
      <w:pPr>
        <w:adjustRightInd w:val="0"/>
        <w:snapToGrid w:val="0"/>
        <w:spacing w:line="400" w:lineRule="exact"/>
        <w:ind w:firstLine="480" w:firstLineChars="200"/>
        <w:jc w:val="left"/>
        <w:rPr>
          <w:rFonts w:hint="eastAsia" w:ascii="宋体" w:hAnsi="宋体" w:eastAsia="宋体" w:cs="宋体"/>
          <w:b w:val="0"/>
          <w:bCs w:val="0"/>
          <w:color w:val="auto"/>
          <w:kern w:val="2"/>
          <w:sz w:val="24"/>
          <w:szCs w:val="24"/>
          <w:highlight w:val="none"/>
          <w:lang w:val="zh-CN" w:eastAsia="zh-CN" w:bidi="ar-SA"/>
        </w:rPr>
      </w:pPr>
    </w:p>
    <w:p w14:paraId="0E493EA8">
      <w:pPr>
        <w:pStyle w:val="18"/>
        <w:rPr>
          <w:rFonts w:hint="eastAsia"/>
          <w:color w:val="auto"/>
          <w:sz w:val="21"/>
          <w:szCs w:val="21"/>
          <w:highlight w:val="none"/>
          <w:lang w:eastAsia="zh-CN"/>
        </w:rPr>
      </w:pPr>
    </w:p>
    <w:p w14:paraId="0F447D18">
      <w:pPr>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sz w:val="32"/>
          <w:szCs w:val="32"/>
          <w:highlight w:val="none"/>
          <w:lang w:eastAsia="zh-CN"/>
        </w:rPr>
        <w:br w:type="page"/>
      </w:r>
    </w:p>
    <w:p w14:paraId="3A02491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both"/>
        <w:textAlignment w:val="auto"/>
        <w:rPr>
          <w:rFonts w:hint="eastAsia" w:ascii="宋体" w:hAnsi="宋体" w:eastAsia="宋体" w:cs="宋体"/>
          <w:b/>
          <w:bCs/>
          <w:color w:val="auto"/>
          <w:kern w:val="2"/>
          <w:sz w:val="32"/>
          <w:szCs w:val="32"/>
          <w:highlight w:val="none"/>
          <w:lang w:val="zh-CN" w:eastAsia="zh-CN" w:bidi="zh-CN"/>
        </w:rPr>
      </w:pPr>
    </w:p>
    <w:p w14:paraId="5A38B1BA">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宋体" w:hAnsi="宋体" w:eastAsia="宋体" w:cs="宋体"/>
          <w:b/>
          <w:bCs/>
          <w:color w:val="auto"/>
          <w:kern w:val="2"/>
          <w:sz w:val="32"/>
          <w:szCs w:val="32"/>
          <w:highlight w:val="none"/>
          <w:lang w:val="zh-CN" w:eastAsia="zh-CN" w:bidi="zh-CN"/>
        </w:rPr>
      </w:pPr>
      <w:r>
        <w:rPr>
          <w:rFonts w:hint="eastAsia" w:ascii="宋体" w:hAnsi="宋体" w:eastAsia="宋体" w:cs="宋体"/>
          <w:b/>
          <w:bCs/>
          <w:color w:val="auto"/>
          <w:kern w:val="2"/>
          <w:sz w:val="32"/>
          <w:szCs w:val="32"/>
          <w:highlight w:val="none"/>
          <w:lang w:val="zh-CN" w:eastAsia="zh-CN" w:bidi="zh-CN"/>
        </w:rPr>
        <w:t>残疾人福利性单位声明函</w:t>
      </w:r>
      <w:r>
        <w:rPr>
          <w:rFonts w:hint="eastAsia" w:cs="宋体"/>
          <w:b/>
          <w:bCs/>
          <w:color w:val="auto"/>
          <w:kern w:val="2"/>
          <w:sz w:val="32"/>
          <w:szCs w:val="32"/>
          <w:highlight w:val="none"/>
          <w:lang w:val="zh-CN" w:eastAsia="zh-CN" w:bidi="zh-CN"/>
        </w:rPr>
        <w:t>（</w:t>
      </w:r>
      <w:r>
        <w:rPr>
          <w:rFonts w:hint="eastAsia" w:cs="宋体"/>
          <w:b/>
          <w:bCs/>
          <w:color w:val="auto"/>
          <w:kern w:val="2"/>
          <w:sz w:val="32"/>
          <w:szCs w:val="32"/>
          <w:highlight w:val="none"/>
          <w:lang w:val="en-US" w:eastAsia="zh-CN" w:bidi="zh-CN"/>
        </w:rPr>
        <w:t>如是</w:t>
      </w:r>
      <w:r>
        <w:rPr>
          <w:rFonts w:hint="eastAsia" w:cs="宋体"/>
          <w:b/>
          <w:bCs/>
          <w:color w:val="auto"/>
          <w:kern w:val="2"/>
          <w:sz w:val="32"/>
          <w:szCs w:val="32"/>
          <w:highlight w:val="none"/>
          <w:lang w:val="zh-CN" w:eastAsia="zh-CN" w:bidi="zh-CN"/>
        </w:rPr>
        <w:t>）</w:t>
      </w:r>
    </w:p>
    <w:p w14:paraId="534CDAC5">
      <w:pPr>
        <w:keepNext w:val="0"/>
        <w:keepLines w:val="0"/>
        <w:pageBreakBefore w:val="0"/>
        <w:widowControl w:val="0"/>
        <w:kinsoku/>
        <w:wordWrap w:val="0"/>
        <w:overflowPunct/>
        <w:topLinePunct w:val="0"/>
        <w:autoSpaceDE/>
        <w:autoSpaceDN/>
        <w:bidi w:val="0"/>
        <w:adjustRightInd/>
        <w:snapToGrid/>
        <w:spacing w:line="360" w:lineRule="auto"/>
        <w:ind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号）的规定，本单位为符合条件的残疾人福利性单位，且本单位参加</w:t>
      </w:r>
      <w:r>
        <w:rPr>
          <w:rFonts w:hint="eastAsia" w:ascii="宋体" w:hAnsi="宋体" w:eastAsia="宋体" w:cs="宋体"/>
          <w:b w:val="0"/>
          <w:bCs/>
          <w:color w:val="auto"/>
          <w:kern w:val="2"/>
          <w:sz w:val="24"/>
          <w:szCs w:val="24"/>
          <w:highlight w:val="none"/>
          <w:u w:val="single"/>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b w:val="0"/>
          <w:bCs/>
          <w:color w:val="auto"/>
          <w:kern w:val="2"/>
          <w:sz w:val="24"/>
          <w:szCs w:val="24"/>
          <w:highlight w:val="none"/>
          <w:u w:val="single"/>
        </w:rPr>
        <w:t xml:space="preserve">        </w:t>
      </w:r>
      <w:r>
        <w:rPr>
          <w:rFonts w:hint="eastAsia" w:ascii="宋体" w:hAnsi="宋体" w:eastAsia="宋体" w:cs="宋体"/>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2474E791">
      <w:pPr>
        <w:keepNext w:val="0"/>
        <w:keepLines w:val="0"/>
        <w:pageBreakBefore w:val="0"/>
        <w:kinsoku/>
        <w:wordWrap/>
        <w:overflowPunct/>
        <w:topLinePunct w:val="0"/>
        <w:autoSpaceDE/>
        <w:autoSpaceDN/>
        <w:bidi w:val="0"/>
        <w:adjustRightInd/>
        <w:snapToGrid/>
        <w:spacing w:line="360" w:lineRule="auto"/>
        <w:ind w:firstLine="506" w:firstLineChars="200"/>
        <w:textAlignment w:val="auto"/>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本单位对上述声明的真实性负责。如有虚假，将依法承担相应责任。</w:t>
      </w:r>
    </w:p>
    <w:p w14:paraId="478CD742">
      <w:pPr>
        <w:keepNext w:val="0"/>
        <w:keepLines w:val="0"/>
        <w:pageBreakBefore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color w:val="auto"/>
          <w:spacing w:val="6"/>
          <w:sz w:val="24"/>
          <w:szCs w:val="24"/>
          <w:highlight w:val="none"/>
        </w:rPr>
      </w:pPr>
    </w:p>
    <w:p w14:paraId="02FF12C4">
      <w:pPr>
        <w:keepNext w:val="0"/>
        <w:keepLines w:val="0"/>
        <w:pageBreakBefore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color w:val="auto"/>
          <w:spacing w:val="6"/>
          <w:sz w:val="24"/>
          <w:szCs w:val="24"/>
          <w:highlight w:val="none"/>
        </w:rPr>
      </w:pPr>
    </w:p>
    <w:p w14:paraId="604A60D8">
      <w:pPr>
        <w:widowControl/>
        <w:autoSpaceDE w:val="0"/>
        <w:autoSpaceDN w:val="0"/>
        <w:spacing w:line="360" w:lineRule="auto"/>
        <w:ind w:right="890"/>
        <w:textAlignment w:val="bottom"/>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盖单位章</w:t>
      </w:r>
      <w:r>
        <w:rPr>
          <w:rFonts w:hint="eastAsia" w:ascii="宋体" w:hAnsi="宋体" w:eastAsia="宋体" w:cs="宋体"/>
          <w:color w:val="auto"/>
          <w:sz w:val="24"/>
          <w:szCs w:val="24"/>
          <w:highlight w:val="none"/>
          <w:lang w:eastAsia="zh-CN"/>
        </w:rPr>
        <w:t>）</w:t>
      </w:r>
    </w:p>
    <w:p w14:paraId="74C006E0">
      <w:pPr>
        <w:bidi w:val="0"/>
        <w:jc w:val="left"/>
        <w:rPr>
          <w:rFonts w:hint="default"/>
          <w:color w:val="auto"/>
          <w:sz w:val="24"/>
          <w:szCs w:val="24"/>
          <w:highlight w:val="none"/>
          <w:lang w:val="en-US" w:eastAsia="zh-CN"/>
        </w:rPr>
      </w:pPr>
    </w:p>
    <w:p w14:paraId="37C071E1">
      <w:pPr>
        <w:bidi w:val="0"/>
        <w:jc w:val="left"/>
        <w:rPr>
          <w:rFonts w:hint="eastAsia"/>
          <w:b w:val="0"/>
          <w:bCs/>
          <w:color w:val="auto"/>
          <w:sz w:val="24"/>
          <w:szCs w:val="24"/>
          <w:highlight w:val="none"/>
          <w:u w:val="single"/>
          <w:lang w:val="en-US" w:eastAsia="zh-CN"/>
        </w:rPr>
      </w:pPr>
      <w:r>
        <w:rPr>
          <w:rFonts w:hint="eastAsia"/>
          <w:b w:val="0"/>
          <w:bCs/>
          <w:color w:val="auto"/>
          <w:sz w:val="24"/>
          <w:szCs w:val="24"/>
          <w:highlight w:val="none"/>
          <w:lang w:val="en-US" w:eastAsia="zh-CN"/>
        </w:rPr>
        <w:t>日  期：</w:t>
      </w:r>
      <w:r>
        <w:rPr>
          <w:rFonts w:hint="eastAsia"/>
          <w:b w:val="0"/>
          <w:bCs/>
          <w:color w:val="auto"/>
          <w:sz w:val="24"/>
          <w:szCs w:val="24"/>
          <w:highlight w:val="none"/>
          <w:u w:val="single"/>
          <w:lang w:val="en-US" w:eastAsia="zh-CN"/>
        </w:rPr>
        <w:t xml:space="preserve">                            </w:t>
      </w:r>
    </w:p>
    <w:p w14:paraId="09AC14BB">
      <w:pP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br w:type="page"/>
      </w:r>
    </w:p>
    <w:p w14:paraId="3CB868A4">
      <w:pPr>
        <w:keepNext w:val="0"/>
        <w:keepLines w:val="0"/>
        <w:pageBreakBefore w:val="0"/>
        <w:kinsoku/>
        <w:wordWrap w:val="0"/>
        <w:overflowPunct/>
        <w:topLinePunct w:val="0"/>
        <w:bidi w:val="0"/>
        <w:spacing w:afterLines="100"/>
        <w:jc w:val="center"/>
        <w:rPr>
          <w:rFonts w:hint="eastAsia" w:asciiTheme="minorEastAsia" w:hAnsiTheme="minorEastAsia" w:eastAsiaTheme="minorEastAsia" w:cstheme="minorEastAsia"/>
          <w:b/>
          <w:bCs/>
          <w:color w:val="auto"/>
          <w:sz w:val="32"/>
          <w:szCs w:val="32"/>
          <w:highlight w:val="none"/>
          <w:lang w:eastAsia="zh-CN"/>
        </w:rPr>
      </w:pPr>
      <w:bookmarkStart w:id="212" w:name="_bookmark211"/>
      <w:bookmarkEnd w:id="212"/>
      <w:r>
        <w:rPr>
          <w:rFonts w:hint="eastAsia" w:asciiTheme="minorEastAsia" w:hAnsiTheme="minorEastAsia" w:eastAsiaTheme="minorEastAsia" w:cstheme="minorEastAsia"/>
          <w:b/>
          <w:bCs/>
          <w:color w:val="auto"/>
          <w:sz w:val="32"/>
          <w:szCs w:val="32"/>
          <w:highlight w:val="none"/>
          <w:lang w:val="en-US" w:eastAsia="zh-CN"/>
        </w:rPr>
        <w:t>六、技术</w:t>
      </w:r>
      <w:r>
        <w:rPr>
          <w:rFonts w:hint="eastAsia" w:asciiTheme="minorEastAsia" w:hAnsiTheme="minorEastAsia" w:eastAsiaTheme="minorEastAsia" w:cstheme="minorEastAsia"/>
          <w:b/>
          <w:bCs/>
          <w:color w:val="auto"/>
          <w:sz w:val="32"/>
          <w:szCs w:val="32"/>
          <w:highlight w:val="none"/>
          <w:lang w:eastAsia="zh-CN"/>
        </w:rPr>
        <w:t>方案</w:t>
      </w:r>
    </w:p>
    <w:p w14:paraId="7855DCFF">
      <w:pPr>
        <w:pStyle w:val="42"/>
        <w:rPr>
          <w:color w:val="auto"/>
          <w:highlight w:val="none"/>
          <w:lang w:eastAsia="zh-CN"/>
        </w:rPr>
      </w:pPr>
    </w:p>
    <w:p w14:paraId="547A62CC">
      <w:pPr>
        <w:spacing w:line="360" w:lineRule="auto"/>
        <w:ind w:firstLine="480" w:firstLineChars="200"/>
        <w:rPr>
          <w:rFonts w:hint="eastAsia" w:ascii="宋体" w:hAnsi="宋体"/>
          <w:sz w:val="24"/>
          <w:highlight w:val="none"/>
        </w:rPr>
      </w:pPr>
      <w:r>
        <w:rPr>
          <w:rFonts w:hint="eastAsia" w:ascii="宋体" w:hAnsi="宋体"/>
          <w:sz w:val="24"/>
          <w:highlight w:val="none"/>
          <w:lang w:eastAsia="zh-CN"/>
        </w:rPr>
        <w:t>供应商</w:t>
      </w:r>
      <w:r>
        <w:rPr>
          <w:rFonts w:hint="eastAsia" w:ascii="宋体" w:hAnsi="宋体"/>
          <w:sz w:val="24"/>
          <w:highlight w:val="none"/>
        </w:rPr>
        <w:t>应编制服务工作方案，编制具体要求是：结合评审办法提出切实可行的保证措施、列明公司各项规章制度等。</w:t>
      </w:r>
    </w:p>
    <w:p w14:paraId="40FB4247">
      <w:pPr>
        <w:keepNext w:val="0"/>
        <w:keepLines w:val="0"/>
        <w:pageBreakBefore w:val="0"/>
        <w:kinsoku/>
        <w:wordWrap w:val="0"/>
        <w:overflowPunct/>
        <w:topLinePunct w:val="0"/>
        <w:bidi w:val="0"/>
        <w:spacing w:line="357" w:lineRule="auto"/>
        <w:rPr>
          <w:rFonts w:asciiTheme="minorEastAsia" w:hAnsiTheme="minorEastAsia" w:eastAsiaTheme="minorEastAsia" w:cstheme="minorEastAsia"/>
          <w:color w:val="auto"/>
          <w:highlight w:val="none"/>
          <w:lang w:eastAsia="zh-CN"/>
        </w:rPr>
        <w:sectPr>
          <w:pgSz w:w="11906" w:h="16838"/>
          <w:pgMar w:top="1440" w:right="1080" w:bottom="1440" w:left="1080" w:header="0" w:footer="921" w:gutter="0"/>
          <w:pgNumType w:fmt="decimal"/>
          <w:cols w:space="720" w:num="1"/>
        </w:sectPr>
      </w:pPr>
    </w:p>
    <w:p w14:paraId="3DA76A73">
      <w:pPr>
        <w:keepNext w:val="0"/>
        <w:keepLines w:val="0"/>
        <w:pageBreakBefore w:val="0"/>
        <w:numPr>
          <w:ilvl w:val="0"/>
          <w:numId w:val="0"/>
        </w:numPr>
        <w:kinsoku/>
        <w:wordWrap w:val="0"/>
        <w:overflowPunct/>
        <w:topLinePunct w:val="0"/>
        <w:bidi w:val="0"/>
        <w:spacing w:afterLines="100"/>
        <w:jc w:val="center"/>
        <w:rPr>
          <w:rFonts w:hint="eastAsia" w:asciiTheme="minorEastAsia" w:hAnsiTheme="minorEastAsia" w:eastAsiaTheme="minorEastAsia" w:cstheme="minorEastAsia"/>
          <w:b/>
          <w:bCs/>
          <w:color w:val="auto"/>
          <w:sz w:val="32"/>
          <w:szCs w:val="32"/>
          <w:highlight w:val="none"/>
          <w:lang w:eastAsia="zh-CN"/>
        </w:rPr>
      </w:pPr>
      <w:bookmarkStart w:id="213" w:name="_bookmark212"/>
      <w:bookmarkEnd w:id="213"/>
      <w:r>
        <w:rPr>
          <w:rFonts w:hint="eastAsia" w:asciiTheme="minorEastAsia" w:hAnsiTheme="minorEastAsia" w:eastAsiaTheme="minorEastAsia" w:cstheme="minorEastAsia"/>
          <w:b/>
          <w:bCs/>
          <w:color w:val="auto"/>
          <w:sz w:val="32"/>
          <w:szCs w:val="32"/>
          <w:highlight w:val="none"/>
          <w:lang w:val="en-US" w:eastAsia="zh-CN"/>
        </w:rPr>
        <w:t>七、</w:t>
      </w:r>
      <w:r>
        <w:rPr>
          <w:rFonts w:hint="eastAsia" w:asciiTheme="minorEastAsia" w:hAnsiTheme="minorEastAsia" w:eastAsiaTheme="minorEastAsia" w:cstheme="minorEastAsia"/>
          <w:b/>
          <w:bCs/>
          <w:color w:val="auto"/>
          <w:sz w:val="32"/>
          <w:szCs w:val="32"/>
          <w:highlight w:val="none"/>
          <w:lang w:eastAsia="zh-CN"/>
        </w:rPr>
        <w:t>其他资料</w:t>
      </w:r>
    </w:p>
    <w:p w14:paraId="739EACED">
      <w:pPr>
        <w:keepNext w:val="0"/>
        <w:keepLines w:val="0"/>
        <w:pageBreakBefore w:val="0"/>
        <w:kinsoku/>
        <w:wordWrap w:val="0"/>
        <w:overflowPunct/>
        <w:topLinePunct w:val="0"/>
        <w:bidi w:val="0"/>
        <w:spacing w:line="360" w:lineRule="auto"/>
        <w:rPr>
          <w:rFonts w:hint="eastAsia" w:ascii="宋体" w:hAnsi="宋体" w:eastAsia="宋体" w:cs="宋体"/>
          <w:b w:val="0"/>
          <w:bCs w:val="0"/>
          <w:color w:val="auto"/>
          <w:sz w:val="24"/>
          <w:szCs w:val="24"/>
          <w:highlight w:val="none"/>
          <w:lang w:eastAsia="zh-CN"/>
        </w:rPr>
      </w:pPr>
      <w:r>
        <w:rPr>
          <w:rFonts w:hint="eastAsia" w:cs="宋体"/>
          <w:b w:val="0"/>
          <w:bCs w:val="0"/>
          <w:color w:val="auto"/>
          <w:sz w:val="24"/>
          <w:szCs w:val="24"/>
          <w:highlight w:val="none"/>
          <w:lang w:val="en-US" w:eastAsia="zh-CN"/>
        </w:rPr>
        <w:t>招标文</w:t>
      </w:r>
      <w:r>
        <w:rPr>
          <w:rFonts w:hint="eastAsia" w:ascii="宋体" w:hAnsi="宋体" w:eastAsia="宋体" w:cs="宋体"/>
          <w:b w:val="0"/>
          <w:bCs w:val="0"/>
          <w:color w:val="auto"/>
          <w:sz w:val="24"/>
          <w:szCs w:val="24"/>
          <w:highlight w:val="none"/>
          <w:lang w:eastAsia="zh-CN"/>
        </w:rPr>
        <w:t>件中要求的资料或供应商认为针对本项目有必要提供的资料</w:t>
      </w:r>
    </w:p>
    <w:p w14:paraId="319245A7">
      <w:pPr>
        <w:spacing w:line="312" w:lineRule="auto"/>
        <w:rPr>
          <w:rFonts w:hint="eastAsia" w:ascii="宋体" w:hAnsi="宋体" w:eastAsia="宋体" w:cs="宋体"/>
          <w:b/>
          <w:color w:val="auto"/>
          <w:szCs w:val="21"/>
          <w:highlight w:val="none"/>
        </w:rPr>
      </w:pPr>
      <w:r>
        <w:rPr>
          <w:rFonts w:hint="eastAsia" w:asciiTheme="minorEastAsia" w:hAnsiTheme="minorEastAsia" w:eastAsiaTheme="minorEastAsia" w:cstheme="minorEastAsia"/>
          <w:b w:val="0"/>
          <w:bCs w:val="0"/>
          <w:color w:val="auto"/>
          <w:sz w:val="32"/>
          <w:szCs w:val="32"/>
          <w:highlight w:val="none"/>
          <w:lang w:eastAsia="zh-CN"/>
        </w:rPr>
        <w:br w:type="page"/>
      </w:r>
      <w:r>
        <w:rPr>
          <w:rFonts w:hint="eastAsia" w:ascii="宋体" w:hAnsi="宋体" w:eastAsia="宋体" w:cs="宋体"/>
          <w:b/>
          <w:color w:val="auto"/>
          <w:szCs w:val="21"/>
          <w:highlight w:val="none"/>
        </w:rPr>
        <w:t>附件：</w:t>
      </w:r>
    </w:p>
    <w:p w14:paraId="06E6D666">
      <w:pPr>
        <w:spacing w:line="280" w:lineRule="exact"/>
        <w:ind w:firstLine="480" w:firstLineChars="200"/>
        <w:jc w:val="center"/>
        <w:rPr>
          <w:rFonts w:hint="eastAsia" w:ascii="宋体" w:hAnsi="宋体" w:cs="宋体"/>
          <w:sz w:val="24"/>
          <w:highlight w:val="none"/>
        </w:rPr>
      </w:pPr>
      <w:r>
        <w:rPr>
          <w:rFonts w:hint="eastAsia" w:ascii="宋体" w:hAnsi="宋体" w:cs="宋体"/>
          <w:sz w:val="24"/>
          <w:highlight w:val="none"/>
        </w:rPr>
        <w:t>关于印发《政府采购促进中小企业发展管理办法》的通知</w:t>
      </w:r>
    </w:p>
    <w:p w14:paraId="540560CB">
      <w:pPr>
        <w:spacing w:line="280" w:lineRule="exact"/>
        <w:ind w:firstLine="480" w:firstLineChars="200"/>
        <w:jc w:val="center"/>
        <w:rPr>
          <w:rFonts w:hint="eastAsia" w:ascii="宋体" w:hAnsi="宋体" w:cs="宋体"/>
          <w:sz w:val="24"/>
          <w:highlight w:val="none"/>
        </w:rPr>
      </w:pPr>
      <w:r>
        <w:rPr>
          <w:rFonts w:hint="eastAsia" w:ascii="宋体" w:hAnsi="宋体" w:cs="宋体"/>
          <w:sz w:val="24"/>
          <w:highlight w:val="none"/>
        </w:rPr>
        <w:t>财库〔2020〕46号</w:t>
      </w:r>
    </w:p>
    <w:p w14:paraId="2ECE8219">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第一条</w:t>
      </w:r>
    </w:p>
    <w:p w14:paraId="5F259EC7">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为了发挥政府采购的政策功能，促进中小企业健康发展，根据《中华人民共和国政府采购法》、《中华人民共和国中小企业促进法》等有关法律法规，制定本办法。</w:t>
      </w:r>
    </w:p>
    <w:p w14:paraId="2F40DCD1">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第二条</w:t>
      </w:r>
    </w:p>
    <w:p w14:paraId="3463FFAF">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1EE9BA8">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2E8B899C">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第三条</w:t>
      </w:r>
    </w:p>
    <w:p w14:paraId="58B21915">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采购人在政府采购活动中应当通过加强采购需求管理，落实预留采购份额、价格评审优惠、优先采购等措施，提高中小企业在政府采购中的份额，支持中小企业发展。</w:t>
      </w:r>
    </w:p>
    <w:p w14:paraId="457CEBEB">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第四条</w:t>
      </w:r>
    </w:p>
    <w:p w14:paraId="10A62934">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在政府采购活动中，供应商提供的货物、工程或者服务符合下列情形的，享受本办法规定的中小企业扶持政策：</w:t>
      </w:r>
    </w:p>
    <w:p w14:paraId="22B3000E">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（一）在货物采购项目中，货物由中小企业制造，即货物由中小企业生产且使用该中小企业商号或者注册商标；</w:t>
      </w:r>
    </w:p>
    <w:p w14:paraId="3745A712">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（二）在工程采购项目中，工程由中小企业承建，即工程施工单位为中小企业；</w:t>
      </w:r>
    </w:p>
    <w:p w14:paraId="6C46F1B3">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14:paraId="3C23716B">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以联合体形式参加政府采购活动，联合体各方均为中小企业的，联合体视同中小企业。其中，联合体各方均为小微企业的，联合体视同小微企业。</w:t>
      </w:r>
    </w:p>
    <w:p w14:paraId="3D64E8C9">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第五条</w:t>
      </w:r>
    </w:p>
    <w:p w14:paraId="7CB002F7">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450A487">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第六条</w:t>
      </w:r>
    </w:p>
    <w:p w14:paraId="7D3DE9DC">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EDD6AF7">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符合下列情形之一的，可不专门面向中小企业预留采购份额：</w:t>
      </w:r>
    </w:p>
    <w:p w14:paraId="6DA2786E">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（一）法律法规和国家有关政策明确规定优先或者应当面向事业单位、社会组织等非企业主体采购的；</w:t>
      </w:r>
    </w:p>
    <w:p w14:paraId="38B3F001">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（二）因确需使用不可替代的专利、专有技术，基础设施限制，或者提供特定公共服务等原因，只能从中小企业之外的供应商处采购的；</w:t>
      </w:r>
    </w:p>
    <w:p w14:paraId="6A824B5C">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（三）按照本办法规定预留采购份额无法确保充分供应、充分竞争，或者存在可能影响政府采购目标实现的情形；</w:t>
      </w:r>
    </w:p>
    <w:p w14:paraId="5934EC1F">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（四）框架协议采购项目；</w:t>
      </w:r>
    </w:p>
    <w:p w14:paraId="27F8CD61">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（五）省级以上人民政府财政部门规定的其他情形。</w:t>
      </w:r>
    </w:p>
    <w:p w14:paraId="594660B2">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除上述情形外，其他均为适宜由中小企业提供的情形。</w:t>
      </w:r>
    </w:p>
    <w:p w14:paraId="5AB8889C">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第七条</w:t>
      </w:r>
    </w:p>
    <w:p w14:paraId="4FFF46FA">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采购限额标准以上，200 万元以下的货物和服务采购项目、400 万元以下的工程采购项目，适宜由中小企业提供的，采购人应当专门面向中小企业采购。</w:t>
      </w:r>
    </w:p>
    <w:p w14:paraId="2FD7F95A">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第八条</w:t>
      </w:r>
    </w:p>
    <w:p w14:paraId="009EDC2C">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16E7B177">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（一）将采购项目整体或者设置采购包专门面向中小企业采购；</w:t>
      </w:r>
    </w:p>
    <w:p w14:paraId="0FD145AE">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（二）要求供应商以联合体形式参加采购活动，且联合体中中小企业承担的部分达到一定比例；</w:t>
      </w:r>
    </w:p>
    <w:p w14:paraId="331E04B9">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（三）要求获得采购合同的供应商将采购项目中的一定比例分包给一家或者多家中小企业。组成联合体或者接受分包合同的中小企业与联合体内其他企业、分包企业之间不得存在直接控股、管理关系。</w:t>
      </w:r>
    </w:p>
    <w:p w14:paraId="45E760E1">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第九条</w:t>
      </w:r>
    </w:p>
    <w:p w14:paraId="5DE9D00A">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对于经主管预算单位统筹后未预留份额专门面向中小企业采购的采购项目，以及预留份额项目中的非预留部分采购包，采购人、招标代理机构应当对符合本办法规定的小微企业报价给予 6%—10%（工程项目为 3%—5%）的扣除，用扣除后的价格参加评审。适用招标投标法的政府采购工程建设项目，采用综合评分法但未采用低价优先法计算价格分的，评标时应当在采用原报价进行评分的基础上增加其价格得分的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30%以上的，采购人、招标代理机构应当对联合体或者大中型企业的报价给予 2%-3%（工程项目为 1%—2%）的扣除，用扣除后的价格参加评审。适用招标投标法的政府采购工程建设项目，采用综合评分法但未采用低价优先法计算价格分的，评标时应当在采用原报价进行评分的基础上增加其价格得分的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5AADADCB">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E8419BD">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第十条</w:t>
      </w:r>
    </w:p>
    <w:p w14:paraId="3FBB9982">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111A02F2">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第十一条</w:t>
      </w:r>
    </w:p>
    <w:p w14:paraId="1A7CC535">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中小企业参加政府采购活动，应当出具本办法规定的《中小企业声明函》（附 1），否则不得享受相关中小企业扶持政策。任何单位和个人不得要求供应商提供《中小企业声明函》之外的中小企业身份证明文件。</w:t>
      </w:r>
    </w:p>
    <w:p w14:paraId="4537623F">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第十二条</w:t>
      </w:r>
    </w:p>
    <w:p w14:paraId="47D27B7E">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采购项目涉及中小企业采购的，采购文件应当明确以下内容：</w:t>
      </w:r>
    </w:p>
    <w:p w14:paraId="39BC1FAF">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（一）预留份额的采购项目或者采购包，明确该项目或相关采购包专门面向中小企业采购，以及相关标的及预算金额；</w:t>
      </w:r>
    </w:p>
    <w:p w14:paraId="5898F812">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（二）要求以联合体形式参加或者合同分包的，明确联合协议或者分包意向协议中中小企业合同金额应当达到的比例，并作为供应商资格条件；</w:t>
      </w:r>
    </w:p>
    <w:p w14:paraId="02562FE5">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（三）非预留份额的采购项目或者采购包，明确有关价格扣除比例或者价格分加分比例；</w:t>
      </w:r>
    </w:p>
    <w:p w14:paraId="47ACDC6C">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（四）规定依据本办法规定享受扶持政策获得政府采购合同的，小微企业不得将合同分包给大中型企业，中型企业不得将合同分包给大型企业；</w:t>
      </w:r>
    </w:p>
    <w:p w14:paraId="6238458F">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（五）采购人认为具备相关条件的，明确对中小企业在资金支付期限、预付款比例等方面的优惠措施；</w:t>
      </w:r>
    </w:p>
    <w:p w14:paraId="229FB511">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（六）明确采购标的对应的中小企业划分标准所属行业；</w:t>
      </w:r>
    </w:p>
    <w:p w14:paraId="608A825F">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（七）法律法规和省级以上人民政府财政部门规定的其他事项。</w:t>
      </w:r>
    </w:p>
    <w:p w14:paraId="60CF8AC8">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第十三条</w:t>
      </w:r>
    </w:p>
    <w:p w14:paraId="1E4B0E9D">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中标、成交供应商享受本办法规定的中小企业扶持政策的，采购人、招标代理机构应当随中标、成交结果公开中标、成交供应商的《中小企业声明函》。适用招标投标法的政府采购工程建设项目，应当在公示中标候选人时公开中标候选人的《中小企业声明函》。</w:t>
      </w:r>
    </w:p>
    <w:p w14:paraId="75885B06">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第十四条</w:t>
      </w:r>
    </w:p>
    <w:p w14:paraId="03D4BD3C">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51E2478">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第十五条</w:t>
      </w:r>
    </w:p>
    <w:p w14:paraId="7103E2FB">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鼓励各地区、各部门在采购活动中允许中小企业引入信用担保手段，为中小企业在投标（响应）保证、履约保证等方面提供专业化服务。鼓励中小企业依法合规通过政府采购合同融资。</w:t>
      </w:r>
    </w:p>
    <w:p w14:paraId="22D10B22">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第十六条</w:t>
      </w:r>
    </w:p>
    <w:p w14:paraId="3DB7E44D">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 10 个工作日内做出书面答复。</w:t>
      </w:r>
    </w:p>
    <w:p w14:paraId="500A9654">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第十七条</w:t>
      </w:r>
    </w:p>
    <w:p w14:paraId="28D71A9D">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各地区、各部门应当对涉及中小企业采购的预算项目实施全过程绩效管理，合理设置绩效目标和指标，落实扶持中小企业有关政策要求，定期开展绩效监控和评价，强化绩效评价结果应用。</w:t>
      </w:r>
    </w:p>
    <w:p w14:paraId="7EE917A5">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第十八条</w:t>
      </w:r>
    </w:p>
    <w:p w14:paraId="32D51E6D">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3B9EF07C">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第十九条</w:t>
      </w:r>
    </w:p>
    <w:p w14:paraId="7F73D508">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采购人未按本办法规定为中小企业预留采购份额，采购人、招标代理机构未按照本办法规定要求实施价格扣除或者价格分加分的，属于未按照规定执行政府采购政策，依照《中华人民共和国政府采购法》等国家有关规定追究法律责任。</w:t>
      </w:r>
    </w:p>
    <w:p w14:paraId="5C18A2F0">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第二十条</w:t>
      </w:r>
    </w:p>
    <w:p w14:paraId="37C9B119">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供应商按照本办法规定提供声明函内容不实的，属于提供虚假材料谋取中标、成交，依照《中华人民共和国政府采购法》等国家有关规定追究相应责任。适用招标投标法的政府采购工程建设项目，供应商按照本办法规定提供声明函内容不实的，属于弄虚作假骗取中标，依照《中华人民共和国招标投标法》等国家有关规定追究相应责任。</w:t>
      </w:r>
    </w:p>
    <w:p w14:paraId="6F9B26AD">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第二十一条</w:t>
      </w:r>
    </w:p>
    <w:p w14:paraId="29D7054F">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EC0FBF2">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第二十二条</w:t>
      </w:r>
    </w:p>
    <w:p w14:paraId="1C59FAA7">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对外援助项目、国家相关资格或者资质管理制度另有规定的项目，不适用本办法。</w:t>
      </w:r>
    </w:p>
    <w:p w14:paraId="18C88750">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第二十三条</w:t>
      </w:r>
    </w:p>
    <w:p w14:paraId="6A6A1B4D">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关于视同中小企业的其他主体的政府采购扶持政策，由财政部会同有关部门另行规定。</w:t>
      </w:r>
    </w:p>
    <w:p w14:paraId="2FC395F4">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第二十四条</w:t>
      </w:r>
    </w:p>
    <w:p w14:paraId="2A589FFE">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省级财政部门可以会同中小企业主管部门根据本办法的规定制定具体实施办法。</w:t>
      </w:r>
    </w:p>
    <w:p w14:paraId="5C43D445">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第二十五条</w:t>
      </w:r>
    </w:p>
    <w:p w14:paraId="513590A6">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 xml:space="preserve"> 本办法自2021 年1月1日起施行。 财政部工业和信息化部关于印发〈政府采购促进中小企业发展暂行办法〉的通知》（财库﹝2011﹞181 号）同时废止。</w:t>
      </w:r>
    </w:p>
    <w:p w14:paraId="0403ABE2">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 xml:space="preserve">  （一）对于列入财政部、生态环境部发布的《环境标志产品政府采购品目清单》要求的产品，对其投标价格给予3%的价格扣除，并按照扣除后的价格参加排序。采购项目或者分包中既包含环境标志产品也包含非环境标志产品的，只对列入《环境标志产品政府采购品目清单》要求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w:t>
      </w:r>
    </w:p>
    <w:p w14:paraId="21CA4CEA">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 xml:space="preserve">（二）对财政部、国家发展改革委发布的《节能产品政府采购品目清单》但不属于国家强制采购的产品，对其投标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 </w:t>
      </w:r>
    </w:p>
    <w:p w14:paraId="512D01BE">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三）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3F1B38F6">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（四）投标产品同时列入上述多个清单的，将上述规定的价格扣除比例叠加后计算价格扣除。</w:t>
      </w:r>
    </w:p>
    <w:p w14:paraId="4EDCBAA2">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五）根据《关于进一步加大政府采购支持中小企业力度的通知》（财库〔2022〕19号）文件规定，货物服务采购项目给予小微企业的价格扣除优惠，按“工信部联企业〔2011〕300号”通知标准划分的小型和微型企业的投标报价给予10%的扣除，用扣除后的价格参加评审；根据《政府采购促进中小企业发展管理办法》（财库〔2020〕46号）文件规定，工程项目给予小微企业的价格扣除优惠，按“工信部联企业〔2011〕300号”通知标准划分的小型和微型企业的投标报价给予3%的扣除，用扣除后的价格参加评审。适用招标投标法的政府采购工程建设项目，采用综合评估法但未采用低价优先法计算价格分的，评标时应当在采用原报价进行评分的基础上增加其价格得分的3%作为其价格分（需提供中小企业声明函）。</w:t>
      </w:r>
    </w:p>
    <w:p w14:paraId="1D12B342">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（六）</w:t>
      </w:r>
      <w:r>
        <w:rPr>
          <w:rFonts w:hint="eastAsia" w:ascii="宋体" w:hAnsi="宋体" w:cs="宋体"/>
          <w:sz w:val="24"/>
          <w:highlight w:val="none"/>
          <w:lang w:val="zh-CN"/>
        </w:rPr>
        <w:t>按照财政部《关于政府采购支持监狱企业发展有关问题的通知》（财库[2014]68号）的规定，在政府采购活动中，监狱企业视同小型、微型企业，享受预留份额、评审中价格扣除等政府采购促进中小企业发展的政府采购政策。</w:t>
      </w:r>
      <w:r>
        <w:rPr>
          <w:rFonts w:hint="eastAsia" w:ascii="宋体" w:hAnsi="宋体" w:cs="宋体"/>
          <w:sz w:val="24"/>
          <w:highlight w:val="none"/>
        </w:rPr>
        <w:t xml:space="preserve">监狱企业应当提供由省级以上监狱管理局、戒毒管理局（含新疆生产建设兵团）出具的属于监狱企业的证明文件。 </w:t>
      </w:r>
    </w:p>
    <w:p w14:paraId="2150836B">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（七）</w:t>
      </w:r>
      <w:r>
        <w:rPr>
          <w:rFonts w:hint="eastAsia" w:ascii="宋体" w:hAnsi="宋体" w:cs="宋体"/>
          <w:kern w:val="0"/>
          <w:sz w:val="24"/>
          <w:highlight w:val="none"/>
          <w:lang w:val="zh-CN"/>
        </w:rPr>
        <w:t>按照《三部</w:t>
      </w:r>
      <w:r>
        <w:rPr>
          <w:rFonts w:hint="eastAsia" w:ascii="宋体" w:hAnsi="宋体" w:cs="宋体"/>
          <w:sz w:val="24"/>
          <w:highlight w:val="none"/>
          <w:lang w:val="zh-CN"/>
        </w:rPr>
        <w:t>门联合发布关于促进残疾人就业政府采购政策的通知》（财库〔2017〕141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并对声明的真实性负责。经评委会审核确认供应商符合残疾人福利性单位条件的，在评定时视同中小企业。残疾人福利性单位属于小型、微型企业的，不重复享受政策。</w:t>
      </w:r>
      <w:r>
        <w:rPr>
          <w:rFonts w:hint="eastAsia" w:ascii="宋体" w:hAnsi="宋体" w:cs="宋体"/>
          <w:sz w:val="24"/>
          <w:highlight w:val="none"/>
        </w:rPr>
        <w:t xml:space="preserve"> </w:t>
      </w:r>
    </w:p>
    <w:p w14:paraId="7E198E62">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lang w:val="zh-CN"/>
        </w:rPr>
      </w:pPr>
      <w:r>
        <w:rPr>
          <w:rFonts w:hint="eastAsia" w:ascii="宋体" w:hAnsi="宋体" w:cs="宋体"/>
          <w:sz w:val="24"/>
          <w:highlight w:val="none"/>
        </w:rPr>
        <w:t>（八）</w:t>
      </w:r>
      <w:r>
        <w:rPr>
          <w:rFonts w:hint="eastAsia" w:ascii="宋体" w:hAnsi="宋体" w:cs="宋体"/>
          <w:sz w:val="24"/>
          <w:highlight w:val="none"/>
          <w:lang w:val="zh-CN"/>
        </w:rPr>
        <w:t>价格扣除的依据：第（一）至（四）条提供投标货物相关认证证书复印件加盖供应商公章。第（五）条属于中小微企业投标的应按照关于印发《政府采购促进中小企业发展管理办法》的通知（财库〔2020〕46号）附</w:t>
      </w:r>
      <w:r>
        <w:rPr>
          <w:rFonts w:hint="eastAsia" w:ascii="宋体" w:hAnsi="宋体" w:cs="宋体"/>
          <w:sz w:val="24"/>
          <w:highlight w:val="none"/>
        </w:rPr>
        <w:t>1中小企业声明函</w:t>
      </w:r>
      <w:r>
        <w:rPr>
          <w:rFonts w:hint="eastAsia" w:ascii="宋体" w:hAnsi="宋体" w:cs="宋体"/>
          <w:sz w:val="24"/>
          <w:highlight w:val="none"/>
          <w:lang w:val="zh-CN"/>
        </w:rPr>
        <w:t>（工程、服务）格式规定提供格式正确的《中小企业声明函》，第（六）条提供符合该文件要求且格式正确的《监狱企业证明文件》，第（七）条提供符合该文件要求且格式正确的《残疾人福利性单位声明函》。不提供相应证明文件或提供的证明文件格式不正确，则不享受政府采购中小企业扶持政策。</w:t>
      </w:r>
    </w:p>
    <w:p w14:paraId="4DE36711">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（九）依据《政府采购促进中小企业发展政策问答》文件要求，专门面向中小企业采购的项目或者采购包，不再执行价格评审优惠的扶持政策。</w:t>
      </w:r>
    </w:p>
    <w:p w14:paraId="072454BE">
      <w:pPr>
        <w:pStyle w:val="42"/>
        <w:keepNext w:val="0"/>
        <w:keepLines w:val="0"/>
        <w:pageBreakBefore w:val="0"/>
        <w:widowControl w:val="0"/>
        <w:kinsoku/>
        <w:wordWrap/>
        <w:overflowPunct/>
        <w:topLinePunct w:val="0"/>
        <w:bidi w:val="0"/>
        <w:snapToGrid/>
        <w:spacing w:line="500" w:lineRule="exact"/>
        <w:textAlignment w:val="auto"/>
        <w:rPr>
          <w:rFonts w:hint="eastAsia" w:ascii="宋体" w:hAnsi="宋体" w:cs="宋体"/>
          <w:color w:val="auto"/>
          <w:highlight w:val="none"/>
        </w:rPr>
      </w:pPr>
    </w:p>
    <w:p w14:paraId="4A2B9531">
      <w:pPr>
        <w:pStyle w:val="25"/>
        <w:keepNext w:val="0"/>
        <w:keepLines w:val="0"/>
        <w:pageBreakBefore w:val="0"/>
        <w:widowControl w:val="0"/>
        <w:kinsoku/>
        <w:wordWrap/>
        <w:overflowPunct/>
        <w:topLinePunct w:val="0"/>
        <w:bidi w:val="0"/>
        <w:snapToGrid/>
        <w:spacing w:before="0" w:beforeAutospacing="0" w:after="0" w:afterAutospacing="0" w:line="500" w:lineRule="exact"/>
        <w:jc w:val="center"/>
        <w:textAlignment w:val="auto"/>
        <w:rPr>
          <w:rFonts w:hint="eastAsia" w:cs="宋体"/>
          <w:sz w:val="24"/>
          <w:szCs w:val="24"/>
          <w:highlight w:val="none"/>
        </w:rPr>
      </w:pPr>
      <w:r>
        <w:rPr>
          <w:rFonts w:hint="eastAsia" w:cs="宋体"/>
          <w:sz w:val="24"/>
          <w:szCs w:val="24"/>
          <w:highlight w:val="none"/>
        </w:rPr>
        <w:br w:type="page"/>
      </w:r>
      <w:r>
        <w:rPr>
          <w:rFonts w:hint="eastAsia" w:cs="宋体"/>
          <w:sz w:val="24"/>
          <w:szCs w:val="24"/>
          <w:highlight w:val="none"/>
        </w:rPr>
        <w:t>关于进一步加大政府采购支持中小企业力度的通知</w:t>
      </w:r>
    </w:p>
    <w:p w14:paraId="6E32A30A">
      <w:pPr>
        <w:pStyle w:val="25"/>
        <w:keepNext w:val="0"/>
        <w:keepLines w:val="0"/>
        <w:pageBreakBefore w:val="0"/>
        <w:widowControl w:val="0"/>
        <w:kinsoku/>
        <w:wordWrap/>
        <w:overflowPunct/>
        <w:topLinePunct w:val="0"/>
        <w:bidi w:val="0"/>
        <w:snapToGrid/>
        <w:spacing w:before="0" w:beforeAutospacing="0" w:after="0" w:afterAutospacing="0" w:line="500" w:lineRule="exact"/>
        <w:jc w:val="center"/>
        <w:textAlignment w:val="auto"/>
        <w:rPr>
          <w:rFonts w:hint="eastAsia" w:cs="宋体"/>
          <w:sz w:val="24"/>
          <w:szCs w:val="24"/>
          <w:highlight w:val="none"/>
        </w:rPr>
      </w:pPr>
      <w:r>
        <w:rPr>
          <w:rFonts w:hint="eastAsia" w:cs="宋体"/>
          <w:sz w:val="24"/>
          <w:szCs w:val="24"/>
          <w:highlight w:val="none"/>
        </w:rPr>
        <w:t>财库〔2022〕19号</w:t>
      </w:r>
    </w:p>
    <w:p w14:paraId="4B412840">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各中央预算单位，各省、自治区、直辖市、计划单列市财政厅（局），新疆生产建设兵团财政局：</w:t>
      </w:r>
    </w:p>
    <w:p w14:paraId="6E95C68D">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30B3618B">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0AEF9922">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6BC7E175">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5C77DC48">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四、认真做好组织实施。各地区、各部门应当加强组织领导，明确工作责任，细化执行要求，强化监督检查，确保国务院部署落实到位，对通知执行中出现的问题要及时向财政部报告。</w:t>
      </w:r>
    </w:p>
    <w:p w14:paraId="2E4C7A51">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本通知自2022年7月1日起执行。</w:t>
      </w:r>
    </w:p>
    <w:p w14:paraId="6EC34AAA">
      <w:pPr>
        <w:pStyle w:val="18"/>
        <w:keepNext w:val="0"/>
        <w:keepLines w:val="0"/>
        <w:pageBreakBefore w:val="0"/>
        <w:widowControl w:val="0"/>
        <w:kinsoku/>
        <w:wordWrap/>
        <w:overflowPunct/>
        <w:topLinePunct w:val="0"/>
        <w:bidi w:val="0"/>
        <w:snapToGrid/>
        <w:spacing w:line="500" w:lineRule="exact"/>
        <w:jc w:val="right"/>
        <w:textAlignment w:val="auto"/>
        <w:rPr>
          <w:rFonts w:hint="eastAsia" w:ascii="宋体" w:hAnsi="宋体" w:cs="宋体"/>
          <w:szCs w:val="24"/>
          <w:highlight w:val="none"/>
          <w:shd w:val="clear" w:color="auto" w:fill="FFFFFF"/>
        </w:rPr>
      </w:pPr>
      <w:r>
        <w:rPr>
          <w:rFonts w:hint="eastAsia" w:ascii="宋体" w:hAnsi="宋体" w:cs="宋体"/>
          <w:szCs w:val="24"/>
          <w:highlight w:val="none"/>
          <w:shd w:val="clear" w:color="auto" w:fill="FFFFFF"/>
        </w:rPr>
        <w:t>财政部</w:t>
      </w:r>
    </w:p>
    <w:p w14:paraId="3599116C">
      <w:pPr>
        <w:pStyle w:val="18"/>
        <w:keepNext w:val="0"/>
        <w:keepLines w:val="0"/>
        <w:pageBreakBefore w:val="0"/>
        <w:widowControl w:val="0"/>
        <w:kinsoku/>
        <w:wordWrap/>
        <w:overflowPunct/>
        <w:topLinePunct w:val="0"/>
        <w:bidi w:val="0"/>
        <w:snapToGrid/>
        <w:spacing w:line="500" w:lineRule="exact"/>
        <w:jc w:val="right"/>
        <w:textAlignment w:val="auto"/>
        <w:rPr>
          <w:rFonts w:hint="eastAsia" w:ascii="宋体" w:hAnsi="宋体" w:cs="宋体"/>
          <w:szCs w:val="24"/>
          <w:highlight w:val="none"/>
          <w:shd w:val="clear" w:color="auto" w:fill="FFFFFF"/>
        </w:rPr>
      </w:pPr>
      <w:r>
        <w:rPr>
          <w:rFonts w:hint="eastAsia" w:ascii="宋体" w:hAnsi="宋体" w:cs="宋体"/>
          <w:szCs w:val="24"/>
          <w:highlight w:val="none"/>
          <w:shd w:val="clear" w:color="auto" w:fill="FFFFFF"/>
        </w:rPr>
        <w:t>2022年5月30日</w:t>
      </w:r>
    </w:p>
    <w:p w14:paraId="368D6831">
      <w:pPr>
        <w:keepNext w:val="0"/>
        <w:keepLines w:val="0"/>
        <w:pageBreakBefore w:val="0"/>
        <w:kinsoku/>
        <w:wordWrap/>
        <w:overflowPunct/>
        <w:topLinePunct w:val="0"/>
        <w:bidi w:val="0"/>
        <w:snapToGrid/>
        <w:spacing w:line="500" w:lineRule="exact"/>
        <w:textAlignment w:val="auto"/>
        <w:rPr>
          <w:rFonts w:hint="eastAsia" w:ascii="宋体" w:hAnsi="宋体" w:cs="宋体"/>
          <w:sz w:val="24"/>
          <w:highlight w:val="none"/>
          <w:shd w:val="clear" w:color="auto" w:fill="FFFFFF"/>
        </w:rPr>
      </w:pPr>
    </w:p>
    <w:p w14:paraId="63405CC7">
      <w:pPr>
        <w:pStyle w:val="26"/>
        <w:keepNext w:val="0"/>
        <w:keepLines w:val="0"/>
        <w:pageBreakBefore w:val="0"/>
        <w:kinsoku/>
        <w:wordWrap/>
        <w:overflowPunct/>
        <w:topLinePunct w:val="0"/>
        <w:bidi w:val="0"/>
        <w:snapToGrid/>
        <w:spacing w:line="500" w:lineRule="exact"/>
        <w:textAlignment w:val="auto"/>
        <w:outlineLvl w:val="9"/>
        <w:rPr>
          <w:rFonts w:hint="eastAsia" w:ascii="宋体" w:hAnsi="宋体" w:cs="宋体"/>
          <w:sz w:val="24"/>
          <w:szCs w:val="24"/>
          <w:highlight w:val="none"/>
          <w:shd w:val="clear" w:color="auto" w:fill="FFFFFF"/>
        </w:rPr>
      </w:pPr>
    </w:p>
    <w:p w14:paraId="0FE88ABD">
      <w:pPr>
        <w:keepNext w:val="0"/>
        <w:keepLines w:val="0"/>
        <w:pageBreakBefore w:val="0"/>
        <w:kinsoku/>
        <w:wordWrap/>
        <w:overflowPunct/>
        <w:topLinePunct w:val="0"/>
        <w:bidi w:val="0"/>
        <w:snapToGrid/>
        <w:spacing w:line="500" w:lineRule="exact"/>
        <w:textAlignment w:val="auto"/>
        <w:rPr>
          <w:rFonts w:hint="eastAsia" w:ascii="宋体" w:hAnsi="宋体" w:cs="宋体"/>
          <w:sz w:val="24"/>
          <w:highlight w:val="none"/>
          <w:shd w:val="clear" w:color="auto" w:fill="FFFFFF"/>
        </w:rPr>
      </w:pPr>
    </w:p>
    <w:p w14:paraId="1169C035">
      <w:pPr>
        <w:pStyle w:val="26"/>
        <w:keepNext w:val="0"/>
        <w:keepLines w:val="0"/>
        <w:pageBreakBefore w:val="0"/>
        <w:kinsoku/>
        <w:wordWrap/>
        <w:overflowPunct/>
        <w:topLinePunct w:val="0"/>
        <w:bidi w:val="0"/>
        <w:snapToGrid/>
        <w:spacing w:line="500" w:lineRule="exact"/>
        <w:textAlignment w:val="auto"/>
        <w:outlineLvl w:val="9"/>
        <w:rPr>
          <w:rFonts w:hint="eastAsia" w:ascii="宋体" w:hAnsi="宋体" w:cs="宋体"/>
          <w:sz w:val="24"/>
          <w:szCs w:val="24"/>
          <w:highlight w:val="none"/>
          <w:shd w:val="clear" w:color="auto" w:fill="FFFFFF"/>
        </w:rPr>
      </w:pPr>
    </w:p>
    <w:p w14:paraId="44C8BB51">
      <w:pPr>
        <w:keepNext w:val="0"/>
        <w:keepLines w:val="0"/>
        <w:pageBreakBefore w:val="0"/>
        <w:kinsoku/>
        <w:wordWrap/>
        <w:overflowPunct/>
        <w:topLinePunct w:val="0"/>
        <w:bidi w:val="0"/>
        <w:snapToGrid/>
        <w:spacing w:line="500" w:lineRule="exact"/>
        <w:textAlignment w:val="auto"/>
        <w:rPr>
          <w:rFonts w:hint="eastAsia" w:ascii="宋体" w:hAnsi="宋体" w:cs="宋体"/>
          <w:sz w:val="24"/>
          <w:highlight w:val="none"/>
          <w:shd w:val="clear" w:color="auto" w:fill="FFFFFF"/>
        </w:rPr>
      </w:pPr>
    </w:p>
    <w:p w14:paraId="1614FB7B">
      <w:pPr>
        <w:pStyle w:val="26"/>
        <w:keepNext w:val="0"/>
        <w:keepLines w:val="0"/>
        <w:pageBreakBefore w:val="0"/>
        <w:kinsoku/>
        <w:wordWrap/>
        <w:overflowPunct/>
        <w:topLinePunct w:val="0"/>
        <w:bidi w:val="0"/>
        <w:snapToGrid/>
        <w:spacing w:line="500" w:lineRule="exact"/>
        <w:textAlignment w:val="auto"/>
        <w:outlineLvl w:val="9"/>
        <w:rPr>
          <w:rFonts w:hint="eastAsia" w:ascii="宋体" w:hAnsi="宋体" w:cs="宋体"/>
          <w:sz w:val="24"/>
          <w:szCs w:val="24"/>
          <w:highlight w:val="none"/>
        </w:rPr>
      </w:pPr>
    </w:p>
    <w:p w14:paraId="66CC5221">
      <w:pPr>
        <w:keepNext w:val="0"/>
        <w:keepLines w:val="0"/>
        <w:pageBreakBefore w:val="0"/>
        <w:kinsoku/>
        <w:wordWrap/>
        <w:overflowPunct/>
        <w:topLinePunct w:val="0"/>
        <w:bidi w:val="0"/>
        <w:snapToGrid/>
        <w:spacing w:line="500" w:lineRule="exact"/>
        <w:textAlignment w:val="auto"/>
        <w:rPr>
          <w:rFonts w:hint="eastAsia" w:ascii="宋体" w:hAnsi="宋体" w:cs="宋体"/>
          <w:sz w:val="24"/>
          <w:highlight w:val="none"/>
        </w:rPr>
      </w:pPr>
    </w:p>
    <w:p w14:paraId="7E5D2AC9">
      <w:pPr>
        <w:pStyle w:val="71"/>
        <w:shd w:val="clear" w:color="auto" w:fill="FFFFFF"/>
        <w:spacing w:line="600" w:lineRule="atLeast"/>
        <w:jc w:val="center"/>
        <w:rPr>
          <w:rFonts w:hint="eastAsia" w:ascii="宋体" w:hAnsi="宋体" w:eastAsia="宋体" w:cs="宋体"/>
          <w:b/>
          <w:bCs/>
          <w:color w:val="auto"/>
          <w:highlight w:val="none"/>
        </w:rPr>
      </w:pPr>
      <w:r>
        <w:rPr>
          <w:rFonts w:hint="eastAsia" w:ascii="宋体" w:hAnsi="宋体" w:cs="宋体"/>
          <w:b w:val="0"/>
          <w:bCs w:val="0"/>
          <w:kern w:val="0"/>
          <w:sz w:val="24"/>
          <w:szCs w:val="24"/>
          <w:highlight w:val="none"/>
        </w:rPr>
        <w:br w:type="page"/>
      </w:r>
      <w:r>
        <w:rPr>
          <w:rFonts w:hint="eastAsia" w:ascii="宋体" w:hAnsi="宋体" w:eastAsia="宋体" w:cs="宋体"/>
          <w:b/>
          <w:bCs/>
          <w:color w:val="auto"/>
          <w:highlight w:val="none"/>
        </w:rPr>
        <w:t>国家统计局关于印发《统计上大中小微型企业划分办法（2017）》的通知</w:t>
      </w:r>
    </w:p>
    <w:p w14:paraId="7168406D">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各省、自治区、直辖市统计局，新疆生产建设兵团统计局，国务院各有关部门，国家统计局各调查总队：</w:t>
      </w:r>
    </w:p>
    <w:p w14:paraId="7AF9C1C5">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26B162A">
      <w:pPr>
        <w:shd w:val="clear" w:color="auto" w:fill="FFFFFF"/>
        <w:spacing w:before="100" w:beforeAutospacing="1" w:after="100" w:afterAutospacing="1" w:line="48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附件：《统计上大中小微型企业划分办法（2017）》修订说明</w:t>
      </w:r>
    </w:p>
    <w:p w14:paraId="7EA3BE13">
      <w:pPr>
        <w:shd w:val="clear" w:color="auto" w:fill="FFFFFF"/>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国家统计局  </w:t>
      </w:r>
    </w:p>
    <w:p w14:paraId="7D1DFCFA">
      <w:pPr>
        <w:shd w:val="clear" w:color="auto" w:fill="FFFFFF"/>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2017年12月28日</w:t>
      </w:r>
    </w:p>
    <w:p w14:paraId="3F31FE05">
      <w:pPr>
        <w:shd w:val="clear" w:color="auto" w:fill="FFFFFF"/>
        <w:spacing w:line="48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统计上大中小微型企业划分办法（2017）</w:t>
      </w:r>
    </w:p>
    <w:p w14:paraId="336F8B43">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207CB75E">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二、本办法适用对象为在中华人民共和国境内依法设立的各种组织形式的法人企业或单位。个体工商户参照本办法进行划分。</w:t>
      </w:r>
    </w:p>
    <w:p w14:paraId="7793E601">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0671162A">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四、本办法按照行业门类、大类、中类和组合类别，依据从业人员、营业收入、资产总额等指标或替代指标，将我国的企业划分为大型、中型、小型、微型等四种类型。具体划分标准见附表。</w:t>
      </w:r>
    </w:p>
    <w:p w14:paraId="21C2C135">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五、企业划分由政府综合统计部门根据统计年报每年确定一次，定报统计原则上不进行调整。</w:t>
      </w:r>
    </w:p>
    <w:p w14:paraId="1C2BBEFA">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六、本办法自印发之日起执行，国家统计局2011年印发的《统计上大中小微型企业划分办法》（国统字〔2011〕75号）同时废止。</w:t>
      </w:r>
    </w:p>
    <w:p w14:paraId="45B747E7">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附表：统计上大中小微型企业划分标准</w:t>
      </w:r>
    </w:p>
    <w:p w14:paraId="2B93DECA">
      <w:pPr>
        <w:shd w:val="clear" w:color="auto" w:fill="FFFFFF"/>
        <w:spacing w:line="48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r>
        <w:rPr>
          <w:rFonts w:hint="eastAsia" w:ascii="宋体" w:hAnsi="宋体" w:eastAsia="宋体" w:cs="宋体"/>
          <w:bCs/>
          <w:color w:val="auto"/>
          <w:sz w:val="24"/>
          <w:szCs w:val="24"/>
          <w:highlight w:val="none"/>
        </w:rPr>
        <w:t>统计上大中小微型企业划分标准</w:t>
      </w:r>
    </w:p>
    <w:tbl>
      <w:tblPr>
        <w:tblStyle w:val="2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4"/>
        <w:gridCol w:w="1494"/>
        <w:gridCol w:w="994"/>
        <w:gridCol w:w="1493"/>
        <w:gridCol w:w="1493"/>
        <w:gridCol w:w="1493"/>
        <w:gridCol w:w="990"/>
      </w:tblGrid>
      <w:tr w14:paraId="35A7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noWrap w:val="0"/>
            <w:vAlign w:val="center"/>
          </w:tcPr>
          <w:p w14:paraId="7EBD42CE">
            <w:pPr>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行业名称</w:t>
            </w:r>
          </w:p>
        </w:tc>
        <w:tc>
          <w:tcPr>
            <w:tcW w:w="1494" w:type="dxa"/>
            <w:noWrap w:val="0"/>
            <w:vAlign w:val="center"/>
          </w:tcPr>
          <w:p w14:paraId="7EC72DAC">
            <w:pPr>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指标名称</w:t>
            </w:r>
          </w:p>
        </w:tc>
        <w:tc>
          <w:tcPr>
            <w:tcW w:w="994" w:type="dxa"/>
            <w:noWrap w:val="0"/>
            <w:vAlign w:val="center"/>
          </w:tcPr>
          <w:p w14:paraId="1FC0B01E">
            <w:pPr>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计量单位</w:t>
            </w:r>
          </w:p>
        </w:tc>
        <w:tc>
          <w:tcPr>
            <w:tcW w:w="1493" w:type="dxa"/>
            <w:noWrap w:val="0"/>
            <w:vAlign w:val="center"/>
          </w:tcPr>
          <w:p w14:paraId="35B39968">
            <w:pPr>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大型</w:t>
            </w:r>
          </w:p>
        </w:tc>
        <w:tc>
          <w:tcPr>
            <w:tcW w:w="1493" w:type="dxa"/>
            <w:noWrap w:val="0"/>
            <w:vAlign w:val="center"/>
          </w:tcPr>
          <w:p w14:paraId="5108A4CB">
            <w:pPr>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中型</w:t>
            </w:r>
          </w:p>
        </w:tc>
        <w:tc>
          <w:tcPr>
            <w:tcW w:w="1493" w:type="dxa"/>
            <w:noWrap w:val="0"/>
            <w:vAlign w:val="center"/>
          </w:tcPr>
          <w:p w14:paraId="1DD81327">
            <w:pPr>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小型</w:t>
            </w:r>
          </w:p>
        </w:tc>
        <w:tc>
          <w:tcPr>
            <w:tcW w:w="990" w:type="dxa"/>
            <w:noWrap w:val="0"/>
            <w:vAlign w:val="center"/>
          </w:tcPr>
          <w:p w14:paraId="0A7D3306">
            <w:pPr>
              <w:spacing w:line="32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微型</w:t>
            </w:r>
          </w:p>
        </w:tc>
      </w:tr>
      <w:tr w14:paraId="416B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noWrap w:val="0"/>
            <w:vAlign w:val="center"/>
          </w:tcPr>
          <w:p w14:paraId="33289D0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农、林、牧、渔业</w:t>
            </w:r>
          </w:p>
        </w:tc>
        <w:tc>
          <w:tcPr>
            <w:tcW w:w="1494" w:type="dxa"/>
            <w:noWrap w:val="0"/>
            <w:vAlign w:val="center"/>
          </w:tcPr>
          <w:p w14:paraId="6B05083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3759B29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63E76E6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Y≥20000</w:t>
            </w:r>
          </w:p>
        </w:tc>
        <w:tc>
          <w:tcPr>
            <w:tcW w:w="1493" w:type="dxa"/>
            <w:noWrap w:val="0"/>
            <w:vAlign w:val="center"/>
          </w:tcPr>
          <w:p w14:paraId="6999A3A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500≤Y＜20000</w:t>
            </w:r>
          </w:p>
        </w:tc>
        <w:tc>
          <w:tcPr>
            <w:tcW w:w="1493" w:type="dxa"/>
            <w:noWrap w:val="0"/>
            <w:vAlign w:val="center"/>
          </w:tcPr>
          <w:p w14:paraId="0BAA2A0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50≤Y＜500</w:t>
            </w:r>
          </w:p>
        </w:tc>
        <w:tc>
          <w:tcPr>
            <w:tcW w:w="990" w:type="dxa"/>
            <w:noWrap w:val="0"/>
            <w:vAlign w:val="center"/>
          </w:tcPr>
          <w:p w14:paraId="507F950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Y＜50</w:t>
            </w:r>
          </w:p>
        </w:tc>
      </w:tr>
      <w:tr w14:paraId="5521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5D2A2DA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工业</w:t>
            </w:r>
          </w:p>
        </w:tc>
        <w:tc>
          <w:tcPr>
            <w:tcW w:w="1494" w:type="dxa"/>
            <w:noWrap w:val="0"/>
            <w:vAlign w:val="center"/>
          </w:tcPr>
          <w:p w14:paraId="57D997D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14EF41C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1F815FF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X≥1000</w:t>
            </w:r>
          </w:p>
        </w:tc>
        <w:tc>
          <w:tcPr>
            <w:tcW w:w="1493" w:type="dxa"/>
            <w:noWrap w:val="0"/>
            <w:vAlign w:val="center"/>
          </w:tcPr>
          <w:p w14:paraId="69689A9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300≤X＜1000</w:t>
            </w:r>
          </w:p>
        </w:tc>
        <w:tc>
          <w:tcPr>
            <w:tcW w:w="1493" w:type="dxa"/>
            <w:noWrap w:val="0"/>
            <w:vAlign w:val="center"/>
          </w:tcPr>
          <w:p w14:paraId="3303CE0B">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20≤X＜300</w:t>
            </w:r>
          </w:p>
        </w:tc>
        <w:tc>
          <w:tcPr>
            <w:tcW w:w="990" w:type="dxa"/>
            <w:noWrap w:val="0"/>
            <w:vAlign w:val="center"/>
          </w:tcPr>
          <w:p w14:paraId="4E95C63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w:t>
            </w:r>
          </w:p>
        </w:tc>
      </w:tr>
      <w:tr w14:paraId="5F25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3D854748">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35FB20F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7190505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253F59A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Y≥40000</w:t>
            </w:r>
          </w:p>
        </w:tc>
        <w:tc>
          <w:tcPr>
            <w:tcW w:w="1493" w:type="dxa"/>
            <w:noWrap w:val="0"/>
            <w:vAlign w:val="center"/>
          </w:tcPr>
          <w:p w14:paraId="1D3C71F9">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2000≤Y＜40000</w:t>
            </w:r>
          </w:p>
        </w:tc>
        <w:tc>
          <w:tcPr>
            <w:tcW w:w="1493" w:type="dxa"/>
            <w:noWrap w:val="0"/>
            <w:vAlign w:val="center"/>
          </w:tcPr>
          <w:p w14:paraId="61C4A6D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300≤Y＜2000</w:t>
            </w:r>
          </w:p>
        </w:tc>
        <w:tc>
          <w:tcPr>
            <w:tcW w:w="990" w:type="dxa"/>
            <w:noWrap w:val="0"/>
            <w:vAlign w:val="center"/>
          </w:tcPr>
          <w:p w14:paraId="29BD6BC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Y＜300</w:t>
            </w:r>
          </w:p>
        </w:tc>
      </w:tr>
      <w:tr w14:paraId="2599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2021146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建筑业</w:t>
            </w:r>
          </w:p>
        </w:tc>
        <w:tc>
          <w:tcPr>
            <w:tcW w:w="1494" w:type="dxa"/>
            <w:noWrap w:val="0"/>
            <w:vAlign w:val="center"/>
          </w:tcPr>
          <w:p w14:paraId="6724803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6F034EB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3E38647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Y≥80000</w:t>
            </w:r>
          </w:p>
        </w:tc>
        <w:tc>
          <w:tcPr>
            <w:tcW w:w="1493" w:type="dxa"/>
            <w:noWrap w:val="0"/>
            <w:vAlign w:val="center"/>
          </w:tcPr>
          <w:p w14:paraId="54B300CD">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6000≤Y＜80000</w:t>
            </w:r>
          </w:p>
        </w:tc>
        <w:tc>
          <w:tcPr>
            <w:tcW w:w="1493" w:type="dxa"/>
            <w:noWrap w:val="0"/>
            <w:vAlign w:val="center"/>
          </w:tcPr>
          <w:p w14:paraId="2494129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300≤Y＜6000</w:t>
            </w:r>
          </w:p>
        </w:tc>
        <w:tc>
          <w:tcPr>
            <w:tcW w:w="990" w:type="dxa"/>
            <w:noWrap w:val="0"/>
            <w:vAlign w:val="center"/>
          </w:tcPr>
          <w:p w14:paraId="709A830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Y＜300</w:t>
            </w:r>
          </w:p>
        </w:tc>
      </w:tr>
      <w:tr w14:paraId="2486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4F91825E">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41B57C0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资产总额(Z)</w:t>
            </w:r>
          </w:p>
        </w:tc>
        <w:tc>
          <w:tcPr>
            <w:tcW w:w="994" w:type="dxa"/>
            <w:noWrap w:val="0"/>
            <w:vAlign w:val="center"/>
          </w:tcPr>
          <w:p w14:paraId="5C95387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3935C72D">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Z≥80000</w:t>
            </w:r>
          </w:p>
        </w:tc>
        <w:tc>
          <w:tcPr>
            <w:tcW w:w="1493" w:type="dxa"/>
            <w:noWrap w:val="0"/>
            <w:vAlign w:val="center"/>
          </w:tcPr>
          <w:p w14:paraId="32090DA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5000≤Z＜80000</w:t>
            </w:r>
          </w:p>
        </w:tc>
        <w:tc>
          <w:tcPr>
            <w:tcW w:w="1493" w:type="dxa"/>
            <w:noWrap w:val="0"/>
            <w:vAlign w:val="center"/>
          </w:tcPr>
          <w:p w14:paraId="4FDF500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300≤Z＜5000</w:t>
            </w:r>
          </w:p>
        </w:tc>
        <w:tc>
          <w:tcPr>
            <w:tcW w:w="990" w:type="dxa"/>
            <w:noWrap w:val="0"/>
            <w:vAlign w:val="center"/>
          </w:tcPr>
          <w:p w14:paraId="110CA49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Z＜300</w:t>
            </w:r>
          </w:p>
        </w:tc>
      </w:tr>
      <w:tr w14:paraId="788D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154C733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批发业</w:t>
            </w:r>
          </w:p>
        </w:tc>
        <w:tc>
          <w:tcPr>
            <w:tcW w:w="1494" w:type="dxa"/>
            <w:noWrap w:val="0"/>
            <w:vAlign w:val="center"/>
          </w:tcPr>
          <w:p w14:paraId="79493A4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1ABC95F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1E71BD7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X≥200</w:t>
            </w:r>
          </w:p>
        </w:tc>
        <w:tc>
          <w:tcPr>
            <w:tcW w:w="1493" w:type="dxa"/>
            <w:noWrap w:val="0"/>
            <w:vAlign w:val="center"/>
          </w:tcPr>
          <w:p w14:paraId="565595A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20≤X＜200</w:t>
            </w:r>
          </w:p>
        </w:tc>
        <w:tc>
          <w:tcPr>
            <w:tcW w:w="1493" w:type="dxa"/>
            <w:noWrap w:val="0"/>
            <w:vAlign w:val="center"/>
          </w:tcPr>
          <w:p w14:paraId="73C4CC6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5≤X＜20</w:t>
            </w:r>
          </w:p>
        </w:tc>
        <w:tc>
          <w:tcPr>
            <w:tcW w:w="990" w:type="dxa"/>
            <w:noWrap w:val="0"/>
            <w:vAlign w:val="center"/>
          </w:tcPr>
          <w:p w14:paraId="10C7E8B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X＜5</w:t>
            </w:r>
          </w:p>
        </w:tc>
      </w:tr>
      <w:tr w14:paraId="770E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75307A11">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3247F42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56F32619">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36EB0A79">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Y≥40000</w:t>
            </w:r>
          </w:p>
        </w:tc>
        <w:tc>
          <w:tcPr>
            <w:tcW w:w="1493" w:type="dxa"/>
            <w:noWrap w:val="0"/>
            <w:vAlign w:val="center"/>
          </w:tcPr>
          <w:p w14:paraId="43ECF3F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5000≤Y＜40000</w:t>
            </w:r>
          </w:p>
        </w:tc>
        <w:tc>
          <w:tcPr>
            <w:tcW w:w="1493" w:type="dxa"/>
            <w:noWrap w:val="0"/>
            <w:vAlign w:val="center"/>
          </w:tcPr>
          <w:p w14:paraId="36BAEF7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1000≤Y＜5000</w:t>
            </w:r>
          </w:p>
        </w:tc>
        <w:tc>
          <w:tcPr>
            <w:tcW w:w="990" w:type="dxa"/>
            <w:noWrap w:val="0"/>
            <w:vAlign w:val="center"/>
          </w:tcPr>
          <w:p w14:paraId="42A7FDD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Y＜1000</w:t>
            </w:r>
          </w:p>
        </w:tc>
      </w:tr>
      <w:tr w14:paraId="4293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21C5AF3D">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零售业</w:t>
            </w:r>
          </w:p>
        </w:tc>
        <w:tc>
          <w:tcPr>
            <w:tcW w:w="1494" w:type="dxa"/>
            <w:noWrap w:val="0"/>
            <w:vAlign w:val="center"/>
          </w:tcPr>
          <w:p w14:paraId="0D0515D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1E881FC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63DD39C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X≥300</w:t>
            </w:r>
          </w:p>
        </w:tc>
        <w:tc>
          <w:tcPr>
            <w:tcW w:w="1493" w:type="dxa"/>
            <w:noWrap w:val="0"/>
            <w:vAlign w:val="center"/>
          </w:tcPr>
          <w:p w14:paraId="422D6E9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50≤X＜300</w:t>
            </w:r>
          </w:p>
        </w:tc>
        <w:tc>
          <w:tcPr>
            <w:tcW w:w="1493" w:type="dxa"/>
            <w:noWrap w:val="0"/>
            <w:vAlign w:val="center"/>
          </w:tcPr>
          <w:p w14:paraId="5C7E1229">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10≤X＜50</w:t>
            </w:r>
          </w:p>
        </w:tc>
        <w:tc>
          <w:tcPr>
            <w:tcW w:w="990" w:type="dxa"/>
            <w:noWrap w:val="0"/>
            <w:vAlign w:val="center"/>
          </w:tcPr>
          <w:p w14:paraId="3F6C3FCB">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47B9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7F59E49C">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0EC2800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69E43E29">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2483747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Y≥20000</w:t>
            </w:r>
          </w:p>
        </w:tc>
        <w:tc>
          <w:tcPr>
            <w:tcW w:w="1493" w:type="dxa"/>
            <w:noWrap w:val="0"/>
            <w:vAlign w:val="center"/>
          </w:tcPr>
          <w:p w14:paraId="665CF28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500≤Y＜20000</w:t>
            </w:r>
          </w:p>
        </w:tc>
        <w:tc>
          <w:tcPr>
            <w:tcW w:w="1493" w:type="dxa"/>
            <w:noWrap w:val="0"/>
            <w:vAlign w:val="center"/>
          </w:tcPr>
          <w:p w14:paraId="395100F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100≤Y＜500</w:t>
            </w:r>
          </w:p>
        </w:tc>
        <w:tc>
          <w:tcPr>
            <w:tcW w:w="990" w:type="dxa"/>
            <w:noWrap w:val="0"/>
            <w:vAlign w:val="center"/>
          </w:tcPr>
          <w:p w14:paraId="33B908E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009B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7A53C94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交通运输业 </w:t>
            </w:r>
          </w:p>
        </w:tc>
        <w:tc>
          <w:tcPr>
            <w:tcW w:w="1494" w:type="dxa"/>
            <w:noWrap w:val="0"/>
            <w:vAlign w:val="center"/>
          </w:tcPr>
          <w:p w14:paraId="5845ED1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04ACF03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099409CB">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X≥1000</w:t>
            </w:r>
          </w:p>
        </w:tc>
        <w:tc>
          <w:tcPr>
            <w:tcW w:w="1493" w:type="dxa"/>
            <w:noWrap w:val="0"/>
            <w:vAlign w:val="center"/>
          </w:tcPr>
          <w:p w14:paraId="1375C10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300≤X＜1000</w:t>
            </w:r>
          </w:p>
        </w:tc>
        <w:tc>
          <w:tcPr>
            <w:tcW w:w="1493" w:type="dxa"/>
            <w:noWrap w:val="0"/>
            <w:vAlign w:val="center"/>
          </w:tcPr>
          <w:p w14:paraId="77932D8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20≤X＜300</w:t>
            </w:r>
          </w:p>
        </w:tc>
        <w:tc>
          <w:tcPr>
            <w:tcW w:w="990" w:type="dxa"/>
            <w:noWrap w:val="0"/>
            <w:vAlign w:val="center"/>
          </w:tcPr>
          <w:p w14:paraId="2FD8127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w:t>
            </w:r>
          </w:p>
        </w:tc>
      </w:tr>
      <w:tr w14:paraId="1AA5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6758F2D0">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519AF5FD">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27B14D1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7BE8040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Y≥30000</w:t>
            </w:r>
          </w:p>
        </w:tc>
        <w:tc>
          <w:tcPr>
            <w:tcW w:w="1493" w:type="dxa"/>
            <w:noWrap w:val="0"/>
            <w:vAlign w:val="center"/>
          </w:tcPr>
          <w:p w14:paraId="170631C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3000≤Y＜30000</w:t>
            </w:r>
          </w:p>
        </w:tc>
        <w:tc>
          <w:tcPr>
            <w:tcW w:w="1493" w:type="dxa"/>
            <w:noWrap w:val="0"/>
            <w:vAlign w:val="center"/>
          </w:tcPr>
          <w:p w14:paraId="4E1D7DC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200≤Y＜3000</w:t>
            </w:r>
          </w:p>
        </w:tc>
        <w:tc>
          <w:tcPr>
            <w:tcW w:w="990" w:type="dxa"/>
            <w:noWrap w:val="0"/>
            <w:vAlign w:val="center"/>
          </w:tcPr>
          <w:p w14:paraId="384D568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Y＜200</w:t>
            </w:r>
          </w:p>
        </w:tc>
      </w:tr>
      <w:tr w14:paraId="75BF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3D1D5B1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仓储业*</w:t>
            </w:r>
          </w:p>
        </w:tc>
        <w:tc>
          <w:tcPr>
            <w:tcW w:w="1494" w:type="dxa"/>
            <w:noWrap w:val="0"/>
            <w:vAlign w:val="center"/>
          </w:tcPr>
          <w:p w14:paraId="0178174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43E654D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71394F4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X≥200</w:t>
            </w:r>
          </w:p>
        </w:tc>
        <w:tc>
          <w:tcPr>
            <w:tcW w:w="1493" w:type="dxa"/>
            <w:noWrap w:val="0"/>
            <w:vAlign w:val="center"/>
          </w:tcPr>
          <w:p w14:paraId="35E975C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100≤X＜200</w:t>
            </w:r>
          </w:p>
        </w:tc>
        <w:tc>
          <w:tcPr>
            <w:tcW w:w="1493" w:type="dxa"/>
            <w:noWrap w:val="0"/>
            <w:vAlign w:val="center"/>
          </w:tcPr>
          <w:p w14:paraId="5F46EA27">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20≤X＜100</w:t>
            </w:r>
          </w:p>
        </w:tc>
        <w:tc>
          <w:tcPr>
            <w:tcW w:w="990" w:type="dxa"/>
            <w:noWrap w:val="0"/>
            <w:vAlign w:val="center"/>
          </w:tcPr>
          <w:p w14:paraId="3CEBE27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w:t>
            </w:r>
          </w:p>
        </w:tc>
      </w:tr>
      <w:tr w14:paraId="0261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317B3851">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2AAC5967">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4FBCB00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6CB2749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Y≥30000</w:t>
            </w:r>
          </w:p>
        </w:tc>
        <w:tc>
          <w:tcPr>
            <w:tcW w:w="1493" w:type="dxa"/>
            <w:noWrap w:val="0"/>
            <w:vAlign w:val="center"/>
          </w:tcPr>
          <w:p w14:paraId="260E11A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1000≤Y＜30000</w:t>
            </w:r>
          </w:p>
        </w:tc>
        <w:tc>
          <w:tcPr>
            <w:tcW w:w="1493" w:type="dxa"/>
            <w:noWrap w:val="0"/>
            <w:vAlign w:val="center"/>
          </w:tcPr>
          <w:p w14:paraId="2C400D1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100≤Y＜1000</w:t>
            </w:r>
          </w:p>
        </w:tc>
        <w:tc>
          <w:tcPr>
            <w:tcW w:w="990" w:type="dxa"/>
            <w:noWrap w:val="0"/>
            <w:vAlign w:val="center"/>
          </w:tcPr>
          <w:p w14:paraId="4506046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7FB1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0801531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邮政业</w:t>
            </w:r>
          </w:p>
        </w:tc>
        <w:tc>
          <w:tcPr>
            <w:tcW w:w="1494" w:type="dxa"/>
            <w:noWrap w:val="0"/>
            <w:vAlign w:val="center"/>
          </w:tcPr>
          <w:p w14:paraId="4C32C73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33BCC77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3FEF8D07">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X≥1000</w:t>
            </w:r>
          </w:p>
        </w:tc>
        <w:tc>
          <w:tcPr>
            <w:tcW w:w="1493" w:type="dxa"/>
            <w:noWrap w:val="0"/>
            <w:vAlign w:val="center"/>
          </w:tcPr>
          <w:p w14:paraId="0958402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300≤X＜1000</w:t>
            </w:r>
          </w:p>
        </w:tc>
        <w:tc>
          <w:tcPr>
            <w:tcW w:w="1493" w:type="dxa"/>
            <w:noWrap w:val="0"/>
            <w:vAlign w:val="center"/>
          </w:tcPr>
          <w:p w14:paraId="41C6EC5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20≤X＜300</w:t>
            </w:r>
          </w:p>
        </w:tc>
        <w:tc>
          <w:tcPr>
            <w:tcW w:w="990" w:type="dxa"/>
            <w:noWrap w:val="0"/>
            <w:vAlign w:val="center"/>
          </w:tcPr>
          <w:p w14:paraId="73B837F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w:t>
            </w:r>
          </w:p>
        </w:tc>
      </w:tr>
      <w:tr w14:paraId="4C94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1B421D09">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1005F3E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5BCA367B">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3B20A1D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Y≥30000</w:t>
            </w:r>
          </w:p>
        </w:tc>
        <w:tc>
          <w:tcPr>
            <w:tcW w:w="1493" w:type="dxa"/>
            <w:noWrap w:val="0"/>
            <w:vAlign w:val="center"/>
          </w:tcPr>
          <w:p w14:paraId="13B00A7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2000≤Y＜30000</w:t>
            </w:r>
          </w:p>
        </w:tc>
        <w:tc>
          <w:tcPr>
            <w:tcW w:w="1493" w:type="dxa"/>
            <w:noWrap w:val="0"/>
            <w:vAlign w:val="center"/>
          </w:tcPr>
          <w:p w14:paraId="6B44A44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100≤Y＜2000</w:t>
            </w:r>
          </w:p>
        </w:tc>
        <w:tc>
          <w:tcPr>
            <w:tcW w:w="990" w:type="dxa"/>
            <w:noWrap w:val="0"/>
            <w:vAlign w:val="center"/>
          </w:tcPr>
          <w:p w14:paraId="417636D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29A9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409E50F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住宿业</w:t>
            </w:r>
          </w:p>
        </w:tc>
        <w:tc>
          <w:tcPr>
            <w:tcW w:w="1494" w:type="dxa"/>
            <w:noWrap w:val="0"/>
            <w:vAlign w:val="center"/>
          </w:tcPr>
          <w:p w14:paraId="26A1E919">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433B01F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09D171E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X≥300</w:t>
            </w:r>
          </w:p>
        </w:tc>
        <w:tc>
          <w:tcPr>
            <w:tcW w:w="1493" w:type="dxa"/>
            <w:noWrap w:val="0"/>
            <w:vAlign w:val="center"/>
          </w:tcPr>
          <w:p w14:paraId="623ED6D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1493" w:type="dxa"/>
            <w:noWrap w:val="0"/>
            <w:vAlign w:val="center"/>
          </w:tcPr>
          <w:p w14:paraId="7A67B01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990" w:type="dxa"/>
            <w:noWrap w:val="0"/>
            <w:vAlign w:val="center"/>
          </w:tcPr>
          <w:p w14:paraId="2C5C0B9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1440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18918F81">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4286F05B">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61EA2A0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3C63097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Y≥10000</w:t>
            </w:r>
          </w:p>
        </w:tc>
        <w:tc>
          <w:tcPr>
            <w:tcW w:w="1493" w:type="dxa"/>
            <w:noWrap w:val="0"/>
            <w:vAlign w:val="center"/>
          </w:tcPr>
          <w:p w14:paraId="0968098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2000≤Y＜10000</w:t>
            </w:r>
          </w:p>
        </w:tc>
        <w:tc>
          <w:tcPr>
            <w:tcW w:w="1493" w:type="dxa"/>
            <w:noWrap w:val="0"/>
            <w:vAlign w:val="center"/>
          </w:tcPr>
          <w:p w14:paraId="5F71CEF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100≤Y＜2000</w:t>
            </w:r>
          </w:p>
        </w:tc>
        <w:tc>
          <w:tcPr>
            <w:tcW w:w="990" w:type="dxa"/>
            <w:noWrap w:val="0"/>
            <w:vAlign w:val="center"/>
          </w:tcPr>
          <w:p w14:paraId="5C60F35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0733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487CA2C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餐饮业</w:t>
            </w:r>
          </w:p>
        </w:tc>
        <w:tc>
          <w:tcPr>
            <w:tcW w:w="1494" w:type="dxa"/>
            <w:noWrap w:val="0"/>
            <w:vAlign w:val="center"/>
          </w:tcPr>
          <w:p w14:paraId="05AE42E9">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00E5658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418A6EAB">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X≥300</w:t>
            </w:r>
          </w:p>
        </w:tc>
        <w:tc>
          <w:tcPr>
            <w:tcW w:w="1493" w:type="dxa"/>
            <w:noWrap w:val="0"/>
            <w:vAlign w:val="center"/>
          </w:tcPr>
          <w:p w14:paraId="77FCA1F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1493" w:type="dxa"/>
            <w:noWrap w:val="0"/>
            <w:vAlign w:val="center"/>
          </w:tcPr>
          <w:p w14:paraId="1B3512AD">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990" w:type="dxa"/>
            <w:noWrap w:val="0"/>
            <w:vAlign w:val="center"/>
          </w:tcPr>
          <w:p w14:paraId="4E326D8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5918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60C03835">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3F4A249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3567A1C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5E7A79CB">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Y≥10000</w:t>
            </w:r>
          </w:p>
        </w:tc>
        <w:tc>
          <w:tcPr>
            <w:tcW w:w="1493" w:type="dxa"/>
            <w:noWrap w:val="0"/>
            <w:vAlign w:val="center"/>
          </w:tcPr>
          <w:p w14:paraId="3AA3ACD9">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2000≤Y＜10000</w:t>
            </w:r>
          </w:p>
        </w:tc>
        <w:tc>
          <w:tcPr>
            <w:tcW w:w="1493" w:type="dxa"/>
            <w:noWrap w:val="0"/>
            <w:vAlign w:val="center"/>
          </w:tcPr>
          <w:p w14:paraId="46924D3D">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100≤Y＜2000</w:t>
            </w:r>
          </w:p>
        </w:tc>
        <w:tc>
          <w:tcPr>
            <w:tcW w:w="990" w:type="dxa"/>
            <w:noWrap w:val="0"/>
            <w:vAlign w:val="center"/>
          </w:tcPr>
          <w:p w14:paraId="0BB8671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2758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60E7C41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信息传输业 *</w:t>
            </w:r>
          </w:p>
        </w:tc>
        <w:tc>
          <w:tcPr>
            <w:tcW w:w="1494" w:type="dxa"/>
            <w:noWrap w:val="0"/>
            <w:vAlign w:val="center"/>
          </w:tcPr>
          <w:p w14:paraId="041DB00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0E3A8E2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09B3D76B">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X≥2000</w:t>
            </w:r>
          </w:p>
        </w:tc>
        <w:tc>
          <w:tcPr>
            <w:tcW w:w="1493" w:type="dxa"/>
            <w:noWrap w:val="0"/>
            <w:vAlign w:val="center"/>
          </w:tcPr>
          <w:p w14:paraId="0018B35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100≤X＜2000</w:t>
            </w:r>
          </w:p>
        </w:tc>
        <w:tc>
          <w:tcPr>
            <w:tcW w:w="1493" w:type="dxa"/>
            <w:noWrap w:val="0"/>
            <w:vAlign w:val="center"/>
          </w:tcPr>
          <w:p w14:paraId="1C7E8F0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990" w:type="dxa"/>
            <w:noWrap w:val="0"/>
            <w:vAlign w:val="center"/>
          </w:tcPr>
          <w:p w14:paraId="0930244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35B3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5E9BBF48">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6D111C0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0ED67E9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5E6876C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Y≥100000</w:t>
            </w:r>
          </w:p>
        </w:tc>
        <w:tc>
          <w:tcPr>
            <w:tcW w:w="1493" w:type="dxa"/>
            <w:noWrap w:val="0"/>
            <w:vAlign w:val="center"/>
          </w:tcPr>
          <w:p w14:paraId="4F63209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1000≤Y＜100000</w:t>
            </w:r>
          </w:p>
        </w:tc>
        <w:tc>
          <w:tcPr>
            <w:tcW w:w="1493" w:type="dxa"/>
            <w:noWrap w:val="0"/>
            <w:vAlign w:val="center"/>
          </w:tcPr>
          <w:p w14:paraId="1690A74D">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100≤Y＜1000</w:t>
            </w:r>
          </w:p>
        </w:tc>
        <w:tc>
          <w:tcPr>
            <w:tcW w:w="990" w:type="dxa"/>
            <w:noWrap w:val="0"/>
            <w:vAlign w:val="center"/>
          </w:tcPr>
          <w:p w14:paraId="2112A9F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3A1F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4845D1DB">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软件和信息技术服务业</w:t>
            </w:r>
          </w:p>
        </w:tc>
        <w:tc>
          <w:tcPr>
            <w:tcW w:w="1494" w:type="dxa"/>
            <w:noWrap w:val="0"/>
            <w:vAlign w:val="center"/>
          </w:tcPr>
          <w:p w14:paraId="4B8D250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705AD4E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2E8173C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X≥300</w:t>
            </w:r>
          </w:p>
        </w:tc>
        <w:tc>
          <w:tcPr>
            <w:tcW w:w="1493" w:type="dxa"/>
            <w:noWrap w:val="0"/>
            <w:vAlign w:val="center"/>
          </w:tcPr>
          <w:p w14:paraId="704253D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1493" w:type="dxa"/>
            <w:noWrap w:val="0"/>
            <w:vAlign w:val="center"/>
          </w:tcPr>
          <w:p w14:paraId="32E6B499">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990" w:type="dxa"/>
            <w:noWrap w:val="0"/>
            <w:vAlign w:val="center"/>
          </w:tcPr>
          <w:p w14:paraId="7AFE12D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75C2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0AA57924">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1D9B734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7EC7C417">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450D9DD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Y≥10000</w:t>
            </w:r>
          </w:p>
        </w:tc>
        <w:tc>
          <w:tcPr>
            <w:tcW w:w="1493" w:type="dxa"/>
            <w:noWrap w:val="0"/>
            <w:vAlign w:val="center"/>
          </w:tcPr>
          <w:p w14:paraId="75F51F9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1000≤Y＜10000</w:t>
            </w:r>
          </w:p>
        </w:tc>
        <w:tc>
          <w:tcPr>
            <w:tcW w:w="1493" w:type="dxa"/>
            <w:noWrap w:val="0"/>
            <w:vAlign w:val="center"/>
          </w:tcPr>
          <w:p w14:paraId="54AE874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50≤Y＜1000</w:t>
            </w:r>
          </w:p>
        </w:tc>
        <w:tc>
          <w:tcPr>
            <w:tcW w:w="990" w:type="dxa"/>
            <w:noWrap w:val="0"/>
            <w:vAlign w:val="center"/>
          </w:tcPr>
          <w:p w14:paraId="520EF15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Y＜50</w:t>
            </w:r>
          </w:p>
        </w:tc>
      </w:tr>
      <w:tr w14:paraId="2F17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690BE9E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房地产开发经营</w:t>
            </w:r>
          </w:p>
        </w:tc>
        <w:tc>
          <w:tcPr>
            <w:tcW w:w="1494" w:type="dxa"/>
            <w:noWrap w:val="0"/>
            <w:vAlign w:val="center"/>
          </w:tcPr>
          <w:p w14:paraId="2BE35DC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630B3D9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7F97F27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Y≥200000</w:t>
            </w:r>
          </w:p>
        </w:tc>
        <w:tc>
          <w:tcPr>
            <w:tcW w:w="1493" w:type="dxa"/>
            <w:noWrap w:val="0"/>
            <w:vAlign w:val="center"/>
          </w:tcPr>
          <w:p w14:paraId="0679F7A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1000≤Y＜200000</w:t>
            </w:r>
          </w:p>
        </w:tc>
        <w:tc>
          <w:tcPr>
            <w:tcW w:w="1493" w:type="dxa"/>
            <w:noWrap w:val="0"/>
            <w:vAlign w:val="center"/>
          </w:tcPr>
          <w:p w14:paraId="42D8548D">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100≤Y＜1000</w:t>
            </w:r>
          </w:p>
        </w:tc>
        <w:tc>
          <w:tcPr>
            <w:tcW w:w="990" w:type="dxa"/>
            <w:noWrap w:val="0"/>
            <w:vAlign w:val="center"/>
          </w:tcPr>
          <w:p w14:paraId="7D66865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Y＜100</w:t>
            </w:r>
          </w:p>
        </w:tc>
      </w:tr>
      <w:tr w14:paraId="7555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07B43E3C">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48B52A5B">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资产总额(Z)</w:t>
            </w:r>
          </w:p>
        </w:tc>
        <w:tc>
          <w:tcPr>
            <w:tcW w:w="994" w:type="dxa"/>
            <w:noWrap w:val="0"/>
            <w:vAlign w:val="center"/>
          </w:tcPr>
          <w:p w14:paraId="38C27C2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1E3BC75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Z≥10000</w:t>
            </w:r>
          </w:p>
        </w:tc>
        <w:tc>
          <w:tcPr>
            <w:tcW w:w="1493" w:type="dxa"/>
            <w:noWrap w:val="0"/>
            <w:vAlign w:val="center"/>
          </w:tcPr>
          <w:p w14:paraId="5B49895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5000≤Z＜10000</w:t>
            </w:r>
          </w:p>
        </w:tc>
        <w:tc>
          <w:tcPr>
            <w:tcW w:w="1493" w:type="dxa"/>
            <w:noWrap w:val="0"/>
            <w:vAlign w:val="center"/>
          </w:tcPr>
          <w:p w14:paraId="6B693C7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2000≤Z＜5000</w:t>
            </w:r>
          </w:p>
        </w:tc>
        <w:tc>
          <w:tcPr>
            <w:tcW w:w="990" w:type="dxa"/>
            <w:noWrap w:val="0"/>
            <w:vAlign w:val="center"/>
          </w:tcPr>
          <w:p w14:paraId="09F4312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Z＜2000</w:t>
            </w:r>
          </w:p>
        </w:tc>
      </w:tr>
      <w:tr w14:paraId="1581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796670A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物业管理</w:t>
            </w:r>
          </w:p>
        </w:tc>
        <w:tc>
          <w:tcPr>
            <w:tcW w:w="1494" w:type="dxa"/>
            <w:noWrap w:val="0"/>
            <w:vAlign w:val="center"/>
          </w:tcPr>
          <w:p w14:paraId="76F09C56">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7B0ACF2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6EC6E980">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X≥1000</w:t>
            </w:r>
          </w:p>
        </w:tc>
        <w:tc>
          <w:tcPr>
            <w:tcW w:w="1493" w:type="dxa"/>
            <w:noWrap w:val="0"/>
            <w:vAlign w:val="center"/>
          </w:tcPr>
          <w:p w14:paraId="4E53300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300≤X＜1000</w:t>
            </w:r>
          </w:p>
        </w:tc>
        <w:tc>
          <w:tcPr>
            <w:tcW w:w="1493" w:type="dxa"/>
            <w:noWrap w:val="0"/>
            <w:vAlign w:val="center"/>
          </w:tcPr>
          <w:p w14:paraId="3D539E1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990" w:type="dxa"/>
            <w:noWrap w:val="0"/>
            <w:vAlign w:val="center"/>
          </w:tcPr>
          <w:p w14:paraId="4781494B">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X＜100</w:t>
            </w:r>
          </w:p>
        </w:tc>
      </w:tr>
      <w:tr w14:paraId="4684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07F7C556">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2A6D8534">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营业收入(Y)</w:t>
            </w:r>
          </w:p>
        </w:tc>
        <w:tc>
          <w:tcPr>
            <w:tcW w:w="994" w:type="dxa"/>
            <w:noWrap w:val="0"/>
            <w:vAlign w:val="center"/>
          </w:tcPr>
          <w:p w14:paraId="0F5C3D61">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1201556B">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Y≥5000</w:t>
            </w:r>
          </w:p>
        </w:tc>
        <w:tc>
          <w:tcPr>
            <w:tcW w:w="1493" w:type="dxa"/>
            <w:noWrap w:val="0"/>
            <w:vAlign w:val="center"/>
          </w:tcPr>
          <w:p w14:paraId="33ABB08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1000≤Y＜5000</w:t>
            </w:r>
          </w:p>
        </w:tc>
        <w:tc>
          <w:tcPr>
            <w:tcW w:w="1493" w:type="dxa"/>
            <w:noWrap w:val="0"/>
            <w:vAlign w:val="center"/>
          </w:tcPr>
          <w:p w14:paraId="7F824C4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500≤Y＜1000</w:t>
            </w:r>
          </w:p>
        </w:tc>
        <w:tc>
          <w:tcPr>
            <w:tcW w:w="990" w:type="dxa"/>
            <w:noWrap w:val="0"/>
            <w:vAlign w:val="center"/>
          </w:tcPr>
          <w:p w14:paraId="7E281FED">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Y＜500</w:t>
            </w:r>
          </w:p>
        </w:tc>
      </w:tr>
      <w:tr w14:paraId="2EEA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restart"/>
            <w:noWrap w:val="0"/>
            <w:vAlign w:val="center"/>
          </w:tcPr>
          <w:p w14:paraId="58A55A94">
            <w:pPr>
              <w:spacing w:line="320" w:lineRule="exact"/>
              <w:ind w:left="63" w:leftChars="3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租赁和商务服务业</w:t>
            </w:r>
            <w:r>
              <w:rPr>
                <w:rFonts w:hint="eastAsia" w:ascii="宋体" w:hAnsi="宋体" w:eastAsia="宋体" w:cs="宋体"/>
                <w:color w:val="auto"/>
                <w:szCs w:val="21"/>
                <w:highlight w:val="none"/>
                <w:lang w:val="en-US" w:eastAsia="zh-CN"/>
              </w:rPr>
              <w:t xml:space="preserve"> *</w:t>
            </w:r>
          </w:p>
        </w:tc>
        <w:tc>
          <w:tcPr>
            <w:tcW w:w="1494" w:type="dxa"/>
            <w:noWrap w:val="0"/>
            <w:vAlign w:val="center"/>
          </w:tcPr>
          <w:p w14:paraId="38BF3A79">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478CE23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3B58BDDD">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X≥300</w:t>
            </w:r>
          </w:p>
        </w:tc>
        <w:tc>
          <w:tcPr>
            <w:tcW w:w="1493" w:type="dxa"/>
            <w:noWrap w:val="0"/>
            <w:vAlign w:val="center"/>
          </w:tcPr>
          <w:p w14:paraId="3B6E7B68">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1493" w:type="dxa"/>
            <w:noWrap w:val="0"/>
            <w:vAlign w:val="center"/>
          </w:tcPr>
          <w:p w14:paraId="399070B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990" w:type="dxa"/>
            <w:noWrap w:val="0"/>
            <w:vAlign w:val="center"/>
          </w:tcPr>
          <w:p w14:paraId="092F468F">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r w14:paraId="7498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vMerge w:val="continue"/>
            <w:noWrap w:val="0"/>
            <w:vAlign w:val="center"/>
          </w:tcPr>
          <w:p w14:paraId="780E0DF7">
            <w:pPr>
              <w:spacing w:line="320" w:lineRule="exact"/>
              <w:ind w:left="63" w:leftChars="30"/>
              <w:rPr>
                <w:rFonts w:hint="eastAsia" w:ascii="宋体" w:hAnsi="宋体" w:eastAsia="宋体" w:cs="宋体"/>
                <w:color w:val="auto"/>
                <w:szCs w:val="21"/>
                <w:highlight w:val="none"/>
              </w:rPr>
            </w:pPr>
          </w:p>
        </w:tc>
        <w:tc>
          <w:tcPr>
            <w:tcW w:w="1494" w:type="dxa"/>
            <w:noWrap w:val="0"/>
            <w:vAlign w:val="center"/>
          </w:tcPr>
          <w:p w14:paraId="63D0DC0C">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资产总额(Z)</w:t>
            </w:r>
          </w:p>
        </w:tc>
        <w:tc>
          <w:tcPr>
            <w:tcW w:w="994" w:type="dxa"/>
            <w:noWrap w:val="0"/>
            <w:vAlign w:val="center"/>
          </w:tcPr>
          <w:p w14:paraId="730E211A">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493" w:type="dxa"/>
            <w:noWrap w:val="0"/>
            <w:vAlign w:val="center"/>
          </w:tcPr>
          <w:p w14:paraId="500AFE8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Z≥120000</w:t>
            </w:r>
          </w:p>
        </w:tc>
        <w:tc>
          <w:tcPr>
            <w:tcW w:w="1493" w:type="dxa"/>
            <w:noWrap w:val="0"/>
            <w:vAlign w:val="center"/>
          </w:tcPr>
          <w:p w14:paraId="2052ED9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8000≤Z＜120000</w:t>
            </w:r>
          </w:p>
        </w:tc>
        <w:tc>
          <w:tcPr>
            <w:tcW w:w="1493" w:type="dxa"/>
            <w:noWrap w:val="0"/>
            <w:vAlign w:val="center"/>
          </w:tcPr>
          <w:p w14:paraId="16343995">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100≤Z＜8000</w:t>
            </w:r>
          </w:p>
        </w:tc>
        <w:tc>
          <w:tcPr>
            <w:tcW w:w="990" w:type="dxa"/>
            <w:noWrap w:val="0"/>
            <w:vAlign w:val="center"/>
          </w:tcPr>
          <w:p w14:paraId="463F1352">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Z＜100</w:t>
            </w:r>
          </w:p>
        </w:tc>
      </w:tr>
      <w:tr w14:paraId="0263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4" w:type="dxa"/>
            <w:noWrap w:val="0"/>
            <w:vAlign w:val="center"/>
          </w:tcPr>
          <w:p w14:paraId="2E39C633">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其他未列明行业 </w:t>
            </w:r>
          </w:p>
        </w:tc>
        <w:tc>
          <w:tcPr>
            <w:tcW w:w="1494" w:type="dxa"/>
            <w:noWrap w:val="0"/>
            <w:vAlign w:val="center"/>
          </w:tcPr>
          <w:p w14:paraId="75D95CEE">
            <w:pPr>
              <w:spacing w:line="320" w:lineRule="exact"/>
              <w:ind w:left="63" w:leftChars="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从业人员(X)</w:t>
            </w:r>
          </w:p>
        </w:tc>
        <w:tc>
          <w:tcPr>
            <w:tcW w:w="994" w:type="dxa"/>
            <w:noWrap w:val="0"/>
            <w:vAlign w:val="center"/>
          </w:tcPr>
          <w:p w14:paraId="36965262">
            <w:pPr>
              <w:spacing w:line="320" w:lineRule="exact"/>
              <w:ind w:left="63" w:leftChars="3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w:t>
            </w:r>
          </w:p>
        </w:tc>
        <w:tc>
          <w:tcPr>
            <w:tcW w:w="1493" w:type="dxa"/>
            <w:noWrap w:val="0"/>
            <w:vAlign w:val="center"/>
          </w:tcPr>
          <w:p w14:paraId="6287B7C3">
            <w:pPr>
              <w:spacing w:line="320" w:lineRule="exact"/>
              <w:ind w:left="63" w:leftChars="3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X≥300</w:t>
            </w:r>
          </w:p>
        </w:tc>
        <w:tc>
          <w:tcPr>
            <w:tcW w:w="1493" w:type="dxa"/>
            <w:noWrap w:val="0"/>
            <w:vAlign w:val="center"/>
          </w:tcPr>
          <w:p w14:paraId="57570D3E">
            <w:pPr>
              <w:spacing w:line="320" w:lineRule="exact"/>
              <w:ind w:left="63" w:leftChars="3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100≤X＜300</w:t>
            </w:r>
          </w:p>
        </w:tc>
        <w:tc>
          <w:tcPr>
            <w:tcW w:w="1493" w:type="dxa"/>
            <w:noWrap w:val="0"/>
            <w:vAlign w:val="center"/>
          </w:tcPr>
          <w:p w14:paraId="23FF3E38">
            <w:pPr>
              <w:spacing w:line="320" w:lineRule="exact"/>
              <w:ind w:left="63" w:leftChars="3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10≤X＜100</w:t>
            </w:r>
          </w:p>
        </w:tc>
        <w:tc>
          <w:tcPr>
            <w:tcW w:w="990" w:type="dxa"/>
            <w:noWrap w:val="0"/>
            <w:vAlign w:val="center"/>
          </w:tcPr>
          <w:p w14:paraId="3B4931FE">
            <w:pPr>
              <w:spacing w:line="320" w:lineRule="exact"/>
              <w:ind w:left="63" w:leftChars="3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X＜10</w:t>
            </w:r>
          </w:p>
        </w:tc>
      </w:tr>
    </w:tbl>
    <w:p w14:paraId="196E513B">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说明：1.大型、中型和小型企业须同时满足所列指标的下限，否则下划一档；微型企业只须满足所列指标中的一项即可。 　　   </w:t>
      </w:r>
    </w:p>
    <w:p w14:paraId="39087F4A">
      <w:pPr>
        <w:shd w:val="clear" w:color="auto" w:fill="FFFFFF"/>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198688F0">
      <w:pPr>
        <w:shd w:val="clear" w:color="auto" w:fill="FFFFFF"/>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3.企业划分指标以现行统计制度为准。 </w:t>
      </w:r>
    </w:p>
    <w:p w14:paraId="614D77D0">
      <w:pPr>
        <w:shd w:val="clear" w:color="auto" w:fill="FFFFFF"/>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（1）从业人员，是指期末从业人员数，没有期末从业人员数的，采用全年平均人员数代替。 </w:t>
      </w:r>
    </w:p>
    <w:p w14:paraId="37D671C1">
      <w:pPr>
        <w:shd w:val="clear" w:color="auto" w:fill="FFFFFF"/>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 </w:t>
      </w:r>
    </w:p>
    <w:p w14:paraId="477C6139">
      <w:pPr>
        <w:shd w:val="clear" w:color="auto" w:fill="FFFFFF"/>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（3）资产总额，采用资产总计代替。</w:t>
      </w:r>
    </w:p>
    <w:p w14:paraId="6E1508B0">
      <w:pPr>
        <w:shd w:val="clear" w:color="auto" w:fill="FFFFFF"/>
        <w:spacing w:line="440" w:lineRule="exact"/>
        <w:jc w:val="left"/>
        <w:rPr>
          <w:rFonts w:hint="eastAsia" w:ascii="宋体" w:hAnsi="宋体" w:eastAsia="宋体" w:cs="宋体"/>
          <w:color w:val="auto"/>
          <w:szCs w:val="21"/>
          <w:highlight w:val="none"/>
        </w:rPr>
      </w:pPr>
    </w:p>
    <w:p w14:paraId="2A8A665D">
      <w:pPr>
        <w:shd w:val="clear" w:color="auto" w:fill="FFFFFF"/>
        <w:spacing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《统计上大中小微型企业划分办法（2017）》修订说明</w:t>
      </w:r>
    </w:p>
    <w:p w14:paraId="62903EC7">
      <w:pPr>
        <w:shd w:val="clear" w:color="auto" w:fill="FFFFFF"/>
        <w:spacing w:line="44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一、修订背景</w:t>
      </w:r>
    </w:p>
    <w:p w14:paraId="59FCD026">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5C6CC768">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2B3E4381">
      <w:pPr>
        <w:shd w:val="clear" w:color="auto" w:fill="FFFFFF"/>
        <w:spacing w:line="440" w:lineRule="exact"/>
        <w:ind w:firstLine="630" w:firstLineChars="3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二、修订主要内容</w:t>
      </w:r>
    </w:p>
    <w:p w14:paraId="3503468C">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66F96E8D">
      <w:pPr>
        <w:shd w:val="clear" w:color="auto" w:fill="FFFFFF"/>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将交通运输业中包括的“装卸搬运和运输代理业”修改为“多式联运和运输代理业、装卸搬运”。</w:t>
      </w:r>
    </w:p>
    <w:p w14:paraId="2DCC676F">
      <w:pPr>
        <w:shd w:val="clear" w:color="auto" w:fill="FFFFFF"/>
        <w:spacing w:line="440" w:lineRule="exact"/>
        <w:jc w:val="left"/>
        <w:rPr>
          <w:color w:val="auto"/>
          <w:highlight w:val="none"/>
        </w:rPr>
      </w:pPr>
      <w:r>
        <w:rPr>
          <w:rFonts w:hint="eastAsia" w:ascii="宋体" w:hAnsi="宋体" w:eastAsia="宋体" w:cs="宋体"/>
          <w:color w:val="auto"/>
          <w:szCs w:val="21"/>
          <w:highlight w:val="none"/>
        </w:rPr>
        <w:t>仓储业所包括的行业中类，根据《国民经济行业分类》（GB/T4754—2017）调整为“通用仓储，低温仓储，危险品仓储，谷物、棉花等农产品仓储，中药材仓储和其他仓储业”。</w:t>
      </w: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 w:name="Calibri Light">
    <w:panose1 w:val="020F0302020204030204"/>
    <w:charset w:val="00"/>
    <w:family w:val="roman"/>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64E2">
    <w:pPr>
      <w:pStyle w:val="21"/>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F800A19">
                <w:pPr>
                  <w:pStyle w:val="21"/>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DE28D">
    <w:pPr>
      <w:pStyle w:val="13"/>
      <w:spacing w:line="14" w:lineRule="auto"/>
      <w:rPr>
        <w:sz w:val="20"/>
      </w:rPr>
    </w:pPr>
    <w:r>
      <w:rPr>
        <w:sz w:val="20"/>
      </w:rPr>
      <w:pict>
        <v:shape id="文本框 9"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1F90C90E">
                <w:pPr>
                  <w:pStyle w:val="21"/>
                </w:pPr>
                <w:r>
                  <w:fldChar w:fldCharType="begin"/>
                </w:r>
                <w:r>
                  <w:instrText xml:space="preserve"> PAGE  \* MERGEFORMAT </w:instrText>
                </w:r>
                <w:r>
                  <w:fldChar w:fldCharType="separate"/>
                </w:r>
                <w:r>
                  <w:t>48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AC645">
    <w:pPr>
      <w:spacing w:line="196" w:lineRule="auto"/>
      <w:ind w:left="4932"/>
      <w:rPr>
        <w:rFonts w:ascii="Times New Roman" w:hAnsi="Times New Roman" w:eastAsia="Times New Roman" w:cs="Times New Roman"/>
        <w:sz w:val="17"/>
        <w:szCs w:val="17"/>
      </w:rPr>
    </w:pPr>
    <w:r>
      <w:rPr>
        <w:sz w:val="17"/>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5887897">
                <w:pPr>
                  <w:pStyle w:val="21"/>
                </w:pPr>
                <w:r>
                  <w:fldChar w:fldCharType="begin"/>
                </w:r>
                <w:r>
                  <w:instrText xml:space="preserve"> PAGE  \* MERGEFORMAT </w:instrText>
                </w:r>
                <w:r>
                  <w:fldChar w:fldCharType="separate"/>
                </w:r>
                <w:r>
                  <w:t>41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E3B9D">
    <w:pPr>
      <w:spacing w:line="196" w:lineRule="auto"/>
      <w:ind w:left="4932"/>
      <w:rPr>
        <w:rFonts w:ascii="Times New Roman" w:hAnsi="Times New Roman" w:eastAsia="Times New Roman" w:cs="Times New Roman"/>
        <w:sz w:val="17"/>
        <w:szCs w:val="17"/>
      </w:rPr>
    </w:pPr>
    <w:r>
      <w:rPr>
        <w:sz w:val="17"/>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21290D7E">
                <w:pPr>
                  <w:pStyle w:val="21"/>
                </w:pPr>
                <w:r>
                  <w:fldChar w:fldCharType="begin"/>
                </w:r>
                <w:r>
                  <w:instrText xml:space="preserve"> PAGE  \* MERGEFORMAT </w:instrText>
                </w:r>
                <w:r>
                  <w:fldChar w:fldCharType="separate"/>
                </w:r>
                <w:r>
                  <w:t>49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B14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93FB93"/>
    <w:multiLevelType w:val="singleLevel"/>
    <w:tmpl w:val="E293FB93"/>
    <w:lvl w:ilvl="0" w:tentative="0">
      <w:start w:val="6"/>
      <w:numFmt w:val="chineseCounting"/>
      <w:suff w:val="space"/>
      <w:lvlText w:val="第%1章"/>
      <w:lvlJc w:val="left"/>
      <w:rPr>
        <w:rFonts w:hint="eastAsia"/>
      </w:rPr>
    </w:lvl>
  </w:abstractNum>
  <w:abstractNum w:abstractNumId="1">
    <w:nsid w:val="E89E4AAD"/>
    <w:multiLevelType w:val="singleLevel"/>
    <w:tmpl w:val="E89E4AAD"/>
    <w:lvl w:ilvl="0" w:tentative="0">
      <w:start w:val="3"/>
      <w:numFmt w:val="chineseCounting"/>
      <w:suff w:val="nothing"/>
      <w:lvlText w:val="（%1）"/>
      <w:lvlJc w:val="left"/>
      <w:rPr>
        <w:rFonts w:hint="eastAsia"/>
      </w:rPr>
    </w:lvl>
  </w:abstractNum>
  <w:abstractNum w:abstractNumId="2">
    <w:nsid w:val="F48FD460"/>
    <w:multiLevelType w:val="singleLevel"/>
    <w:tmpl w:val="F48FD460"/>
    <w:lvl w:ilvl="0" w:tentative="0">
      <w:start w:val="2"/>
      <w:numFmt w:val="chineseCounting"/>
      <w:suff w:val="nothing"/>
      <w:lvlText w:val="%1、"/>
      <w:lvlJc w:val="left"/>
      <w:rPr>
        <w:rFonts w:hint="eastAsia"/>
      </w:rPr>
    </w:lvl>
  </w:abstractNum>
  <w:abstractNum w:abstractNumId="3">
    <w:nsid w:val="0A43619F"/>
    <w:multiLevelType w:val="multilevel"/>
    <w:tmpl w:val="0A43619F"/>
    <w:lvl w:ilvl="0" w:tentative="0">
      <w:start w:val="1"/>
      <w:numFmt w:val="japaneseCounting"/>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4">
    <w:nsid w:val="17AB2CB7"/>
    <w:multiLevelType w:val="singleLevel"/>
    <w:tmpl w:val="17AB2CB7"/>
    <w:lvl w:ilvl="0" w:tentative="0">
      <w:start w:val="3"/>
      <w:numFmt w:val="decimal"/>
      <w:suff w:val="space"/>
      <w:lvlText w:val="%1."/>
      <w:lvlJc w:val="left"/>
    </w:lvl>
  </w:abstractNum>
  <w:abstractNum w:abstractNumId="5">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YyNjFhMDJiYzgzM2NkNjdmZWYyZGY3OTJjMTYwNzcifQ=="/>
  </w:docVars>
  <w:rsids>
    <w:rsidRoot w:val="00800DB0"/>
    <w:rsid w:val="000016F4"/>
    <w:rsid w:val="000031BF"/>
    <w:rsid w:val="000046FF"/>
    <w:rsid w:val="0000769B"/>
    <w:rsid w:val="00007FA8"/>
    <w:rsid w:val="00011A28"/>
    <w:rsid w:val="0001344A"/>
    <w:rsid w:val="00013A42"/>
    <w:rsid w:val="00013ED3"/>
    <w:rsid w:val="000155F2"/>
    <w:rsid w:val="000225F3"/>
    <w:rsid w:val="00026653"/>
    <w:rsid w:val="00030E0E"/>
    <w:rsid w:val="00032C5D"/>
    <w:rsid w:val="000346B9"/>
    <w:rsid w:val="0003593D"/>
    <w:rsid w:val="00035F66"/>
    <w:rsid w:val="00037762"/>
    <w:rsid w:val="00040158"/>
    <w:rsid w:val="00040C95"/>
    <w:rsid w:val="00040ED3"/>
    <w:rsid w:val="00042A53"/>
    <w:rsid w:val="00043063"/>
    <w:rsid w:val="00043948"/>
    <w:rsid w:val="000447C6"/>
    <w:rsid w:val="0004622A"/>
    <w:rsid w:val="00051602"/>
    <w:rsid w:val="00051CFA"/>
    <w:rsid w:val="0005235E"/>
    <w:rsid w:val="00052566"/>
    <w:rsid w:val="00057244"/>
    <w:rsid w:val="000574C7"/>
    <w:rsid w:val="00060D52"/>
    <w:rsid w:val="000612DB"/>
    <w:rsid w:val="0006187B"/>
    <w:rsid w:val="00065C3D"/>
    <w:rsid w:val="0007502B"/>
    <w:rsid w:val="000830D5"/>
    <w:rsid w:val="00083E0B"/>
    <w:rsid w:val="00086A24"/>
    <w:rsid w:val="000917B5"/>
    <w:rsid w:val="000923EB"/>
    <w:rsid w:val="000928B5"/>
    <w:rsid w:val="00092A4D"/>
    <w:rsid w:val="00093E3A"/>
    <w:rsid w:val="000A1313"/>
    <w:rsid w:val="000A2C89"/>
    <w:rsid w:val="000A2EFC"/>
    <w:rsid w:val="000A3312"/>
    <w:rsid w:val="000A6790"/>
    <w:rsid w:val="000A7BD4"/>
    <w:rsid w:val="000C2707"/>
    <w:rsid w:val="000C2C9A"/>
    <w:rsid w:val="000C442E"/>
    <w:rsid w:val="000C7631"/>
    <w:rsid w:val="000D0000"/>
    <w:rsid w:val="000D04E7"/>
    <w:rsid w:val="000D70B3"/>
    <w:rsid w:val="000E09C1"/>
    <w:rsid w:val="000E0C89"/>
    <w:rsid w:val="000E351F"/>
    <w:rsid w:val="000E381F"/>
    <w:rsid w:val="000E39F4"/>
    <w:rsid w:val="000E584B"/>
    <w:rsid w:val="000E7342"/>
    <w:rsid w:val="000F26BA"/>
    <w:rsid w:val="000F317F"/>
    <w:rsid w:val="000F4673"/>
    <w:rsid w:val="000F47E1"/>
    <w:rsid w:val="000F4C9C"/>
    <w:rsid w:val="00100484"/>
    <w:rsid w:val="0010250F"/>
    <w:rsid w:val="001043CB"/>
    <w:rsid w:val="00104DB7"/>
    <w:rsid w:val="00104E47"/>
    <w:rsid w:val="001052A6"/>
    <w:rsid w:val="00105339"/>
    <w:rsid w:val="001063F8"/>
    <w:rsid w:val="001130DD"/>
    <w:rsid w:val="00120AE0"/>
    <w:rsid w:val="00133645"/>
    <w:rsid w:val="00141CF0"/>
    <w:rsid w:val="00142FCC"/>
    <w:rsid w:val="00143F0F"/>
    <w:rsid w:val="00144677"/>
    <w:rsid w:val="001476E5"/>
    <w:rsid w:val="00150DAE"/>
    <w:rsid w:val="00154E81"/>
    <w:rsid w:val="00156792"/>
    <w:rsid w:val="00160C00"/>
    <w:rsid w:val="0016299E"/>
    <w:rsid w:val="00163F02"/>
    <w:rsid w:val="0016429A"/>
    <w:rsid w:val="001649B8"/>
    <w:rsid w:val="00165176"/>
    <w:rsid w:val="00165A6C"/>
    <w:rsid w:val="001714F0"/>
    <w:rsid w:val="00174464"/>
    <w:rsid w:val="00174AE1"/>
    <w:rsid w:val="00176BCB"/>
    <w:rsid w:val="00180702"/>
    <w:rsid w:val="00186DFA"/>
    <w:rsid w:val="00187A3A"/>
    <w:rsid w:val="00193BC6"/>
    <w:rsid w:val="001950C8"/>
    <w:rsid w:val="001A0888"/>
    <w:rsid w:val="001A0959"/>
    <w:rsid w:val="001A2B38"/>
    <w:rsid w:val="001A3D0F"/>
    <w:rsid w:val="001A5EA9"/>
    <w:rsid w:val="001B0346"/>
    <w:rsid w:val="001B12F0"/>
    <w:rsid w:val="001B4044"/>
    <w:rsid w:val="001B58D9"/>
    <w:rsid w:val="001B7CDA"/>
    <w:rsid w:val="001C2A7E"/>
    <w:rsid w:val="001C3AD4"/>
    <w:rsid w:val="001C74B0"/>
    <w:rsid w:val="001C76E3"/>
    <w:rsid w:val="001C7891"/>
    <w:rsid w:val="001D0614"/>
    <w:rsid w:val="001D6A55"/>
    <w:rsid w:val="001E1F65"/>
    <w:rsid w:val="001E1F81"/>
    <w:rsid w:val="001E4503"/>
    <w:rsid w:val="001E47C9"/>
    <w:rsid w:val="001E6835"/>
    <w:rsid w:val="001F61D1"/>
    <w:rsid w:val="00200487"/>
    <w:rsid w:val="002018F5"/>
    <w:rsid w:val="0020231F"/>
    <w:rsid w:val="0020501A"/>
    <w:rsid w:val="0020585B"/>
    <w:rsid w:val="00206FDB"/>
    <w:rsid w:val="00212F42"/>
    <w:rsid w:val="00213EB4"/>
    <w:rsid w:val="0022054A"/>
    <w:rsid w:val="002239C0"/>
    <w:rsid w:val="00224475"/>
    <w:rsid w:val="00231D85"/>
    <w:rsid w:val="002336EA"/>
    <w:rsid w:val="00235BD2"/>
    <w:rsid w:val="0023798F"/>
    <w:rsid w:val="002407C6"/>
    <w:rsid w:val="00240E56"/>
    <w:rsid w:val="002420CE"/>
    <w:rsid w:val="00246797"/>
    <w:rsid w:val="002502E8"/>
    <w:rsid w:val="002534D6"/>
    <w:rsid w:val="00254808"/>
    <w:rsid w:val="00261294"/>
    <w:rsid w:val="00262653"/>
    <w:rsid w:val="00262720"/>
    <w:rsid w:val="00265E4D"/>
    <w:rsid w:val="00265F7E"/>
    <w:rsid w:val="002672D9"/>
    <w:rsid w:val="002679E4"/>
    <w:rsid w:val="00273D20"/>
    <w:rsid w:val="002742D7"/>
    <w:rsid w:val="00274DA1"/>
    <w:rsid w:val="00275597"/>
    <w:rsid w:val="0027736B"/>
    <w:rsid w:val="00282C94"/>
    <w:rsid w:val="00282F24"/>
    <w:rsid w:val="00283213"/>
    <w:rsid w:val="002851F5"/>
    <w:rsid w:val="002878B1"/>
    <w:rsid w:val="00287981"/>
    <w:rsid w:val="00291FBA"/>
    <w:rsid w:val="00295BEB"/>
    <w:rsid w:val="002A2868"/>
    <w:rsid w:val="002A4D34"/>
    <w:rsid w:val="002B063D"/>
    <w:rsid w:val="002B15D7"/>
    <w:rsid w:val="002B1BC5"/>
    <w:rsid w:val="002B5F8E"/>
    <w:rsid w:val="002C0E31"/>
    <w:rsid w:val="002C13DB"/>
    <w:rsid w:val="002C46D4"/>
    <w:rsid w:val="002C7C34"/>
    <w:rsid w:val="002D1016"/>
    <w:rsid w:val="002D1886"/>
    <w:rsid w:val="002D3082"/>
    <w:rsid w:val="002D33F7"/>
    <w:rsid w:val="002D4E3E"/>
    <w:rsid w:val="002E3599"/>
    <w:rsid w:val="002E506C"/>
    <w:rsid w:val="002E57AB"/>
    <w:rsid w:val="002E7D6C"/>
    <w:rsid w:val="002F26B7"/>
    <w:rsid w:val="002F4470"/>
    <w:rsid w:val="002F4634"/>
    <w:rsid w:val="002F56D4"/>
    <w:rsid w:val="00303C5A"/>
    <w:rsid w:val="003047FF"/>
    <w:rsid w:val="00304C85"/>
    <w:rsid w:val="00314688"/>
    <w:rsid w:val="00314C8C"/>
    <w:rsid w:val="003160B0"/>
    <w:rsid w:val="00325796"/>
    <w:rsid w:val="00326C8F"/>
    <w:rsid w:val="003274BB"/>
    <w:rsid w:val="0032769A"/>
    <w:rsid w:val="003302A3"/>
    <w:rsid w:val="00332500"/>
    <w:rsid w:val="00332C76"/>
    <w:rsid w:val="003355EA"/>
    <w:rsid w:val="0033753E"/>
    <w:rsid w:val="00341CF7"/>
    <w:rsid w:val="003457F6"/>
    <w:rsid w:val="00346937"/>
    <w:rsid w:val="003544D7"/>
    <w:rsid w:val="003637AE"/>
    <w:rsid w:val="00364ED0"/>
    <w:rsid w:val="003656FC"/>
    <w:rsid w:val="0036731A"/>
    <w:rsid w:val="00376C92"/>
    <w:rsid w:val="00381A5B"/>
    <w:rsid w:val="00381C73"/>
    <w:rsid w:val="0038279A"/>
    <w:rsid w:val="00382F3F"/>
    <w:rsid w:val="00383B6A"/>
    <w:rsid w:val="0038491F"/>
    <w:rsid w:val="00387D4C"/>
    <w:rsid w:val="0039130A"/>
    <w:rsid w:val="003950B9"/>
    <w:rsid w:val="003A0BED"/>
    <w:rsid w:val="003A20E6"/>
    <w:rsid w:val="003A2745"/>
    <w:rsid w:val="003A2798"/>
    <w:rsid w:val="003A3108"/>
    <w:rsid w:val="003A425B"/>
    <w:rsid w:val="003A609E"/>
    <w:rsid w:val="003A6869"/>
    <w:rsid w:val="003B0014"/>
    <w:rsid w:val="003B16EE"/>
    <w:rsid w:val="003C00EF"/>
    <w:rsid w:val="003C4FAA"/>
    <w:rsid w:val="003C590B"/>
    <w:rsid w:val="003C6BBD"/>
    <w:rsid w:val="003D048C"/>
    <w:rsid w:val="003D080E"/>
    <w:rsid w:val="003D0E96"/>
    <w:rsid w:val="003D1AD1"/>
    <w:rsid w:val="003D4C3D"/>
    <w:rsid w:val="003D667F"/>
    <w:rsid w:val="003E78A3"/>
    <w:rsid w:val="003F0A6E"/>
    <w:rsid w:val="003F3E2C"/>
    <w:rsid w:val="003F6DD8"/>
    <w:rsid w:val="004008BA"/>
    <w:rsid w:val="00403435"/>
    <w:rsid w:val="0040493F"/>
    <w:rsid w:val="004061CF"/>
    <w:rsid w:val="004102B1"/>
    <w:rsid w:val="00410BE8"/>
    <w:rsid w:val="0041146B"/>
    <w:rsid w:val="00412350"/>
    <w:rsid w:val="004173DC"/>
    <w:rsid w:val="00417AB0"/>
    <w:rsid w:val="00424286"/>
    <w:rsid w:val="00425B0E"/>
    <w:rsid w:val="00430074"/>
    <w:rsid w:val="00431CD3"/>
    <w:rsid w:val="004347EA"/>
    <w:rsid w:val="00440521"/>
    <w:rsid w:val="00441536"/>
    <w:rsid w:val="0044195B"/>
    <w:rsid w:val="00443209"/>
    <w:rsid w:val="00445942"/>
    <w:rsid w:val="00445C1D"/>
    <w:rsid w:val="00447114"/>
    <w:rsid w:val="004509A3"/>
    <w:rsid w:val="0045122C"/>
    <w:rsid w:val="00455700"/>
    <w:rsid w:val="0046253C"/>
    <w:rsid w:val="004705D1"/>
    <w:rsid w:val="00471262"/>
    <w:rsid w:val="0047219F"/>
    <w:rsid w:val="0047434A"/>
    <w:rsid w:val="004826A6"/>
    <w:rsid w:val="00485203"/>
    <w:rsid w:val="00490A63"/>
    <w:rsid w:val="00492724"/>
    <w:rsid w:val="00494C55"/>
    <w:rsid w:val="004A38CB"/>
    <w:rsid w:val="004A3955"/>
    <w:rsid w:val="004B399D"/>
    <w:rsid w:val="004B6AB7"/>
    <w:rsid w:val="004C00EF"/>
    <w:rsid w:val="004C078D"/>
    <w:rsid w:val="004C4F49"/>
    <w:rsid w:val="004C6E8C"/>
    <w:rsid w:val="004D206B"/>
    <w:rsid w:val="004D4465"/>
    <w:rsid w:val="004D5DD5"/>
    <w:rsid w:val="004D6D32"/>
    <w:rsid w:val="004D75F9"/>
    <w:rsid w:val="004E2CAD"/>
    <w:rsid w:val="004E598F"/>
    <w:rsid w:val="004E6F49"/>
    <w:rsid w:val="004E76E0"/>
    <w:rsid w:val="004F2068"/>
    <w:rsid w:val="004F5228"/>
    <w:rsid w:val="004F70BA"/>
    <w:rsid w:val="004F72D1"/>
    <w:rsid w:val="004F79D6"/>
    <w:rsid w:val="005030E7"/>
    <w:rsid w:val="00505230"/>
    <w:rsid w:val="0051028B"/>
    <w:rsid w:val="00510475"/>
    <w:rsid w:val="00513652"/>
    <w:rsid w:val="00520145"/>
    <w:rsid w:val="0053152B"/>
    <w:rsid w:val="0053404A"/>
    <w:rsid w:val="0053451E"/>
    <w:rsid w:val="00541886"/>
    <w:rsid w:val="005422B5"/>
    <w:rsid w:val="005446C7"/>
    <w:rsid w:val="0054518A"/>
    <w:rsid w:val="00551BCE"/>
    <w:rsid w:val="00551E14"/>
    <w:rsid w:val="00556D06"/>
    <w:rsid w:val="0056229E"/>
    <w:rsid w:val="0056717D"/>
    <w:rsid w:val="005703B8"/>
    <w:rsid w:val="00570BFC"/>
    <w:rsid w:val="00571DAB"/>
    <w:rsid w:val="00572F8D"/>
    <w:rsid w:val="00576953"/>
    <w:rsid w:val="005778D3"/>
    <w:rsid w:val="00583782"/>
    <w:rsid w:val="00585F6A"/>
    <w:rsid w:val="00590B74"/>
    <w:rsid w:val="00593CF1"/>
    <w:rsid w:val="00595CCA"/>
    <w:rsid w:val="00597A70"/>
    <w:rsid w:val="005A06D0"/>
    <w:rsid w:val="005A18CA"/>
    <w:rsid w:val="005A209E"/>
    <w:rsid w:val="005A241A"/>
    <w:rsid w:val="005A6B53"/>
    <w:rsid w:val="005A760E"/>
    <w:rsid w:val="005B1C5A"/>
    <w:rsid w:val="005B32F6"/>
    <w:rsid w:val="005B5CB8"/>
    <w:rsid w:val="005B6DBC"/>
    <w:rsid w:val="005B7958"/>
    <w:rsid w:val="005B7B35"/>
    <w:rsid w:val="005C2577"/>
    <w:rsid w:val="005C4FEE"/>
    <w:rsid w:val="005C55BD"/>
    <w:rsid w:val="005C55CF"/>
    <w:rsid w:val="005D14CD"/>
    <w:rsid w:val="005D1D39"/>
    <w:rsid w:val="005D6E70"/>
    <w:rsid w:val="005E0CB1"/>
    <w:rsid w:val="005E733F"/>
    <w:rsid w:val="005E7A24"/>
    <w:rsid w:val="005F382C"/>
    <w:rsid w:val="005F3A73"/>
    <w:rsid w:val="005F4DC4"/>
    <w:rsid w:val="005F4E45"/>
    <w:rsid w:val="00600D8F"/>
    <w:rsid w:val="006030E8"/>
    <w:rsid w:val="006041E4"/>
    <w:rsid w:val="0060487C"/>
    <w:rsid w:val="00607092"/>
    <w:rsid w:val="00611EA7"/>
    <w:rsid w:val="00613EDE"/>
    <w:rsid w:val="006170D6"/>
    <w:rsid w:val="00617D41"/>
    <w:rsid w:val="00621AD3"/>
    <w:rsid w:val="00625E22"/>
    <w:rsid w:val="00630077"/>
    <w:rsid w:val="00630D5F"/>
    <w:rsid w:val="0063224D"/>
    <w:rsid w:val="0063344A"/>
    <w:rsid w:val="00636FF6"/>
    <w:rsid w:val="0064516F"/>
    <w:rsid w:val="00650B83"/>
    <w:rsid w:val="006519F8"/>
    <w:rsid w:val="00652191"/>
    <w:rsid w:val="00653803"/>
    <w:rsid w:val="00654393"/>
    <w:rsid w:val="00656B18"/>
    <w:rsid w:val="00662585"/>
    <w:rsid w:val="00662DE5"/>
    <w:rsid w:val="00664131"/>
    <w:rsid w:val="00665023"/>
    <w:rsid w:val="00666450"/>
    <w:rsid w:val="006725BB"/>
    <w:rsid w:val="00674A7A"/>
    <w:rsid w:val="00675EF6"/>
    <w:rsid w:val="00680319"/>
    <w:rsid w:val="006827D3"/>
    <w:rsid w:val="006848F7"/>
    <w:rsid w:val="00686A36"/>
    <w:rsid w:val="006906E3"/>
    <w:rsid w:val="00690D8A"/>
    <w:rsid w:val="00694616"/>
    <w:rsid w:val="00697109"/>
    <w:rsid w:val="00697448"/>
    <w:rsid w:val="006A3EC6"/>
    <w:rsid w:val="006B2CF3"/>
    <w:rsid w:val="006B3F71"/>
    <w:rsid w:val="006B50DE"/>
    <w:rsid w:val="006B517B"/>
    <w:rsid w:val="006B76B9"/>
    <w:rsid w:val="006C47A4"/>
    <w:rsid w:val="006C5311"/>
    <w:rsid w:val="006C6E3F"/>
    <w:rsid w:val="006D14A3"/>
    <w:rsid w:val="006D30DB"/>
    <w:rsid w:val="006D37A6"/>
    <w:rsid w:val="006D39F9"/>
    <w:rsid w:val="006D4808"/>
    <w:rsid w:val="006D7BE4"/>
    <w:rsid w:val="006E17E4"/>
    <w:rsid w:val="006E219D"/>
    <w:rsid w:val="006E6AEA"/>
    <w:rsid w:val="006F0A5C"/>
    <w:rsid w:val="006F2602"/>
    <w:rsid w:val="006F3784"/>
    <w:rsid w:val="006F536F"/>
    <w:rsid w:val="006F6886"/>
    <w:rsid w:val="00701F9C"/>
    <w:rsid w:val="007038E8"/>
    <w:rsid w:val="0070398F"/>
    <w:rsid w:val="00706295"/>
    <w:rsid w:val="00706813"/>
    <w:rsid w:val="00706860"/>
    <w:rsid w:val="00707D27"/>
    <w:rsid w:val="007122D9"/>
    <w:rsid w:val="007156DA"/>
    <w:rsid w:val="00726052"/>
    <w:rsid w:val="00731D58"/>
    <w:rsid w:val="00732545"/>
    <w:rsid w:val="00735CBA"/>
    <w:rsid w:val="00736C9A"/>
    <w:rsid w:val="00740D8A"/>
    <w:rsid w:val="0074222A"/>
    <w:rsid w:val="0074233B"/>
    <w:rsid w:val="00743201"/>
    <w:rsid w:val="00746B42"/>
    <w:rsid w:val="00750F6B"/>
    <w:rsid w:val="007533DD"/>
    <w:rsid w:val="00753B50"/>
    <w:rsid w:val="007552CB"/>
    <w:rsid w:val="00755321"/>
    <w:rsid w:val="00755C8D"/>
    <w:rsid w:val="00756166"/>
    <w:rsid w:val="007651ED"/>
    <w:rsid w:val="007654C2"/>
    <w:rsid w:val="00767D3D"/>
    <w:rsid w:val="00767F43"/>
    <w:rsid w:val="007724A4"/>
    <w:rsid w:val="007740D1"/>
    <w:rsid w:val="00776826"/>
    <w:rsid w:val="007822B6"/>
    <w:rsid w:val="00783613"/>
    <w:rsid w:val="007839CE"/>
    <w:rsid w:val="007846CE"/>
    <w:rsid w:val="00784B13"/>
    <w:rsid w:val="0078624F"/>
    <w:rsid w:val="00786FB3"/>
    <w:rsid w:val="00787F6A"/>
    <w:rsid w:val="007931A7"/>
    <w:rsid w:val="00793CFA"/>
    <w:rsid w:val="00797135"/>
    <w:rsid w:val="007A5BC5"/>
    <w:rsid w:val="007B55DB"/>
    <w:rsid w:val="007B69B3"/>
    <w:rsid w:val="007B7C60"/>
    <w:rsid w:val="007C280B"/>
    <w:rsid w:val="007C7393"/>
    <w:rsid w:val="007D27FD"/>
    <w:rsid w:val="007D4D58"/>
    <w:rsid w:val="007D70DB"/>
    <w:rsid w:val="007D77BC"/>
    <w:rsid w:val="007E32DF"/>
    <w:rsid w:val="007E561E"/>
    <w:rsid w:val="007E583D"/>
    <w:rsid w:val="007F0A09"/>
    <w:rsid w:val="007F24A1"/>
    <w:rsid w:val="007F5185"/>
    <w:rsid w:val="007F5E85"/>
    <w:rsid w:val="007F77B1"/>
    <w:rsid w:val="00800DB0"/>
    <w:rsid w:val="008024BE"/>
    <w:rsid w:val="00802A51"/>
    <w:rsid w:val="00811337"/>
    <w:rsid w:val="00813A24"/>
    <w:rsid w:val="00816AE6"/>
    <w:rsid w:val="00816DE2"/>
    <w:rsid w:val="00817756"/>
    <w:rsid w:val="0082000F"/>
    <w:rsid w:val="0082018C"/>
    <w:rsid w:val="008208EF"/>
    <w:rsid w:val="00820D5C"/>
    <w:rsid w:val="008276C5"/>
    <w:rsid w:val="0083052D"/>
    <w:rsid w:val="00832C2B"/>
    <w:rsid w:val="008372A8"/>
    <w:rsid w:val="00840623"/>
    <w:rsid w:val="008406D9"/>
    <w:rsid w:val="00840B11"/>
    <w:rsid w:val="008414EB"/>
    <w:rsid w:val="008427DA"/>
    <w:rsid w:val="0084682E"/>
    <w:rsid w:val="0084723F"/>
    <w:rsid w:val="008501FD"/>
    <w:rsid w:val="00852B8F"/>
    <w:rsid w:val="0085375E"/>
    <w:rsid w:val="00853B28"/>
    <w:rsid w:val="00854799"/>
    <w:rsid w:val="008578B5"/>
    <w:rsid w:val="00857E69"/>
    <w:rsid w:val="00857EAF"/>
    <w:rsid w:val="0086184C"/>
    <w:rsid w:val="0086307F"/>
    <w:rsid w:val="00870F3E"/>
    <w:rsid w:val="008718A4"/>
    <w:rsid w:val="00873740"/>
    <w:rsid w:val="0087461A"/>
    <w:rsid w:val="008768CF"/>
    <w:rsid w:val="00876D43"/>
    <w:rsid w:val="00881790"/>
    <w:rsid w:val="00881864"/>
    <w:rsid w:val="008818E4"/>
    <w:rsid w:val="00887B07"/>
    <w:rsid w:val="008903E3"/>
    <w:rsid w:val="008904C7"/>
    <w:rsid w:val="00894E3E"/>
    <w:rsid w:val="008A4710"/>
    <w:rsid w:val="008A506C"/>
    <w:rsid w:val="008A597A"/>
    <w:rsid w:val="008B26C8"/>
    <w:rsid w:val="008B4640"/>
    <w:rsid w:val="008B7065"/>
    <w:rsid w:val="008C5F77"/>
    <w:rsid w:val="008D2F81"/>
    <w:rsid w:val="008D7040"/>
    <w:rsid w:val="008E00AF"/>
    <w:rsid w:val="008E6AB6"/>
    <w:rsid w:val="008F022D"/>
    <w:rsid w:val="008F0B9E"/>
    <w:rsid w:val="008F1201"/>
    <w:rsid w:val="008F441D"/>
    <w:rsid w:val="008F7D76"/>
    <w:rsid w:val="00900F91"/>
    <w:rsid w:val="009049FA"/>
    <w:rsid w:val="00905966"/>
    <w:rsid w:val="00910628"/>
    <w:rsid w:val="00910AD2"/>
    <w:rsid w:val="0091476E"/>
    <w:rsid w:val="0092462B"/>
    <w:rsid w:val="00926A3D"/>
    <w:rsid w:val="009322EC"/>
    <w:rsid w:val="00932914"/>
    <w:rsid w:val="00934835"/>
    <w:rsid w:val="009432C8"/>
    <w:rsid w:val="00951502"/>
    <w:rsid w:val="0095188D"/>
    <w:rsid w:val="0095325F"/>
    <w:rsid w:val="00954814"/>
    <w:rsid w:val="009555D9"/>
    <w:rsid w:val="00956619"/>
    <w:rsid w:val="009567A2"/>
    <w:rsid w:val="009571AD"/>
    <w:rsid w:val="00957D47"/>
    <w:rsid w:val="0096012F"/>
    <w:rsid w:val="00960928"/>
    <w:rsid w:val="00961EB0"/>
    <w:rsid w:val="00964940"/>
    <w:rsid w:val="00965A22"/>
    <w:rsid w:val="00971C5B"/>
    <w:rsid w:val="009766D9"/>
    <w:rsid w:val="00977CF1"/>
    <w:rsid w:val="00982C57"/>
    <w:rsid w:val="00982F39"/>
    <w:rsid w:val="00983337"/>
    <w:rsid w:val="0098395C"/>
    <w:rsid w:val="00984B3C"/>
    <w:rsid w:val="00985F77"/>
    <w:rsid w:val="009901AF"/>
    <w:rsid w:val="00990F72"/>
    <w:rsid w:val="00995D61"/>
    <w:rsid w:val="009A4C3D"/>
    <w:rsid w:val="009A77F6"/>
    <w:rsid w:val="009B4640"/>
    <w:rsid w:val="009B59A9"/>
    <w:rsid w:val="009B6F31"/>
    <w:rsid w:val="009C05EE"/>
    <w:rsid w:val="009C1181"/>
    <w:rsid w:val="009C2638"/>
    <w:rsid w:val="009C4374"/>
    <w:rsid w:val="009C484D"/>
    <w:rsid w:val="009D0527"/>
    <w:rsid w:val="009D60DE"/>
    <w:rsid w:val="009D6762"/>
    <w:rsid w:val="009D7386"/>
    <w:rsid w:val="009D7FEE"/>
    <w:rsid w:val="009E2C27"/>
    <w:rsid w:val="009E3EE8"/>
    <w:rsid w:val="009E7E29"/>
    <w:rsid w:val="009F0537"/>
    <w:rsid w:val="009F1789"/>
    <w:rsid w:val="009F7C21"/>
    <w:rsid w:val="009F7C5E"/>
    <w:rsid w:val="00A00165"/>
    <w:rsid w:val="00A01F1D"/>
    <w:rsid w:val="00A02BF3"/>
    <w:rsid w:val="00A04721"/>
    <w:rsid w:val="00A05633"/>
    <w:rsid w:val="00A06621"/>
    <w:rsid w:val="00A06B53"/>
    <w:rsid w:val="00A117FA"/>
    <w:rsid w:val="00A27099"/>
    <w:rsid w:val="00A32071"/>
    <w:rsid w:val="00A338F6"/>
    <w:rsid w:val="00A35CDE"/>
    <w:rsid w:val="00A40473"/>
    <w:rsid w:val="00A4154A"/>
    <w:rsid w:val="00A437D7"/>
    <w:rsid w:val="00A47CB0"/>
    <w:rsid w:val="00A53088"/>
    <w:rsid w:val="00A53527"/>
    <w:rsid w:val="00A604B5"/>
    <w:rsid w:val="00A61F77"/>
    <w:rsid w:val="00A62906"/>
    <w:rsid w:val="00A64B51"/>
    <w:rsid w:val="00A72EA1"/>
    <w:rsid w:val="00A7562B"/>
    <w:rsid w:val="00A77392"/>
    <w:rsid w:val="00A8565D"/>
    <w:rsid w:val="00A944BB"/>
    <w:rsid w:val="00A949DE"/>
    <w:rsid w:val="00AA0092"/>
    <w:rsid w:val="00AA1177"/>
    <w:rsid w:val="00AA14E3"/>
    <w:rsid w:val="00AA1569"/>
    <w:rsid w:val="00AB47ED"/>
    <w:rsid w:val="00AC0347"/>
    <w:rsid w:val="00AC5A91"/>
    <w:rsid w:val="00AD1452"/>
    <w:rsid w:val="00AD168B"/>
    <w:rsid w:val="00AD281D"/>
    <w:rsid w:val="00AD54B9"/>
    <w:rsid w:val="00AD5FF1"/>
    <w:rsid w:val="00AD60B5"/>
    <w:rsid w:val="00AD706A"/>
    <w:rsid w:val="00AD7730"/>
    <w:rsid w:val="00AE1B07"/>
    <w:rsid w:val="00AE37FA"/>
    <w:rsid w:val="00AE4B62"/>
    <w:rsid w:val="00AE545F"/>
    <w:rsid w:val="00AE60F6"/>
    <w:rsid w:val="00AE744B"/>
    <w:rsid w:val="00AE7E9E"/>
    <w:rsid w:val="00AF0AF7"/>
    <w:rsid w:val="00AF6235"/>
    <w:rsid w:val="00AF69AA"/>
    <w:rsid w:val="00B01324"/>
    <w:rsid w:val="00B067D7"/>
    <w:rsid w:val="00B11B24"/>
    <w:rsid w:val="00B12609"/>
    <w:rsid w:val="00B13F9C"/>
    <w:rsid w:val="00B15B91"/>
    <w:rsid w:val="00B2114A"/>
    <w:rsid w:val="00B22A23"/>
    <w:rsid w:val="00B23F6F"/>
    <w:rsid w:val="00B246F6"/>
    <w:rsid w:val="00B260CF"/>
    <w:rsid w:val="00B3069A"/>
    <w:rsid w:val="00B31B33"/>
    <w:rsid w:val="00B32058"/>
    <w:rsid w:val="00B41130"/>
    <w:rsid w:val="00B42DEA"/>
    <w:rsid w:val="00B42E37"/>
    <w:rsid w:val="00B53473"/>
    <w:rsid w:val="00B577A8"/>
    <w:rsid w:val="00B66AB3"/>
    <w:rsid w:val="00B67502"/>
    <w:rsid w:val="00B67759"/>
    <w:rsid w:val="00B70639"/>
    <w:rsid w:val="00B74625"/>
    <w:rsid w:val="00B775DE"/>
    <w:rsid w:val="00B80EC7"/>
    <w:rsid w:val="00B875F5"/>
    <w:rsid w:val="00B902F2"/>
    <w:rsid w:val="00B943B6"/>
    <w:rsid w:val="00B95F1F"/>
    <w:rsid w:val="00B96373"/>
    <w:rsid w:val="00BA4043"/>
    <w:rsid w:val="00BA484A"/>
    <w:rsid w:val="00BA6C29"/>
    <w:rsid w:val="00BA6EF0"/>
    <w:rsid w:val="00BA74FB"/>
    <w:rsid w:val="00BA7999"/>
    <w:rsid w:val="00BB0BEA"/>
    <w:rsid w:val="00BB0CD9"/>
    <w:rsid w:val="00BB27B3"/>
    <w:rsid w:val="00BC0887"/>
    <w:rsid w:val="00BC14D5"/>
    <w:rsid w:val="00BD0668"/>
    <w:rsid w:val="00BD1AD9"/>
    <w:rsid w:val="00BD2003"/>
    <w:rsid w:val="00BD2073"/>
    <w:rsid w:val="00BE3D99"/>
    <w:rsid w:val="00BE6DF4"/>
    <w:rsid w:val="00BE7F14"/>
    <w:rsid w:val="00BF3BFF"/>
    <w:rsid w:val="00BF742C"/>
    <w:rsid w:val="00C01EE6"/>
    <w:rsid w:val="00C11119"/>
    <w:rsid w:val="00C12D79"/>
    <w:rsid w:val="00C13AB3"/>
    <w:rsid w:val="00C207D6"/>
    <w:rsid w:val="00C21A22"/>
    <w:rsid w:val="00C22128"/>
    <w:rsid w:val="00C2219E"/>
    <w:rsid w:val="00C22276"/>
    <w:rsid w:val="00C22F03"/>
    <w:rsid w:val="00C26102"/>
    <w:rsid w:val="00C33995"/>
    <w:rsid w:val="00C51886"/>
    <w:rsid w:val="00C53344"/>
    <w:rsid w:val="00C538D4"/>
    <w:rsid w:val="00C54A60"/>
    <w:rsid w:val="00C57105"/>
    <w:rsid w:val="00C57FEF"/>
    <w:rsid w:val="00C62AC4"/>
    <w:rsid w:val="00C64FE9"/>
    <w:rsid w:val="00C737E6"/>
    <w:rsid w:val="00C7497E"/>
    <w:rsid w:val="00C761AC"/>
    <w:rsid w:val="00C81D3D"/>
    <w:rsid w:val="00C84550"/>
    <w:rsid w:val="00C852D4"/>
    <w:rsid w:val="00C86012"/>
    <w:rsid w:val="00C878D5"/>
    <w:rsid w:val="00C914BB"/>
    <w:rsid w:val="00C91F2F"/>
    <w:rsid w:val="00C97339"/>
    <w:rsid w:val="00C975C8"/>
    <w:rsid w:val="00CA5384"/>
    <w:rsid w:val="00CA5B59"/>
    <w:rsid w:val="00CB37E5"/>
    <w:rsid w:val="00CB48EC"/>
    <w:rsid w:val="00CB6F52"/>
    <w:rsid w:val="00CC0EF0"/>
    <w:rsid w:val="00CC56AA"/>
    <w:rsid w:val="00CC6E5C"/>
    <w:rsid w:val="00CD0BD8"/>
    <w:rsid w:val="00CD2274"/>
    <w:rsid w:val="00CD3D7E"/>
    <w:rsid w:val="00CD5C65"/>
    <w:rsid w:val="00CD5F8E"/>
    <w:rsid w:val="00CE1A1F"/>
    <w:rsid w:val="00CE37BD"/>
    <w:rsid w:val="00CE4C0F"/>
    <w:rsid w:val="00CE67F4"/>
    <w:rsid w:val="00CF1DF1"/>
    <w:rsid w:val="00CF2CC5"/>
    <w:rsid w:val="00CF314E"/>
    <w:rsid w:val="00CF44DF"/>
    <w:rsid w:val="00CF7F03"/>
    <w:rsid w:val="00D0064E"/>
    <w:rsid w:val="00D00F72"/>
    <w:rsid w:val="00D021CE"/>
    <w:rsid w:val="00D04482"/>
    <w:rsid w:val="00D04E29"/>
    <w:rsid w:val="00D123A3"/>
    <w:rsid w:val="00D13622"/>
    <w:rsid w:val="00D14038"/>
    <w:rsid w:val="00D2109E"/>
    <w:rsid w:val="00D24994"/>
    <w:rsid w:val="00D24BD0"/>
    <w:rsid w:val="00D278A4"/>
    <w:rsid w:val="00D318B7"/>
    <w:rsid w:val="00D34C80"/>
    <w:rsid w:val="00D36287"/>
    <w:rsid w:val="00D36E53"/>
    <w:rsid w:val="00D37848"/>
    <w:rsid w:val="00D41191"/>
    <w:rsid w:val="00D41E74"/>
    <w:rsid w:val="00D43A99"/>
    <w:rsid w:val="00D514AD"/>
    <w:rsid w:val="00D521F6"/>
    <w:rsid w:val="00D52CCC"/>
    <w:rsid w:val="00D53AC4"/>
    <w:rsid w:val="00D5750F"/>
    <w:rsid w:val="00D63395"/>
    <w:rsid w:val="00D63CAF"/>
    <w:rsid w:val="00D641BE"/>
    <w:rsid w:val="00D7020B"/>
    <w:rsid w:val="00D716FE"/>
    <w:rsid w:val="00D755AE"/>
    <w:rsid w:val="00D761D5"/>
    <w:rsid w:val="00D7792E"/>
    <w:rsid w:val="00D83A09"/>
    <w:rsid w:val="00D8751F"/>
    <w:rsid w:val="00D901AA"/>
    <w:rsid w:val="00D919BC"/>
    <w:rsid w:val="00D976C4"/>
    <w:rsid w:val="00DA264C"/>
    <w:rsid w:val="00DA3F28"/>
    <w:rsid w:val="00DA4C27"/>
    <w:rsid w:val="00DA74C5"/>
    <w:rsid w:val="00DB1FCD"/>
    <w:rsid w:val="00DB42A6"/>
    <w:rsid w:val="00DD0318"/>
    <w:rsid w:val="00DD21C4"/>
    <w:rsid w:val="00DD2337"/>
    <w:rsid w:val="00DD4A80"/>
    <w:rsid w:val="00DE0FDA"/>
    <w:rsid w:val="00DE388F"/>
    <w:rsid w:val="00DF02A3"/>
    <w:rsid w:val="00DF467B"/>
    <w:rsid w:val="00DF6157"/>
    <w:rsid w:val="00DF76A5"/>
    <w:rsid w:val="00E02471"/>
    <w:rsid w:val="00E062C9"/>
    <w:rsid w:val="00E06704"/>
    <w:rsid w:val="00E11579"/>
    <w:rsid w:val="00E12B96"/>
    <w:rsid w:val="00E1793F"/>
    <w:rsid w:val="00E22671"/>
    <w:rsid w:val="00E23140"/>
    <w:rsid w:val="00E235E6"/>
    <w:rsid w:val="00E26D3C"/>
    <w:rsid w:val="00E303EC"/>
    <w:rsid w:val="00E42897"/>
    <w:rsid w:val="00E44033"/>
    <w:rsid w:val="00E45193"/>
    <w:rsid w:val="00E46F97"/>
    <w:rsid w:val="00E50136"/>
    <w:rsid w:val="00E52DE0"/>
    <w:rsid w:val="00E53879"/>
    <w:rsid w:val="00E55AA8"/>
    <w:rsid w:val="00E64978"/>
    <w:rsid w:val="00E65A10"/>
    <w:rsid w:val="00E668BE"/>
    <w:rsid w:val="00E66EF3"/>
    <w:rsid w:val="00E70EB2"/>
    <w:rsid w:val="00E73612"/>
    <w:rsid w:val="00E75B8E"/>
    <w:rsid w:val="00E76A07"/>
    <w:rsid w:val="00E76CE9"/>
    <w:rsid w:val="00E85088"/>
    <w:rsid w:val="00E9146B"/>
    <w:rsid w:val="00E953E9"/>
    <w:rsid w:val="00E9795F"/>
    <w:rsid w:val="00EA0376"/>
    <w:rsid w:val="00EA5681"/>
    <w:rsid w:val="00EA59FA"/>
    <w:rsid w:val="00EA634E"/>
    <w:rsid w:val="00EA760C"/>
    <w:rsid w:val="00EA788B"/>
    <w:rsid w:val="00EB02FD"/>
    <w:rsid w:val="00EB1019"/>
    <w:rsid w:val="00EB4354"/>
    <w:rsid w:val="00EB4410"/>
    <w:rsid w:val="00EB46B4"/>
    <w:rsid w:val="00EB6A37"/>
    <w:rsid w:val="00EB73BE"/>
    <w:rsid w:val="00EC00F0"/>
    <w:rsid w:val="00EC6A79"/>
    <w:rsid w:val="00ED098A"/>
    <w:rsid w:val="00EE1E39"/>
    <w:rsid w:val="00EE658D"/>
    <w:rsid w:val="00EE69B0"/>
    <w:rsid w:val="00EF0176"/>
    <w:rsid w:val="00EF0880"/>
    <w:rsid w:val="00EF1FE9"/>
    <w:rsid w:val="00EF456E"/>
    <w:rsid w:val="00EF7BC4"/>
    <w:rsid w:val="00F0126F"/>
    <w:rsid w:val="00F02AFA"/>
    <w:rsid w:val="00F02C3C"/>
    <w:rsid w:val="00F0467E"/>
    <w:rsid w:val="00F04974"/>
    <w:rsid w:val="00F05009"/>
    <w:rsid w:val="00F0560E"/>
    <w:rsid w:val="00F05D81"/>
    <w:rsid w:val="00F1171F"/>
    <w:rsid w:val="00F119C9"/>
    <w:rsid w:val="00F1248E"/>
    <w:rsid w:val="00F1398C"/>
    <w:rsid w:val="00F13CF9"/>
    <w:rsid w:val="00F147B7"/>
    <w:rsid w:val="00F14ED8"/>
    <w:rsid w:val="00F17137"/>
    <w:rsid w:val="00F21CE7"/>
    <w:rsid w:val="00F22A5C"/>
    <w:rsid w:val="00F22E8E"/>
    <w:rsid w:val="00F240D7"/>
    <w:rsid w:val="00F26322"/>
    <w:rsid w:val="00F27095"/>
    <w:rsid w:val="00F32F3B"/>
    <w:rsid w:val="00F34DA8"/>
    <w:rsid w:val="00F35B53"/>
    <w:rsid w:val="00F36A2F"/>
    <w:rsid w:val="00F37CE8"/>
    <w:rsid w:val="00F4396B"/>
    <w:rsid w:val="00F44063"/>
    <w:rsid w:val="00F460D3"/>
    <w:rsid w:val="00F54564"/>
    <w:rsid w:val="00F574B4"/>
    <w:rsid w:val="00F6044D"/>
    <w:rsid w:val="00F605FA"/>
    <w:rsid w:val="00F60F84"/>
    <w:rsid w:val="00F64065"/>
    <w:rsid w:val="00F750AB"/>
    <w:rsid w:val="00F75868"/>
    <w:rsid w:val="00F77B77"/>
    <w:rsid w:val="00F80385"/>
    <w:rsid w:val="00F8515D"/>
    <w:rsid w:val="00F85803"/>
    <w:rsid w:val="00F87365"/>
    <w:rsid w:val="00F87690"/>
    <w:rsid w:val="00F90CAB"/>
    <w:rsid w:val="00F91111"/>
    <w:rsid w:val="00F912C8"/>
    <w:rsid w:val="00F948C0"/>
    <w:rsid w:val="00F96C29"/>
    <w:rsid w:val="00FA077A"/>
    <w:rsid w:val="00FA0C7D"/>
    <w:rsid w:val="00FA14F6"/>
    <w:rsid w:val="00FA1BFF"/>
    <w:rsid w:val="00FA24EC"/>
    <w:rsid w:val="00FA5557"/>
    <w:rsid w:val="00FC42B0"/>
    <w:rsid w:val="00FC4BEB"/>
    <w:rsid w:val="00FD316B"/>
    <w:rsid w:val="00FD3AF6"/>
    <w:rsid w:val="00FD5F91"/>
    <w:rsid w:val="00FD68AB"/>
    <w:rsid w:val="00FE202F"/>
    <w:rsid w:val="00FE22AD"/>
    <w:rsid w:val="00FF07C3"/>
    <w:rsid w:val="00FF1986"/>
    <w:rsid w:val="00FF27FC"/>
    <w:rsid w:val="00FF4175"/>
    <w:rsid w:val="00FF557A"/>
    <w:rsid w:val="013E363B"/>
    <w:rsid w:val="0159360B"/>
    <w:rsid w:val="01947D97"/>
    <w:rsid w:val="01A77D50"/>
    <w:rsid w:val="02A867CD"/>
    <w:rsid w:val="02FE3E7B"/>
    <w:rsid w:val="035F66CA"/>
    <w:rsid w:val="0483158B"/>
    <w:rsid w:val="04A24407"/>
    <w:rsid w:val="04B85BBF"/>
    <w:rsid w:val="04CF0985"/>
    <w:rsid w:val="050B617F"/>
    <w:rsid w:val="051A074D"/>
    <w:rsid w:val="055E48E3"/>
    <w:rsid w:val="058647A8"/>
    <w:rsid w:val="05E424EF"/>
    <w:rsid w:val="0617297E"/>
    <w:rsid w:val="06296988"/>
    <w:rsid w:val="06480B2D"/>
    <w:rsid w:val="06C563DC"/>
    <w:rsid w:val="07CC7D4D"/>
    <w:rsid w:val="07FD6216"/>
    <w:rsid w:val="08370950"/>
    <w:rsid w:val="0919084E"/>
    <w:rsid w:val="09B05DBA"/>
    <w:rsid w:val="0A5106C6"/>
    <w:rsid w:val="0A8F2A0F"/>
    <w:rsid w:val="0AD03AD5"/>
    <w:rsid w:val="0B0A1EB8"/>
    <w:rsid w:val="0B463BD4"/>
    <w:rsid w:val="0C18485E"/>
    <w:rsid w:val="0C1D02D1"/>
    <w:rsid w:val="0D21548C"/>
    <w:rsid w:val="0D3253F4"/>
    <w:rsid w:val="0D3E3CCB"/>
    <w:rsid w:val="0D4140E8"/>
    <w:rsid w:val="0E94693B"/>
    <w:rsid w:val="0E9E4764"/>
    <w:rsid w:val="0ECA07E3"/>
    <w:rsid w:val="0EDA2E26"/>
    <w:rsid w:val="0EF12AE6"/>
    <w:rsid w:val="0F031129"/>
    <w:rsid w:val="0F1E01E8"/>
    <w:rsid w:val="0FC01DAB"/>
    <w:rsid w:val="0FD2264C"/>
    <w:rsid w:val="10C9177A"/>
    <w:rsid w:val="10D26BEF"/>
    <w:rsid w:val="11612C8D"/>
    <w:rsid w:val="11D6711E"/>
    <w:rsid w:val="12454C4B"/>
    <w:rsid w:val="12473DA0"/>
    <w:rsid w:val="129A664B"/>
    <w:rsid w:val="135C5A1C"/>
    <w:rsid w:val="13887E3E"/>
    <w:rsid w:val="142D172F"/>
    <w:rsid w:val="157507DE"/>
    <w:rsid w:val="158239A9"/>
    <w:rsid w:val="158A3AB7"/>
    <w:rsid w:val="15F31839"/>
    <w:rsid w:val="164975EC"/>
    <w:rsid w:val="166670AC"/>
    <w:rsid w:val="16AB3EC2"/>
    <w:rsid w:val="170D302D"/>
    <w:rsid w:val="17103F33"/>
    <w:rsid w:val="179E413F"/>
    <w:rsid w:val="18196E2D"/>
    <w:rsid w:val="1853036D"/>
    <w:rsid w:val="18C179CD"/>
    <w:rsid w:val="19257F5C"/>
    <w:rsid w:val="193D11DB"/>
    <w:rsid w:val="19993EAA"/>
    <w:rsid w:val="1A0E5688"/>
    <w:rsid w:val="1A0F29BA"/>
    <w:rsid w:val="1A290596"/>
    <w:rsid w:val="1A7C169E"/>
    <w:rsid w:val="1A977F74"/>
    <w:rsid w:val="1AE203B6"/>
    <w:rsid w:val="1BE37EB0"/>
    <w:rsid w:val="1BF9122C"/>
    <w:rsid w:val="1BFF7433"/>
    <w:rsid w:val="1C673EDF"/>
    <w:rsid w:val="1D6C2283"/>
    <w:rsid w:val="1DCF7DC8"/>
    <w:rsid w:val="1E04606C"/>
    <w:rsid w:val="1E3D18A3"/>
    <w:rsid w:val="1EB670C7"/>
    <w:rsid w:val="1EC720A3"/>
    <w:rsid w:val="1ED8781E"/>
    <w:rsid w:val="1F37164A"/>
    <w:rsid w:val="1F8930E8"/>
    <w:rsid w:val="1FE7780D"/>
    <w:rsid w:val="20B3409F"/>
    <w:rsid w:val="20B77218"/>
    <w:rsid w:val="20C13C97"/>
    <w:rsid w:val="211468B6"/>
    <w:rsid w:val="21306D84"/>
    <w:rsid w:val="21353BB1"/>
    <w:rsid w:val="215A276C"/>
    <w:rsid w:val="221E6B8B"/>
    <w:rsid w:val="228C315B"/>
    <w:rsid w:val="22B45EAC"/>
    <w:rsid w:val="231D7067"/>
    <w:rsid w:val="23300BAD"/>
    <w:rsid w:val="236773C3"/>
    <w:rsid w:val="23964B46"/>
    <w:rsid w:val="242B5226"/>
    <w:rsid w:val="24680FE6"/>
    <w:rsid w:val="24774E0B"/>
    <w:rsid w:val="24B232AD"/>
    <w:rsid w:val="264A41E8"/>
    <w:rsid w:val="266C2215"/>
    <w:rsid w:val="27E17743"/>
    <w:rsid w:val="27EA47C0"/>
    <w:rsid w:val="27FD07A7"/>
    <w:rsid w:val="28006A4A"/>
    <w:rsid w:val="28441A80"/>
    <w:rsid w:val="28552771"/>
    <w:rsid w:val="28860B93"/>
    <w:rsid w:val="28A455DA"/>
    <w:rsid w:val="28E500D4"/>
    <w:rsid w:val="29CB4750"/>
    <w:rsid w:val="2AAF479F"/>
    <w:rsid w:val="2B4F4724"/>
    <w:rsid w:val="2B8F395A"/>
    <w:rsid w:val="2BA85F37"/>
    <w:rsid w:val="2BC56C8D"/>
    <w:rsid w:val="2C322CE5"/>
    <w:rsid w:val="2D053ED4"/>
    <w:rsid w:val="2D4D2C1F"/>
    <w:rsid w:val="2D7C7910"/>
    <w:rsid w:val="2DB71EC9"/>
    <w:rsid w:val="2F2B1E18"/>
    <w:rsid w:val="2F3E44AB"/>
    <w:rsid w:val="2F753BBA"/>
    <w:rsid w:val="2FFF6917"/>
    <w:rsid w:val="3053536A"/>
    <w:rsid w:val="307D2FAF"/>
    <w:rsid w:val="31ED412D"/>
    <w:rsid w:val="32307E48"/>
    <w:rsid w:val="324A7279"/>
    <w:rsid w:val="32E05695"/>
    <w:rsid w:val="332A2BF7"/>
    <w:rsid w:val="336D4799"/>
    <w:rsid w:val="33874452"/>
    <w:rsid w:val="344E4632"/>
    <w:rsid w:val="34B614ED"/>
    <w:rsid w:val="34E76808"/>
    <w:rsid w:val="34FE0537"/>
    <w:rsid w:val="3594523F"/>
    <w:rsid w:val="35C20A37"/>
    <w:rsid w:val="35F1149A"/>
    <w:rsid w:val="36A321C9"/>
    <w:rsid w:val="36FF3742"/>
    <w:rsid w:val="373227C5"/>
    <w:rsid w:val="374151BC"/>
    <w:rsid w:val="37BA3B0D"/>
    <w:rsid w:val="37D736FC"/>
    <w:rsid w:val="38685317"/>
    <w:rsid w:val="387D59A4"/>
    <w:rsid w:val="388873C0"/>
    <w:rsid w:val="38DA4E90"/>
    <w:rsid w:val="38E22CC5"/>
    <w:rsid w:val="38FF575A"/>
    <w:rsid w:val="39621785"/>
    <w:rsid w:val="39B441DE"/>
    <w:rsid w:val="39FA28E7"/>
    <w:rsid w:val="3A8908E5"/>
    <w:rsid w:val="3AC0768C"/>
    <w:rsid w:val="3AD56272"/>
    <w:rsid w:val="3BAA14B4"/>
    <w:rsid w:val="3BC45E5C"/>
    <w:rsid w:val="3BC53B67"/>
    <w:rsid w:val="3BCE5A48"/>
    <w:rsid w:val="3BE63123"/>
    <w:rsid w:val="3BFF09C4"/>
    <w:rsid w:val="3CCB5B88"/>
    <w:rsid w:val="3D2F0206"/>
    <w:rsid w:val="3DEF3EBC"/>
    <w:rsid w:val="3EBF41E8"/>
    <w:rsid w:val="3F051B12"/>
    <w:rsid w:val="3F753EC6"/>
    <w:rsid w:val="400D0B0A"/>
    <w:rsid w:val="40512B35"/>
    <w:rsid w:val="40B02959"/>
    <w:rsid w:val="40C652D1"/>
    <w:rsid w:val="41527AF1"/>
    <w:rsid w:val="41C860BB"/>
    <w:rsid w:val="41DB5C21"/>
    <w:rsid w:val="422903C7"/>
    <w:rsid w:val="42B20202"/>
    <w:rsid w:val="42F500EF"/>
    <w:rsid w:val="4348341F"/>
    <w:rsid w:val="434D1CD9"/>
    <w:rsid w:val="43870245"/>
    <w:rsid w:val="448C383B"/>
    <w:rsid w:val="44C34DC3"/>
    <w:rsid w:val="44DC6243"/>
    <w:rsid w:val="44F06DC0"/>
    <w:rsid w:val="46813441"/>
    <w:rsid w:val="46D82015"/>
    <w:rsid w:val="474A0399"/>
    <w:rsid w:val="47713B67"/>
    <w:rsid w:val="47EB51DD"/>
    <w:rsid w:val="486612CD"/>
    <w:rsid w:val="490F61D3"/>
    <w:rsid w:val="49492F43"/>
    <w:rsid w:val="498D2F41"/>
    <w:rsid w:val="49D44999"/>
    <w:rsid w:val="4AE05B63"/>
    <w:rsid w:val="4AFE5CE2"/>
    <w:rsid w:val="4B180E1F"/>
    <w:rsid w:val="4B1C5DF3"/>
    <w:rsid w:val="4B62341C"/>
    <w:rsid w:val="4C112746"/>
    <w:rsid w:val="4C1D642B"/>
    <w:rsid w:val="4C500166"/>
    <w:rsid w:val="4C72447C"/>
    <w:rsid w:val="4CC72CAB"/>
    <w:rsid w:val="4CF06CE5"/>
    <w:rsid w:val="4D6E2638"/>
    <w:rsid w:val="4D795438"/>
    <w:rsid w:val="4D974004"/>
    <w:rsid w:val="4E14444E"/>
    <w:rsid w:val="500C1C06"/>
    <w:rsid w:val="50A078EC"/>
    <w:rsid w:val="50C65541"/>
    <w:rsid w:val="50EF617E"/>
    <w:rsid w:val="51A512E4"/>
    <w:rsid w:val="52700E23"/>
    <w:rsid w:val="52E350B6"/>
    <w:rsid w:val="53165B91"/>
    <w:rsid w:val="5456226D"/>
    <w:rsid w:val="54AA0D3A"/>
    <w:rsid w:val="552205E1"/>
    <w:rsid w:val="55497E74"/>
    <w:rsid w:val="55592936"/>
    <w:rsid w:val="55706898"/>
    <w:rsid w:val="598C1ACD"/>
    <w:rsid w:val="5A121BEB"/>
    <w:rsid w:val="5A866DA4"/>
    <w:rsid w:val="5AF436CD"/>
    <w:rsid w:val="5B77631F"/>
    <w:rsid w:val="5B973484"/>
    <w:rsid w:val="5B9B00D8"/>
    <w:rsid w:val="5BB30FB4"/>
    <w:rsid w:val="5BE2525D"/>
    <w:rsid w:val="5BE70484"/>
    <w:rsid w:val="5BEF321D"/>
    <w:rsid w:val="5D964B75"/>
    <w:rsid w:val="5DEE02FC"/>
    <w:rsid w:val="5E0F4BB3"/>
    <w:rsid w:val="5E421FE3"/>
    <w:rsid w:val="5E8E504F"/>
    <w:rsid w:val="5E916AC6"/>
    <w:rsid w:val="5EAC795D"/>
    <w:rsid w:val="5EDA13BB"/>
    <w:rsid w:val="5F3F0364"/>
    <w:rsid w:val="5F724466"/>
    <w:rsid w:val="5F951AE0"/>
    <w:rsid w:val="5FD2471B"/>
    <w:rsid w:val="606D21F7"/>
    <w:rsid w:val="606D7484"/>
    <w:rsid w:val="6146003C"/>
    <w:rsid w:val="615609CB"/>
    <w:rsid w:val="61AA0CE7"/>
    <w:rsid w:val="62140816"/>
    <w:rsid w:val="621838CA"/>
    <w:rsid w:val="62A07339"/>
    <w:rsid w:val="62A279D4"/>
    <w:rsid w:val="62E9372D"/>
    <w:rsid w:val="62FB3D81"/>
    <w:rsid w:val="6368180F"/>
    <w:rsid w:val="63A22055"/>
    <w:rsid w:val="63CF4AE5"/>
    <w:rsid w:val="644840CB"/>
    <w:rsid w:val="64E8140A"/>
    <w:rsid w:val="64E83DE8"/>
    <w:rsid w:val="659075E3"/>
    <w:rsid w:val="65E91D3A"/>
    <w:rsid w:val="66142FF9"/>
    <w:rsid w:val="66377F53"/>
    <w:rsid w:val="66E12873"/>
    <w:rsid w:val="676902A0"/>
    <w:rsid w:val="68606DE0"/>
    <w:rsid w:val="6915551B"/>
    <w:rsid w:val="69764B8E"/>
    <w:rsid w:val="69B0089B"/>
    <w:rsid w:val="69BD7689"/>
    <w:rsid w:val="69C62F50"/>
    <w:rsid w:val="69CB09DF"/>
    <w:rsid w:val="69EB1780"/>
    <w:rsid w:val="69FF0422"/>
    <w:rsid w:val="6A0012AE"/>
    <w:rsid w:val="6A151567"/>
    <w:rsid w:val="6AEB1D96"/>
    <w:rsid w:val="6AF02A66"/>
    <w:rsid w:val="6B3A6EA4"/>
    <w:rsid w:val="6B534D91"/>
    <w:rsid w:val="6B561B4F"/>
    <w:rsid w:val="6C1E3D4C"/>
    <w:rsid w:val="6C663340"/>
    <w:rsid w:val="6C750AB3"/>
    <w:rsid w:val="6D1B3766"/>
    <w:rsid w:val="6D4351F7"/>
    <w:rsid w:val="6DB11F10"/>
    <w:rsid w:val="6E6F491C"/>
    <w:rsid w:val="6F25256D"/>
    <w:rsid w:val="6F694BAF"/>
    <w:rsid w:val="6F9027C0"/>
    <w:rsid w:val="6FE05B45"/>
    <w:rsid w:val="7000532B"/>
    <w:rsid w:val="708E7A30"/>
    <w:rsid w:val="70CC2581"/>
    <w:rsid w:val="713036D2"/>
    <w:rsid w:val="715440AF"/>
    <w:rsid w:val="71850C91"/>
    <w:rsid w:val="71F45626"/>
    <w:rsid w:val="72545FD4"/>
    <w:rsid w:val="725C6D91"/>
    <w:rsid w:val="72D14A28"/>
    <w:rsid w:val="732E081E"/>
    <w:rsid w:val="73B250BD"/>
    <w:rsid w:val="74224046"/>
    <w:rsid w:val="74C27E37"/>
    <w:rsid w:val="74E53B21"/>
    <w:rsid w:val="74FB0528"/>
    <w:rsid w:val="751C70CD"/>
    <w:rsid w:val="7613279D"/>
    <w:rsid w:val="764D608B"/>
    <w:rsid w:val="76D4579C"/>
    <w:rsid w:val="770D3478"/>
    <w:rsid w:val="77B24541"/>
    <w:rsid w:val="7902228B"/>
    <w:rsid w:val="79052133"/>
    <w:rsid w:val="79073899"/>
    <w:rsid w:val="79607C42"/>
    <w:rsid w:val="79674B9C"/>
    <w:rsid w:val="79CC5372"/>
    <w:rsid w:val="79F10830"/>
    <w:rsid w:val="79FC6D20"/>
    <w:rsid w:val="7B60727A"/>
    <w:rsid w:val="7BF14C64"/>
    <w:rsid w:val="7C474E25"/>
    <w:rsid w:val="7C875743"/>
    <w:rsid w:val="7D8B1D1D"/>
    <w:rsid w:val="7E48330B"/>
    <w:rsid w:val="7E627207"/>
    <w:rsid w:val="7E790021"/>
    <w:rsid w:val="7EA01E1C"/>
    <w:rsid w:val="7F2E3E35"/>
    <w:rsid w:val="7F304154"/>
    <w:rsid w:val="7F7A0919"/>
    <w:rsid w:val="7FE13F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41"/>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3"/>
    <w:qFormat/>
    <w:uiPriority w:val="99"/>
    <w:pPr>
      <w:keepNext/>
      <w:keepLines/>
      <w:spacing w:before="260" w:after="260" w:line="413" w:lineRule="auto"/>
      <w:outlineLvl w:val="2"/>
    </w:pPr>
    <w:rPr>
      <w:rFonts w:ascii="Calibri" w:hAnsi="Calibri" w:eastAsia="宋体" w:cs="Times New Roman"/>
      <w:b/>
      <w:sz w:val="32"/>
    </w:rPr>
  </w:style>
  <w:style w:type="paragraph" w:styleId="5">
    <w:name w:val="heading 4"/>
    <w:basedOn w:val="1"/>
    <w:next w:val="1"/>
    <w:link w:val="47"/>
    <w:qFormat/>
    <w:uiPriority w:val="99"/>
    <w:pPr>
      <w:keepNext/>
      <w:keepLines/>
      <w:spacing w:before="280" w:after="290" w:line="376" w:lineRule="auto"/>
      <w:outlineLvl w:val="3"/>
    </w:pPr>
    <w:rPr>
      <w:rFonts w:ascii="Calibri Light" w:hAnsi="Calibri Light" w:eastAsia="宋体" w:cs="Times New Roman"/>
      <w:b/>
      <w:bCs/>
      <w:sz w:val="28"/>
      <w:szCs w:val="28"/>
    </w:rPr>
  </w:style>
  <w:style w:type="paragraph" w:styleId="6">
    <w:name w:val="heading 5"/>
    <w:basedOn w:val="1"/>
    <w:next w:val="1"/>
    <w:link w:val="48"/>
    <w:qFormat/>
    <w:uiPriority w:val="99"/>
    <w:pPr>
      <w:keepNext/>
      <w:keepLines/>
      <w:spacing w:before="280" w:after="290" w:line="376" w:lineRule="auto"/>
      <w:outlineLvl w:val="4"/>
    </w:pPr>
    <w:rPr>
      <w:rFonts w:ascii="Calibri" w:hAnsi="Calibri" w:eastAsia="宋体" w:cs="Times New Roman"/>
      <w:b/>
      <w:bCs/>
      <w:sz w:val="28"/>
      <w:szCs w:val="28"/>
    </w:rPr>
  </w:style>
  <w:style w:type="paragraph" w:styleId="7">
    <w:name w:val="heading 6"/>
    <w:basedOn w:val="1"/>
    <w:next w:val="1"/>
    <w:link w:val="45"/>
    <w:qFormat/>
    <w:uiPriority w:val="99"/>
    <w:pPr>
      <w:keepNext/>
      <w:keepLines/>
      <w:spacing w:before="240" w:after="64" w:line="320" w:lineRule="auto"/>
      <w:outlineLvl w:val="5"/>
    </w:pPr>
    <w:rPr>
      <w:rFonts w:ascii="Calibri Light" w:hAnsi="Calibri Light" w:eastAsia="宋体" w:cs="Times New Roman"/>
      <w:b/>
      <w:bCs/>
      <w:sz w:val="24"/>
      <w:szCs w:val="24"/>
    </w:rPr>
  </w:style>
  <w:style w:type="paragraph" w:styleId="8">
    <w:name w:val="heading 7"/>
    <w:basedOn w:val="1"/>
    <w:next w:val="1"/>
    <w:link w:val="49"/>
    <w:qFormat/>
    <w:uiPriority w:val="99"/>
    <w:pPr>
      <w:keepNext/>
      <w:keepLines/>
      <w:spacing w:before="240" w:after="64" w:line="320" w:lineRule="auto"/>
      <w:outlineLvl w:val="6"/>
    </w:pPr>
    <w:rPr>
      <w:rFonts w:ascii="Calibri" w:hAnsi="Calibri" w:eastAsia="宋体" w:cs="Times New Roman"/>
      <w:b/>
      <w:bCs/>
      <w:sz w:val="24"/>
      <w:szCs w:val="24"/>
    </w:rPr>
  </w:style>
  <w:style w:type="paragraph" w:styleId="9">
    <w:name w:val="heading 8"/>
    <w:basedOn w:val="1"/>
    <w:next w:val="1"/>
    <w:link w:val="50"/>
    <w:qFormat/>
    <w:uiPriority w:val="99"/>
    <w:pPr>
      <w:keepNext/>
      <w:keepLines/>
      <w:spacing w:before="240" w:after="64" w:line="320" w:lineRule="auto"/>
      <w:outlineLvl w:val="7"/>
    </w:pPr>
    <w:rPr>
      <w:rFonts w:ascii="Calibri Light" w:hAnsi="Calibri Light" w:eastAsia="宋体" w:cs="Times New Roman"/>
      <w:sz w:val="24"/>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qFormat/>
    <w:uiPriority w:val="0"/>
    <w:pPr>
      <w:ind w:firstLine="420"/>
    </w:pPr>
    <w:rPr>
      <w:rFonts w:ascii="Times New Roman" w:hAnsi="Times New Roman"/>
      <w:sz w:val="20"/>
      <w:szCs w:val="20"/>
    </w:rPr>
  </w:style>
  <w:style w:type="paragraph" w:styleId="11">
    <w:name w:val="Document Map"/>
    <w:basedOn w:val="1"/>
    <w:link w:val="58"/>
    <w:semiHidden/>
    <w:unhideWhenUsed/>
    <w:qFormat/>
    <w:uiPriority w:val="99"/>
    <w:rPr>
      <w:rFonts w:ascii="宋体" w:eastAsia="宋体"/>
      <w:sz w:val="18"/>
      <w:szCs w:val="18"/>
    </w:rPr>
  </w:style>
  <w:style w:type="paragraph" w:styleId="12">
    <w:name w:val="annotation text"/>
    <w:basedOn w:val="1"/>
    <w:link w:val="51"/>
    <w:semiHidden/>
    <w:unhideWhenUsed/>
    <w:qFormat/>
    <w:uiPriority w:val="99"/>
    <w:pPr>
      <w:jc w:val="left"/>
    </w:pPr>
  </w:style>
  <w:style w:type="paragraph" w:styleId="13">
    <w:name w:val="Body Text"/>
    <w:basedOn w:val="1"/>
    <w:link w:val="60"/>
    <w:qFormat/>
    <w:uiPriority w:val="99"/>
    <w:rPr>
      <w:rFonts w:ascii="Times New Roman" w:hAnsi="Times New Roman" w:eastAsia="宋体" w:cs="Times New Roman"/>
      <w:sz w:val="28"/>
      <w:szCs w:val="24"/>
    </w:rPr>
  </w:style>
  <w:style w:type="paragraph" w:styleId="14">
    <w:name w:val="Body Text Indent"/>
    <w:basedOn w:val="1"/>
    <w:next w:val="1"/>
    <w:qFormat/>
    <w:uiPriority w:val="0"/>
    <w:pPr>
      <w:suppressAutoHyphens/>
      <w:snapToGrid w:val="0"/>
      <w:spacing w:line="360" w:lineRule="auto"/>
      <w:ind w:firstLine="240" w:firstLineChars="100"/>
    </w:pPr>
    <w:rPr>
      <w:rFonts w:ascii="宋体"/>
      <w:kern w:val="1"/>
      <w:sz w:val="24"/>
      <w:lang w:eastAsia="ar-SA"/>
    </w:rPr>
  </w:style>
  <w:style w:type="paragraph" w:styleId="15">
    <w:name w:val="Block Text"/>
    <w:basedOn w:val="1"/>
    <w:qFormat/>
    <w:uiPriority w:val="0"/>
    <w:pPr>
      <w:spacing w:line="400" w:lineRule="exact"/>
      <w:ind w:left="-359" w:leftChars="-171" w:right="-327" w:rightChars="-327" w:firstLine="720"/>
    </w:pPr>
    <w:rPr>
      <w:rFonts w:ascii="宋体" w:hAnsi="宋体"/>
      <w:sz w:val="28"/>
    </w:rPr>
  </w:style>
  <w:style w:type="paragraph" w:styleId="16">
    <w:name w:val="toc 3"/>
    <w:basedOn w:val="1"/>
    <w:next w:val="1"/>
    <w:qFormat/>
    <w:uiPriority w:val="39"/>
    <w:pPr>
      <w:ind w:left="840" w:leftChars="400"/>
    </w:pPr>
  </w:style>
  <w:style w:type="paragraph" w:styleId="17">
    <w:name w:val="Plain Text"/>
    <w:basedOn w:val="1"/>
    <w:link w:val="46"/>
    <w:qFormat/>
    <w:uiPriority w:val="0"/>
    <w:rPr>
      <w:rFonts w:ascii="宋体" w:hAnsi="Courier New" w:eastAsia="宋体" w:cs="Courier New"/>
      <w:szCs w:val="21"/>
    </w:rPr>
  </w:style>
  <w:style w:type="paragraph" w:styleId="18">
    <w:name w:val="Date"/>
    <w:basedOn w:val="1"/>
    <w:next w:val="1"/>
    <w:qFormat/>
    <w:uiPriority w:val="0"/>
    <w:pPr>
      <w:widowControl w:val="0"/>
      <w:jc w:val="both"/>
    </w:pPr>
    <w:rPr>
      <w:kern w:val="2"/>
      <w:sz w:val="24"/>
      <w:lang w:eastAsia="zh-CN"/>
    </w:rPr>
  </w:style>
  <w:style w:type="paragraph" w:styleId="19">
    <w:name w:val="Body Text Indent 2"/>
    <w:basedOn w:val="1"/>
    <w:link w:val="59"/>
    <w:qFormat/>
    <w:uiPriority w:val="99"/>
    <w:pPr>
      <w:spacing w:line="360" w:lineRule="auto"/>
      <w:ind w:firstLine="480" w:firstLineChars="200"/>
    </w:pPr>
    <w:rPr>
      <w:rFonts w:ascii="Times New Roman" w:hAnsi="Times New Roman" w:eastAsia="宋体" w:cs="Times New Roman"/>
      <w:sz w:val="24"/>
      <w:szCs w:val="24"/>
    </w:rPr>
  </w:style>
  <w:style w:type="paragraph" w:styleId="20">
    <w:name w:val="Balloon Text"/>
    <w:basedOn w:val="1"/>
    <w:link w:val="53"/>
    <w:unhideWhenUsed/>
    <w:qFormat/>
    <w:uiPriority w:val="0"/>
    <w:rPr>
      <w:sz w:val="18"/>
      <w:szCs w:val="18"/>
    </w:rPr>
  </w:style>
  <w:style w:type="paragraph" w:styleId="21">
    <w:name w:val="footer"/>
    <w:basedOn w:val="1"/>
    <w:link w:val="44"/>
    <w:unhideWhenUsed/>
    <w:qFormat/>
    <w:uiPriority w:val="99"/>
    <w:pPr>
      <w:tabs>
        <w:tab w:val="center" w:pos="4153"/>
        <w:tab w:val="right" w:pos="8306"/>
      </w:tabs>
      <w:snapToGrid w:val="0"/>
      <w:jc w:val="left"/>
    </w:pPr>
    <w:rPr>
      <w:sz w:val="18"/>
      <w:szCs w:val="18"/>
    </w:rPr>
  </w:style>
  <w:style w:type="paragraph" w:styleId="22">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3">
    <w:name w:val="toc 1"/>
    <w:basedOn w:val="1"/>
    <w:next w:val="1"/>
    <w:unhideWhenUsed/>
    <w:qFormat/>
    <w:uiPriority w:val="39"/>
  </w:style>
  <w:style w:type="paragraph" w:styleId="24">
    <w:name w:val="toc 2"/>
    <w:basedOn w:val="1"/>
    <w:next w:val="1"/>
    <w:unhideWhenUsed/>
    <w:qFormat/>
    <w:uiPriority w:val="39"/>
    <w:pPr>
      <w:ind w:left="420" w:leftChars="200"/>
    </w:pPr>
  </w:style>
  <w:style w:type="paragraph" w:styleId="25">
    <w:name w:val="Normal (Web)"/>
    <w:basedOn w:val="1"/>
    <w:qFormat/>
    <w:uiPriority w:val="0"/>
    <w:pPr>
      <w:spacing w:before="100" w:beforeAutospacing="1" w:after="100" w:afterAutospacing="1"/>
      <w:jc w:val="left"/>
    </w:pPr>
    <w:rPr>
      <w:rFonts w:cs="Times New Roman"/>
      <w:kern w:val="0"/>
      <w:sz w:val="24"/>
    </w:rPr>
  </w:style>
  <w:style w:type="paragraph" w:styleId="26">
    <w:name w:val="Title"/>
    <w:basedOn w:val="1"/>
    <w:next w:val="1"/>
    <w:qFormat/>
    <w:uiPriority w:val="0"/>
    <w:pPr>
      <w:spacing w:before="240" w:after="60"/>
      <w:outlineLvl w:val="0"/>
    </w:pPr>
    <w:rPr>
      <w:rFonts w:ascii="Arial" w:hAnsi="Arial"/>
      <w:bCs/>
      <w:sz w:val="20"/>
      <w:szCs w:val="32"/>
    </w:rPr>
  </w:style>
  <w:style w:type="paragraph" w:styleId="27">
    <w:name w:val="annotation subject"/>
    <w:basedOn w:val="12"/>
    <w:next w:val="12"/>
    <w:link w:val="52"/>
    <w:semiHidden/>
    <w:unhideWhenUsed/>
    <w:qFormat/>
    <w:uiPriority w:val="99"/>
    <w:rPr>
      <w:b/>
      <w:bCs/>
    </w:rPr>
  </w:style>
  <w:style w:type="paragraph" w:styleId="28">
    <w:name w:val="Body Text First Indent 2"/>
    <w:basedOn w:val="14"/>
    <w:next w:val="15"/>
    <w:qFormat/>
    <w:uiPriority w:val="99"/>
    <w:pPr>
      <w:ind w:firstLine="420" w:firstLineChars="200"/>
    </w:pPr>
  </w:style>
  <w:style w:type="table" w:styleId="30">
    <w:name w:val="Table Grid"/>
    <w:basedOn w:val="29"/>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22"/>
    <w:rPr>
      <w:b/>
    </w:rPr>
  </w:style>
  <w:style w:type="character" w:styleId="33">
    <w:name w:val="FollowedHyperlink"/>
    <w:basedOn w:val="31"/>
    <w:semiHidden/>
    <w:unhideWhenUsed/>
    <w:qFormat/>
    <w:uiPriority w:val="99"/>
    <w:rPr>
      <w:color w:val="337AB7"/>
      <w:u w:val="none"/>
    </w:rPr>
  </w:style>
  <w:style w:type="character" w:styleId="34">
    <w:name w:val="HTML Definition"/>
    <w:basedOn w:val="31"/>
    <w:semiHidden/>
    <w:unhideWhenUsed/>
    <w:qFormat/>
    <w:uiPriority w:val="99"/>
    <w:rPr>
      <w:i/>
    </w:rPr>
  </w:style>
  <w:style w:type="character" w:styleId="35">
    <w:name w:val="Hyperlink"/>
    <w:basedOn w:val="31"/>
    <w:unhideWhenUsed/>
    <w:qFormat/>
    <w:uiPriority w:val="99"/>
    <w:rPr>
      <w:color w:val="337AB7"/>
      <w:u w:val="none"/>
    </w:rPr>
  </w:style>
  <w:style w:type="character" w:styleId="36">
    <w:name w:val="HTML Code"/>
    <w:basedOn w:val="31"/>
    <w:semiHidden/>
    <w:unhideWhenUsed/>
    <w:qFormat/>
    <w:uiPriority w:val="99"/>
    <w:rPr>
      <w:rFonts w:ascii="Consolas" w:hAnsi="Consolas" w:eastAsia="Consolas" w:cs="Consolas"/>
      <w:color w:val="C7254E"/>
      <w:sz w:val="21"/>
      <w:szCs w:val="21"/>
      <w:shd w:val="clear" w:color="auto" w:fill="F9F2F4"/>
    </w:rPr>
  </w:style>
  <w:style w:type="character" w:styleId="37">
    <w:name w:val="annotation reference"/>
    <w:basedOn w:val="31"/>
    <w:semiHidden/>
    <w:unhideWhenUsed/>
    <w:qFormat/>
    <w:uiPriority w:val="99"/>
    <w:rPr>
      <w:sz w:val="21"/>
      <w:szCs w:val="21"/>
    </w:rPr>
  </w:style>
  <w:style w:type="character" w:styleId="38">
    <w:name w:val="HTML Keyboard"/>
    <w:basedOn w:val="31"/>
    <w:semiHidden/>
    <w:unhideWhenUsed/>
    <w:qFormat/>
    <w:uiPriority w:val="99"/>
    <w:rPr>
      <w:rFonts w:hint="default" w:ascii="Consolas" w:hAnsi="Consolas" w:eastAsia="Consolas" w:cs="Consolas"/>
      <w:color w:val="FFFFFF"/>
      <w:sz w:val="21"/>
      <w:szCs w:val="21"/>
      <w:shd w:val="clear" w:color="auto" w:fill="333333"/>
    </w:rPr>
  </w:style>
  <w:style w:type="character" w:styleId="39">
    <w:name w:val="HTML Sample"/>
    <w:basedOn w:val="31"/>
    <w:semiHidden/>
    <w:unhideWhenUsed/>
    <w:qFormat/>
    <w:uiPriority w:val="99"/>
    <w:rPr>
      <w:rFonts w:hint="default" w:ascii="Consolas" w:hAnsi="Consolas" w:eastAsia="Consolas" w:cs="Consolas"/>
      <w:sz w:val="21"/>
      <w:szCs w:val="21"/>
    </w:rPr>
  </w:style>
  <w:style w:type="character" w:customStyle="1" w:styleId="40">
    <w:name w:val="标题 1 Char"/>
    <w:basedOn w:val="31"/>
    <w:link w:val="2"/>
    <w:qFormat/>
    <w:uiPriority w:val="99"/>
    <w:rPr>
      <w:rFonts w:ascii="Calibri" w:hAnsi="Calibri" w:eastAsia="宋体" w:cs="Times New Roman"/>
      <w:b/>
      <w:bCs/>
      <w:kern w:val="44"/>
      <w:sz w:val="44"/>
      <w:szCs w:val="44"/>
    </w:rPr>
  </w:style>
  <w:style w:type="character" w:customStyle="1" w:styleId="41">
    <w:name w:val="标题 2 Char"/>
    <w:basedOn w:val="31"/>
    <w:link w:val="3"/>
    <w:qFormat/>
    <w:uiPriority w:val="99"/>
    <w:rPr>
      <w:rFonts w:asciiTheme="majorHAnsi" w:hAnsiTheme="majorHAnsi" w:eastAsiaTheme="majorEastAsia" w:cstheme="majorBidi"/>
      <w:b/>
      <w:bCs/>
      <w:sz w:val="32"/>
      <w:szCs w:val="32"/>
    </w:rPr>
  </w:style>
  <w:style w:type="paragraph" w:customStyle="1" w:styleId="42">
    <w:name w:val="Default"/>
    <w:next w:val="1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3">
    <w:name w:val="标题 3 Char"/>
    <w:basedOn w:val="31"/>
    <w:link w:val="4"/>
    <w:qFormat/>
    <w:uiPriority w:val="99"/>
    <w:rPr>
      <w:rFonts w:ascii="Calibri" w:hAnsi="Calibri" w:eastAsia="宋体" w:cs="Times New Roman"/>
      <w:b/>
      <w:sz w:val="32"/>
    </w:rPr>
  </w:style>
  <w:style w:type="character" w:customStyle="1" w:styleId="44">
    <w:name w:val="页脚 Char"/>
    <w:basedOn w:val="31"/>
    <w:link w:val="21"/>
    <w:qFormat/>
    <w:uiPriority w:val="99"/>
    <w:rPr>
      <w:sz w:val="18"/>
      <w:szCs w:val="18"/>
    </w:rPr>
  </w:style>
  <w:style w:type="character" w:customStyle="1" w:styleId="45">
    <w:name w:val="标题 6 Char"/>
    <w:basedOn w:val="31"/>
    <w:link w:val="7"/>
    <w:qFormat/>
    <w:uiPriority w:val="99"/>
    <w:rPr>
      <w:rFonts w:ascii="Calibri Light" w:hAnsi="Calibri Light" w:eastAsia="宋体" w:cs="Times New Roman"/>
      <w:b/>
      <w:bCs/>
      <w:sz w:val="24"/>
      <w:szCs w:val="24"/>
    </w:rPr>
  </w:style>
  <w:style w:type="character" w:customStyle="1" w:styleId="46">
    <w:name w:val="纯文本 Char1"/>
    <w:basedOn w:val="31"/>
    <w:link w:val="17"/>
    <w:qFormat/>
    <w:uiPriority w:val="99"/>
    <w:rPr>
      <w:rFonts w:ascii="宋体" w:hAnsi="Courier New" w:eastAsia="宋体" w:cs="Courier New"/>
      <w:szCs w:val="21"/>
    </w:rPr>
  </w:style>
  <w:style w:type="character" w:customStyle="1" w:styleId="47">
    <w:name w:val="标题 4 Char"/>
    <w:basedOn w:val="31"/>
    <w:link w:val="5"/>
    <w:qFormat/>
    <w:uiPriority w:val="99"/>
    <w:rPr>
      <w:rFonts w:ascii="Calibri Light" w:hAnsi="Calibri Light" w:eastAsia="宋体" w:cs="Times New Roman"/>
      <w:b/>
      <w:bCs/>
      <w:sz w:val="28"/>
      <w:szCs w:val="28"/>
    </w:rPr>
  </w:style>
  <w:style w:type="character" w:customStyle="1" w:styleId="48">
    <w:name w:val="标题 5 Char"/>
    <w:basedOn w:val="31"/>
    <w:link w:val="6"/>
    <w:qFormat/>
    <w:uiPriority w:val="99"/>
    <w:rPr>
      <w:rFonts w:ascii="Calibri" w:hAnsi="Calibri" w:eastAsia="宋体" w:cs="Times New Roman"/>
      <w:b/>
      <w:bCs/>
      <w:sz w:val="28"/>
      <w:szCs w:val="28"/>
    </w:rPr>
  </w:style>
  <w:style w:type="character" w:customStyle="1" w:styleId="49">
    <w:name w:val="标题 7 Char"/>
    <w:basedOn w:val="31"/>
    <w:link w:val="8"/>
    <w:qFormat/>
    <w:uiPriority w:val="99"/>
    <w:rPr>
      <w:rFonts w:ascii="Calibri" w:hAnsi="Calibri" w:eastAsia="宋体" w:cs="Times New Roman"/>
      <w:b/>
      <w:bCs/>
      <w:sz w:val="24"/>
      <w:szCs w:val="24"/>
    </w:rPr>
  </w:style>
  <w:style w:type="character" w:customStyle="1" w:styleId="50">
    <w:name w:val="标题 8 Char"/>
    <w:basedOn w:val="31"/>
    <w:link w:val="9"/>
    <w:qFormat/>
    <w:uiPriority w:val="99"/>
    <w:rPr>
      <w:rFonts w:ascii="Calibri Light" w:hAnsi="Calibri Light" w:eastAsia="宋体" w:cs="Times New Roman"/>
      <w:sz w:val="24"/>
      <w:szCs w:val="24"/>
    </w:rPr>
  </w:style>
  <w:style w:type="character" w:customStyle="1" w:styleId="51">
    <w:name w:val="批注文字 Char"/>
    <w:basedOn w:val="31"/>
    <w:link w:val="12"/>
    <w:semiHidden/>
    <w:qFormat/>
    <w:uiPriority w:val="99"/>
    <w:rPr>
      <w:rFonts w:asciiTheme="minorHAnsi" w:hAnsiTheme="minorHAnsi" w:eastAsiaTheme="minorEastAsia" w:cstheme="minorBidi"/>
      <w:kern w:val="2"/>
      <w:sz w:val="21"/>
      <w:szCs w:val="22"/>
    </w:rPr>
  </w:style>
  <w:style w:type="character" w:customStyle="1" w:styleId="52">
    <w:name w:val="批注主题 Char"/>
    <w:basedOn w:val="51"/>
    <w:link w:val="27"/>
    <w:semiHidden/>
    <w:qFormat/>
    <w:uiPriority w:val="99"/>
    <w:rPr>
      <w:rFonts w:asciiTheme="minorHAnsi" w:hAnsiTheme="minorHAnsi" w:eastAsiaTheme="minorEastAsia" w:cstheme="minorBidi"/>
      <w:b/>
      <w:bCs/>
      <w:kern w:val="2"/>
      <w:sz w:val="21"/>
      <w:szCs w:val="22"/>
    </w:rPr>
  </w:style>
  <w:style w:type="character" w:customStyle="1" w:styleId="53">
    <w:name w:val="批注框文本 Char1"/>
    <w:basedOn w:val="31"/>
    <w:link w:val="20"/>
    <w:semiHidden/>
    <w:qFormat/>
    <w:uiPriority w:val="99"/>
    <w:rPr>
      <w:rFonts w:asciiTheme="minorHAnsi" w:hAnsiTheme="minorHAnsi" w:eastAsiaTheme="minorEastAsia" w:cstheme="minorBidi"/>
      <w:kern w:val="2"/>
      <w:sz w:val="18"/>
      <w:szCs w:val="18"/>
    </w:rPr>
  </w:style>
  <w:style w:type="character" w:customStyle="1" w:styleId="54">
    <w:name w:val="news_time2"/>
    <w:basedOn w:val="31"/>
    <w:qFormat/>
    <w:uiPriority w:val="0"/>
    <w:rPr>
      <w:vanish/>
    </w:rPr>
  </w:style>
  <w:style w:type="paragraph" w:customStyle="1" w:styleId="55">
    <w:name w:val="纯文本1"/>
    <w:basedOn w:val="1"/>
    <w:unhideWhenUsed/>
    <w:qFormat/>
    <w:uiPriority w:val="99"/>
    <w:rPr>
      <w:rFonts w:hint="eastAsia" w:ascii="宋体" w:hAnsi="Courier New"/>
    </w:rPr>
  </w:style>
  <w:style w:type="character" w:customStyle="1" w:styleId="56">
    <w:name w:val="纯文本 Char"/>
    <w:qFormat/>
    <w:uiPriority w:val="0"/>
    <w:rPr>
      <w:rFonts w:ascii="宋体" w:hAnsi="Courier New" w:eastAsia="宋体" w:cs="Courier New"/>
      <w:kern w:val="2"/>
      <w:sz w:val="21"/>
      <w:szCs w:val="21"/>
      <w:lang w:val="en-US" w:eastAsia="zh-CN" w:bidi="ar-SA"/>
    </w:rPr>
  </w:style>
  <w:style w:type="character" w:customStyle="1" w:styleId="57">
    <w:name w:val="批注框文本 Char"/>
    <w:qFormat/>
    <w:uiPriority w:val="0"/>
    <w:rPr>
      <w:rFonts w:ascii="Calibri" w:hAnsi="Calibri" w:eastAsia="宋体"/>
      <w:kern w:val="2"/>
      <w:sz w:val="18"/>
      <w:szCs w:val="22"/>
      <w:lang w:val="en-US" w:eastAsia="zh-CN" w:bidi="ar-SA"/>
    </w:rPr>
  </w:style>
  <w:style w:type="character" w:customStyle="1" w:styleId="58">
    <w:name w:val="文档结构图 Char"/>
    <w:basedOn w:val="31"/>
    <w:link w:val="11"/>
    <w:semiHidden/>
    <w:qFormat/>
    <w:uiPriority w:val="99"/>
    <w:rPr>
      <w:rFonts w:ascii="宋体" w:hAnsiTheme="minorHAnsi" w:cstheme="minorBidi"/>
      <w:kern w:val="2"/>
      <w:sz w:val="18"/>
      <w:szCs w:val="18"/>
    </w:rPr>
  </w:style>
  <w:style w:type="character" w:customStyle="1" w:styleId="59">
    <w:name w:val="正文文本缩进 2 Char"/>
    <w:basedOn w:val="31"/>
    <w:link w:val="19"/>
    <w:qFormat/>
    <w:uiPriority w:val="99"/>
    <w:rPr>
      <w:kern w:val="2"/>
      <w:sz w:val="24"/>
      <w:szCs w:val="24"/>
    </w:rPr>
  </w:style>
  <w:style w:type="character" w:customStyle="1" w:styleId="60">
    <w:name w:val="正文文本 Char"/>
    <w:basedOn w:val="31"/>
    <w:link w:val="13"/>
    <w:qFormat/>
    <w:uiPriority w:val="99"/>
    <w:rPr>
      <w:kern w:val="2"/>
      <w:sz w:val="28"/>
      <w:szCs w:val="24"/>
    </w:rPr>
  </w:style>
  <w:style w:type="paragraph" w:customStyle="1" w:styleId="61">
    <w:name w:val="È¡ÀÊ¡ÎÄ¡À¾"/>
    <w:basedOn w:val="1"/>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62">
    <w:name w:val="列出段落1"/>
    <w:basedOn w:val="1"/>
    <w:qFormat/>
    <w:uiPriority w:val="99"/>
    <w:pPr>
      <w:ind w:firstLine="420" w:firstLineChars="200"/>
    </w:pPr>
  </w:style>
  <w:style w:type="paragraph" w:customStyle="1" w:styleId="6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paragraph" w:customStyle="1" w:styleId="64">
    <w:name w:val="WPSOffice手动目录 1"/>
    <w:qFormat/>
    <w:uiPriority w:val="0"/>
    <w:pPr>
      <w:ind w:leftChars="0"/>
    </w:pPr>
    <w:rPr>
      <w:rFonts w:ascii="Times New Roman" w:hAnsi="Times New Roman" w:eastAsia="宋体" w:cs="Times New Roman"/>
      <w:sz w:val="20"/>
      <w:szCs w:val="20"/>
    </w:rPr>
  </w:style>
  <w:style w:type="paragraph" w:customStyle="1" w:styleId="65">
    <w:name w:val="WPSOffice手动目录 2"/>
    <w:qFormat/>
    <w:uiPriority w:val="0"/>
    <w:pPr>
      <w:ind w:leftChars="200"/>
    </w:pPr>
    <w:rPr>
      <w:rFonts w:ascii="Times New Roman" w:hAnsi="Times New Roman" w:eastAsia="宋体" w:cs="Times New Roman"/>
      <w:sz w:val="20"/>
      <w:szCs w:val="20"/>
    </w:rPr>
  </w:style>
  <w:style w:type="character" w:customStyle="1" w:styleId="66">
    <w:name w:val="font101"/>
    <w:basedOn w:val="31"/>
    <w:qFormat/>
    <w:uiPriority w:val="0"/>
    <w:rPr>
      <w:rFonts w:ascii="宋体" w:hAnsi="宋体" w:eastAsia="宋体" w:cs="宋体"/>
      <w:color w:val="000000"/>
      <w:sz w:val="20"/>
      <w:szCs w:val="20"/>
      <w:u w:val="none"/>
    </w:rPr>
  </w:style>
  <w:style w:type="character" w:customStyle="1" w:styleId="67">
    <w:name w:val="font11"/>
    <w:basedOn w:val="31"/>
    <w:qFormat/>
    <w:uiPriority w:val="0"/>
    <w:rPr>
      <w:rFonts w:hint="eastAsia" w:ascii="宋体" w:hAnsi="宋体" w:eastAsia="宋体" w:cs="宋体"/>
      <w:color w:val="000000"/>
      <w:sz w:val="20"/>
      <w:szCs w:val="20"/>
      <w:u w:val="none"/>
    </w:rPr>
  </w:style>
  <w:style w:type="paragraph" w:customStyle="1" w:styleId="68">
    <w:name w:val="Table Text"/>
    <w:basedOn w:val="1"/>
    <w:autoRedefine/>
    <w:semiHidden/>
    <w:qFormat/>
    <w:uiPriority w:val="0"/>
    <w:rPr>
      <w:rFonts w:ascii="宋体" w:hAnsi="宋体" w:eastAsia="宋体" w:cs="宋体"/>
      <w:sz w:val="24"/>
      <w:szCs w:val="24"/>
      <w:lang w:val="en-US" w:eastAsia="en-US" w:bidi="ar-SA"/>
    </w:rPr>
  </w:style>
  <w:style w:type="table" w:customStyle="1" w:styleId="69">
    <w:name w:val="Table Normal"/>
    <w:autoRedefine/>
    <w:semiHidden/>
    <w:unhideWhenUsed/>
    <w:qFormat/>
    <w:uiPriority w:val="0"/>
    <w:tblPr>
      <w:tblCellMar>
        <w:top w:w="0" w:type="dxa"/>
        <w:left w:w="0" w:type="dxa"/>
        <w:bottom w:w="0" w:type="dxa"/>
        <w:right w:w="0" w:type="dxa"/>
      </w:tblCellMar>
    </w:tblPr>
  </w:style>
  <w:style w:type="paragraph" w:customStyle="1" w:styleId="70">
    <w:name w:val="Table Paragraph"/>
    <w:basedOn w:val="1"/>
    <w:autoRedefine/>
    <w:qFormat/>
    <w:uiPriority w:val="1"/>
    <w:pPr>
      <w:spacing w:before="175"/>
      <w:ind w:left="95"/>
    </w:pPr>
    <w:rPr>
      <w:rFonts w:ascii="宋体" w:hAnsi="宋体" w:eastAsia="宋体" w:cs="宋体"/>
      <w:lang w:val="zh-CN" w:eastAsia="zh-CN" w:bidi="zh-CN"/>
    </w:rPr>
  </w:style>
  <w:style w:type="paragraph" w:customStyle="1" w:styleId="71">
    <w:name w:val="indent"/>
    <w:basedOn w:val="1"/>
    <w:autoRedefine/>
    <w:qFormat/>
    <w:uiPriority w:val="0"/>
    <w:pPr>
      <w:widowControl/>
      <w:spacing w:before="100" w:beforeAutospacing="1" w:after="100" w:afterAutospacing="1"/>
    </w:pPr>
    <w:rPr>
      <w:sz w:val="24"/>
    </w:rPr>
  </w:style>
  <w:style w:type="character" w:customStyle="1" w:styleId="72">
    <w:name w:val="font51"/>
    <w:basedOn w:val="31"/>
    <w:qFormat/>
    <w:uiPriority w:val="0"/>
    <w:rPr>
      <w:rFonts w:hint="default" w:ascii="仿宋_GB2312" w:eastAsia="仿宋_GB2312" w:cs="仿宋_GB2312"/>
      <w:color w:val="000000"/>
      <w:sz w:val="24"/>
      <w:szCs w:val="24"/>
      <w:u w:val="none"/>
    </w:rPr>
  </w:style>
  <w:style w:type="character" w:customStyle="1" w:styleId="73">
    <w:name w:val="font81"/>
    <w:basedOn w:val="3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107</Pages>
  <Words>15537</Words>
  <Characters>17257</Characters>
  <Lines>296</Lines>
  <Paragraphs>83</Paragraphs>
  <TotalTime>1</TotalTime>
  <ScaleCrop>false</ScaleCrop>
  <LinksUpToDate>false</LinksUpToDate>
  <CharactersWithSpaces>17452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2019-05-09T13:50:00Z</dcterms:created>
  <dc:creator>Administrator</dc:creator>
  <cp:lastModifiedBy>燈『火』阑珊</cp:lastModifiedBy>
  <cp:lastPrinted>2021-10-28T11:01:00Z</cp:lastPrinted>
  <dcterms:modified xsi:type="dcterms:W3CDTF">2024-12-18T06:30:49Z</dcterms:modified>
  <cp:revision>684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E01C33FA6FFA4B548D6AC201B49307EA</vt:lpwstr>
  </property>
</Properties>
</file>