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3A497">
      <w:pPr>
        <w:autoSpaceDE w:val="0"/>
        <w:autoSpaceDN w:val="0"/>
        <w:adjustRightInd w:val="0"/>
        <w:spacing w:line="360" w:lineRule="auto"/>
        <w:ind w:firstLine="2349" w:firstLineChars="450"/>
        <w:rPr>
          <w:rFonts w:ascii="宋体" w:hAnsi="宋体"/>
          <w:b/>
          <w:sz w:val="52"/>
          <w:szCs w:val="52"/>
        </w:rPr>
      </w:pPr>
      <w:r>
        <w:rPr>
          <w:rFonts w:hint="eastAsia" w:ascii="宋体" w:hAnsi="宋体" w:cs="华文行楷"/>
          <w:b/>
          <w:sz w:val="52"/>
          <w:szCs w:val="52"/>
          <w:lang w:val="en-US" w:eastAsia="zh-CN"/>
        </w:rPr>
        <w:t>格尔木</w:t>
      </w:r>
      <w:r>
        <w:rPr>
          <w:rFonts w:hint="eastAsia" w:ascii="宋体" w:hAnsi="宋体" w:cs="华文行楷"/>
          <w:b/>
          <w:sz w:val="52"/>
          <w:szCs w:val="52"/>
          <w:lang w:val="zh-CN"/>
        </w:rPr>
        <w:t>市政府采购</w:t>
      </w:r>
    </w:p>
    <w:p w14:paraId="1DE4C487">
      <w:pPr>
        <w:autoSpaceDE w:val="0"/>
        <w:autoSpaceDN w:val="0"/>
        <w:adjustRightInd w:val="0"/>
        <w:spacing w:line="360" w:lineRule="auto"/>
        <w:rPr>
          <w:rFonts w:hint="eastAsia" w:ascii="方正楷体_GBK" w:hAnsi="宋体" w:eastAsia="方正楷体_GBK" w:cs="华文中宋"/>
          <w:b/>
          <w:color w:val="000000"/>
          <w:sz w:val="36"/>
          <w:szCs w:val="36"/>
          <w:lang w:val="zh-CN"/>
        </w:rPr>
      </w:pPr>
    </w:p>
    <w:p w14:paraId="7D8D4C4F">
      <w:pPr>
        <w:autoSpaceDE w:val="0"/>
        <w:autoSpaceDN w:val="0"/>
        <w:adjustRightInd w:val="0"/>
        <w:spacing w:line="360" w:lineRule="auto"/>
        <w:ind w:firstLine="723"/>
        <w:rPr>
          <w:rFonts w:hint="eastAsia" w:ascii="方正楷体_GBK" w:hAnsi="宋体" w:eastAsia="方正楷体_GBK" w:cs="华文中宋"/>
          <w:b/>
          <w:color w:val="000000"/>
          <w:sz w:val="36"/>
          <w:szCs w:val="36"/>
          <w:lang w:val="zh-CN"/>
        </w:rPr>
      </w:pPr>
    </w:p>
    <w:p w14:paraId="488A8043">
      <w:pPr>
        <w:autoSpaceDE w:val="0"/>
        <w:autoSpaceDN w:val="0"/>
        <w:adjustRightInd w:val="0"/>
        <w:spacing w:line="360" w:lineRule="auto"/>
        <w:ind w:firstLine="723"/>
        <w:rPr>
          <w:rFonts w:hint="eastAsia" w:ascii="方正楷体_GBK" w:hAnsi="宋体" w:eastAsia="方正楷体_GBK" w:cs="华文中宋"/>
          <w:b/>
          <w:color w:val="000000"/>
          <w:sz w:val="36"/>
          <w:szCs w:val="36"/>
          <w:lang w:val="zh-CN"/>
        </w:rPr>
      </w:pPr>
    </w:p>
    <w:p w14:paraId="446C1012">
      <w:pPr>
        <w:autoSpaceDE w:val="0"/>
        <w:autoSpaceDN w:val="0"/>
        <w:adjustRightInd w:val="0"/>
        <w:spacing w:line="360" w:lineRule="auto"/>
        <w:jc w:val="center"/>
        <w:rPr>
          <w:rFonts w:hint="eastAsia" w:ascii="方正楷体_GBK" w:hAnsi="宋体" w:eastAsia="方正楷体_GBK" w:cs="华文中宋"/>
          <w:b/>
          <w:color w:val="000000"/>
          <w:sz w:val="84"/>
          <w:szCs w:val="84"/>
          <w:lang w:val="zh-CN"/>
        </w:rPr>
      </w:pPr>
      <w:r>
        <w:rPr>
          <w:rFonts w:hint="eastAsia" w:ascii="方正楷体_GBK" w:hAnsi="宋体" w:eastAsia="方正楷体_GBK" w:cs="华文中宋"/>
          <w:b/>
          <w:color w:val="000000"/>
          <w:sz w:val="84"/>
          <w:szCs w:val="84"/>
          <w:lang w:val="zh-CN"/>
        </w:rPr>
        <w:t>电</w:t>
      </w:r>
      <w:r>
        <w:rPr>
          <w:rFonts w:hint="eastAsia" w:ascii="方正楷体_GBK" w:hAnsi="宋体" w:eastAsia="方正楷体_GBK" w:cs="华文中宋"/>
          <w:b/>
          <w:color w:val="000000"/>
          <w:sz w:val="84"/>
          <w:szCs w:val="84"/>
        </w:rPr>
        <w:t xml:space="preserve"> </w:t>
      </w:r>
      <w:r>
        <w:rPr>
          <w:rFonts w:hint="eastAsia" w:ascii="方正楷体_GBK" w:hAnsi="宋体" w:eastAsia="方正楷体_GBK" w:cs="华文中宋"/>
          <w:b/>
          <w:color w:val="000000"/>
          <w:sz w:val="84"/>
          <w:szCs w:val="84"/>
          <w:lang w:val="zh-CN"/>
        </w:rPr>
        <w:t>子</w:t>
      </w:r>
      <w:r>
        <w:rPr>
          <w:rFonts w:hint="eastAsia" w:ascii="方正楷体_GBK" w:hAnsi="宋体" w:eastAsia="方正楷体_GBK" w:cs="华文中宋"/>
          <w:b/>
          <w:color w:val="000000"/>
          <w:sz w:val="84"/>
          <w:szCs w:val="84"/>
        </w:rPr>
        <w:t xml:space="preserve"> </w:t>
      </w: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14:paraId="773A8C68">
      <w:pPr>
        <w:autoSpaceDE w:val="0"/>
        <w:autoSpaceDN w:val="0"/>
        <w:adjustRightInd w:val="0"/>
        <w:spacing w:line="360" w:lineRule="auto"/>
        <w:rPr>
          <w:rFonts w:hint="eastAsia" w:ascii="宋体" w:hAnsi="宋体" w:eastAsia="宋体" w:cs="宋体"/>
          <w:color w:val="000000"/>
          <w:kern w:val="0"/>
          <w:sz w:val="36"/>
          <w:szCs w:val="36"/>
          <w:lang w:val="en-US" w:eastAsia="zh-CN"/>
        </w:rPr>
      </w:pPr>
      <w:r>
        <w:rPr>
          <w:rFonts w:hint="eastAsia" w:ascii="宋体" w:hAnsi="宋体" w:cs="宋体"/>
          <w:color w:val="000000"/>
          <w:kern w:val="0"/>
          <w:sz w:val="36"/>
          <w:szCs w:val="36"/>
        </w:rPr>
        <w:t xml:space="preserve"> </w:t>
      </w:r>
      <w:r>
        <w:rPr>
          <w:rFonts w:hint="eastAsia" w:ascii="宋体" w:hAnsi="宋体" w:cs="宋体"/>
          <w:color w:val="000000"/>
          <w:kern w:val="0"/>
          <w:sz w:val="36"/>
          <w:szCs w:val="36"/>
          <w:lang w:val="en-US" w:eastAsia="zh-CN"/>
        </w:rPr>
        <w:t xml:space="preserve"> </w:t>
      </w:r>
    </w:p>
    <w:p w14:paraId="22CC4FC7">
      <w:pPr>
        <w:autoSpaceDE w:val="0"/>
        <w:autoSpaceDN w:val="0"/>
        <w:adjustRightInd w:val="0"/>
        <w:spacing w:line="360" w:lineRule="auto"/>
        <w:jc w:val="left"/>
        <w:rPr>
          <w:rFonts w:hint="eastAsia" w:ascii="宋体" w:hAnsi="宋体" w:cs="宋体"/>
          <w:color w:val="000000"/>
          <w:kern w:val="0"/>
          <w:sz w:val="36"/>
          <w:szCs w:val="36"/>
          <w:u w:val="dotDash"/>
        </w:rPr>
      </w:pPr>
    </w:p>
    <w:p w14:paraId="551D2965">
      <w:pPr>
        <w:autoSpaceDE w:val="0"/>
        <w:autoSpaceDN w:val="0"/>
        <w:adjustRightInd w:val="0"/>
        <w:spacing w:line="360" w:lineRule="auto"/>
        <w:jc w:val="left"/>
        <w:rPr>
          <w:rFonts w:hint="eastAsia" w:ascii="宋体" w:hAnsi="宋体" w:cs="宋体"/>
          <w:color w:val="000000"/>
          <w:kern w:val="0"/>
          <w:sz w:val="36"/>
          <w:szCs w:val="36"/>
          <w:u w:val="dotDash"/>
        </w:rPr>
      </w:pPr>
    </w:p>
    <w:p w14:paraId="0B452931">
      <w:pPr>
        <w:autoSpaceDE w:val="0"/>
        <w:autoSpaceDN w:val="0"/>
        <w:adjustRightInd w:val="0"/>
        <w:spacing w:line="360" w:lineRule="auto"/>
        <w:jc w:val="left"/>
        <w:rPr>
          <w:rFonts w:hint="eastAsia"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宋体"/>
          <w:b/>
          <w:bCs/>
          <w:color w:val="000000"/>
          <w:kern w:val="0"/>
          <w:sz w:val="30"/>
          <w:szCs w:val="30"/>
          <w:lang w:val="en-US" w:eastAsia="zh-CN"/>
        </w:rPr>
        <w:t>格</w:t>
      </w:r>
      <w:r>
        <w:rPr>
          <w:rFonts w:hint="eastAsia" w:ascii="宋体" w:hAnsi="宋体" w:cs="宋体"/>
          <w:b/>
          <w:bCs/>
          <w:color w:val="000000"/>
          <w:kern w:val="0"/>
          <w:sz w:val="30"/>
          <w:szCs w:val="30"/>
          <w:lang w:val="zh-CN"/>
        </w:rPr>
        <w:t>政采公招（货物）2024-0</w:t>
      </w:r>
      <w:r>
        <w:rPr>
          <w:rFonts w:hint="eastAsia" w:ascii="宋体" w:hAnsi="宋体" w:cs="宋体"/>
          <w:b/>
          <w:bCs/>
          <w:color w:val="000000"/>
          <w:kern w:val="0"/>
          <w:sz w:val="30"/>
          <w:szCs w:val="30"/>
          <w:lang w:val="en-US" w:eastAsia="zh-CN"/>
        </w:rPr>
        <w:t>10</w:t>
      </w:r>
      <w:r>
        <w:rPr>
          <w:rFonts w:hint="eastAsia" w:ascii="宋体" w:hAnsi="宋体" w:cs="宋体"/>
          <w:b/>
          <w:bCs/>
          <w:color w:val="000000"/>
          <w:kern w:val="0"/>
          <w:sz w:val="30"/>
          <w:szCs w:val="30"/>
          <w:lang w:val="zh-CN"/>
        </w:rPr>
        <w:t>号</w:t>
      </w:r>
    </w:p>
    <w:p w14:paraId="4AC0F45D">
      <w:pPr>
        <w:autoSpaceDE w:val="0"/>
        <w:autoSpaceDN w:val="0"/>
        <w:adjustRightInd w:val="0"/>
        <w:spacing w:line="360" w:lineRule="auto"/>
        <w:ind w:left="2100" w:hanging="2108" w:hangingChars="700"/>
        <w:jc w:val="left"/>
        <w:rPr>
          <w:rFonts w:hint="default" w:ascii="宋体" w:hAnsi="宋体" w:eastAsia="宋体" w:cs="宋体"/>
          <w:b/>
          <w:bCs/>
          <w:color w:val="000000"/>
          <w:kern w:val="0"/>
          <w:sz w:val="30"/>
          <w:szCs w:val="30"/>
          <w:lang w:val="en-US" w:eastAsia="zh-CN"/>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0"/>
          <w:szCs w:val="30"/>
          <w:lang w:val="en-US" w:eastAsia="zh-CN"/>
        </w:rPr>
        <w:t>格尔木市重点区域交通环境综合整治方案及道路交通信号灯、电警卡口设备采购项目</w:t>
      </w:r>
    </w:p>
    <w:p w14:paraId="3FA0B1C4">
      <w:pPr>
        <w:autoSpaceDE w:val="0"/>
        <w:autoSpaceDN w:val="0"/>
        <w:adjustRightInd w:val="0"/>
        <w:spacing w:line="360" w:lineRule="auto"/>
        <w:jc w:val="left"/>
        <w:rPr>
          <w:rFonts w:hint="eastAsia" w:ascii="宋体" w:hAnsi="宋体" w:cs="宋体"/>
          <w:b/>
          <w:bCs/>
          <w:color w:val="000000"/>
          <w:kern w:val="0"/>
          <w:sz w:val="30"/>
          <w:szCs w:val="30"/>
          <w:lang w:val="zh-CN"/>
        </w:rPr>
      </w:pPr>
      <w:r>
        <w:rPr>
          <w:rFonts w:hint="eastAsia" w:ascii="宋体" w:hAnsi="宋体" w:cs="宋体"/>
          <w:b/>
          <w:bCs/>
          <w:color w:val="000000"/>
          <w:kern w:val="0"/>
          <w:sz w:val="30"/>
          <w:szCs w:val="30"/>
          <w:lang w:val="zh-CN"/>
        </w:rPr>
        <w:t>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单</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位</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w:t>
      </w:r>
      <w:r>
        <w:rPr>
          <w:rFonts w:hint="eastAsia" w:ascii="宋体" w:hAnsi="宋体" w:cs="宋体"/>
          <w:b/>
          <w:bCs/>
          <w:color w:val="000000"/>
          <w:kern w:val="0"/>
          <w:sz w:val="30"/>
          <w:szCs w:val="30"/>
          <w:lang w:val="en-US" w:eastAsia="zh-CN"/>
        </w:rPr>
        <w:t>格尔木市</w:t>
      </w:r>
      <w:r>
        <w:rPr>
          <w:rFonts w:hint="eastAsia" w:ascii="宋体" w:hAnsi="宋体" w:cs="宋体"/>
          <w:b/>
          <w:bCs/>
          <w:color w:val="000000"/>
          <w:kern w:val="0"/>
          <w:sz w:val="30"/>
          <w:szCs w:val="30"/>
          <w:lang w:val="zh-CN"/>
        </w:rPr>
        <w:t>公安局</w:t>
      </w:r>
    </w:p>
    <w:p w14:paraId="0067F594">
      <w:pPr>
        <w:autoSpaceDE w:val="0"/>
        <w:autoSpaceDN w:val="0"/>
        <w:adjustRightInd w:val="0"/>
        <w:spacing w:line="360" w:lineRule="auto"/>
        <w:rPr>
          <w:rFonts w:hint="default" w:ascii="宋体" w:hAnsi="宋体" w:eastAsia="宋体" w:cs="宋体"/>
          <w:b/>
          <w:bCs/>
          <w:color w:val="000000"/>
          <w:kern w:val="0"/>
          <w:sz w:val="30"/>
          <w:szCs w:val="30"/>
          <w:lang w:val="en-US" w:eastAsia="zh-CN"/>
        </w:rPr>
      </w:pPr>
      <w:r>
        <w:rPr>
          <w:rFonts w:hint="eastAsia" w:ascii="宋体" w:hAnsi="宋体" w:cs="宋体"/>
          <w:b/>
          <w:bCs/>
          <w:color w:val="000000"/>
          <w:kern w:val="0"/>
          <w:sz w:val="30"/>
          <w:szCs w:val="30"/>
          <w:lang w:val="zh-CN"/>
        </w:rPr>
        <w:t>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机</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构：</w:t>
      </w:r>
      <w:r>
        <w:rPr>
          <w:rFonts w:hint="eastAsia" w:ascii="宋体" w:hAnsi="宋体" w:cs="宋体"/>
          <w:b/>
          <w:bCs/>
          <w:color w:val="000000"/>
          <w:kern w:val="0"/>
          <w:sz w:val="30"/>
          <w:szCs w:val="30"/>
          <w:lang w:val="en-US" w:eastAsia="zh-CN"/>
        </w:rPr>
        <w:t>格尔木市政务服务和公共资源交易中心</w:t>
      </w:r>
    </w:p>
    <w:p w14:paraId="36CFC52E">
      <w:pPr>
        <w:autoSpaceDE w:val="0"/>
        <w:autoSpaceDN w:val="0"/>
        <w:adjustRightInd w:val="0"/>
        <w:spacing w:line="360" w:lineRule="auto"/>
        <w:jc w:val="center"/>
        <w:rPr>
          <w:rFonts w:hint="eastAsia" w:ascii="宋体" w:hAnsi="宋体" w:cs="宋体"/>
          <w:b/>
          <w:bCs/>
          <w:color w:val="000000"/>
          <w:kern w:val="0"/>
          <w:sz w:val="30"/>
          <w:szCs w:val="30"/>
          <w:lang w:val="zh-CN"/>
        </w:rPr>
      </w:pPr>
    </w:p>
    <w:p w14:paraId="034183FE">
      <w:pPr>
        <w:pStyle w:val="14"/>
        <w:rPr>
          <w:rFonts w:hint="eastAsia"/>
          <w:lang w:val="zh-CN"/>
        </w:rPr>
      </w:pPr>
    </w:p>
    <w:p w14:paraId="15F81F41">
      <w:pPr>
        <w:pStyle w:val="14"/>
        <w:rPr>
          <w:rFonts w:hint="eastAsia"/>
          <w:lang w:val="zh-CN"/>
        </w:rPr>
      </w:pPr>
    </w:p>
    <w:p w14:paraId="23ECDA65">
      <w:pPr>
        <w:autoSpaceDE w:val="0"/>
        <w:autoSpaceDN w:val="0"/>
        <w:adjustRightInd w:val="0"/>
        <w:spacing w:line="360" w:lineRule="auto"/>
        <w:jc w:val="center"/>
        <w:rPr>
          <w:rFonts w:hint="eastAsia" w:ascii="宋体" w:hAnsi="宋体" w:cs="宋体"/>
          <w:b/>
          <w:bCs/>
          <w:color w:val="000000"/>
          <w:kern w:val="0"/>
          <w:sz w:val="30"/>
          <w:szCs w:val="30"/>
          <w:lang w:val="zh-CN"/>
        </w:rPr>
      </w:pPr>
    </w:p>
    <w:p w14:paraId="115C1AFC">
      <w:pPr>
        <w:autoSpaceDE w:val="0"/>
        <w:autoSpaceDN w:val="0"/>
        <w:adjustRightInd w:val="0"/>
        <w:spacing w:line="360" w:lineRule="auto"/>
        <w:jc w:val="center"/>
        <w:rPr>
          <w:rFonts w:hint="eastAsia" w:ascii="宋体" w:hAnsi="宋体" w:cs="宋体"/>
          <w:b/>
          <w:bCs/>
          <w:color w:val="000000"/>
          <w:kern w:val="0"/>
          <w:sz w:val="30"/>
          <w:szCs w:val="30"/>
          <w:lang w:val="zh-CN"/>
        </w:rPr>
      </w:pPr>
      <w:r>
        <w:rPr>
          <w:rFonts w:hint="eastAsia" w:ascii="宋体" w:hAnsi="宋体" w:cs="宋体"/>
          <w:b/>
          <w:bCs/>
          <w:color w:val="000000"/>
          <w:kern w:val="0"/>
          <w:sz w:val="30"/>
          <w:szCs w:val="30"/>
          <w:lang w:val="zh-CN"/>
        </w:rPr>
        <w:t>20</w:t>
      </w:r>
      <w:r>
        <w:rPr>
          <w:rFonts w:hint="eastAsia" w:ascii="宋体" w:hAnsi="宋体" w:cs="宋体"/>
          <w:b/>
          <w:bCs/>
          <w:color w:val="000000"/>
          <w:kern w:val="0"/>
          <w:sz w:val="30"/>
          <w:szCs w:val="30"/>
        </w:rPr>
        <w:t>2</w:t>
      </w:r>
      <w:r>
        <w:rPr>
          <w:rFonts w:hint="eastAsia" w:ascii="宋体" w:hAnsi="宋体" w:cs="宋体"/>
          <w:b/>
          <w:bCs/>
          <w:color w:val="000000"/>
          <w:kern w:val="0"/>
          <w:sz w:val="30"/>
          <w:szCs w:val="30"/>
          <w:lang w:val="en-US" w:eastAsia="zh-CN"/>
        </w:rPr>
        <w:t>4</w:t>
      </w:r>
      <w:r>
        <w:rPr>
          <w:rFonts w:hint="eastAsia" w:ascii="宋体" w:hAnsi="宋体" w:cs="宋体"/>
          <w:b/>
          <w:bCs/>
          <w:color w:val="000000"/>
          <w:kern w:val="0"/>
          <w:sz w:val="30"/>
          <w:szCs w:val="30"/>
          <w:lang w:val="zh-CN"/>
        </w:rPr>
        <w:t>年</w:t>
      </w:r>
      <w:r>
        <w:rPr>
          <w:rFonts w:hint="eastAsia" w:ascii="宋体" w:hAnsi="宋体" w:cs="宋体"/>
          <w:b/>
          <w:bCs/>
          <w:color w:val="000000"/>
          <w:kern w:val="0"/>
          <w:sz w:val="30"/>
          <w:szCs w:val="30"/>
          <w:lang w:val="en-US" w:eastAsia="zh-CN"/>
        </w:rPr>
        <w:t>10</w:t>
      </w:r>
      <w:r>
        <w:rPr>
          <w:rFonts w:hint="eastAsia" w:ascii="宋体" w:hAnsi="宋体" w:cs="宋体"/>
          <w:b/>
          <w:bCs/>
          <w:color w:val="000000"/>
          <w:kern w:val="0"/>
          <w:sz w:val="30"/>
          <w:szCs w:val="30"/>
          <w:lang w:val="zh-CN"/>
        </w:rPr>
        <w:t>月</w:t>
      </w:r>
    </w:p>
    <w:p w14:paraId="7FFB6FB2">
      <w:pPr>
        <w:autoSpaceDE w:val="0"/>
        <w:autoSpaceDN w:val="0"/>
        <w:adjustRightInd w:val="0"/>
        <w:spacing w:line="360" w:lineRule="auto"/>
        <w:rPr>
          <w:rFonts w:hint="eastAsia" w:ascii="宋体" w:hAnsi="宋体" w:cs="宋体"/>
          <w:color w:val="000000"/>
          <w:kern w:val="0"/>
          <w:sz w:val="36"/>
          <w:szCs w:val="36"/>
        </w:rPr>
      </w:pPr>
    </w:p>
    <w:p w14:paraId="45167A4B">
      <w:pPr>
        <w:adjustRightInd w:val="0"/>
        <w:spacing w:line="360" w:lineRule="auto"/>
        <w:textAlignment w:val="baseline"/>
        <w:rPr>
          <w:rFonts w:hint="eastAsia" w:ascii="宋体" w:hAnsi="宋体" w:cs="宋体"/>
          <w:b/>
          <w:color w:val="000000"/>
          <w:sz w:val="40"/>
          <w:szCs w:val="30"/>
        </w:rPr>
      </w:pPr>
      <w:r>
        <w:rPr>
          <w:rFonts w:hint="eastAsia" w:ascii="宋体" w:hAnsi="宋体" w:cs="宋体"/>
          <w:b/>
          <w:color w:val="000000"/>
          <w:sz w:val="40"/>
          <w:szCs w:val="30"/>
        </w:rPr>
        <w:t xml:space="preserve">                  </w:t>
      </w:r>
    </w:p>
    <w:p w14:paraId="408D1CDF">
      <w:pPr>
        <w:adjustRightInd w:val="0"/>
        <w:spacing w:line="360" w:lineRule="auto"/>
        <w:jc w:val="center"/>
        <w:textAlignment w:val="baseline"/>
        <w:rPr>
          <w:rFonts w:hint="eastAsia" w:ascii="宋体" w:hAnsi="宋体" w:cs="宋体"/>
          <w:color w:val="000000"/>
          <w:sz w:val="40"/>
          <w:szCs w:val="30"/>
        </w:rPr>
      </w:pPr>
      <w:r>
        <w:rPr>
          <w:rFonts w:hint="eastAsia" w:ascii="宋体" w:hAnsi="宋体" w:cs="宋体"/>
          <w:color w:val="000000"/>
          <w:sz w:val="40"/>
          <w:szCs w:val="30"/>
        </w:rPr>
        <w:t>目  录</w:t>
      </w:r>
    </w:p>
    <w:p w14:paraId="36BED3FE">
      <w:pPr>
        <w:pStyle w:val="23"/>
        <w:tabs>
          <w:tab w:val="right" w:leader="dot" w:pos="8312"/>
        </w:tabs>
      </w:pPr>
      <w:r>
        <w:rPr>
          <w:rFonts w:hint="eastAsia" w:ascii="宋体" w:hAnsi="宋体" w:cs="宋体"/>
          <w:b w:val="0"/>
          <w:bCs w:val="0"/>
          <w:color w:val="000000"/>
          <w:kern w:val="0"/>
          <w:szCs w:val="24"/>
        </w:rPr>
        <w:fldChar w:fldCharType="begin"/>
      </w:r>
      <w:r>
        <w:rPr>
          <w:rStyle w:val="44"/>
          <w:rFonts w:hint="eastAsia" w:ascii="宋体" w:hAnsi="宋体" w:cs="宋体"/>
          <w:kern w:val="0"/>
          <w:szCs w:val="24"/>
        </w:rPr>
        <w:instrText xml:space="preserve"> TOC \o "3-3" \h \z \t "标题 1,2,标题 2,3,标题,1" </w:instrText>
      </w:r>
      <w:r>
        <w:rPr>
          <w:rFonts w:hint="eastAsia" w:ascii="宋体" w:hAnsi="宋体" w:cs="宋体"/>
          <w:b w:val="0"/>
          <w:bCs w:val="0"/>
          <w:color w:val="000000"/>
          <w:kern w:val="0"/>
          <w:szCs w:val="24"/>
        </w:rPr>
        <w:fldChar w:fldCharType="separate"/>
      </w:r>
      <w:r>
        <w:rPr>
          <w:rFonts w:hint="eastAsia" w:ascii="宋体" w:hAnsi="宋体" w:cs="宋体"/>
          <w:bCs w:val="0"/>
          <w:color w:val="000000"/>
          <w:kern w:val="0"/>
          <w:szCs w:val="24"/>
        </w:rPr>
        <w:fldChar w:fldCharType="begin"/>
      </w:r>
      <w:r>
        <w:rPr>
          <w:rFonts w:hint="eastAsia" w:ascii="宋体" w:hAnsi="宋体" w:cs="宋体"/>
          <w:bCs w:val="0"/>
          <w:kern w:val="0"/>
          <w:szCs w:val="24"/>
        </w:rPr>
        <w:instrText xml:space="preserve"> HYPERLINK \l _Toc2095 </w:instrText>
      </w:r>
      <w:r>
        <w:rPr>
          <w:rFonts w:hint="eastAsia" w:ascii="宋体" w:hAnsi="宋体" w:cs="宋体"/>
          <w:bCs w:val="0"/>
          <w:kern w:val="0"/>
          <w:szCs w:val="24"/>
        </w:rPr>
        <w:fldChar w:fldCharType="separate"/>
      </w:r>
      <w:r>
        <w:rPr>
          <w:rFonts w:hint="eastAsia" w:ascii="宋体" w:hAnsi="宋体" w:cs="宋体"/>
          <w:szCs w:val="36"/>
          <w:lang w:val="zh-CN"/>
        </w:rPr>
        <w:t>第一部分  投标邀请</w:t>
      </w:r>
      <w:r>
        <w:tab/>
      </w:r>
      <w:r>
        <w:fldChar w:fldCharType="begin"/>
      </w:r>
      <w:r>
        <w:instrText xml:space="preserve"> PAGEREF _Toc2095 \h </w:instrText>
      </w:r>
      <w:r>
        <w:fldChar w:fldCharType="separate"/>
      </w:r>
      <w:r>
        <w:t>5</w:t>
      </w:r>
      <w:r>
        <w:fldChar w:fldCharType="end"/>
      </w:r>
      <w:r>
        <w:rPr>
          <w:rFonts w:hint="eastAsia" w:ascii="宋体" w:hAnsi="宋体" w:cs="宋体"/>
          <w:bCs w:val="0"/>
          <w:color w:val="000000"/>
          <w:kern w:val="0"/>
          <w:szCs w:val="24"/>
        </w:rPr>
        <w:fldChar w:fldCharType="end"/>
      </w:r>
    </w:p>
    <w:p w14:paraId="47D560DC">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_Toc9811 </w:instrText>
      </w:r>
      <w:r>
        <w:rPr>
          <w:rFonts w:hint="eastAsia" w:ascii="宋体" w:hAnsi="宋体" w:cs="宋体"/>
        </w:rPr>
        <w:fldChar w:fldCharType="separate"/>
      </w:r>
      <w:r>
        <w:rPr>
          <w:rFonts w:hint="eastAsia" w:ascii="宋体" w:hAnsi="宋体" w:cs="宋体"/>
          <w:szCs w:val="36"/>
          <w:lang w:val="zh-CN"/>
        </w:rPr>
        <w:t>第二部分  投标人须知</w:t>
      </w:r>
      <w:r>
        <w:tab/>
      </w:r>
      <w:r>
        <w:fldChar w:fldCharType="begin"/>
      </w:r>
      <w:r>
        <w:instrText xml:space="preserve"> PAGEREF _Toc9811 \h </w:instrText>
      </w:r>
      <w:r>
        <w:fldChar w:fldCharType="separate"/>
      </w:r>
      <w:r>
        <w:t>8</w:t>
      </w:r>
      <w:r>
        <w:fldChar w:fldCharType="end"/>
      </w:r>
      <w:r>
        <w:rPr>
          <w:rFonts w:hint="eastAsia" w:ascii="宋体" w:hAnsi="宋体" w:cs="宋体"/>
          <w:color w:val="000000"/>
        </w:rPr>
        <w:fldChar w:fldCharType="end"/>
      </w:r>
    </w:p>
    <w:p w14:paraId="7B45246E">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_Toc3021 </w:instrText>
      </w:r>
      <w:r>
        <w:rPr>
          <w:rFonts w:hint="eastAsia" w:ascii="宋体" w:hAnsi="宋体" w:cs="宋体"/>
        </w:rPr>
        <w:fldChar w:fldCharType="separate"/>
      </w:r>
      <w:r>
        <w:rPr>
          <w:rFonts w:hint="eastAsia" w:ascii="宋体" w:hAnsi="宋体" w:cs="宋体"/>
          <w:lang w:val="zh-CN"/>
        </w:rPr>
        <w:t>一、说明</w:t>
      </w:r>
      <w:r>
        <w:tab/>
      </w:r>
      <w:r>
        <w:fldChar w:fldCharType="begin"/>
      </w:r>
      <w:r>
        <w:instrText xml:space="preserve"> PAGEREF _Toc3021 \h </w:instrText>
      </w:r>
      <w:r>
        <w:fldChar w:fldCharType="separate"/>
      </w:r>
      <w:r>
        <w:t>8</w:t>
      </w:r>
      <w:r>
        <w:fldChar w:fldCharType="end"/>
      </w:r>
      <w:r>
        <w:rPr>
          <w:rFonts w:hint="eastAsia" w:ascii="宋体" w:hAnsi="宋体" w:cs="宋体"/>
          <w:color w:val="000000"/>
        </w:rPr>
        <w:fldChar w:fldCharType="end"/>
      </w:r>
    </w:p>
    <w:p w14:paraId="24EE0A26">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_Toc5211 </w:instrText>
      </w:r>
      <w:r>
        <w:rPr>
          <w:rFonts w:hint="eastAsia" w:ascii="宋体" w:hAnsi="宋体" w:cs="宋体"/>
        </w:rPr>
        <w:fldChar w:fldCharType="separate"/>
      </w:r>
      <w:r>
        <w:rPr>
          <w:rFonts w:hint="eastAsia" w:ascii="宋体" w:hAnsi="宋体" w:cs="宋体"/>
          <w:szCs w:val="28"/>
          <w:lang w:val="zh-CN"/>
        </w:rPr>
        <w:t>1.适用范围</w:t>
      </w:r>
      <w:r>
        <w:tab/>
      </w:r>
      <w:r>
        <w:fldChar w:fldCharType="begin"/>
      </w:r>
      <w:r>
        <w:instrText xml:space="preserve"> PAGEREF _Toc5211 \h </w:instrText>
      </w:r>
      <w:r>
        <w:fldChar w:fldCharType="separate"/>
      </w:r>
      <w:r>
        <w:t>8</w:t>
      </w:r>
      <w:r>
        <w:fldChar w:fldCharType="end"/>
      </w:r>
      <w:r>
        <w:rPr>
          <w:rFonts w:hint="eastAsia" w:ascii="宋体" w:hAnsi="宋体" w:cs="宋体"/>
          <w:color w:val="000000"/>
        </w:rPr>
        <w:fldChar w:fldCharType="end"/>
      </w:r>
    </w:p>
    <w:p w14:paraId="08BDF0B4">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_Toc9643 </w:instrText>
      </w:r>
      <w:r>
        <w:rPr>
          <w:rFonts w:hint="eastAsia" w:ascii="宋体" w:hAnsi="宋体" w:cs="宋体"/>
        </w:rPr>
        <w:fldChar w:fldCharType="separate"/>
      </w:r>
      <w:r>
        <w:rPr>
          <w:rFonts w:hint="eastAsia" w:ascii="宋体" w:hAnsi="宋体" w:cs="宋体"/>
          <w:szCs w:val="28"/>
          <w:lang w:val="zh-CN"/>
        </w:rPr>
        <w:t>2.采购方式、合格的投标人</w:t>
      </w:r>
      <w:r>
        <w:tab/>
      </w:r>
      <w:r>
        <w:fldChar w:fldCharType="begin"/>
      </w:r>
      <w:r>
        <w:instrText xml:space="preserve"> PAGEREF _Toc9643 \h </w:instrText>
      </w:r>
      <w:r>
        <w:fldChar w:fldCharType="separate"/>
      </w:r>
      <w:r>
        <w:t>8</w:t>
      </w:r>
      <w:r>
        <w:fldChar w:fldCharType="end"/>
      </w:r>
      <w:r>
        <w:rPr>
          <w:rFonts w:hint="eastAsia" w:ascii="宋体" w:hAnsi="宋体" w:cs="宋体"/>
          <w:color w:val="000000"/>
        </w:rPr>
        <w:fldChar w:fldCharType="end"/>
      </w:r>
    </w:p>
    <w:p w14:paraId="42046D25">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_Toc12030 </w:instrText>
      </w:r>
      <w:r>
        <w:rPr>
          <w:rFonts w:hint="eastAsia" w:ascii="宋体" w:hAnsi="宋体" w:cs="宋体"/>
        </w:rPr>
        <w:fldChar w:fldCharType="separate"/>
      </w:r>
      <w:r>
        <w:rPr>
          <w:rFonts w:hint="eastAsia" w:ascii="宋体" w:hAnsi="宋体" w:cs="宋体"/>
          <w:szCs w:val="28"/>
          <w:lang w:val="zh-CN"/>
        </w:rPr>
        <w:t>3.投标费用</w:t>
      </w:r>
      <w:r>
        <w:tab/>
      </w:r>
      <w:r>
        <w:fldChar w:fldCharType="begin"/>
      </w:r>
      <w:r>
        <w:instrText xml:space="preserve"> PAGEREF _Toc12030 \h </w:instrText>
      </w:r>
      <w:r>
        <w:fldChar w:fldCharType="separate"/>
      </w:r>
      <w:r>
        <w:t>8</w:t>
      </w:r>
      <w:r>
        <w:fldChar w:fldCharType="end"/>
      </w:r>
      <w:r>
        <w:rPr>
          <w:rFonts w:hint="eastAsia" w:ascii="宋体" w:hAnsi="宋体" w:cs="宋体"/>
          <w:color w:val="000000"/>
        </w:rPr>
        <w:fldChar w:fldCharType="end"/>
      </w:r>
    </w:p>
    <w:p w14:paraId="5AF3788E">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_Toc24749 </w:instrText>
      </w:r>
      <w:r>
        <w:rPr>
          <w:rFonts w:hint="eastAsia" w:ascii="宋体" w:hAnsi="宋体" w:cs="宋体"/>
        </w:rPr>
        <w:fldChar w:fldCharType="separate"/>
      </w:r>
      <w:r>
        <w:rPr>
          <w:rFonts w:hint="eastAsia" w:ascii="宋体" w:hAnsi="宋体" w:cs="宋体"/>
          <w:lang w:val="zh-CN"/>
        </w:rPr>
        <w:t>二、招标文件说明</w:t>
      </w:r>
      <w:r>
        <w:tab/>
      </w:r>
      <w:r>
        <w:fldChar w:fldCharType="begin"/>
      </w:r>
      <w:r>
        <w:instrText xml:space="preserve"> PAGEREF _Toc24749 \h </w:instrText>
      </w:r>
      <w:r>
        <w:fldChar w:fldCharType="separate"/>
      </w:r>
      <w:r>
        <w:t>8</w:t>
      </w:r>
      <w:r>
        <w:fldChar w:fldCharType="end"/>
      </w:r>
      <w:r>
        <w:rPr>
          <w:rFonts w:hint="eastAsia" w:ascii="宋体" w:hAnsi="宋体" w:cs="宋体"/>
          <w:color w:val="000000"/>
        </w:rPr>
        <w:fldChar w:fldCharType="end"/>
      </w:r>
    </w:p>
    <w:p w14:paraId="7A4D607A">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_Toc4696 </w:instrText>
      </w:r>
      <w:r>
        <w:rPr>
          <w:rFonts w:hint="eastAsia" w:ascii="宋体" w:hAnsi="宋体" w:cs="宋体"/>
        </w:rPr>
        <w:fldChar w:fldCharType="separate"/>
      </w:r>
      <w:r>
        <w:rPr>
          <w:rFonts w:hint="eastAsia" w:ascii="宋体" w:hAnsi="宋体" w:cs="宋体"/>
          <w:szCs w:val="28"/>
          <w:lang w:val="zh-CN"/>
        </w:rPr>
        <w:t>4.招标文件的构成</w:t>
      </w:r>
      <w:r>
        <w:tab/>
      </w:r>
      <w:r>
        <w:fldChar w:fldCharType="begin"/>
      </w:r>
      <w:r>
        <w:instrText xml:space="preserve"> PAGEREF _Toc4696 \h </w:instrText>
      </w:r>
      <w:r>
        <w:fldChar w:fldCharType="separate"/>
      </w:r>
      <w:r>
        <w:t>8</w:t>
      </w:r>
      <w:r>
        <w:fldChar w:fldCharType="end"/>
      </w:r>
      <w:r>
        <w:rPr>
          <w:rFonts w:hint="eastAsia" w:ascii="宋体" w:hAnsi="宋体" w:cs="宋体"/>
          <w:color w:val="000000"/>
        </w:rPr>
        <w:fldChar w:fldCharType="end"/>
      </w:r>
    </w:p>
    <w:p w14:paraId="3033A599">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_Toc23073 </w:instrText>
      </w:r>
      <w:r>
        <w:rPr>
          <w:rFonts w:hint="eastAsia" w:ascii="宋体" w:hAnsi="宋体" w:cs="宋体"/>
        </w:rPr>
        <w:fldChar w:fldCharType="separate"/>
      </w:r>
      <w:r>
        <w:rPr>
          <w:rFonts w:hint="eastAsia" w:ascii="宋体" w:hAnsi="宋体" w:cs="宋体"/>
          <w:szCs w:val="28"/>
          <w:lang w:val="zh-CN"/>
        </w:rPr>
        <w:t>5.招标文件、采购活动和中标结果的质疑</w:t>
      </w:r>
      <w:r>
        <w:tab/>
      </w:r>
      <w:r>
        <w:fldChar w:fldCharType="begin"/>
      </w:r>
      <w:r>
        <w:instrText xml:space="preserve"> PAGEREF _Toc23073 \h </w:instrText>
      </w:r>
      <w:r>
        <w:fldChar w:fldCharType="separate"/>
      </w:r>
      <w:r>
        <w:t>8</w:t>
      </w:r>
      <w:r>
        <w:fldChar w:fldCharType="end"/>
      </w:r>
      <w:r>
        <w:rPr>
          <w:rFonts w:hint="eastAsia" w:ascii="宋体" w:hAnsi="宋体" w:cs="宋体"/>
          <w:color w:val="000000"/>
        </w:rPr>
        <w:fldChar w:fldCharType="end"/>
      </w:r>
    </w:p>
    <w:p w14:paraId="0AA50E1B">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_Toc6552 </w:instrText>
      </w:r>
      <w:r>
        <w:rPr>
          <w:rFonts w:hint="eastAsia" w:ascii="宋体" w:hAnsi="宋体" w:cs="宋体"/>
        </w:rPr>
        <w:fldChar w:fldCharType="separate"/>
      </w:r>
      <w:r>
        <w:rPr>
          <w:rFonts w:hint="eastAsia" w:ascii="宋体" w:hAnsi="宋体" w:cs="宋体"/>
          <w:szCs w:val="28"/>
          <w:lang w:val="zh-CN"/>
        </w:rPr>
        <w:t>6.澄清或修改</w:t>
      </w:r>
      <w:r>
        <w:tab/>
      </w:r>
      <w:r>
        <w:fldChar w:fldCharType="begin"/>
      </w:r>
      <w:r>
        <w:instrText xml:space="preserve"> PAGEREF _Toc6552 \h </w:instrText>
      </w:r>
      <w:r>
        <w:fldChar w:fldCharType="separate"/>
      </w:r>
      <w:r>
        <w:t>9</w:t>
      </w:r>
      <w:r>
        <w:fldChar w:fldCharType="end"/>
      </w:r>
      <w:r>
        <w:rPr>
          <w:rFonts w:hint="eastAsia" w:ascii="宋体" w:hAnsi="宋体" w:cs="宋体"/>
          <w:color w:val="000000"/>
        </w:rPr>
        <w:fldChar w:fldCharType="end"/>
      </w:r>
    </w:p>
    <w:p w14:paraId="3EEC1EC9">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_Toc20266 </w:instrText>
      </w:r>
      <w:r>
        <w:rPr>
          <w:rFonts w:hint="eastAsia" w:ascii="宋体" w:hAnsi="宋体" w:cs="宋体"/>
        </w:rPr>
        <w:fldChar w:fldCharType="separate"/>
      </w:r>
      <w:r>
        <w:rPr>
          <w:rFonts w:hint="eastAsia" w:ascii="宋体" w:hAnsi="宋体" w:cs="宋体"/>
          <w:lang w:val="zh-CN"/>
        </w:rPr>
        <w:t>三、投标文件的编制</w:t>
      </w:r>
      <w:r>
        <w:tab/>
      </w:r>
      <w:r>
        <w:fldChar w:fldCharType="begin"/>
      </w:r>
      <w:r>
        <w:instrText xml:space="preserve"> PAGEREF _Toc20266 \h </w:instrText>
      </w:r>
      <w:r>
        <w:fldChar w:fldCharType="separate"/>
      </w:r>
      <w:r>
        <w:t>9</w:t>
      </w:r>
      <w:r>
        <w:fldChar w:fldCharType="end"/>
      </w:r>
      <w:r>
        <w:rPr>
          <w:rFonts w:hint="eastAsia" w:ascii="宋体" w:hAnsi="宋体" w:cs="宋体"/>
          <w:color w:val="000000"/>
        </w:rPr>
        <w:fldChar w:fldCharType="end"/>
      </w:r>
    </w:p>
    <w:p w14:paraId="0B2C4A2C">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_Toc26947 </w:instrText>
      </w:r>
      <w:r>
        <w:rPr>
          <w:rFonts w:hint="eastAsia" w:ascii="宋体" w:hAnsi="宋体" w:cs="宋体"/>
        </w:rPr>
        <w:fldChar w:fldCharType="separate"/>
      </w:r>
      <w:r>
        <w:rPr>
          <w:rFonts w:hint="eastAsia" w:ascii="宋体" w:hAnsi="宋体" w:cs="宋体"/>
          <w:szCs w:val="28"/>
          <w:lang w:val="zh-CN"/>
        </w:rPr>
        <w:t>7.投标文件的语言及度量衡单位</w:t>
      </w:r>
      <w:r>
        <w:tab/>
      </w:r>
      <w:r>
        <w:fldChar w:fldCharType="begin"/>
      </w:r>
      <w:r>
        <w:instrText xml:space="preserve"> PAGEREF _Toc26947 \h </w:instrText>
      </w:r>
      <w:r>
        <w:fldChar w:fldCharType="separate"/>
      </w:r>
      <w:r>
        <w:t>9</w:t>
      </w:r>
      <w:r>
        <w:fldChar w:fldCharType="end"/>
      </w:r>
      <w:r>
        <w:rPr>
          <w:rFonts w:hint="eastAsia" w:ascii="宋体" w:hAnsi="宋体" w:cs="宋体"/>
          <w:color w:val="000000"/>
        </w:rPr>
        <w:fldChar w:fldCharType="end"/>
      </w:r>
    </w:p>
    <w:p w14:paraId="5227D24C">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_Toc26236 </w:instrText>
      </w:r>
      <w:r>
        <w:rPr>
          <w:rFonts w:hint="eastAsia" w:ascii="宋体" w:hAnsi="宋体" w:cs="宋体"/>
        </w:rPr>
        <w:fldChar w:fldCharType="separate"/>
      </w:r>
      <w:r>
        <w:rPr>
          <w:rFonts w:hint="eastAsia" w:ascii="宋体" w:hAnsi="宋体" w:cs="宋体"/>
          <w:szCs w:val="28"/>
          <w:lang w:val="zh-CN"/>
        </w:rPr>
        <w:t>8.投标报价及币种</w:t>
      </w:r>
      <w:r>
        <w:tab/>
      </w:r>
      <w:r>
        <w:fldChar w:fldCharType="begin"/>
      </w:r>
      <w:r>
        <w:instrText xml:space="preserve"> PAGEREF _Toc26236 \h </w:instrText>
      </w:r>
      <w:r>
        <w:fldChar w:fldCharType="separate"/>
      </w:r>
      <w:r>
        <w:t>10</w:t>
      </w:r>
      <w:r>
        <w:fldChar w:fldCharType="end"/>
      </w:r>
      <w:r>
        <w:rPr>
          <w:rFonts w:hint="eastAsia" w:ascii="宋体" w:hAnsi="宋体" w:cs="宋体"/>
          <w:color w:val="000000"/>
        </w:rPr>
        <w:fldChar w:fldCharType="end"/>
      </w:r>
    </w:p>
    <w:p w14:paraId="58F800C5">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_Toc22643 </w:instrText>
      </w:r>
      <w:r>
        <w:rPr>
          <w:rFonts w:hint="eastAsia" w:ascii="宋体" w:hAnsi="宋体" w:cs="宋体"/>
        </w:rPr>
        <w:fldChar w:fldCharType="separate"/>
      </w:r>
      <w:r>
        <w:rPr>
          <w:rFonts w:hint="eastAsia" w:ascii="宋体" w:hAnsi="宋体" w:cs="宋体"/>
          <w:szCs w:val="28"/>
        </w:rPr>
        <w:t>9</w:t>
      </w:r>
      <w:r>
        <w:rPr>
          <w:rFonts w:hint="eastAsia" w:ascii="宋体" w:hAnsi="宋体" w:cs="宋体"/>
          <w:szCs w:val="28"/>
          <w:lang w:val="zh-CN"/>
        </w:rPr>
        <w:t>.投标有效期</w:t>
      </w:r>
      <w:r>
        <w:tab/>
      </w:r>
      <w:r>
        <w:fldChar w:fldCharType="begin"/>
      </w:r>
      <w:r>
        <w:instrText xml:space="preserve"> PAGEREF _Toc22643 \h </w:instrText>
      </w:r>
      <w:r>
        <w:fldChar w:fldCharType="separate"/>
      </w:r>
      <w:r>
        <w:t>10</w:t>
      </w:r>
      <w:r>
        <w:fldChar w:fldCharType="end"/>
      </w:r>
      <w:r>
        <w:rPr>
          <w:rFonts w:hint="eastAsia" w:ascii="宋体" w:hAnsi="宋体" w:cs="宋体"/>
          <w:color w:val="000000"/>
        </w:rPr>
        <w:fldChar w:fldCharType="end"/>
      </w:r>
    </w:p>
    <w:p w14:paraId="75B5C582">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_Toc8477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0</w:t>
      </w:r>
      <w:r>
        <w:rPr>
          <w:rFonts w:hint="eastAsia" w:ascii="宋体" w:hAnsi="宋体" w:cs="宋体"/>
          <w:szCs w:val="28"/>
          <w:lang w:val="zh-CN"/>
        </w:rPr>
        <w:t>.投标文件构成</w:t>
      </w:r>
      <w:r>
        <w:tab/>
      </w:r>
      <w:r>
        <w:fldChar w:fldCharType="begin"/>
      </w:r>
      <w:r>
        <w:instrText xml:space="preserve"> PAGEREF _Toc8477 \h </w:instrText>
      </w:r>
      <w:r>
        <w:fldChar w:fldCharType="separate"/>
      </w:r>
      <w:r>
        <w:t>10</w:t>
      </w:r>
      <w:r>
        <w:fldChar w:fldCharType="end"/>
      </w:r>
      <w:r>
        <w:rPr>
          <w:rFonts w:hint="eastAsia" w:ascii="宋体" w:hAnsi="宋体" w:cs="宋体"/>
          <w:color w:val="000000"/>
        </w:rPr>
        <w:fldChar w:fldCharType="end"/>
      </w:r>
    </w:p>
    <w:p w14:paraId="02D611E5">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_Toc6431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1</w:t>
      </w:r>
      <w:r>
        <w:rPr>
          <w:rFonts w:hint="eastAsia" w:ascii="宋体" w:hAnsi="宋体" w:cs="宋体"/>
          <w:szCs w:val="28"/>
          <w:lang w:val="zh-CN"/>
        </w:rPr>
        <w:t>.投标文件的编制要求</w:t>
      </w:r>
      <w:r>
        <w:tab/>
      </w:r>
      <w:r>
        <w:fldChar w:fldCharType="begin"/>
      </w:r>
      <w:r>
        <w:instrText xml:space="preserve"> PAGEREF _Toc6431 \h </w:instrText>
      </w:r>
      <w:r>
        <w:fldChar w:fldCharType="separate"/>
      </w:r>
      <w:r>
        <w:t>11</w:t>
      </w:r>
      <w:r>
        <w:fldChar w:fldCharType="end"/>
      </w:r>
      <w:r>
        <w:rPr>
          <w:rFonts w:hint="eastAsia" w:ascii="宋体" w:hAnsi="宋体" w:cs="宋体"/>
          <w:color w:val="000000"/>
        </w:rPr>
        <w:fldChar w:fldCharType="end"/>
      </w:r>
    </w:p>
    <w:p w14:paraId="0DF6F3A3">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_Toc29189 </w:instrText>
      </w:r>
      <w:r>
        <w:rPr>
          <w:rFonts w:hint="eastAsia" w:ascii="宋体" w:hAnsi="宋体" w:cs="宋体"/>
        </w:rPr>
        <w:fldChar w:fldCharType="separate"/>
      </w:r>
      <w:r>
        <w:rPr>
          <w:rFonts w:hint="eastAsia" w:ascii="宋体" w:hAnsi="宋体" w:cs="宋体"/>
          <w:lang w:val="zh-CN"/>
        </w:rPr>
        <w:t>四、</w:t>
      </w:r>
      <w:r>
        <w:rPr>
          <w:rFonts w:hint="eastAsia" w:ascii="宋体" w:hAnsi="宋体" w:cs="宋体"/>
          <w:kern w:val="0"/>
          <w:lang w:val="zh-CN"/>
        </w:rPr>
        <w:t>电子</w:t>
      </w:r>
      <w:r>
        <w:rPr>
          <w:rFonts w:hint="eastAsia" w:ascii="宋体" w:hAnsi="宋体" w:cs="宋体"/>
          <w:lang w:val="zh-CN"/>
        </w:rPr>
        <w:t>投标文件的上传</w:t>
      </w:r>
      <w:r>
        <w:tab/>
      </w:r>
      <w:r>
        <w:fldChar w:fldCharType="begin"/>
      </w:r>
      <w:r>
        <w:instrText xml:space="preserve"> PAGEREF _Toc29189 \h </w:instrText>
      </w:r>
      <w:r>
        <w:fldChar w:fldCharType="separate"/>
      </w:r>
      <w:r>
        <w:t>11</w:t>
      </w:r>
      <w:r>
        <w:fldChar w:fldCharType="end"/>
      </w:r>
      <w:r>
        <w:rPr>
          <w:rFonts w:hint="eastAsia" w:ascii="宋体" w:hAnsi="宋体" w:cs="宋体"/>
          <w:color w:val="000000"/>
        </w:rPr>
        <w:fldChar w:fldCharType="end"/>
      </w:r>
    </w:p>
    <w:p w14:paraId="34EEB099">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_Toc16316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2</w:t>
      </w:r>
      <w:r>
        <w:rPr>
          <w:rFonts w:hint="eastAsia" w:ascii="宋体" w:hAnsi="宋体" w:cs="宋体"/>
          <w:szCs w:val="28"/>
          <w:lang w:val="zh-CN"/>
        </w:rPr>
        <w:t>.</w:t>
      </w:r>
      <w:r>
        <w:rPr>
          <w:rFonts w:hint="eastAsia" w:ascii="宋体" w:hAnsi="宋体" w:cs="宋体"/>
          <w:kern w:val="0"/>
          <w:lang w:val="zh-CN"/>
        </w:rPr>
        <w:t xml:space="preserve"> </w:t>
      </w:r>
      <w:r>
        <w:rPr>
          <w:rFonts w:hint="eastAsia" w:ascii="宋体" w:hAnsi="宋体" w:cs="宋体"/>
          <w:szCs w:val="28"/>
          <w:lang w:val="zh-CN"/>
        </w:rPr>
        <w:t>电子投标文件上传</w:t>
      </w:r>
      <w:r>
        <w:tab/>
      </w:r>
      <w:r>
        <w:fldChar w:fldCharType="begin"/>
      </w:r>
      <w:r>
        <w:instrText xml:space="preserve"> PAGEREF _Toc16316 \h </w:instrText>
      </w:r>
      <w:r>
        <w:fldChar w:fldCharType="separate"/>
      </w:r>
      <w:r>
        <w:t>11</w:t>
      </w:r>
      <w:r>
        <w:fldChar w:fldCharType="end"/>
      </w:r>
      <w:r>
        <w:rPr>
          <w:rFonts w:hint="eastAsia" w:ascii="宋体" w:hAnsi="宋体" w:cs="宋体"/>
          <w:color w:val="000000"/>
        </w:rPr>
        <w:fldChar w:fldCharType="end"/>
      </w:r>
    </w:p>
    <w:p w14:paraId="321D92B7">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_Toc15309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3</w:t>
      </w:r>
      <w:r>
        <w:rPr>
          <w:rFonts w:hint="eastAsia" w:ascii="宋体" w:hAnsi="宋体" w:cs="宋体"/>
          <w:szCs w:val="28"/>
          <w:lang w:val="zh-CN"/>
        </w:rPr>
        <w:t>.上传加密电子投标文件的时间、地点、方式</w:t>
      </w:r>
      <w:r>
        <w:tab/>
      </w:r>
      <w:r>
        <w:fldChar w:fldCharType="begin"/>
      </w:r>
      <w:r>
        <w:instrText xml:space="preserve"> PAGEREF _Toc15309 \h </w:instrText>
      </w:r>
      <w:r>
        <w:fldChar w:fldCharType="separate"/>
      </w:r>
      <w:r>
        <w:t>11</w:t>
      </w:r>
      <w:r>
        <w:fldChar w:fldCharType="end"/>
      </w:r>
      <w:r>
        <w:rPr>
          <w:rFonts w:hint="eastAsia" w:ascii="宋体" w:hAnsi="宋体" w:cs="宋体"/>
          <w:color w:val="000000"/>
        </w:rPr>
        <w:fldChar w:fldCharType="end"/>
      </w:r>
    </w:p>
    <w:p w14:paraId="1EACA9F1">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_Toc3244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4</w:t>
      </w:r>
      <w:r>
        <w:rPr>
          <w:rFonts w:hint="eastAsia" w:ascii="宋体" w:hAnsi="宋体" w:cs="宋体"/>
          <w:szCs w:val="28"/>
          <w:lang w:val="zh-CN"/>
        </w:rPr>
        <w:t>.电子投标文件的补充、修改或者撤回</w:t>
      </w:r>
      <w:r>
        <w:tab/>
      </w:r>
      <w:r>
        <w:fldChar w:fldCharType="begin"/>
      </w:r>
      <w:r>
        <w:instrText xml:space="preserve"> PAGEREF _Toc3244 \h </w:instrText>
      </w:r>
      <w:r>
        <w:fldChar w:fldCharType="separate"/>
      </w:r>
      <w:r>
        <w:t>11</w:t>
      </w:r>
      <w:r>
        <w:fldChar w:fldCharType="end"/>
      </w:r>
      <w:r>
        <w:rPr>
          <w:rFonts w:hint="eastAsia" w:ascii="宋体" w:hAnsi="宋体" w:cs="宋体"/>
          <w:color w:val="000000"/>
        </w:rPr>
        <w:fldChar w:fldCharType="end"/>
      </w:r>
    </w:p>
    <w:p w14:paraId="1D627EE0">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_Toc11471 </w:instrText>
      </w:r>
      <w:r>
        <w:rPr>
          <w:rFonts w:hint="eastAsia" w:ascii="宋体" w:hAnsi="宋体" w:cs="宋体"/>
        </w:rPr>
        <w:fldChar w:fldCharType="separate"/>
      </w:r>
      <w:r>
        <w:rPr>
          <w:rFonts w:hint="eastAsia" w:ascii="宋体" w:hAnsi="宋体" w:cs="宋体"/>
          <w:lang w:val="zh-CN"/>
        </w:rPr>
        <w:t>五、开标</w:t>
      </w:r>
      <w:r>
        <w:tab/>
      </w:r>
      <w:r>
        <w:fldChar w:fldCharType="begin"/>
      </w:r>
      <w:r>
        <w:instrText xml:space="preserve"> PAGEREF _Toc11471 \h </w:instrText>
      </w:r>
      <w:r>
        <w:fldChar w:fldCharType="separate"/>
      </w:r>
      <w:r>
        <w:t>12</w:t>
      </w:r>
      <w:r>
        <w:fldChar w:fldCharType="end"/>
      </w:r>
      <w:r>
        <w:rPr>
          <w:rFonts w:hint="eastAsia" w:ascii="宋体" w:hAnsi="宋体" w:cs="宋体"/>
          <w:color w:val="000000"/>
        </w:rPr>
        <w:fldChar w:fldCharType="end"/>
      </w:r>
    </w:p>
    <w:p w14:paraId="025011D3">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_Toc11859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5</w:t>
      </w:r>
      <w:r>
        <w:rPr>
          <w:rFonts w:hint="eastAsia" w:ascii="宋体" w:hAnsi="宋体" w:cs="宋体"/>
          <w:szCs w:val="28"/>
          <w:lang w:val="zh-CN"/>
        </w:rPr>
        <w:t>.开标</w:t>
      </w:r>
      <w:r>
        <w:tab/>
      </w:r>
      <w:r>
        <w:fldChar w:fldCharType="begin"/>
      </w:r>
      <w:r>
        <w:instrText xml:space="preserve"> PAGEREF _Toc11859 \h </w:instrText>
      </w:r>
      <w:r>
        <w:fldChar w:fldCharType="separate"/>
      </w:r>
      <w:r>
        <w:t>12</w:t>
      </w:r>
      <w:r>
        <w:fldChar w:fldCharType="end"/>
      </w:r>
      <w:r>
        <w:rPr>
          <w:rFonts w:hint="eastAsia" w:ascii="宋体" w:hAnsi="宋体" w:cs="宋体"/>
          <w:color w:val="000000"/>
        </w:rPr>
        <w:fldChar w:fldCharType="end"/>
      </w:r>
    </w:p>
    <w:p w14:paraId="770C0AE7">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_Toc30061 </w:instrText>
      </w:r>
      <w:r>
        <w:rPr>
          <w:rFonts w:hint="eastAsia" w:ascii="宋体" w:hAnsi="宋体" w:cs="宋体"/>
        </w:rP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tab/>
      </w:r>
      <w:r>
        <w:fldChar w:fldCharType="begin"/>
      </w:r>
      <w:r>
        <w:instrText xml:space="preserve"> PAGEREF _Toc30061 \h </w:instrText>
      </w:r>
      <w:r>
        <w:fldChar w:fldCharType="separate"/>
      </w:r>
      <w:r>
        <w:t>12</w:t>
      </w:r>
      <w:r>
        <w:fldChar w:fldCharType="end"/>
      </w:r>
      <w:r>
        <w:rPr>
          <w:rFonts w:hint="eastAsia" w:ascii="宋体" w:hAnsi="宋体" w:cs="宋体"/>
          <w:color w:val="000000"/>
        </w:rPr>
        <w:fldChar w:fldCharType="end"/>
      </w:r>
    </w:p>
    <w:p w14:paraId="3B18013A">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_Toc10459 </w:instrText>
      </w:r>
      <w:r>
        <w:rPr>
          <w:rFonts w:hint="eastAsia" w:ascii="宋体" w:hAnsi="宋体" w:cs="宋体"/>
        </w:rPr>
        <w:fldChar w:fldCharType="separate"/>
      </w:r>
      <w:r>
        <w:rPr>
          <w:rFonts w:hint="eastAsia" w:ascii="宋体" w:hAnsi="宋体" w:cs="宋体"/>
          <w:szCs w:val="28"/>
        </w:rPr>
        <w:t>16.资格审查</w:t>
      </w:r>
      <w:r>
        <w:tab/>
      </w:r>
      <w:r>
        <w:fldChar w:fldCharType="begin"/>
      </w:r>
      <w:r>
        <w:instrText xml:space="preserve"> PAGEREF _Toc10459 \h </w:instrText>
      </w:r>
      <w:r>
        <w:fldChar w:fldCharType="separate"/>
      </w:r>
      <w:r>
        <w:t>12</w:t>
      </w:r>
      <w:r>
        <w:fldChar w:fldCharType="end"/>
      </w:r>
      <w:r>
        <w:rPr>
          <w:rFonts w:hint="eastAsia" w:ascii="宋体" w:hAnsi="宋体" w:cs="宋体"/>
          <w:color w:val="000000"/>
        </w:rPr>
        <w:fldChar w:fldCharType="end"/>
      </w:r>
    </w:p>
    <w:p w14:paraId="230C4009">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_Toc29010 </w:instrText>
      </w:r>
      <w:r>
        <w:rPr>
          <w:rFonts w:hint="eastAsia" w:ascii="宋体" w:hAnsi="宋体" w:cs="宋体"/>
        </w:rPr>
        <w:fldChar w:fldCharType="separate"/>
      </w:r>
      <w:r>
        <w:rPr>
          <w:rFonts w:hint="eastAsia" w:ascii="宋体" w:hAnsi="宋体" w:cs="宋体"/>
          <w:lang w:val="zh-CN"/>
        </w:rPr>
        <w:t>七、评审程序及方法</w:t>
      </w:r>
      <w:r>
        <w:tab/>
      </w:r>
      <w:r>
        <w:fldChar w:fldCharType="begin"/>
      </w:r>
      <w:r>
        <w:instrText xml:space="preserve"> PAGEREF _Toc29010 \h </w:instrText>
      </w:r>
      <w:r>
        <w:fldChar w:fldCharType="separate"/>
      </w:r>
      <w:r>
        <w:t>12</w:t>
      </w:r>
      <w:r>
        <w:fldChar w:fldCharType="end"/>
      </w:r>
      <w:r>
        <w:rPr>
          <w:rFonts w:hint="eastAsia" w:ascii="宋体" w:hAnsi="宋体" w:cs="宋体"/>
          <w:color w:val="000000"/>
        </w:rPr>
        <w:fldChar w:fldCharType="end"/>
      </w:r>
    </w:p>
    <w:p w14:paraId="198ABE16">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_Toc14554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7</w:t>
      </w:r>
      <w:r>
        <w:rPr>
          <w:rFonts w:hint="eastAsia" w:ascii="宋体" w:hAnsi="宋体" w:cs="宋体"/>
          <w:szCs w:val="28"/>
          <w:lang w:val="zh-CN"/>
        </w:rPr>
        <w:t>.评标委员会</w:t>
      </w:r>
      <w:r>
        <w:tab/>
      </w:r>
      <w:r>
        <w:fldChar w:fldCharType="begin"/>
      </w:r>
      <w:r>
        <w:instrText xml:space="preserve"> PAGEREF _Toc14554 \h </w:instrText>
      </w:r>
      <w:r>
        <w:fldChar w:fldCharType="separate"/>
      </w:r>
      <w:r>
        <w:t>12</w:t>
      </w:r>
      <w:r>
        <w:fldChar w:fldCharType="end"/>
      </w:r>
      <w:r>
        <w:rPr>
          <w:rFonts w:hint="eastAsia" w:ascii="宋体" w:hAnsi="宋体" w:cs="宋体"/>
          <w:color w:val="000000"/>
        </w:rPr>
        <w:fldChar w:fldCharType="end"/>
      </w:r>
    </w:p>
    <w:p w14:paraId="7C512F17">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_Toc25574 </w:instrText>
      </w:r>
      <w:r>
        <w:rPr>
          <w:rFonts w:hint="eastAsia" w:ascii="宋体" w:hAnsi="宋体" w:cs="宋体"/>
        </w:rPr>
        <w:fldChar w:fldCharType="separate"/>
      </w:r>
      <w:r>
        <w:rPr>
          <w:rFonts w:hint="eastAsia" w:ascii="宋体" w:hAnsi="宋体" w:cs="宋体"/>
          <w:szCs w:val="28"/>
        </w:rPr>
        <w:t>18</w:t>
      </w:r>
      <w:r>
        <w:rPr>
          <w:rFonts w:hint="eastAsia" w:ascii="宋体" w:hAnsi="宋体" w:cs="宋体"/>
          <w:szCs w:val="28"/>
          <w:lang w:val="zh-CN"/>
        </w:rPr>
        <w:t>.评审工作程序</w:t>
      </w:r>
      <w:r>
        <w:tab/>
      </w:r>
      <w:r>
        <w:fldChar w:fldCharType="begin"/>
      </w:r>
      <w:r>
        <w:instrText xml:space="preserve"> PAGEREF _Toc25574 \h </w:instrText>
      </w:r>
      <w:r>
        <w:fldChar w:fldCharType="separate"/>
      </w:r>
      <w:r>
        <w:t>14</w:t>
      </w:r>
      <w:r>
        <w:fldChar w:fldCharType="end"/>
      </w:r>
      <w:r>
        <w:rPr>
          <w:rFonts w:hint="eastAsia" w:ascii="宋体" w:hAnsi="宋体" w:cs="宋体"/>
          <w:color w:val="000000"/>
        </w:rPr>
        <w:fldChar w:fldCharType="end"/>
      </w:r>
    </w:p>
    <w:p w14:paraId="4667C48B">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_Toc28804 </w:instrText>
      </w:r>
      <w:r>
        <w:rPr>
          <w:rFonts w:hint="eastAsia" w:ascii="宋体" w:hAnsi="宋体" w:cs="宋体"/>
        </w:rPr>
        <w:fldChar w:fldCharType="separate"/>
      </w:r>
      <w:r>
        <w:rPr>
          <w:rFonts w:hint="eastAsia" w:ascii="宋体" w:hAnsi="宋体" w:cs="宋体"/>
          <w:szCs w:val="28"/>
        </w:rPr>
        <w:t>19</w:t>
      </w:r>
      <w:r>
        <w:rPr>
          <w:rFonts w:hint="eastAsia" w:ascii="宋体" w:hAnsi="宋体" w:cs="宋体"/>
          <w:szCs w:val="28"/>
          <w:lang w:val="zh-CN"/>
        </w:rPr>
        <w:t>.评审方法和标准</w:t>
      </w:r>
      <w:r>
        <w:tab/>
      </w:r>
      <w:r>
        <w:fldChar w:fldCharType="begin"/>
      </w:r>
      <w:r>
        <w:instrText xml:space="preserve"> PAGEREF _Toc28804 \h </w:instrText>
      </w:r>
      <w:r>
        <w:fldChar w:fldCharType="separate"/>
      </w:r>
      <w:r>
        <w:t>16</w:t>
      </w:r>
      <w:r>
        <w:fldChar w:fldCharType="end"/>
      </w:r>
      <w:r>
        <w:rPr>
          <w:rFonts w:hint="eastAsia" w:ascii="宋体" w:hAnsi="宋体" w:cs="宋体"/>
          <w:color w:val="000000"/>
        </w:rPr>
        <w:fldChar w:fldCharType="end"/>
      </w:r>
    </w:p>
    <w:p w14:paraId="1F11E47E">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_Toc10582 </w:instrText>
      </w:r>
      <w:r>
        <w:rPr>
          <w:rFonts w:hint="eastAsia" w:ascii="宋体" w:hAnsi="宋体" w:cs="宋体"/>
        </w:rPr>
        <w:fldChar w:fldCharType="separate"/>
      </w:r>
      <w:r>
        <w:rPr>
          <w:rFonts w:hint="eastAsia" w:ascii="宋体" w:hAnsi="宋体" w:cs="宋体"/>
          <w:lang w:val="zh-CN"/>
        </w:rPr>
        <w:t>八、中标</w:t>
      </w:r>
      <w:r>
        <w:tab/>
      </w:r>
      <w:r>
        <w:rPr>
          <w:rFonts w:hint="eastAsia"/>
          <w:lang w:val="en-US" w:eastAsia="zh-CN"/>
        </w:rPr>
        <w:t>1</w:t>
      </w:r>
      <w:r>
        <w:rPr>
          <w:rFonts w:hint="eastAsia" w:ascii="宋体" w:hAnsi="宋体" w:cs="宋体"/>
          <w:color w:val="000000"/>
        </w:rPr>
        <w:fldChar w:fldCharType="end"/>
      </w:r>
      <w:r>
        <w:rPr>
          <w:rFonts w:hint="eastAsia" w:ascii="宋体" w:hAnsi="宋体" w:cs="宋体"/>
          <w:color w:val="000000"/>
          <w:lang w:val="en-US" w:eastAsia="zh-CN"/>
        </w:rPr>
        <w:t>6</w:t>
      </w:r>
    </w:p>
    <w:p w14:paraId="3DD8E7D6">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_Toc2829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0</w:t>
      </w:r>
      <w:r>
        <w:rPr>
          <w:rFonts w:hint="eastAsia" w:ascii="宋体" w:hAnsi="宋体" w:cs="宋体"/>
          <w:szCs w:val="28"/>
          <w:lang w:val="zh-CN"/>
        </w:rPr>
        <w:t>.推荐并确定中标人</w:t>
      </w:r>
      <w:r>
        <w:tab/>
      </w:r>
      <w:r>
        <w:fldChar w:fldCharType="begin"/>
      </w:r>
      <w:r>
        <w:instrText xml:space="preserve"> PAGEREF _Toc2829 \h </w:instrText>
      </w:r>
      <w:r>
        <w:fldChar w:fldCharType="separate"/>
      </w:r>
      <w:r>
        <w:t>1</w:t>
      </w:r>
      <w:r>
        <w:rPr>
          <w:rFonts w:hint="eastAsia"/>
          <w:lang w:val="en-US" w:eastAsia="zh-CN"/>
        </w:rPr>
        <w:t>7</w:t>
      </w:r>
      <w:r>
        <w:fldChar w:fldCharType="end"/>
      </w:r>
      <w:r>
        <w:rPr>
          <w:rFonts w:hint="eastAsia" w:ascii="宋体" w:hAnsi="宋体" w:cs="宋体"/>
          <w:color w:val="000000"/>
        </w:rPr>
        <w:fldChar w:fldCharType="end"/>
      </w:r>
    </w:p>
    <w:p w14:paraId="7B1A9046">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_Toc2263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1</w:t>
      </w:r>
      <w:r>
        <w:rPr>
          <w:rFonts w:hint="eastAsia" w:ascii="宋体" w:hAnsi="宋体" w:cs="宋体"/>
          <w:szCs w:val="28"/>
          <w:lang w:val="zh-CN"/>
        </w:rPr>
        <w:t>.中标通知</w:t>
      </w:r>
      <w:r>
        <w:tab/>
      </w:r>
      <w:r>
        <w:fldChar w:fldCharType="begin"/>
      </w:r>
      <w:r>
        <w:instrText xml:space="preserve"> PAGEREF _Toc2263 \h </w:instrText>
      </w:r>
      <w:r>
        <w:fldChar w:fldCharType="separate"/>
      </w:r>
      <w:r>
        <w:t>1</w:t>
      </w:r>
      <w:r>
        <w:rPr>
          <w:rFonts w:hint="eastAsia"/>
          <w:lang w:val="en-US" w:eastAsia="zh-CN"/>
        </w:rPr>
        <w:t>7</w:t>
      </w:r>
      <w:r>
        <w:fldChar w:fldCharType="end"/>
      </w:r>
      <w:r>
        <w:rPr>
          <w:rFonts w:hint="eastAsia" w:ascii="宋体" w:hAnsi="宋体" w:cs="宋体"/>
          <w:color w:val="000000"/>
        </w:rPr>
        <w:fldChar w:fldCharType="end"/>
      </w:r>
    </w:p>
    <w:p w14:paraId="3A069C89">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_Toc4187 </w:instrText>
      </w:r>
      <w:r>
        <w:rPr>
          <w:rFonts w:hint="eastAsia" w:ascii="宋体" w:hAnsi="宋体" w:cs="宋体"/>
        </w:rPr>
        <w:fldChar w:fldCharType="separate"/>
      </w:r>
      <w:r>
        <w:rPr>
          <w:rFonts w:hint="eastAsia" w:ascii="宋体" w:hAnsi="宋体" w:cs="宋体"/>
          <w:lang w:val="zh-CN"/>
        </w:rPr>
        <w:t>九、授予合同</w:t>
      </w:r>
      <w:r>
        <w:tab/>
      </w:r>
      <w:r>
        <w:fldChar w:fldCharType="begin"/>
      </w:r>
      <w:r>
        <w:instrText xml:space="preserve"> PAGEREF _Toc4187 \h </w:instrText>
      </w:r>
      <w:r>
        <w:fldChar w:fldCharType="separate"/>
      </w:r>
      <w:r>
        <w:t>1</w:t>
      </w:r>
      <w:r>
        <w:rPr>
          <w:rFonts w:hint="eastAsia"/>
          <w:lang w:val="en-US" w:eastAsia="zh-CN"/>
        </w:rPr>
        <w:t>8</w:t>
      </w:r>
      <w:r>
        <w:fldChar w:fldCharType="end"/>
      </w:r>
      <w:r>
        <w:rPr>
          <w:rFonts w:hint="eastAsia" w:ascii="宋体" w:hAnsi="宋体" w:cs="宋体"/>
          <w:color w:val="000000"/>
        </w:rPr>
        <w:fldChar w:fldCharType="end"/>
      </w:r>
    </w:p>
    <w:p w14:paraId="1995B014">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_Toc31251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2</w:t>
      </w:r>
      <w:r>
        <w:rPr>
          <w:rFonts w:hint="eastAsia" w:ascii="宋体" w:hAnsi="宋体" w:cs="宋体"/>
          <w:szCs w:val="28"/>
          <w:lang w:val="zh-CN"/>
        </w:rPr>
        <w:t>.签订合同</w:t>
      </w:r>
      <w:r>
        <w:tab/>
      </w:r>
      <w:r>
        <w:rPr>
          <w:rFonts w:hint="eastAsia"/>
          <w:lang w:val="en-US" w:eastAsia="zh-CN"/>
        </w:rPr>
        <w:t>1</w:t>
      </w:r>
      <w:r>
        <w:rPr>
          <w:rFonts w:hint="eastAsia" w:ascii="宋体" w:hAnsi="宋体" w:cs="宋体"/>
          <w:color w:val="000000"/>
        </w:rPr>
        <w:fldChar w:fldCharType="end"/>
      </w:r>
      <w:r>
        <w:rPr>
          <w:rFonts w:hint="eastAsia" w:ascii="宋体" w:hAnsi="宋体" w:cs="宋体"/>
          <w:color w:val="000000"/>
          <w:lang w:val="en-US" w:eastAsia="zh-CN"/>
        </w:rPr>
        <w:t>8</w:t>
      </w:r>
    </w:p>
    <w:p w14:paraId="6BD57250">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_Toc29521 </w:instrText>
      </w:r>
      <w:r>
        <w:rPr>
          <w:rFonts w:hint="eastAsia" w:ascii="宋体" w:hAnsi="宋体" w:cs="宋体"/>
        </w:rPr>
        <w:fldChar w:fldCharType="separate"/>
      </w:r>
      <w:r>
        <w:rPr>
          <w:rFonts w:hint="eastAsia" w:ascii="宋体" w:hAnsi="宋体" w:cs="宋体"/>
          <w:lang w:val="zh-CN"/>
        </w:rPr>
        <w:t>十、其他</w:t>
      </w:r>
      <w:r>
        <w:tab/>
      </w:r>
      <w:r>
        <w:rPr>
          <w:rFonts w:hint="eastAsia"/>
          <w:lang w:val="en-US" w:eastAsia="zh-CN"/>
        </w:rPr>
        <w:t>1</w:t>
      </w:r>
      <w:r>
        <w:rPr>
          <w:rFonts w:hint="eastAsia" w:ascii="宋体" w:hAnsi="宋体" w:cs="宋体"/>
          <w:color w:val="000000"/>
        </w:rPr>
        <w:fldChar w:fldCharType="end"/>
      </w:r>
      <w:r>
        <w:rPr>
          <w:rFonts w:hint="eastAsia" w:ascii="宋体" w:hAnsi="宋体" w:cs="宋体"/>
          <w:color w:val="000000"/>
          <w:lang w:val="en-US" w:eastAsia="zh-CN"/>
        </w:rPr>
        <w:t>8</w:t>
      </w:r>
    </w:p>
    <w:p w14:paraId="6721F8A8">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_Toc32474 </w:instrText>
      </w:r>
      <w:r>
        <w:rPr>
          <w:rFonts w:hint="eastAsia" w:ascii="宋体" w:hAnsi="宋体" w:cs="宋体"/>
        </w:rPr>
        <w:fldChar w:fldCharType="separate"/>
      </w:r>
      <w:r>
        <w:rPr>
          <w:rFonts w:hint="eastAsia" w:ascii="宋体" w:hAnsi="宋体" w:cs="宋体"/>
          <w:szCs w:val="28"/>
        </w:rPr>
        <w:t>23. 串通投标的情形</w:t>
      </w:r>
      <w:r>
        <w:tab/>
      </w:r>
      <w:r>
        <w:rPr>
          <w:rFonts w:hint="eastAsia"/>
          <w:lang w:val="en-US" w:eastAsia="zh-CN"/>
        </w:rPr>
        <w:t>1</w:t>
      </w:r>
      <w:r>
        <w:rPr>
          <w:rFonts w:hint="eastAsia" w:ascii="宋体" w:hAnsi="宋体" w:cs="宋体"/>
          <w:color w:val="000000"/>
        </w:rPr>
        <w:fldChar w:fldCharType="end"/>
      </w:r>
      <w:r>
        <w:rPr>
          <w:rFonts w:hint="eastAsia" w:ascii="宋体" w:hAnsi="宋体" w:cs="宋体"/>
          <w:color w:val="000000"/>
          <w:lang w:val="en-US" w:eastAsia="zh-CN"/>
        </w:rPr>
        <w:t>8</w:t>
      </w:r>
    </w:p>
    <w:p w14:paraId="76B63EA2">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_Toc26401 </w:instrText>
      </w:r>
      <w:r>
        <w:rPr>
          <w:rFonts w:hint="eastAsia" w:ascii="宋体" w:hAnsi="宋体" w:cs="宋体"/>
        </w:rPr>
        <w:fldChar w:fldCharType="separate"/>
      </w:r>
      <w:r>
        <w:rPr>
          <w:rFonts w:hint="eastAsia" w:ascii="宋体" w:hAnsi="宋体" w:cs="宋体"/>
          <w:szCs w:val="28"/>
        </w:rPr>
        <w:t>24. 废标</w:t>
      </w:r>
      <w:r>
        <w:tab/>
      </w:r>
      <w:r>
        <w:rPr>
          <w:rFonts w:hint="eastAsia"/>
          <w:lang w:val="en-US" w:eastAsia="zh-CN"/>
        </w:rPr>
        <w:t>1</w:t>
      </w:r>
      <w:r>
        <w:rPr>
          <w:rFonts w:hint="eastAsia" w:ascii="宋体" w:hAnsi="宋体" w:cs="宋体"/>
          <w:color w:val="000000"/>
        </w:rPr>
        <w:fldChar w:fldCharType="end"/>
      </w:r>
      <w:r>
        <w:rPr>
          <w:rFonts w:hint="eastAsia" w:ascii="宋体" w:hAnsi="宋体" w:cs="宋体"/>
          <w:color w:val="000000"/>
          <w:lang w:val="en-US" w:eastAsia="zh-CN"/>
        </w:rPr>
        <w:t>8</w:t>
      </w:r>
    </w:p>
    <w:p w14:paraId="19DD375F">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_Toc31638 </w:instrText>
      </w:r>
      <w:r>
        <w:rPr>
          <w:rFonts w:hint="eastAsia" w:ascii="宋体" w:hAnsi="宋体" w:cs="宋体"/>
        </w:rPr>
        <w:fldChar w:fldCharType="separate"/>
      </w:r>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格尔木市政府采购项目合同书范本</w:t>
      </w:r>
      <w:r>
        <w:tab/>
      </w:r>
      <w:r>
        <w:rPr>
          <w:rFonts w:hint="eastAsia"/>
          <w:lang w:val="en-US" w:eastAsia="zh-CN"/>
        </w:rPr>
        <w:t>1</w:t>
      </w:r>
      <w:r>
        <w:rPr>
          <w:rFonts w:hint="eastAsia" w:ascii="宋体" w:hAnsi="宋体" w:cs="宋体"/>
          <w:color w:val="000000"/>
        </w:rPr>
        <w:fldChar w:fldCharType="end"/>
      </w:r>
      <w:r>
        <w:rPr>
          <w:rFonts w:hint="eastAsia" w:ascii="宋体" w:hAnsi="宋体" w:cs="宋体"/>
          <w:color w:val="000000"/>
          <w:lang w:val="en-US" w:eastAsia="zh-CN"/>
        </w:rPr>
        <w:t>9</w:t>
      </w:r>
    </w:p>
    <w:p w14:paraId="5A8B9CBC">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_Toc3082 </w:instrText>
      </w:r>
      <w:r>
        <w:rPr>
          <w:rFonts w:hint="eastAsia" w:ascii="宋体" w:hAnsi="宋体" w:cs="宋体"/>
        </w:rPr>
        <w:fldChar w:fldCharType="separate"/>
      </w:r>
      <w:r>
        <w:rPr>
          <w:rFonts w:hint="eastAsia" w:ascii="宋体" w:hAnsi="宋体" w:cs="宋体"/>
          <w:szCs w:val="36"/>
          <w:lang w:val="zh-CN"/>
        </w:rPr>
        <w:t>第四部分 投标文件格式</w:t>
      </w:r>
      <w:r>
        <w:tab/>
      </w:r>
      <w:r>
        <w:fldChar w:fldCharType="begin"/>
      </w:r>
      <w:r>
        <w:instrText xml:space="preserve"> PAGEREF _Toc3082 \h </w:instrText>
      </w:r>
      <w:r>
        <w:fldChar w:fldCharType="separate"/>
      </w:r>
      <w:r>
        <w:t>3</w:t>
      </w:r>
      <w:r>
        <w:rPr>
          <w:rFonts w:hint="eastAsia"/>
          <w:lang w:val="en-US" w:eastAsia="zh-CN"/>
        </w:rPr>
        <w:t>0</w:t>
      </w:r>
      <w:r>
        <w:fldChar w:fldCharType="end"/>
      </w:r>
      <w:r>
        <w:rPr>
          <w:rFonts w:hint="eastAsia" w:ascii="宋体" w:hAnsi="宋体" w:cs="宋体"/>
          <w:color w:val="000000"/>
        </w:rPr>
        <w:fldChar w:fldCharType="end"/>
      </w:r>
    </w:p>
    <w:p w14:paraId="21A608A1">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_Toc24087 </w:instrText>
      </w:r>
      <w:r>
        <w:rPr>
          <w:rFonts w:hint="eastAsia" w:ascii="宋体" w:hAnsi="宋体" w:cs="宋体"/>
        </w:rPr>
        <w:fldChar w:fldCharType="separate"/>
      </w:r>
      <w:r>
        <w:rPr>
          <w:rFonts w:hint="eastAsia" w:ascii="宋体" w:hAnsi="宋体" w:cs="宋体"/>
          <w:szCs w:val="30"/>
          <w:lang w:val="zh-CN"/>
        </w:rPr>
        <w:t>封面（上册）</w:t>
      </w:r>
      <w:r>
        <w:tab/>
      </w:r>
      <w:r>
        <w:fldChar w:fldCharType="begin"/>
      </w:r>
      <w:r>
        <w:instrText xml:space="preserve"> PAGEREF _Toc24087 \h </w:instrText>
      </w:r>
      <w:r>
        <w:fldChar w:fldCharType="separate"/>
      </w:r>
      <w:r>
        <w:rPr>
          <w:rFonts w:hint="eastAsia"/>
          <w:lang w:val="en-US" w:eastAsia="zh-CN"/>
        </w:rPr>
        <w:t>3</w:t>
      </w:r>
      <w:r>
        <w:fldChar w:fldCharType="end"/>
      </w:r>
      <w:r>
        <w:rPr>
          <w:rFonts w:hint="eastAsia" w:ascii="宋体" w:hAnsi="宋体" w:cs="宋体"/>
          <w:color w:val="000000"/>
        </w:rPr>
        <w:fldChar w:fldCharType="end"/>
      </w:r>
      <w:r>
        <w:rPr>
          <w:rFonts w:hint="eastAsia" w:ascii="宋体" w:hAnsi="宋体" w:cs="宋体"/>
          <w:color w:val="000000"/>
          <w:lang w:val="en-US" w:eastAsia="zh-CN"/>
        </w:rPr>
        <w:t>1</w:t>
      </w:r>
    </w:p>
    <w:p w14:paraId="70F5CC5C">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_Toc32614 </w:instrText>
      </w:r>
      <w:r>
        <w:rPr>
          <w:rFonts w:hint="eastAsia" w:ascii="宋体" w:hAnsi="宋体" w:cs="宋体"/>
        </w:rPr>
        <w:fldChar w:fldCharType="separate"/>
      </w:r>
      <w:r>
        <w:rPr>
          <w:rFonts w:hint="eastAsia" w:ascii="宋体" w:hAnsi="宋体" w:cs="宋体"/>
          <w:szCs w:val="30"/>
          <w:lang w:val="zh-CN"/>
        </w:rPr>
        <w:t>目录（上册）</w:t>
      </w:r>
      <w:r>
        <w:tab/>
      </w:r>
      <w:r>
        <w:fldChar w:fldCharType="begin"/>
      </w:r>
      <w:r>
        <w:instrText xml:space="preserve"> PAGEREF _Toc32614 \h </w:instrText>
      </w:r>
      <w:r>
        <w:fldChar w:fldCharType="separate"/>
      </w:r>
      <w:r>
        <w:t>3</w:t>
      </w:r>
      <w:r>
        <w:rPr>
          <w:rFonts w:hint="eastAsia"/>
          <w:lang w:val="en-US" w:eastAsia="zh-CN"/>
        </w:rPr>
        <w:t>2</w:t>
      </w:r>
      <w:r>
        <w:fldChar w:fldCharType="end"/>
      </w:r>
      <w:r>
        <w:rPr>
          <w:rFonts w:hint="eastAsia" w:ascii="宋体" w:hAnsi="宋体" w:cs="宋体"/>
          <w:color w:val="000000"/>
        </w:rPr>
        <w:fldChar w:fldCharType="end"/>
      </w:r>
    </w:p>
    <w:p w14:paraId="7085B463">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_Toc14914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zh-CN"/>
        </w:rPr>
        <w:t>投标函</w:t>
      </w:r>
      <w:r>
        <w:tab/>
      </w:r>
      <w:r>
        <w:rPr>
          <w:rFonts w:hint="eastAsia"/>
          <w:lang w:val="en-US" w:eastAsia="zh-CN"/>
        </w:rPr>
        <w:t>3</w:t>
      </w:r>
      <w:r>
        <w:rPr>
          <w:rFonts w:hint="eastAsia" w:ascii="宋体" w:hAnsi="宋体" w:cs="宋体"/>
          <w:color w:val="000000"/>
        </w:rPr>
        <w:fldChar w:fldCharType="end"/>
      </w:r>
      <w:r>
        <w:rPr>
          <w:rFonts w:hint="eastAsia" w:ascii="宋体" w:hAnsi="宋体" w:cs="宋体"/>
          <w:color w:val="000000"/>
          <w:lang w:val="en-US" w:eastAsia="zh-CN"/>
        </w:rPr>
        <w:t>3</w:t>
      </w:r>
    </w:p>
    <w:p w14:paraId="7D8EC1C8">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_Toc15810 </w:instrText>
      </w:r>
      <w:r>
        <w:rPr>
          <w:rFonts w:hint="eastAsia" w:ascii="宋体" w:hAnsi="宋体" w:cs="宋体"/>
        </w:rPr>
        <w:fldChar w:fldCharType="separate"/>
      </w:r>
      <w:r>
        <w:rPr>
          <w:rFonts w:hint="eastAsia" w:ascii="宋体" w:hAnsi="宋体" w:cs="宋体"/>
          <w:kern w:val="0"/>
          <w:szCs w:val="30"/>
          <w:lang w:val="zh-CN"/>
        </w:rPr>
        <w:t>（</w:t>
      </w:r>
      <w:r>
        <w:rPr>
          <w:rFonts w:hint="eastAsia" w:ascii="宋体" w:hAnsi="宋体" w:cs="宋体"/>
          <w:kern w:val="0"/>
          <w:szCs w:val="30"/>
        </w:rPr>
        <w:t>2</w:t>
      </w:r>
      <w:r>
        <w:rPr>
          <w:rFonts w:hint="eastAsia" w:ascii="宋体" w:hAnsi="宋体" w:cs="宋体"/>
          <w:kern w:val="0"/>
          <w:szCs w:val="30"/>
          <w:lang w:val="zh-CN"/>
        </w:rPr>
        <w:t>）</w:t>
      </w:r>
      <w:r>
        <w:rPr>
          <w:rFonts w:hint="eastAsia" w:ascii="宋体" w:hAnsi="宋体" w:cs="宋体"/>
          <w:szCs w:val="30"/>
        </w:rPr>
        <w:t>法定代表人证明书</w:t>
      </w:r>
      <w:r>
        <w:tab/>
      </w:r>
      <w:r>
        <w:fldChar w:fldCharType="begin"/>
      </w:r>
      <w:r>
        <w:instrText xml:space="preserve"> PAGEREF _Toc15810 \h </w:instrText>
      </w:r>
      <w:r>
        <w:fldChar w:fldCharType="separate"/>
      </w:r>
      <w:r>
        <w:t>3</w:t>
      </w:r>
      <w:r>
        <w:rPr>
          <w:rFonts w:hint="eastAsia"/>
          <w:lang w:val="en-US" w:eastAsia="zh-CN"/>
        </w:rPr>
        <w:t>4</w:t>
      </w:r>
      <w:r>
        <w:fldChar w:fldCharType="end"/>
      </w:r>
      <w:r>
        <w:rPr>
          <w:rFonts w:hint="eastAsia" w:ascii="宋体" w:hAnsi="宋体" w:cs="宋体"/>
          <w:color w:val="000000"/>
        </w:rPr>
        <w:fldChar w:fldCharType="end"/>
      </w:r>
    </w:p>
    <w:p w14:paraId="14C18CC0">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_Toc9656 </w:instrText>
      </w:r>
      <w:r>
        <w:rPr>
          <w:rFonts w:hint="eastAsia" w:ascii="宋体" w:hAnsi="宋体" w:cs="宋体"/>
        </w:rPr>
        <w:fldChar w:fldCharType="separate"/>
      </w:r>
      <w:r>
        <w:rPr>
          <w:rFonts w:hint="eastAsia" w:ascii="宋体" w:hAnsi="宋体" w:cs="宋体"/>
          <w:szCs w:val="30"/>
        </w:rPr>
        <w:t>（3）</w:t>
      </w:r>
      <w:r>
        <w:rPr>
          <w:rFonts w:hint="eastAsia" w:ascii="宋体" w:hAnsi="宋体" w:cs="宋体"/>
          <w:szCs w:val="30"/>
          <w:lang w:val="zh-CN"/>
        </w:rPr>
        <w:t>法定代表人授权书</w:t>
      </w:r>
      <w:r>
        <w:tab/>
      </w:r>
      <w:r>
        <w:fldChar w:fldCharType="begin"/>
      </w:r>
      <w:r>
        <w:instrText xml:space="preserve"> PAGEREF _Toc9656 \h </w:instrText>
      </w:r>
      <w:r>
        <w:fldChar w:fldCharType="separate"/>
      </w:r>
      <w:r>
        <w:t>3</w:t>
      </w:r>
      <w:r>
        <w:rPr>
          <w:rFonts w:hint="eastAsia"/>
          <w:lang w:val="en-US" w:eastAsia="zh-CN"/>
        </w:rPr>
        <w:t>5</w:t>
      </w:r>
      <w:r>
        <w:fldChar w:fldCharType="end"/>
      </w:r>
      <w:r>
        <w:rPr>
          <w:rFonts w:hint="eastAsia" w:ascii="宋体" w:hAnsi="宋体" w:cs="宋体"/>
          <w:color w:val="000000"/>
        </w:rPr>
        <w:fldChar w:fldCharType="end"/>
      </w:r>
    </w:p>
    <w:p w14:paraId="414ED4C6">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_Toc10856 </w:instrText>
      </w:r>
      <w:r>
        <w:rPr>
          <w:rFonts w:hint="eastAsia" w:ascii="宋体" w:hAnsi="宋体" w:cs="宋体"/>
        </w:rPr>
        <w:fldChar w:fldCharType="separate"/>
      </w:r>
      <w:r>
        <w:rPr>
          <w:rFonts w:hint="eastAsia" w:ascii="宋体" w:hAnsi="宋体" w:cs="宋体"/>
          <w:szCs w:val="30"/>
        </w:rPr>
        <w:t>（4）</w:t>
      </w:r>
      <w:r>
        <w:rPr>
          <w:rFonts w:hint="eastAsia" w:ascii="宋体" w:hAnsi="宋体" w:cs="宋体"/>
          <w:szCs w:val="30"/>
          <w:lang w:val="zh-CN"/>
        </w:rPr>
        <w:t>投标人承诺函</w:t>
      </w:r>
      <w:r>
        <w:tab/>
      </w:r>
      <w:r>
        <w:rPr>
          <w:rFonts w:hint="eastAsia"/>
          <w:lang w:val="en-US" w:eastAsia="zh-CN"/>
        </w:rPr>
        <w:t>3</w:t>
      </w:r>
      <w:r>
        <w:rPr>
          <w:rFonts w:hint="eastAsia" w:ascii="宋体" w:hAnsi="宋体" w:cs="宋体"/>
          <w:color w:val="000000"/>
        </w:rPr>
        <w:fldChar w:fldCharType="end"/>
      </w:r>
      <w:r>
        <w:rPr>
          <w:rFonts w:hint="eastAsia" w:ascii="宋体" w:hAnsi="宋体" w:cs="宋体"/>
          <w:color w:val="000000"/>
          <w:lang w:val="en-US" w:eastAsia="zh-CN"/>
        </w:rPr>
        <w:t>6</w:t>
      </w:r>
    </w:p>
    <w:p w14:paraId="11B83870">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_Toc27343 </w:instrText>
      </w:r>
      <w:r>
        <w:rPr>
          <w:rFonts w:hint="eastAsia" w:ascii="宋体" w:hAnsi="宋体" w:cs="宋体"/>
        </w:rPr>
        <w:fldChar w:fldCharType="separate"/>
      </w:r>
      <w:r>
        <w:rPr>
          <w:rFonts w:hint="eastAsia" w:ascii="宋体" w:hAnsi="宋体" w:cs="宋体"/>
          <w:szCs w:val="30"/>
        </w:rPr>
        <w:t>（5）</w:t>
      </w:r>
      <w:r>
        <w:rPr>
          <w:rFonts w:hint="eastAsia" w:ascii="宋体" w:hAnsi="宋体" w:cs="宋体"/>
          <w:szCs w:val="30"/>
          <w:lang w:val="zh-CN"/>
        </w:rPr>
        <w:t>投标人诚信承诺书</w:t>
      </w:r>
      <w:r>
        <w:tab/>
      </w:r>
      <w:r>
        <w:rPr>
          <w:rFonts w:hint="eastAsia"/>
          <w:lang w:val="en-US" w:eastAsia="zh-CN"/>
        </w:rPr>
        <w:t>3</w:t>
      </w:r>
      <w:r>
        <w:rPr>
          <w:rFonts w:hint="eastAsia" w:ascii="宋体" w:hAnsi="宋体" w:cs="宋体"/>
          <w:color w:val="000000"/>
        </w:rPr>
        <w:fldChar w:fldCharType="end"/>
      </w:r>
      <w:r>
        <w:rPr>
          <w:rFonts w:hint="eastAsia" w:ascii="宋体" w:hAnsi="宋体" w:cs="宋体"/>
          <w:color w:val="000000"/>
          <w:lang w:val="en-US" w:eastAsia="zh-CN"/>
        </w:rPr>
        <w:t>7</w:t>
      </w:r>
    </w:p>
    <w:p w14:paraId="29BF1C15">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_Toc29095 </w:instrText>
      </w:r>
      <w:r>
        <w:rPr>
          <w:rFonts w:hint="eastAsia" w:ascii="宋体" w:hAnsi="宋体" w:cs="宋体"/>
        </w:rPr>
        <w:fldChar w:fldCharType="separate"/>
      </w:r>
      <w:r>
        <w:rPr>
          <w:rFonts w:hint="eastAsia" w:ascii="宋体" w:hAnsi="宋体" w:cs="宋体"/>
          <w:szCs w:val="30"/>
        </w:rPr>
        <w:t>（6）</w:t>
      </w:r>
      <w:r>
        <w:rPr>
          <w:rFonts w:hint="eastAsia" w:ascii="宋体" w:hAnsi="宋体" w:cs="宋体"/>
          <w:szCs w:val="30"/>
          <w:lang w:val="zh-CN"/>
        </w:rPr>
        <w:t>资格证明材料</w:t>
      </w:r>
      <w:r>
        <w:tab/>
      </w:r>
      <w:r>
        <w:rPr>
          <w:rFonts w:hint="eastAsia"/>
          <w:lang w:val="en-US" w:eastAsia="zh-CN"/>
        </w:rPr>
        <w:t>3</w:t>
      </w:r>
      <w:r>
        <w:rPr>
          <w:rFonts w:hint="eastAsia" w:ascii="宋体" w:hAnsi="宋体" w:cs="宋体"/>
          <w:color w:val="000000"/>
        </w:rPr>
        <w:fldChar w:fldCharType="end"/>
      </w:r>
      <w:r>
        <w:rPr>
          <w:rFonts w:hint="eastAsia" w:ascii="宋体" w:hAnsi="宋体" w:cs="宋体"/>
          <w:color w:val="000000"/>
          <w:lang w:val="en-US" w:eastAsia="zh-CN"/>
        </w:rPr>
        <w:t>8</w:t>
      </w:r>
    </w:p>
    <w:p w14:paraId="4187DC7C">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_Toc10919 </w:instrText>
      </w:r>
      <w:r>
        <w:rPr>
          <w:rFonts w:hint="eastAsia" w:ascii="宋体" w:hAnsi="宋体" w:cs="宋体"/>
        </w:rPr>
        <w:fldChar w:fldCharType="separate"/>
      </w:r>
      <w:r>
        <w:rPr>
          <w:rFonts w:hint="eastAsia" w:ascii="宋体" w:hAnsi="宋体" w:cs="宋体"/>
          <w:szCs w:val="30"/>
        </w:rPr>
        <w:t>（7）</w:t>
      </w:r>
      <w:r>
        <w:rPr>
          <w:rFonts w:hint="eastAsia" w:ascii="宋体" w:hAnsi="宋体" w:cs="宋体"/>
          <w:szCs w:val="30"/>
          <w:lang w:val="zh-CN"/>
        </w:rPr>
        <w:t>财务状况报告，依法缴纳税收和社会保障资金的相关材料</w:t>
      </w:r>
      <w:r>
        <w:tab/>
      </w:r>
      <w:r>
        <w:rPr>
          <w:rFonts w:hint="eastAsia"/>
          <w:lang w:val="en-US" w:eastAsia="zh-CN"/>
        </w:rPr>
        <w:t>3</w:t>
      </w:r>
      <w:r>
        <w:rPr>
          <w:rFonts w:hint="eastAsia" w:ascii="宋体" w:hAnsi="宋体" w:cs="宋体"/>
          <w:color w:val="000000"/>
        </w:rPr>
        <w:fldChar w:fldCharType="end"/>
      </w:r>
      <w:r>
        <w:rPr>
          <w:rFonts w:hint="eastAsia" w:ascii="宋体" w:hAnsi="宋体" w:cs="宋体"/>
          <w:color w:val="000000"/>
          <w:lang w:val="en-US" w:eastAsia="zh-CN"/>
        </w:rPr>
        <w:t>9</w:t>
      </w:r>
    </w:p>
    <w:p w14:paraId="44F747DC">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_Toc26112 </w:instrText>
      </w:r>
      <w:r>
        <w:rPr>
          <w:rFonts w:hint="eastAsia" w:ascii="宋体" w:hAnsi="宋体" w:cs="宋体"/>
        </w:rPr>
        <w:fldChar w:fldCharType="separate"/>
      </w:r>
      <w:r>
        <w:rPr>
          <w:rFonts w:hint="eastAsia" w:ascii="宋体" w:hAnsi="宋体" w:cs="宋体"/>
          <w:szCs w:val="30"/>
        </w:rPr>
        <w:t>（8）</w:t>
      </w:r>
      <w:r>
        <w:rPr>
          <w:rFonts w:hint="eastAsia" w:ascii="宋体" w:hAnsi="宋体" w:cs="宋体"/>
          <w:szCs w:val="30"/>
          <w:lang w:val="zh-CN"/>
        </w:rPr>
        <w:t>具备履行合同所必需的设备和专业技术能力的证明材料</w:t>
      </w:r>
      <w:r>
        <w:tab/>
      </w:r>
      <w:r>
        <w:rPr>
          <w:rFonts w:hint="eastAsia"/>
          <w:lang w:val="en-US" w:eastAsia="zh-CN"/>
        </w:rPr>
        <w:t>4</w:t>
      </w:r>
      <w:r>
        <w:rPr>
          <w:rFonts w:hint="eastAsia" w:ascii="宋体" w:hAnsi="宋体" w:cs="宋体"/>
          <w:color w:val="000000"/>
        </w:rPr>
        <w:fldChar w:fldCharType="end"/>
      </w:r>
      <w:r>
        <w:rPr>
          <w:rFonts w:hint="eastAsia" w:ascii="宋体" w:hAnsi="宋体" w:cs="宋体"/>
          <w:color w:val="000000"/>
          <w:lang w:val="en-US" w:eastAsia="zh-CN"/>
        </w:rPr>
        <w:t>0</w:t>
      </w:r>
    </w:p>
    <w:p w14:paraId="51A91412">
      <w:pPr>
        <w:pStyle w:val="23"/>
        <w:tabs>
          <w:tab w:val="right" w:leader="dot" w:pos="8312"/>
        </w:tabs>
        <w:rPr>
          <w:rFonts w:hint="eastAsia" w:ascii="宋体" w:hAnsi="宋体" w:eastAsia="宋体" w:cs="宋体"/>
          <w:color w:val="000000"/>
          <w:lang w:val="en-US" w:eastAsia="zh-CN"/>
        </w:rPr>
      </w:pPr>
      <w:r>
        <w:rPr>
          <w:rFonts w:hint="eastAsia" w:ascii="宋体" w:hAnsi="宋体" w:cs="宋体"/>
          <w:color w:val="000000"/>
        </w:rPr>
        <w:fldChar w:fldCharType="begin"/>
      </w:r>
      <w:r>
        <w:rPr>
          <w:rFonts w:hint="eastAsia" w:ascii="宋体" w:hAnsi="宋体" w:cs="宋体"/>
        </w:rPr>
        <w:instrText xml:space="preserve"> HYPERLINK \l _Toc21526 </w:instrText>
      </w:r>
      <w:r>
        <w:rPr>
          <w:rFonts w:hint="eastAsia" w:ascii="宋体" w:hAnsi="宋体" w:cs="宋体"/>
        </w:rPr>
        <w:fldChar w:fldCharType="separate"/>
      </w:r>
      <w:r>
        <w:rPr>
          <w:rFonts w:hint="eastAsia" w:ascii="宋体" w:hAnsi="宋体" w:cs="宋体"/>
          <w:szCs w:val="30"/>
        </w:rPr>
        <w:t>（9）</w:t>
      </w:r>
      <w:r>
        <w:rPr>
          <w:rFonts w:hint="eastAsia" w:ascii="宋体" w:hAnsi="宋体" w:cs="宋体"/>
          <w:szCs w:val="30"/>
          <w:lang w:val="zh-CN"/>
        </w:rPr>
        <w:t>无重大违法记录声明</w:t>
      </w:r>
      <w:r>
        <w:tab/>
      </w:r>
      <w:r>
        <w:rPr>
          <w:rFonts w:hint="eastAsia"/>
          <w:lang w:val="en-US" w:eastAsia="zh-CN"/>
        </w:rPr>
        <w:t>4</w:t>
      </w:r>
      <w:r>
        <w:rPr>
          <w:rFonts w:hint="eastAsia" w:ascii="宋体" w:hAnsi="宋体" w:cs="宋体"/>
          <w:color w:val="000000"/>
        </w:rPr>
        <w:fldChar w:fldCharType="end"/>
      </w:r>
      <w:r>
        <w:rPr>
          <w:rFonts w:hint="eastAsia" w:ascii="宋体" w:hAnsi="宋体" w:cs="宋体"/>
          <w:color w:val="000000"/>
          <w:lang w:val="en-US" w:eastAsia="zh-CN"/>
        </w:rPr>
        <w:t>1</w:t>
      </w:r>
    </w:p>
    <w:p w14:paraId="0C1AA535">
      <w:pPr>
        <w:ind w:firstLine="482" w:firstLineChars="200"/>
        <w:rPr>
          <w:rFonts w:hint="default" w:ascii="宋体" w:hAnsi="宋体" w:eastAsia="宋体" w:cs="宋体"/>
          <w:b/>
          <w:bCs/>
          <w:caps/>
          <w:kern w:val="2"/>
          <w:sz w:val="24"/>
          <w:szCs w:val="30"/>
          <w:lang w:val="en-US" w:eastAsia="zh-CN" w:bidi="ar-SA"/>
        </w:rPr>
      </w:pPr>
      <w:r>
        <w:rPr>
          <w:rFonts w:hint="eastAsia" w:ascii="宋体" w:hAnsi="宋体" w:eastAsia="宋体" w:cs="宋体"/>
          <w:b/>
          <w:bCs/>
          <w:caps/>
          <w:kern w:val="2"/>
          <w:sz w:val="24"/>
          <w:szCs w:val="30"/>
          <w:lang w:val="zh-CN" w:eastAsia="zh-CN" w:bidi="ar-SA"/>
        </w:rPr>
        <w:t>（</w:t>
      </w:r>
      <w:r>
        <w:rPr>
          <w:rFonts w:hint="eastAsia" w:ascii="宋体" w:hAnsi="宋体" w:eastAsia="宋体" w:cs="宋体"/>
          <w:b/>
          <w:bCs/>
          <w:caps/>
          <w:kern w:val="2"/>
          <w:sz w:val="24"/>
          <w:szCs w:val="30"/>
          <w:lang w:val="en-US" w:eastAsia="zh-CN" w:bidi="ar-SA"/>
        </w:rPr>
        <w:t>10</w:t>
      </w:r>
      <w:r>
        <w:rPr>
          <w:rFonts w:hint="eastAsia" w:ascii="宋体" w:hAnsi="宋体" w:eastAsia="宋体" w:cs="宋体"/>
          <w:b/>
          <w:bCs/>
          <w:caps/>
          <w:kern w:val="2"/>
          <w:sz w:val="24"/>
          <w:szCs w:val="30"/>
          <w:lang w:val="zh-CN" w:eastAsia="zh-CN" w:bidi="ar-SA"/>
        </w:rPr>
        <w:t>）</w:t>
      </w:r>
      <w:r>
        <w:rPr>
          <w:rFonts w:hint="eastAsia" w:ascii="宋体" w:hAnsi="宋体" w:eastAsia="宋体" w:cs="宋体"/>
          <w:b/>
          <w:bCs/>
          <w:caps/>
          <w:kern w:val="2"/>
          <w:sz w:val="24"/>
          <w:szCs w:val="30"/>
          <w:lang w:val="en-US" w:eastAsia="zh-CN" w:bidi="ar-SA"/>
        </w:rPr>
        <w:t>投标保证金证明...........................................42</w:t>
      </w:r>
    </w:p>
    <w:p w14:paraId="16CF8912">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_Toc28648 </w:instrText>
      </w:r>
      <w:r>
        <w:rPr>
          <w:rFonts w:hint="eastAsia" w:ascii="宋体" w:hAnsi="宋体" w:cs="宋体"/>
        </w:rPr>
        <w:fldChar w:fldCharType="separate"/>
      </w:r>
      <w:r>
        <w:rPr>
          <w:rFonts w:hint="eastAsia" w:ascii="宋体" w:hAnsi="宋体" w:cs="宋体"/>
          <w:szCs w:val="30"/>
          <w:lang w:val="zh-CN"/>
        </w:rPr>
        <w:t>目录（下册）</w:t>
      </w:r>
      <w:r>
        <w:tab/>
      </w:r>
      <w:r>
        <w:fldChar w:fldCharType="begin"/>
      </w:r>
      <w:r>
        <w:instrText xml:space="preserve"> PAGEREF _Toc28648 \h </w:instrText>
      </w:r>
      <w:r>
        <w:fldChar w:fldCharType="separate"/>
      </w:r>
      <w:r>
        <w:t>4</w:t>
      </w:r>
      <w:r>
        <w:rPr>
          <w:rFonts w:hint="eastAsia"/>
          <w:lang w:val="en-US" w:eastAsia="zh-CN"/>
        </w:rPr>
        <w:t>3</w:t>
      </w:r>
      <w:r>
        <w:fldChar w:fldCharType="end"/>
      </w:r>
      <w:r>
        <w:rPr>
          <w:rFonts w:hint="eastAsia" w:ascii="宋体" w:hAnsi="宋体" w:cs="宋体"/>
          <w:color w:val="000000"/>
        </w:rPr>
        <w:fldChar w:fldCharType="end"/>
      </w:r>
    </w:p>
    <w:p w14:paraId="55ADB662">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_Toc22247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1</w:t>
      </w:r>
      <w:r>
        <w:rPr>
          <w:rFonts w:hint="eastAsia" w:ascii="宋体" w:hAnsi="宋体" w:cs="宋体"/>
          <w:szCs w:val="30"/>
        </w:rPr>
        <w:t>）</w:t>
      </w:r>
      <w:r>
        <w:rPr>
          <w:rFonts w:hint="eastAsia" w:ascii="宋体" w:hAnsi="宋体" w:cs="宋体"/>
          <w:szCs w:val="30"/>
          <w:lang w:val="zh-CN"/>
        </w:rPr>
        <w:t>评分对照表</w:t>
      </w:r>
      <w:r>
        <w:tab/>
      </w:r>
      <w:r>
        <w:rPr>
          <w:rFonts w:hint="eastAsia"/>
          <w:lang w:val="en-US" w:eastAsia="zh-CN"/>
        </w:rPr>
        <w:t>4</w:t>
      </w:r>
      <w:r>
        <w:rPr>
          <w:rFonts w:hint="eastAsia" w:ascii="宋体" w:hAnsi="宋体" w:cs="宋体"/>
          <w:color w:val="000000"/>
        </w:rPr>
        <w:fldChar w:fldCharType="end"/>
      </w:r>
      <w:r>
        <w:rPr>
          <w:rFonts w:hint="eastAsia" w:ascii="宋体" w:hAnsi="宋体" w:cs="宋体"/>
          <w:color w:val="000000"/>
          <w:lang w:val="en-US" w:eastAsia="zh-CN"/>
        </w:rPr>
        <w:t>6</w:t>
      </w:r>
    </w:p>
    <w:p w14:paraId="101B3F85">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_Toc27769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2</w:t>
      </w:r>
      <w:r>
        <w:rPr>
          <w:rFonts w:hint="eastAsia" w:ascii="宋体" w:hAnsi="宋体" w:cs="宋体"/>
          <w:szCs w:val="30"/>
        </w:rPr>
        <w:t>）</w:t>
      </w:r>
      <w:r>
        <w:rPr>
          <w:rFonts w:hint="eastAsia" w:ascii="宋体" w:hAnsi="宋体" w:cs="宋体"/>
          <w:szCs w:val="30"/>
          <w:lang w:val="zh-CN"/>
        </w:rPr>
        <w:t>开标一览表（报价表）</w:t>
      </w:r>
      <w:r>
        <w:tab/>
      </w:r>
      <w:r>
        <w:fldChar w:fldCharType="begin"/>
      </w:r>
      <w:r>
        <w:instrText xml:space="preserve"> PAGEREF _Toc27769 \h </w:instrText>
      </w:r>
      <w:r>
        <w:fldChar w:fldCharType="separate"/>
      </w:r>
      <w:r>
        <w:t>4</w:t>
      </w:r>
      <w:r>
        <w:rPr>
          <w:rFonts w:hint="eastAsia"/>
          <w:lang w:val="en-US" w:eastAsia="zh-CN"/>
        </w:rPr>
        <w:t>7</w:t>
      </w:r>
      <w:r>
        <w:fldChar w:fldCharType="end"/>
      </w:r>
      <w:r>
        <w:rPr>
          <w:rFonts w:hint="eastAsia" w:ascii="宋体" w:hAnsi="宋体" w:cs="宋体"/>
          <w:color w:val="000000"/>
        </w:rPr>
        <w:fldChar w:fldCharType="end"/>
      </w:r>
    </w:p>
    <w:p w14:paraId="7214608C">
      <w:pPr>
        <w:pStyle w:val="23"/>
        <w:tabs>
          <w:tab w:val="right" w:leader="dot" w:pos="8312"/>
        </w:tabs>
        <w:rPr>
          <w:rFonts w:hint="default" w:ascii="宋体" w:hAnsi="宋体" w:eastAsia="宋体" w:cs="宋体"/>
          <w:szCs w:val="30"/>
          <w:lang w:val="en-US" w:eastAsia="zh-CN"/>
        </w:rPr>
      </w:pPr>
      <w:r>
        <w:rPr>
          <w:rFonts w:hint="eastAsia" w:ascii="宋体" w:hAnsi="宋体" w:cs="宋体"/>
          <w:color w:val="000000"/>
        </w:rPr>
        <w:fldChar w:fldCharType="begin"/>
      </w:r>
      <w:r>
        <w:rPr>
          <w:rFonts w:hint="eastAsia" w:ascii="宋体" w:hAnsi="宋体" w:cs="宋体"/>
        </w:rPr>
        <w:instrText xml:space="preserve"> HYPERLINK \l _Toc7750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3</w:t>
      </w:r>
      <w:r>
        <w:rPr>
          <w:rFonts w:hint="eastAsia" w:ascii="宋体" w:hAnsi="宋体" w:cs="宋体"/>
          <w:szCs w:val="30"/>
        </w:rPr>
        <w:t>）</w:t>
      </w:r>
      <w:r>
        <w:rPr>
          <w:rFonts w:hint="eastAsia" w:ascii="宋体" w:hAnsi="宋体" w:cs="宋体"/>
          <w:szCs w:val="30"/>
          <w:lang w:val="en-US" w:eastAsia="zh-CN"/>
        </w:rPr>
        <w:t>分项报价标...............................................48</w:t>
      </w:r>
    </w:p>
    <w:p w14:paraId="3886197B">
      <w:pPr>
        <w:pStyle w:val="23"/>
        <w:tabs>
          <w:tab w:val="right" w:leader="dot" w:pos="8312"/>
        </w:tabs>
        <w:rPr>
          <w:rFonts w:hint="default" w:ascii="宋体" w:hAnsi="宋体" w:eastAsia="宋体" w:cs="宋体"/>
          <w:szCs w:val="30"/>
          <w:lang w:val="en-US" w:eastAsia="zh-CN"/>
        </w:rPr>
      </w:pPr>
      <w:r>
        <w:rPr>
          <w:rFonts w:hint="eastAsia" w:ascii="宋体" w:hAnsi="宋体" w:cs="宋体"/>
          <w:szCs w:val="30"/>
          <w:lang w:val="en-US" w:eastAsia="zh-CN"/>
        </w:rPr>
        <w:t>(14)技术规格响应表.............................................49</w:t>
      </w:r>
    </w:p>
    <w:p w14:paraId="3F465660">
      <w:pPr>
        <w:pStyle w:val="23"/>
        <w:tabs>
          <w:tab w:val="right" w:leader="dot" w:pos="8312"/>
        </w:tabs>
        <w:rPr>
          <w:rFonts w:hint="eastAsia" w:eastAsia="宋体"/>
          <w:lang w:val="en-US" w:eastAsia="zh-CN"/>
        </w:rPr>
      </w:pPr>
      <w:r>
        <w:rPr>
          <w:rFonts w:hint="eastAsia" w:ascii="宋体" w:hAnsi="宋体" w:cs="宋体"/>
          <w:szCs w:val="30"/>
          <w:lang w:val="zh-CN"/>
        </w:rPr>
        <w:t>（</w:t>
      </w:r>
      <w:r>
        <w:rPr>
          <w:rFonts w:hint="eastAsia" w:ascii="宋体" w:hAnsi="宋体" w:cs="宋体"/>
          <w:szCs w:val="30"/>
          <w:lang w:val="en-US" w:eastAsia="zh-CN"/>
        </w:rPr>
        <w:t>15</w:t>
      </w:r>
      <w:r>
        <w:rPr>
          <w:rFonts w:hint="eastAsia" w:ascii="宋体" w:hAnsi="宋体" w:cs="宋体"/>
          <w:szCs w:val="30"/>
          <w:lang w:val="zh-CN"/>
        </w:rPr>
        <w:t>）投标产品相关资料</w:t>
      </w:r>
      <w:r>
        <w:tab/>
      </w:r>
      <w:r>
        <w:rPr>
          <w:rFonts w:hint="eastAsia"/>
          <w:lang w:val="en-US" w:eastAsia="zh-CN"/>
        </w:rPr>
        <w:t>5</w:t>
      </w:r>
      <w:r>
        <w:rPr>
          <w:rFonts w:hint="eastAsia" w:ascii="宋体" w:hAnsi="宋体" w:cs="宋体"/>
          <w:color w:val="000000"/>
        </w:rPr>
        <w:fldChar w:fldCharType="end"/>
      </w:r>
      <w:r>
        <w:rPr>
          <w:rFonts w:hint="eastAsia" w:ascii="宋体" w:hAnsi="宋体" w:cs="宋体"/>
          <w:color w:val="000000"/>
          <w:lang w:val="en-US" w:eastAsia="zh-CN"/>
        </w:rPr>
        <w:t>0</w:t>
      </w:r>
    </w:p>
    <w:p w14:paraId="790CE863">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_Toc31428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6</w:t>
      </w:r>
      <w:r>
        <w:rPr>
          <w:rFonts w:hint="eastAsia" w:ascii="宋体" w:hAnsi="宋体" w:cs="宋体"/>
          <w:szCs w:val="30"/>
        </w:rPr>
        <w:t>）</w:t>
      </w:r>
      <w:r>
        <w:rPr>
          <w:rFonts w:hint="eastAsia" w:ascii="宋体" w:hAnsi="宋体" w:cs="宋体"/>
          <w:szCs w:val="30"/>
          <w:lang w:val="zh-CN"/>
        </w:rPr>
        <w:t>投标人的类似业绩证明材料</w:t>
      </w:r>
      <w:r>
        <w:tab/>
      </w:r>
      <w:r>
        <w:rPr>
          <w:rFonts w:hint="eastAsia"/>
          <w:lang w:val="en-US" w:eastAsia="zh-CN"/>
        </w:rPr>
        <w:t>5</w:t>
      </w:r>
      <w:r>
        <w:rPr>
          <w:rFonts w:hint="eastAsia" w:ascii="宋体" w:hAnsi="宋体" w:cs="宋体"/>
          <w:color w:val="000000"/>
        </w:rPr>
        <w:fldChar w:fldCharType="end"/>
      </w:r>
      <w:r>
        <w:rPr>
          <w:rFonts w:hint="eastAsia" w:ascii="宋体" w:hAnsi="宋体" w:cs="宋体"/>
          <w:color w:val="000000"/>
          <w:lang w:val="en-US" w:eastAsia="zh-CN"/>
        </w:rPr>
        <w:t>1</w:t>
      </w:r>
    </w:p>
    <w:p w14:paraId="3680CAE5">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_Toc29863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7</w:t>
      </w:r>
      <w:r>
        <w:rPr>
          <w:rFonts w:hint="eastAsia" w:ascii="宋体" w:hAnsi="宋体" w:cs="宋体"/>
          <w:szCs w:val="30"/>
        </w:rPr>
        <w:t>）</w:t>
      </w:r>
      <w:r>
        <w:rPr>
          <w:rFonts w:hint="eastAsia" w:ascii="宋体" w:hAnsi="宋体" w:cs="宋体"/>
          <w:szCs w:val="30"/>
          <w:lang w:val="en-US" w:eastAsia="zh-CN"/>
        </w:rPr>
        <w:t>中小</w:t>
      </w:r>
      <w:r>
        <w:rPr>
          <w:rFonts w:hint="eastAsia" w:ascii="宋体" w:hAnsi="宋体" w:cs="宋体"/>
          <w:szCs w:val="30"/>
          <w:lang w:val="zh-CN"/>
        </w:rPr>
        <w:t>企业声明函</w:t>
      </w:r>
      <w:r>
        <w:tab/>
      </w:r>
      <w:r>
        <w:rPr>
          <w:rFonts w:hint="eastAsia"/>
          <w:lang w:val="en-US" w:eastAsia="zh-CN"/>
        </w:rPr>
        <w:t>5</w:t>
      </w:r>
      <w:r>
        <w:rPr>
          <w:rFonts w:hint="eastAsia" w:ascii="宋体" w:hAnsi="宋体" w:cs="宋体"/>
          <w:color w:val="000000"/>
        </w:rPr>
        <w:fldChar w:fldCharType="end"/>
      </w:r>
      <w:r>
        <w:rPr>
          <w:rFonts w:hint="eastAsia" w:ascii="宋体" w:hAnsi="宋体" w:cs="宋体"/>
          <w:color w:val="000000"/>
          <w:lang w:val="en-US" w:eastAsia="zh-CN"/>
        </w:rPr>
        <w:t>2</w:t>
      </w:r>
    </w:p>
    <w:p w14:paraId="088D4136">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_Toc30541 </w:instrText>
      </w:r>
      <w:r>
        <w:rPr>
          <w:rFonts w:hint="eastAsia" w:ascii="宋体" w:hAnsi="宋体" w:cs="宋体"/>
        </w:rPr>
        <w:fldChar w:fldCharType="separate"/>
      </w:r>
      <w:r>
        <w:rPr>
          <w:rFonts w:hint="eastAsia" w:ascii="宋体" w:hAnsi="宋体" w:cs="宋体"/>
          <w:bCs w:val="0"/>
          <w:szCs w:val="28"/>
          <w:lang w:val="zh-CN"/>
        </w:rPr>
        <w:t>（</w:t>
      </w:r>
      <w:r>
        <w:rPr>
          <w:rFonts w:hint="eastAsia" w:ascii="宋体" w:hAnsi="宋体" w:cs="宋体"/>
          <w:bCs w:val="0"/>
          <w:szCs w:val="28"/>
        </w:rPr>
        <w:t>1</w:t>
      </w:r>
      <w:r>
        <w:rPr>
          <w:rFonts w:hint="eastAsia" w:ascii="宋体" w:hAnsi="宋体" w:cs="宋体"/>
          <w:bCs w:val="0"/>
          <w:szCs w:val="28"/>
          <w:lang w:val="en-US" w:eastAsia="zh-CN"/>
        </w:rPr>
        <w:t>8</w:t>
      </w:r>
      <w:r>
        <w:rPr>
          <w:rFonts w:hint="eastAsia" w:ascii="宋体" w:hAnsi="宋体" w:cs="宋体"/>
          <w:bCs w:val="0"/>
          <w:szCs w:val="28"/>
          <w:lang w:val="zh-CN"/>
        </w:rPr>
        <w:t>）</w:t>
      </w:r>
      <w:r>
        <w:rPr>
          <w:rFonts w:hint="eastAsia" w:ascii="宋体" w:hAnsi="宋体" w:cs="宋体"/>
          <w:bCs w:val="0"/>
          <w:szCs w:val="30"/>
          <w:lang w:val="zh-CN"/>
        </w:rPr>
        <w:t>残疾人</w:t>
      </w:r>
      <w:r>
        <w:rPr>
          <w:rFonts w:hint="eastAsia" w:ascii="宋体" w:hAnsi="宋体" w:cs="宋体"/>
          <w:bCs w:val="0"/>
          <w:szCs w:val="28"/>
        </w:rPr>
        <w:t>福利性单位声明函</w:t>
      </w:r>
      <w:r>
        <w:tab/>
      </w:r>
      <w:r>
        <w:rPr>
          <w:rFonts w:hint="eastAsia"/>
          <w:lang w:val="en-US" w:eastAsia="zh-CN"/>
        </w:rPr>
        <w:t>5</w:t>
      </w:r>
      <w:r>
        <w:rPr>
          <w:rFonts w:hint="eastAsia" w:ascii="宋体" w:hAnsi="宋体" w:cs="宋体"/>
          <w:color w:val="000000"/>
        </w:rPr>
        <w:fldChar w:fldCharType="end"/>
      </w:r>
      <w:r>
        <w:rPr>
          <w:rFonts w:hint="eastAsia" w:ascii="宋体" w:hAnsi="宋体" w:cs="宋体"/>
          <w:color w:val="000000"/>
          <w:lang w:val="en-US" w:eastAsia="zh-CN"/>
        </w:rPr>
        <w:t>3</w:t>
      </w:r>
    </w:p>
    <w:p w14:paraId="73BBCDD9">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_Toc15660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9</w:t>
      </w:r>
      <w:r>
        <w:rPr>
          <w:rFonts w:hint="eastAsia" w:ascii="宋体" w:hAnsi="宋体" w:cs="宋体"/>
          <w:szCs w:val="30"/>
        </w:rPr>
        <w:t>）</w:t>
      </w:r>
      <w:r>
        <w:rPr>
          <w:rFonts w:hint="eastAsia" w:ascii="宋体" w:hAnsi="宋体" w:cs="宋体"/>
          <w:szCs w:val="30"/>
          <w:lang w:val="zh-CN"/>
        </w:rPr>
        <w:t>投标人认为在其他方面有必要说明的事项</w:t>
      </w:r>
      <w:r>
        <w:tab/>
      </w:r>
      <w:r>
        <w:rPr>
          <w:rFonts w:hint="eastAsia"/>
          <w:lang w:val="en-US" w:eastAsia="zh-CN"/>
        </w:rPr>
        <w:t>5</w:t>
      </w:r>
      <w:r>
        <w:rPr>
          <w:rFonts w:hint="eastAsia" w:ascii="宋体" w:hAnsi="宋体" w:cs="宋体"/>
          <w:color w:val="000000"/>
        </w:rPr>
        <w:fldChar w:fldCharType="end"/>
      </w:r>
      <w:r>
        <w:rPr>
          <w:rFonts w:hint="eastAsia" w:ascii="宋体" w:hAnsi="宋体" w:cs="宋体"/>
          <w:color w:val="000000"/>
          <w:lang w:val="en-US" w:eastAsia="zh-CN"/>
        </w:rPr>
        <w:t>4</w:t>
      </w:r>
    </w:p>
    <w:p w14:paraId="5A34353F">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_Toc5744 </w:instrText>
      </w:r>
      <w:r>
        <w:rPr>
          <w:rFonts w:hint="eastAsia" w:ascii="宋体" w:hAnsi="宋体" w:cs="宋体"/>
        </w:rPr>
        <w:fldChar w:fldCharType="separate"/>
      </w:r>
      <w:r>
        <w:rPr>
          <w:rFonts w:hint="eastAsia" w:ascii="宋体" w:hAnsi="宋体" w:cs="宋体"/>
          <w:szCs w:val="36"/>
          <w:lang w:val="zh-CN"/>
        </w:rPr>
        <w:t>第五部分 采购项目要求及技术参数</w:t>
      </w:r>
      <w:r>
        <w:tab/>
      </w:r>
      <w:r>
        <w:rPr>
          <w:rFonts w:hint="eastAsia"/>
          <w:lang w:val="en-US" w:eastAsia="zh-CN"/>
        </w:rPr>
        <w:t>5</w:t>
      </w:r>
      <w:r>
        <w:rPr>
          <w:rFonts w:hint="eastAsia" w:ascii="宋体" w:hAnsi="宋体" w:cs="宋体"/>
          <w:color w:val="000000"/>
        </w:rPr>
        <w:fldChar w:fldCharType="end"/>
      </w:r>
      <w:r>
        <w:rPr>
          <w:rFonts w:hint="eastAsia" w:ascii="宋体" w:hAnsi="宋体" w:cs="宋体"/>
          <w:color w:val="000000"/>
          <w:lang w:val="en-US" w:eastAsia="zh-CN"/>
        </w:rPr>
        <w:t>5</w:t>
      </w:r>
    </w:p>
    <w:p w14:paraId="2F5E753D">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_Toc4972 </w:instrText>
      </w:r>
      <w:r>
        <w:rPr>
          <w:rFonts w:hint="eastAsia" w:ascii="宋体" w:hAnsi="宋体" w:cs="宋体"/>
        </w:rPr>
        <w:fldChar w:fldCharType="separate"/>
      </w:r>
      <w:r>
        <w:rPr>
          <w:rFonts w:hint="eastAsia" w:ascii="宋体" w:hAnsi="宋体" w:cs="宋体"/>
          <w:szCs w:val="28"/>
          <w:lang w:val="zh-CN"/>
        </w:rPr>
        <w:t>1.投标说明</w:t>
      </w:r>
      <w:r>
        <w:tab/>
      </w:r>
      <w:r>
        <w:rPr>
          <w:rFonts w:hint="eastAsia"/>
          <w:lang w:val="en-US" w:eastAsia="zh-CN"/>
        </w:rPr>
        <w:t>5</w:t>
      </w:r>
      <w:r>
        <w:rPr>
          <w:rFonts w:hint="eastAsia" w:ascii="宋体" w:hAnsi="宋体" w:cs="宋体"/>
          <w:color w:val="000000"/>
        </w:rPr>
        <w:fldChar w:fldCharType="end"/>
      </w:r>
      <w:r>
        <w:rPr>
          <w:rFonts w:hint="eastAsia" w:ascii="宋体" w:hAnsi="宋体" w:cs="宋体"/>
          <w:color w:val="000000"/>
          <w:lang w:val="en-US" w:eastAsia="zh-CN"/>
        </w:rPr>
        <w:t>5</w:t>
      </w:r>
    </w:p>
    <w:p w14:paraId="53DE976C">
      <w:pPr>
        <w:pStyle w:val="23"/>
        <w:tabs>
          <w:tab w:val="right" w:leader="dot" w:pos="8312"/>
        </w:tabs>
      </w:pPr>
    </w:p>
    <w:p w14:paraId="607B1F99">
      <w:pPr>
        <w:spacing w:line="400" w:lineRule="exact"/>
        <w:rPr>
          <w:rFonts w:ascii="宋体" w:hAnsi="宋体" w:cs="宋体"/>
          <w:color w:val="000000"/>
        </w:rPr>
      </w:pPr>
      <w:r>
        <w:rPr>
          <w:rFonts w:hint="eastAsia" w:ascii="宋体" w:hAnsi="宋体" w:cs="宋体"/>
          <w:color w:val="000000"/>
        </w:rPr>
        <w:fldChar w:fldCharType="end"/>
      </w:r>
      <w:r>
        <w:rPr>
          <w:rFonts w:hint="eastAsia" w:ascii="宋体" w:hAnsi="宋体" w:cs="宋体"/>
          <w:color w:val="000000"/>
        </w:rPr>
        <w:t xml:space="preserve">    </w:t>
      </w:r>
    </w:p>
    <w:p w14:paraId="3371F8FE">
      <w:pPr>
        <w:pStyle w:val="28"/>
        <w:spacing w:before="0" w:after="0" w:line="360" w:lineRule="auto"/>
        <w:rPr>
          <w:rFonts w:hint="eastAsia" w:ascii="宋体" w:hAnsi="宋体" w:cs="宋体"/>
          <w:color w:val="000000"/>
          <w:szCs w:val="36"/>
          <w:lang w:val="zh-CN"/>
        </w:rPr>
      </w:pPr>
      <w:r>
        <w:rPr>
          <w:rFonts w:hint="eastAsia" w:ascii="宋体" w:hAnsi="宋体" w:cs="宋体"/>
          <w:color w:val="000000"/>
        </w:rPr>
        <w:br w:type="page"/>
      </w:r>
      <w:bookmarkStart w:id="0" w:name="_Toc2095"/>
      <w:r>
        <w:rPr>
          <w:rFonts w:hint="eastAsia" w:ascii="宋体" w:hAnsi="宋体" w:cs="宋体"/>
          <w:color w:val="000000"/>
          <w:szCs w:val="36"/>
          <w:lang w:val="zh-CN"/>
        </w:rPr>
        <w:t>第一部分  投标邀请</w:t>
      </w:r>
      <w:bookmarkEnd w:id="0"/>
    </w:p>
    <w:p w14:paraId="0428C833">
      <w:pPr>
        <w:jc w:val="center"/>
        <w:rPr>
          <w:rFonts w:hint="eastAsia"/>
          <w:sz w:val="44"/>
        </w:rPr>
      </w:pPr>
      <w:r>
        <w:rPr>
          <w:rFonts w:hint="eastAsia"/>
          <w:sz w:val="44"/>
        </w:rPr>
        <w:t>公开招标公告</w:t>
      </w:r>
    </w:p>
    <w:p w14:paraId="4B15907F">
      <w:pPr>
        <w:rPr>
          <w:rFonts w:hint="eastAsia"/>
          <w:lang w:val="zh-CN"/>
        </w:rPr>
      </w:pPr>
    </w:p>
    <w:tbl>
      <w:tblPr>
        <w:tblStyle w:val="33"/>
        <w:tblW w:w="9921" w:type="dxa"/>
        <w:jc w:val="center"/>
        <w:tblLayout w:type="fixed"/>
        <w:tblCellMar>
          <w:top w:w="0" w:type="dxa"/>
          <w:left w:w="108" w:type="dxa"/>
          <w:bottom w:w="0" w:type="dxa"/>
          <w:right w:w="108" w:type="dxa"/>
        </w:tblCellMar>
      </w:tblPr>
      <w:tblGrid>
        <w:gridCol w:w="2459"/>
        <w:gridCol w:w="7462"/>
      </w:tblGrid>
      <w:tr w14:paraId="43169236">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59A451F">
            <w:pPr>
              <w:autoSpaceDE w:val="0"/>
              <w:autoSpaceDN w:val="0"/>
              <w:adjustRightInd w:val="0"/>
              <w:spacing w:line="360" w:lineRule="auto"/>
              <w:rPr>
                <w:rFonts w:hint="eastAsia" w:ascii="宋体" w:hAnsi="宋体" w:eastAsia="宋体" w:cs="宋体"/>
                <w:color w:val="000000"/>
                <w:kern w:val="0"/>
                <w:lang w:val="zh-CN"/>
              </w:rPr>
            </w:pPr>
            <w:bookmarkStart w:id="1" w:name="OLE_LINK1"/>
            <w:r>
              <w:rPr>
                <w:rFonts w:hint="eastAsia" w:ascii="宋体" w:hAnsi="宋体" w:eastAsia="宋体" w:cs="宋体"/>
                <w:color w:val="000000"/>
                <w:kern w:val="0"/>
                <w:lang w:val="zh-CN"/>
              </w:rPr>
              <w:t>采购项目编号</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6A5647C5">
            <w:pPr>
              <w:autoSpaceDE w:val="0"/>
              <w:autoSpaceDN w:val="0"/>
              <w:adjustRightInd w:val="0"/>
              <w:spacing w:line="360" w:lineRule="auto"/>
              <w:rPr>
                <w:rFonts w:hint="eastAsia" w:ascii="宋体" w:hAnsi="宋体" w:eastAsia="宋体" w:cs="宋体"/>
                <w:color w:val="000000"/>
                <w:kern w:val="0"/>
                <w:lang w:val="zh-CN" w:eastAsia="zh-CN"/>
              </w:rPr>
            </w:pPr>
            <w:r>
              <w:rPr>
                <w:rFonts w:hint="eastAsia" w:ascii="宋体" w:hAnsi="宋体" w:eastAsia="宋体" w:cs="Times New Roman"/>
                <w:color w:val="000000"/>
                <w:spacing w:val="-2"/>
                <w:kern w:val="16"/>
                <w:lang w:eastAsia="zh-CN"/>
              </w:rPr>
              <w:t>格政采公招（货物）2024-010号</w:t>
            </w:r>
          </w:p>
        </w:tc>
      </w:tr>
      <w:tr w14:paraId="020A7FD8">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94938C8">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采购项目名称</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74B874AA">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Times New Roman"/>
                <w:color w:val="000000"/>
                <w:spacing w:val="-2"/>
                <w:kern w:val="16"/>
                <w:lang w:val="zh-CN" w:eastAsia="zh-CN"/>
              </w:rPr>
              <w:t>格尔木市重点区域交通环境综合整治方案及道路交通信号灯、电警卡口设备采购项目</w:t>
            </w:r>
          </w:p>
        </w:tc>
      </w:tr>
      <w:tr w14:paraId="638FB5AC">
        <w:tblPrEx>
          <w:tblCellMar>
            <w:top w:w="0" w:type="dxa"/>
            <w:left w:w="108" w:type="dxa"/>
            <w:bottom w:w="0" w:type="dxa"/>
            <w:right w:w="108" w:type="dxa"/>
          </w:tblCellMar>
        </w:tblPrEx>
        <w:trPr>
          <w:trHeight w:val="90"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65A23C6D">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采购方式</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0DCB48BD">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公开招标</w:t>
            </w:r>
          </w:p>
        </w:tc>
      </w:tr>
      <w:tr w14:paraId="7585E53C">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1168D2C5">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采购预算额度</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360A4C72">
            <w:pPr>
              <w:widowControl/>
              <w:spacing w:line="620" w:lineRule="exact"/>
              <w:jc w:val="left"/>
              <w:outlineLvl w:val="2"/>
              <w:rPr>
                <w:rFonts w:hint="eastAsia" w:ascii="宋体" w:hAnsi="宋体" w:eastAsia="宋体" w:cs="Times New Roman"/>
                <w:bCs/>
                <w:kern w:val="0"/>
              </w:rPr>
            </w:pPr>
            <w:r>
              <w:rPr>
                <w:rFonts w:hint="eastAsia" w:ascii="宋体" w:hAnsi="宋体" w:eastAsia="宋体" w:cs="宋体"/>
                <w:color w:val="000000"/>
                <w:kern w:val="0"/>
                <w:lang w:val="en-US" w:eastAsia="zh-CN"/>
              </w:rPr>
              <w:t>219.3683万元</w:t>
            </w:r>
          </w:p>
        </w:tc>
      </w:tr>
      <w:tr w14:paraId="525CC2B2">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0EBAF38">
            <w:pPr>
              <w:autoSpaceDE w:val="0"/>
              <w:autoSpaceDN w:val="0"/>
              <w:adjustRightInd w:val="0"/>
              <w:spacing w:line="360" w:lineRule="auto"/>
              <w:rPr>
                <w:rFonts w:hint="eastAsia" w:ascii="宋体" w:hAnsi="宋体" w:eastAsia="宋体" w:cs="宋体"/>
                <w:color w:val="000000"/>
                <w:kern w:val="0"/>
              </w:rPr>
            </w:pPr>
            <w:r>
              <w:rPr>
                <w:rFonts w:hint="eastAsia" w:ascii="宋体" w:hAnsi="宋体" w:eastAsia="宋体" w:cs="宋体"/>
                <w:color w:val="000000"/>
                <w:kern w:val="0"/>
              </w:rPr>
              <w:t>最高限价</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0FBF207F">
            <w:pPr>
              <w:autoSpaceDE w:val="0"/>
              <w:autoSpaceDN w:val="0"/>
              <w:adjustRightInd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en-US" w:eastAsia="zh-CN"/>
              </w:rPr>
              <w:t>219.3683万元</w:t>
            </w:r>
          </w:p>
        </w:tc>
      </w:tr>
      <w:tr w14:paraId="3F46575B">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C08BEDE">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项目分包个数</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3ED0B473">
            <w:pPr>
              <w:autoSpaceDE w:val="0"/>
              <w:autoSpaceDN w:val="0"/>
              <w:adjustRightInd w:val="0"/>
              <w:spacing w:line="360" w:lineRule="auto"/>
              <w:rPr>
                <w:rFonts w:hint="default" w:ascii="宋体" w:hAnsi="宋体" w:eastAsia="宋体" w:cs="宋体"/>
                <w:color w:val="auto"/>
                <w:kern w:val="0"/>
                <w:lang w:val="en-US" w:eastAsia="zh-CN"/>
              </w:rPr>
            </w:pPr>
            <w:r>
              <w:rPr>
                <w:rFonts w:hint="eastAsia" w:ascii="宋体" w:hAnsi="宋体" w:cs="宋体"/>
                <w:color w:val="auto"/>
                <w:kern w:val="0"/>
                <w:lang w:val="en-US" w:eastAsia="zh-CN"/>
              </w:rPr>
              <w:t>无分包</w:t>
            </w:r>
          </w:p>
        </w:tc>
      </w:tr>
      <w:tr w14:paraId="5E6BC75F">
        <w:tblPrEx>
          <w:tblCellMar>
            <w:top w:w="0" w:type="dxa"/>
            <w:left w:w="108" w:type="dxa"/>
            <w:bottom w:w="0" w:type="dxa"/>
            <w:right w:w="108" w:type="dxa"/>
          </w:tblCellMar>
        </w:tblPrEx>
        <w:trPr>
          <w:trHeight w:val="90"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50E031D">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各包要求</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38F573A7">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具体内容详见《招标文件》</w:t>
            </w:r>
          </w:p>
        </w:tc>
      </w:tr>
      <w:tr w14:paraId="44095F79">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2707F202">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各包投标人资格要求</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695BE88D">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1、符合《</w:t>
            </w:r>
            <w:r>
              <w:rPr>
                <w:rFonts w:hint="eastAsia" w:ascii="宋体" w:hAnsi="宋体" w:cs="宋体"/>
                <w:color w:val="000000"/>
                <w:kern w:val="0"/>
                <w:lang w:val="zh-CN"/>
              </w:rPr>
              <w:t>中华人民共和国政府采购法》第二十二条</w:t>
            </w:r>
            <w:r>
              <w:rPr>
                <w:rFonts w:hint="eastAsia" w:ascii="宋体" w:hAnsi="宋体" w:eastAsia="宋体" w:cs="宋体"/>
                <w:color w:val="000000"/>
                <w:kern w:val="0"/>
                <w:lang w:val="zh-CN"/>
              </w:rPr>
              <w:t>条件，并提供下列材料：</w:t>
            </w:r>
          </w:p>
          <w:p w14:paraId="0E4ED09C">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&lt;1&gt;投标人的营业执照等证明文件，自然人的身份证明。</w:t>
            </w:r>
          </w:p>
          <w:p w14:paraId="1C779C35">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&lt;2&gt;财务状况报告，依法缴纳税收和社会保障资金的相关材料。</w:t>
            </w:r>
          </w:p>
          <w:p w14:paraId="06B57089">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&lt;3&gt;具备履行合同所必需的设备和专业技术能力的证明材料。</w:t>
            </w:r>
          </w:p>
          <w:p w14:paraId="2DCA66DF">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&lt;4&gt;参加政府采购活动前3年内在经营活动中没有重大违法记录的书面声明。</w:t>
            </w:r>
          </w:p>
          <w:p w14:paraId="63F770C8">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&lt;5&gt;具备法律、行政法规规定的其他条件的证明材料。</w:t>
            </w:r>
          </w:p>
          <w:p w14:paraId="73055859">
            <w:pPr>
              <w:autoSpaceDE w:val="0"/>
              <w:autoSpaceDN w:val="0"/>
              <w:spacing w:line="360" w:lineRule="auto"/>
              <w:rPr>
                <w:rFonts w:ascii="宋体" w:hAnsi="宋体" w:eastAsia="宋体" w:cs="宋体"/>
                <w:b/>
                <w:color w:val="000000"/>
                <w:kern w:val="0"/>
                <w:lang w:val="zh-CN"/>
              </w:rPr>
            </w:pPr>
            <w:r>
              <w:rPr>
                <w:rFonts w:ascii="宋体" w:hAnsi="宋体" w:eastAsia="宋体" w:cs="宋体"/>
                <w:b/>
                <w:color w:val="000000"/>
                <w:kern w:val="0"/>
                <w:lang w:val="zh-CN"/>
              </w:rPr>
              <w:t>2</w:t>
            </w:r>
            <w:r>
              <w:rPr>
                <w:rFonts w:hint="eastAsia" w:ascii="宋体" w:hAnsi="宋体" w:eastAsia="宋体" w:cs="宋体"/>
                <w:b/>
                <w:color w:val="000000"/>
                <w:kern w:val="0"/>
                <w:lang w:val="zh-CN"/>
              </w:rPr>
              <w:t>、</w:t>
            </w:r>
            <w:r>
              <w:rPr>
                <w:rFonts w:hint="eastAsia" w:ascii="宋体" w:hAnsi="宋体" w:eastAsia="宋体" w:cs="宋体"/>
                <w:color w:val="000000"/>
                <w:kern w:val="0"/>
                <w:lang w:val="zh-CN"/>
              </w:rPr>
              <w:t>经信用中国（www.creditchina.gov.cn）、中国政府采购网（www.ccgp.gov.cn）等渠道查询后，列入失信被执行人、</w:t>
            </w:r>
            <w:r>
              <w:rPr>
                <w:rFonts w:hint="eastAsia" w:ascii="宋体" w:hAnsi="宋体" w:eastAsia="宋体" w:cs="宋体"/>
                <w:sz w:val="21"/>
                <w:szCs w:val="21"/>
                <w:highlight w:val="none"/>
                <w:lang w:val="en-US" w:eastAsia="zh-CN"/>
              </w:rPr>
              <w:t>重大税收违法失信主体</w:t>
            </w:r>
            <w:r>
              <w:rPr>
                <w:rFonts w:hint="eastAsia" w:ascii="宋体" w:hAnsi="宋体" w:eastAsia="宋体" w:cs="宋体"/>
                <w:color w:val="000000"/>
                <w:kern w:val="0"/>
                <w:lang w:val="zh-CN"/>
              </w:rPr>
              <w:t>、政府采购严重违法失信行为记录名单的，取消投标资格。</w:t>
            </w:r>
            <w:r>
              <w:rPr>
                <w:rFonts w:hint="eastAsia" w:ascii="宋体" w:hAnsi="宋体" w:eastAsia="宋体" w:cs="宋体"/>
                <w:b/>
                <w:kern w:val="0"/>
              </w:rPr>
              <w:t>（</w:t>
            </w:r>
            <w:r>
              <w:rPr>
                <w:rFonts w:hint="eastAsia"/>
                <w:b/>
                <w:bCs/>
              </w:rPr>
              <w:t>提供网站的查询截图，时间为投标截止时间前20天内</w:t>
            </w:r>
            <w:r>
              <w:rPr>
                <w:rFonts w:hint="eastAsia" w:ascii="宋体" w:hAnsi="宋体" w:eastAsia="宋体" w:cs="宋体"/>
                <w:b/>
                <w:kern w:val="0"/>
              </w:rPr>
              <w:t>）</w:t>
            </w:r>
            <w:r>
              <w:rPr>
                <w:rFonts w:hint="eastAsia" w:ascii="宋体" w:hAnsi="宋体" w:eastAsia="宋体" w:cs="宋体"/>
                <w:b/>
                <w:color w:val="000000"/>
                <w:kern w:val="0"/>
              </w:rPr>
              <w:t>；</w:t>
            </w:r>
          </w:p>
          <w:p w14:paraId="4A1DF3F9">
            <w:pPr>
              <w:autoSpaceDE w:val="0"/>
              <w:autoSpaceDN w:val="0"/>
              <w:spacing w:line="360" w:lineRule="auto"/>
              <w:rPr>
                <w:rFonts w:hint="eastAsia" w:ascii="宋体" w:hAnsi="宋体" w:eastAsia="宋体" w:cs="宋体"/>
                <w:color w:val="000000"/>
                <w:kern w:val="0"/>
                <w:lang w:val="zh-CN"/>
              </w:rPr>
            </w:pPr>
            <w:r>
              <w:rPr>
                <w:rFonts w:ascii="宋体" w:hAnsi="宋体" w:eastAsia="宋体" w:cs="宋体"/>
                <w:color w:val="000000"/>
                <w:kern w:val="0"/>
                <w:lang w:val="zh-CN"/>
              </w:rPr>
              <w:t>3</w:t>
            </w:r>
            <w:r>
              <w:rPr>
                <w:rFonts w:hint="eastAsia" w:ascii="宋体" w:hAnsi="宋体" w:eastAsia="宋体" w:cs="宋体"/>
                <w:color w:val="000000"/>
                <w:kern w:val="0"/>
                <w:lang w:val="zh-CN"/>
              </w:rPr>
              <w:t>、单位负责人为同一人或者存在直接控股、管理关系的不同投标人，不得参加同一合同项下的政府采购活动。否则，皆取消投标资格；</w:t>
            </w:r>
          </w:p>
          <w:p w14:paraId="0762800C">
            <w:pPr>
              <w:autoSpaceDE w:val="0"/>
              <w:autoSpaceDN w:val="0"/>
              <w:spacing w:line="360" w:lineRule="auto"/>
              <w:rPr>
                <w:rFonts w:hint="eastAsia" w:ascii="宋体" w:hAnsi="宋体" w:eastAsia="宋体" w:cs="宋体"/>
                <w:color w:val="000000"/>
                <w:kern w:val="0"/>
                <w:lang w:val="zh-CN"/>
              </w:rPr>
            </w:pPr>
            <w:r>
              <w:rPr>
                <w:rFonts w:ascii="宋体" w:hAnsi="宋体" w:eastAsia="宋体" w:cs="宋体"/>
                <w:color w:val="000000"/>
                <w:kern w:val="0"/>
                <w:lang w:val="zh-CN"/>
              </w:rPr>
              <w:t>4</w:t>
            </w:r>
            <w:r>
              <w:rPr>
                <w:rFonts w:hint="eastAsia" w:ascii="宋体" w:hAnsi="宋体" w:eastAsia="宋体" w:cs="宋体"/>
                <w:color w:val="000000"/>
                <w:kern w:val="0"/>
                <w:lang w:val="zh-CN"/>
              </w:rPr>
              <w:t>、为本采购项目提供整体设计、规范编制或者项目管理、监理、检测等服务的投标人，不得再参加该采购项目的其他采购活动；</w:t>
            </w:r>
          </w:p>
          <w:p w14:paraId="75A816ED">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rPr>
              <w:t>5</w:t>
            </w:r>
            <w:r>
              <w:rPr>
                <w:rFonts w:hint="eastAsia" w:ascii="宋体" w:hAnsi="宋体" w:eastAsia="宋体" w:cs="宋体"/>
                <w:color w:val="000000"/>
                <w:kern w:val="0"/>
                <w:lang w:val="zh-CN"/>
              </w:rPr>
              <w:t>、本项目不接受联合体方式进行投标；</w:t>
            </w:r>
          </w:p>
          <w:p w14:paraId="2C998C00">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rPr>
              <w:t>6</w:t>
            </w:r>
            <w:r>
              <w:rPr>
                <w:rFonts w:hint="eastAsia" w:ascii="宋体" w:hAnsi="宋体" w:eastAsia="宋体" w:cs="宋体"/>
                <w:color w:val="000000"/>
                <w:kern w:val="0"/>
                <w:lang w:val="zh-CN"/>
              </w:rPr>
              <w:t>、满足招标文件的其他资质条件。</w:t>
            </w:r>
          </w:p>
        </w:tc>
      </w:tr>
      <w:tr w14:paraId="59E2561D">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0255FB3E">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公告发布时间</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5AAA808E">
            <w:pPr>
              <w:autoSpaceDE w:val="0"/>
              <w:autoSpaceDN w:val="0"/>
              <w:adjustRightInd w:val="0"/>
              <w:spacing w:line="360" w:lineRule="auto"/>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20</w:t>
            </w:r>
            <w:r>
              <w:rPr>
                <w:rFonts w:hint="eastAsia" w:ascii="宋体" w:hAnsi="宋体" w:eastAsia="宋体" w:cs="宋体"/>
                <w:b/>
                <w:bCs/>
                <w:color w:val="auto"/>
                <w:kern w:val="0"/>
              </w:rPr>
              <w:t>2</w:t>
            </w:r>
            <w:r>
              <w:rPr>
                <w:rFonts w:hint="eastAsia" w:ascii="宋体" w:hAnsi="宋体" w:eastAsia="宋体" w:cs="宋体"/>
                <w:b/>
                <w:bCs/>
                <w:color w:val="auto"/>
                <w:kern w:val="0"/>
                <w:lang w:val="en-US" w:eastAsia="zh-CN"/>
              </w:rPr>
              <w:t>4</w:t>
            </w:r>
            <w:r>
              <w:rPr>
                <w:rFonts w:hint="eastAsia" w:ascii="宋体" w:hAnsi="宋体" w:eastAsia="宋体" w:cs="宋体"/>
                <w:b/>
                <w:bCs/>
                <w:color w:val="auto"/>
                <w:kern w:val="0"/>
                <w:lang w:val="zh-CN"/>
              </w:rPr>
              <w:t>年</w:t>
            </w:r>
            <w:r>
              <w:rPr>
                <w:rFonts w:hint="eastAsia" w:ascii="宋体" w:hAnsi="宋体" w:cs="宋体"/>
                <w:b/>
                <w:bCs/>
                <w:color w:val="auto"/>
                <w:kern w:val="0"/>
                <w:lang w:val="en-US" w:eastAsia="zh-CN"/>
              </w:rPr>
              <w:t>10</w:t>
            </w:r>
            <w:r>
              <w:rPr>
                <w:rFonts w:hint="eastAsia" w:ascii="宋体" w:hAnsi="宋体" w:eastAsia="宋体" w:cs="宋体"/>
                <w:b/>
                <w:bCs/>
                <w:color w:val="auto"/>
                <w:kern w:val="0"/>
                <w:lang w:val="zh-CN"/>
              </w:rPr>
              <w:t>月</w:t>
            </w:r>
            <w:r>
              <w:rPr>
                <w:rFonts w:hint="eastAsia" w:ascii="宋体" w:hAnsi="宋体" w:cs="宋体"/>
                <w:b/>
                <w:bCs/>
                <w:color w:val="auto"/>
                <w:kern w:val="0"/>
                <w:lang w:val="en-US" w:eastAsia="zh-CN"/>
              </w:rPr>
              <w:t>31</w:t>
            </w:r>
            <w:r>
              <w:rPr>
                <w:rFonts w:hint="eastAsia" w:ascii="宋体" w:hAnsi="宋体" w:eastAsia="宋体" w:cs="宋体"/>
                <w:b/>
                <w:bCs/>
                <w:color w:val="auto"/>
                <w:kern w:val="0"/>
                <w:lang w:val="zh-CN"/>
              </w:rPr>
              <w:t>日</w:t>
            </w:r>
          </w:p>
        </w:tc>
      </w:tr>
      <w:tr w14:paraId="5EB5A6A0">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5087DE9E">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获取招标文件的时间期限</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08694F02">
            <w:pPr>
              <w:autoSpaceDE w:val="0"/>
              <w:autoSpaceDN w:val="0"/>
              <w:adjustRightInd w:val="0"/>
              <w:spacing w:line="360" w:lineRule="auto"/>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20</w:t>
            </w:r>
            <w:r>
              <w:rPr>
                <w:rFonts w:hint="eastAsia" w:ascii="宋体" w:hAnsi="宋体" w:eastAsia="宋体" w:cs="宋体"/>
                <w:b/>
                <w:bCs/>
                <w:color w:val="auto"/>
                <w:kern w:val="0"/>
              </w:rPr>
              <w:t>2</w:t>
            </w:r>
            <w:r>
              <w:rPr>
                <w:rFonts w:hint="eastAsia" w:ascii="宋体" w:hAnsi="宋体" w:eastAsia="宋体" w:cs="宋体"/>
                <w:b/>
                <w:bCs/>
                <w:color w:val="auto"/>
                <w:kern w:val="0"/>
                <w:lang w:val="en-US" w:eastAsia="zh-CN"/>
              </w:rPr>
              <w:t>4</w:t>
            </w:r>
            <w:r>
              <w:rPr>
                <w:rFonts w:hint="eastAsia" w:ascii="宋体" w:hAnsi="宋体" w:eastAsia="宋体" w:cs="宋体"/>
                <w:b/>
                <w:bCs/>
                <w:color w:val="auto"/>
                <w:kern w:val="0"/>
                <w:lang w:val="zh-CN"/>
              </w:rPr>
              <w:t>年</w:t>
            </w:r>
            <w:r>
              <w:rPr>
                <w:rFonts w:hint="eastAsia" w:ascii="宋体" w:hAnsi="宋体" w:cs="宋体"/>
                <w:b/>
                <w:bCs/>
                <w:color w:val="auto"/>
                <w:kern w:val="0"/>
                <w:lang w:val="en-US" w:eastAsia="zh-CN"/>
              </w:rPr>
              <w:t>10</w:t>
            </w:r>
            <w:r>
              <w:rPr>
                <w:rFonts w:hint="eastAsia" w:ascii="宋体" w:hAnsi="宋体" w:eastAsia="宋体" w:cs="宋体"/>
                <w:b/>
                <w:bCs/>
                <w:color w:val="auto"/>
                <w:kern w:val="0"/>
                <w:lang w:val="zh-CN"/>
              </w:rPr>
              <w:t>月</w:t>
            </w:r>
            <w:r>
              <w:rPr>
                <w:rFonts w:hint="eastAsia" w:ascii="宋体" w:hAnsi="宋体" w:cs="宋体"/>
                <w:b/>
                <w:bCs/>
                <w:color w:val="auto"/>
                <w:kern w:val="0"/>
                <w:lang w:val="en-US" w:eastAsia="zh-CN"/>
              </w:rPr>
              <w:t>31</w:t>
            </w:r>
            <w:r>
              <w:rPr>
                <w:rFonts w:hint="eastAsia" w:ascii="宋体" w:hAnsi="宋体" w:eastAsia="宋体" w:cs="宋体"/>
                <w:b/>
                <w:bCs/>
                <w:color w:val="auto"/>
                <w:kern w:val="0"/>
                <w:lang w:val="zh-CN"/>
              </w:rPr>
              <w:t>日至</w:t>
            </w:r>
            <w:r>
              <w:rPr>
                <w:rFonts w:hint="eastAsia" w:ascii="宋体" w:hAnsi="宋体" w:eastAsia="宋体" w:cs="宋体"/>
                <w:b/>
                <w:bCs/>
                <w:color w:val="auto"/>
                <w:kern w:val="0"/>
              </w:rPr>
              <w:t>202</w:t>
            </w:r>
            <w:r>
              <w:rPr>
                <w:rFonts w:hint="eastAsia" w:ascii="宋体" w:hAnsi="宋体" w:eastAsia="宋体" w:cs="宋体"/>
                <w:b/>
                <w:bCs/>
                <w:color w:val="auto"/>
                <w:kern w:val="0"/>
                <w:lang w:val="en-US" w:eastAsia="zh-CN"/>
              </w:rPr>
              <w:t>4</w:t>
            </w:r>
            <w:r>
              <w:rPr>
                <w:rFonts w:hint="eastAsia" w:ascii="宋体" w:hAnsi="宋体" w:eastAsia="宋体" w:cs="宋体"/>
                <w:b/>
                <w:bCs/>
                <w:color w:val="auto"/>
                <w:kern w:val="0"/>
              </w:rPr>
              <w:t>年</w:t>
            </w:r>
            <w:r>
              <w:rPr>
                <w:rFonts w:hint="eastAsia" w:ascii="宋体" w:hAnsi="宋体" w:cs="宋体"/>
                <w:b/>
                <w:bCs/>
                <w:color w:val="auto"/>
                <w:kern w:val="0"/>
                <w:lang w:val="en-US" w:eastAsia="zh-CN"/>
              </w:rPr>
              <w:t>11</w:t>
            </w:r>
            <w:r>
              <w:rPr>
                <w:rFonts w:hint="eastAsia" w:ascii="宋体" w:hAnsi="宋体" w:eastAsia="宋体" w:cs="宋体"/>
                <w:b/>
                <w:bCs/>
                <w:color w:val="auto"/>
                <w:kern w:val="0"/>
                <w:lang w:val="zh-CN"/>
              </w:rPr>
              <w:t>月</w:t>
            </w:r>
            <w:r>
              <w:rPr>
                <w:rFonts w:hint="eastAsia" w:ascii="宋体" w:hAnsi="宋体" w:cs="宋体"/>
                <w:b/>
                <w:bCs/>
                <w:color w:val="auto"/>
                <w:kern w:val="0"/>
                <w:lang w:val="en-US" w:eastAsia="zh-CN"/>
              </w:rPr>
              <w:t>7</w:t>
            </w:r>
            <w:r>
              <w:rPr>
                <w:rFonts w:hint="eastAsia" w:ascii="宋体" w:hAnsi="宋体" w:eastAsia="宋体" w:cs="宋体"/>
                <w:b/>
                <w:bCs/>
                <w:color w:val="auto"/>
                <w:kern w:val="0"/>
                <w:lang w:val="zh-CN"/>
              </w:rPr>
              <w:t>日（节假日除外），</w:t>
            </w:r>
            <w:r>
              <w:rPr>
                <w:rFonts w:hint="eastAsia" w:ascii="宋体" w:hAnsi="宋体" w:eastAsia="宋体" w:cs="宋体"/>
                <w:b/>
                <w:bCs/>
                <w:color w:val="auto"/>
                <w:kern w:val="0"/>
                <w:lang w:val="en-US" w:eastAsia="zh-CN"/>
              </w:rPr>
              <w:t>00</w:t>
            </w:r>
            <w:r>
              <w:rPr>
                <w:rFonts w:hint="eastAsia" w:ascii="宋体" w:hAnsi="宋体" w:eastAsia="宋体" w:cs="宋体"/>
                <w:b/>
                <w:bCs/>
                <w:color w:val="auto"/>
                <w:kern w:val="0"/>
                <w:lang w:val="zh-CN"/>
              </w:rPr>
              <w:t>:</w:t>
            </w:r>
            <w:r>
              <w:rPr>
                <w:rFonts w:hint="eastAsia" w:ascii="宋体" w:hAnsi="宋体" w:eastAsia="宋体" w:cs="宋体"/>
                <w:b/>
                <w:bCs/>
                <w:color w:val="auto"/>
                <w:kern w:val="0"/>
              </w:rPr>
              <w:t>00</w:t>
            </w:r>
            <w:r>
              <w:rPr>
                <w:rFonts w:hint="eastAsia" w:ascii="宋体" w:hAnsi="宋体" w:eastAsia="宋体" w:cs="宋体"/>
                <w:b/>
                <w:bCs/>
                <w:color w:val="auto"/>
                <w:kern w:val="0"/>
                <w:lang w:val="zh-CN"/>
              </w:rPr>
              <w:t>-</w:t>
            </w:r>
            <w:r>
              <w:rPr>
                <w:rFonts w:hint="eastAsia" w:ascii="宋体" w:hAnsi="宋体" w:eastAsia="宋体" w:cs="宋体"/>
                <w:b/>
                <w:bCs/>
                <w:color w:val="auto"/>
                <w:kern w:val="0"/>
                <w:lang w:val="en-US" w:eastAsia="zh-CN"/>
              </w:rPr>
              <w:t>23</w:t>
            </w:r>
            <w:r>
              <w:rPr>
                <w:rFonts w:hint="eastAsia" w:ascii="宋体" w:hAnsi="宋体" w:eastAsia="宋体" w:cs="宋体"/>
                <w:b/>
                <w:bCs/>
                <w:color w:val="auto"/>
                <w:kern w:val="0"/>
                <w:lang w:val="zh-CN"/>
              </w:rPr>
              <w:t>:</w:t>
            </w:r>
            <w:r>
              <w:rPr>
                <w:rFonts w:hint="eastAsia" w:ascii="宋体" w:hAnsi="宋体" w:eastAsia="宋体" w:cs="宋体"/>
                <w:b/>
                <w:bCs/>
                <w:color w:val="auto"/>
                <w:kern w:val="0"/>
                <w:lang w:val="en-US" w:eastAsia="zh-CN"/>
              </w:rPr>
              <w:t>59</w:t>
            </w:r>
            <w:r>
              <w:rPr>
                <w:rFonts w:hint="eastAsia" w:ascii="宋体" w:hAnsi="宋体" w:eastAsia="宋体" w:cs="宋体"/>
                <w:b/>
                <w:bCs/>
                <w:color w:val="auto"/>
                <w:kern w:val="0"/>
                <w:lang w:val="zh-CN"/>
              </w:rPr>
              <w:t>（节假日除外）</w:t>
            </w:r>
          </w:p>
        </w:tc>
      </w:tr>
      <w:tr w14:paraId="7A476AEF">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35AC3400">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获取招标文件方式</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5387366D">
            <w:pPr>
              <w:autoSpaceDE w:val="0"/>
              <w:autoSpaceDN w:val="0"/>
              <w:adjustRightInd w:val="0"/>
              <w:spacing w:line="360" w:lineRule="auto"/>
              <w:rPr>
                <w:rFonts w:hint="eastAsia" w:ascii="宋体" w:hAnsi="宋体" w:eastAsia="宋体" w:cs="宋体"/>
                <w:color w:val="0000FF"/>
                <w:kern w:val="0"/>
                <w:lang w:val="zh-CN"/>
              </w:rPr>
            </w:pPr>
            <w:r>
              <w:rPr>
                <w:rFonts w:hint="eastAsia" w:ascii="宋体" w:hAnsi="宋体" w:eastAsia="宋体" w:cs="Tahoma"/>
                <w:color w:val="000000" w:themeColor="text1"/>
                <w:kern w:val="0"/>
                <w14:textFill>
                  <w14:solidFill>
                    <w14:schemeClr w14:val="tx1"/>
                  </w14:solidFill>
                </w14:textFill>
              </w:rPr>
              <w:t>线上报名，CA办理及操作系统请咨询：政采云客服95763；《青海政府采购网》免费下载招标文件。（提示：请潜在供应商报名前务必完成网上企业注册等手续；具体操作详见附件操作指南或咨询：政采云客服95763）</w:t>
            </w:r>
          </w:p>
        </w:tc>
      </w:tr>
      <w:tr w14:paraId="2CEB5333">
        <w:tblPrEx>
          <w:tblCellMar>
            <w:top w:w="0" w:type="dxa"/>
            <w:left w:w="108" w:type="dxa"/>
            <w:bottom w:w="0" w:type="dxa"/>
            <w:right w:w="108" w:type="dxa"/>
          </w:tblCellMar>
        </w:tblPrEx>
        <w:trPr>
          <w:trHeight w:val="674"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569D4E07">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获取招标文件地点</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716DE18E">
            <w:pPr>
              <w:pStyle w:val="13"/>
              <w:spacing w:line="360" w:lineRule="auto"/>
              <w:jc w:val="both"/>
              <w:rPr>
                <w:rFonts w:hint="eastAsia" w:ascii="宋体" w:hAnsi="宋体" w:eastAsia="宋体" w:cs="Times New Roman"/>
                <w:lang w:val="en-US" w:eastAsia="zh-CN"/>
              </w:rPr>
            </w:pPr>
            <w:r>
              <w:rPr>
                <w:rFonts w:hint="eastAsia" w:ascii="Times New Roman" w:hAnsi="Times New Roman" w:eastAsia="宋体" w:cs="Times New Roman"/>
                <w:lang w:val="en-US" w:eastAsia="zh-CN"/>
              </w:rPr>
              <w:t>《政采云平台》免费下载招标文件。</w:t>
            </w:r>
          </w:p>
        </w:tc>
      </w:tr>
      <w:tr w14:paraId="10CE6D8B">
        <w:tblPrEx>
          <w:tblCellMar>
            <w:top w:w="0" w:type="dxa"/>
            <w:left w:w="108" w:type="dxa"/>
            <w:bottom w:w="0" w:type="dxa"/>
            <w:right w:w="108" w:type="dxa"/>
          </w:tblCellMar>
        </w:tblPrEx>
        <w:trPr>
          <w:trHeight w:val="465"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5BD86A9">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电子签到</w:t>
            </w:r>
            <w:r>
              <w:rPr>
                <w:rFonts w:hint="eastAsia" w:ascii="宋体" w:hAnsi="宋体" w:eastAsia="宋体" w:cs="宋体"/>
                <w:color w:val="000000"/>
                <w:kern w:val="0"/>
              </w:rPr>
              <w:t>及</w:t>
            </w:r>
            <w:r>
              <w:rPr>
                <w:rFonts w:hint="eastAsia" w:ascii="宋体" w:hAnsi="宋体" w:eastAsia="宋体" w:cs="宋体"/>
                <w:color w:val="000000"/>
                <w:kern w:val="0"/>
                <w:lang w:val="zh-CN"/>
              </w:rPr>
              <w:t>解密时间</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50A69CC9">
            <w:pPr>
              <w:autoSpaceDE w:val="0"/>
              <w:autoSpaceDN w:val="0"/>
              <w:adjustRightInd w:val="0"/>
              <w:spacing w:line="360" w:lineRule="auto"/>
              <w:rPr>
                <w:rFonts w:hint="eastAsia" w:ascii="宋体" w:hAnsi="宋体" w:eastAsia="宋体" w:cs="宋体"/>
                <w:color w:val="00B0F0"/>
                <w:kern w:val="0"/>
                <w:lang w:val="zh-CN"/>
              </w:rPr>
            </w:pPr>
            <w:r>
              <w:rPr>
                <w:rFonts w:hint="eastAsia" w:ascii="宋体" w:hAnsi="宋体" w:eastAsia="宋体" w:cs="宋体"/>
                <w:b/>
                <w:bCs/>
                <w:color w:val="auto"/>
                <w:kern w:val="0"/>
                <w:lang w:val="zh-CN"/>
              </w:rPr>
              <w:t>202</w:t>
            </w:r>
            <w:r>
              <w:rPr>
                <w:rFonts w:hint="eastAsia" w:ascii="宋体" w:hAnsi="宋体" w:eastAsia="宋体" w:cs="宋体"/>
                <w:b/>
                <w:bCs/>
                <w:color w:val="auto"/>
                <w:kern w:val="0"/>
                <w:lang w:val="en-US" w:eastAsia="zh-CN"/>
              </w:rPr>
              <w:t>4</w:t>
            </w:r>
            <w:r>
              <w:rPr>
                <w:rFonts w:hint="eastAsia" w:ascii="宋体" w:hAnsi="宋体" w:eastAsia="宋体" w:cs="宋体"/>
                <w:b/>
                <w:bCs/>
                <w:color w:val="auto"/>
                <w:kern w:val="0"/>
                <w:lang w:val="zh-CN"/>
              </w:rPr>
              <w:t>年</w:t>
            </w:r>
            <w:r>
              <w:rPr>
                <w:rFonts w:hint="eastAsia" w:ascii="宋体" w:hAnsi="宋体" w:cs="宋体"/>
                <w:b/>
                <w:bCs/>
                <w:color w:val="auto"/>
                <w:kern w:val="0"/>
                <w:lang w:val="en-US" w:eastAsia="zh-CN"/>
              </w:rPr>
              <w:t>11</w:t>
            </w:r>
            <w:r>
              <w:rPr>
                <w:rFonts w:hint="eastAsia" w:ascii="宋体" w:hAnsi="宋体" w:eastAsia="宋体" w:cs="宋体"/>
                <w:b/>
                <w:bCs/>
                <w:color w:val="auto"/>
                <w:kern w:val="0"/>
                <w:lang w:val="zh-CN"/>
              </w:rPr>
              <w:t>月</w:t>
            </w:r>
            <w:r>
              <w:rPr>
                <w:rFonts w:hint="eastAsia" w:ascii="宋体" w:hAnsi="宋体" w:cs="宋体"/>
                <w:b/>
                <w:bCs/>
                <w:color w:val="auto"/>
                <w:kern w:val="0"/>
                <w:lang w:val="en-US" w:eastAsia="zh-CN"/>
              </w:rPr>
              <w:t>21</w:t>
            </w:r>
            <w:r>
              <w:rPr>
                <w:rFonts w:hint="eastAsia" w:ascii="宋体" w:hAnsi="宋体" w:eastAsia="宋体" w:cs="宋体"/>
                <w:b/>
                <w:bCs/>
                <w:color w:val="auto"/>
                <w:kern w:val="0"/>
                <w:lang w:val="zh-CN"/>
              </w:rPr>
              <w:t>日上午9:00时（北京时间）</w:t>
            </w:r>
          </w:p>
        </w:tc>
      </w:tr>
      <w:tr w14:paraId="01B951F5">
        <w:tblPrEx>
          <w:tblCellMar>
            <w:top w:w="0" w:type="dxa"/>
            <w:left w:w="108" w:type="dxa"/>
            <w:bottom w:w="0" w:type="dxa"/>
            <w:right w:w="108" w:type="dxa"/>
          </w:tblCellMar>
        </w:tblPrEx>
        <w:trPr>
          <w:trHeight w:val="301"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6B01CC56">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投标及开标地点</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049F20BA">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left"/>
              <w:textAlignment w:val="auto"/>
              <w:rPr>
                <w:rFonts w:hint="eastAsia" w:ascii="Times New Roman" w:hAnsi="Times New Roman" w:eastAsia="宋体" w:cs="Times New Roman"/>
              </w:rPr>
            </w:pPr>
            <w:r>
              <w:rPr>
                <w:rFonts w:hint="eastAsia" w:ascii="Times New Roman" w:hAnsi="Times New Roman" w:eastAsia="宋体" w:cs="Times New Roman"/>
              </w:rPr>
              <w:t>政采云平台（www.zcygov.cn）</w:t>
            </w:r>
          </w:p>
          <w:p w14:paraId="5DE420CE">
            <w:pPr>
              <w:pStyle w:val="3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lang w:val="zh-CN" w:eastAsia="zh-CN"/>
              </w:rPr>
            </w:pPr>
            <w:r>
              <w:rPr>
                <w:rFonts w:hint="eastAsia" w:ascii="宋体" w:hAnsi="宋体" w:eastAsia="宋体" w:cs="Tahoma"/>
                <w:b/>
                <w:bCs/>
                <w:color w:val="000000" w:themeColor="text1"/>
                <w:kern w:val="0"/>
                <w:sz w:val="24"/>
                <w:szCs w:val="24"/>
                <w:lang w:val="en-US" w:eastAsia="zh-CN" w:bidi="ar-SA"/>
                <w14:textFill>
                  <w14:solidFill>
                    <w14:schemeClr w14:val="tx1"/>
                  </w14:solidFill>
                </w14:textFill>
              </w:rPr>
              <w:t>解密时长30分钟，</w:t>
            </w:r>
            <w:r>
              <w:rPr>
                <w:rFonts w:hint="eastAsia" w:ascii="宋体" w:hAnsi="宋体" w:eastAsia="宋体" w:cs="Tahoma"/>
                <w:color w:val="000000" w:themeColor="text1"/>
                <w:kern w:val="0"/>
                <w:sz w:val="24"/>
                <w:szCs w:val="24"/>
                <w:lang w:val="en-US" w:eastAsia="zh-CN" w:bidi="ar-SA"/>
                <w14:textFill>
                  <w14:solidFill>
                    <w14:schemeClr w14:val="tx1"/>
                  </w14:solidFill>
                </w14:textFill>
              </w:rPr>
              <w:t>如非系统原因造成无法解密的或非系统原因加密文件上传不成功的或没办理CA锁而造成加密文件无法解密、加密文件无法上传的视为无效投标。（提示：请供应商开启解密后随时关注政采云系统短信，及时完成后续操作）</w:t>
            </w:r>
          </w:p>
        </w:tc>
      </w:tr>
      <w:tr w14:paraId="636745EE">
        <w:tblPrEx>
          <w:tblCellMar>
            <w:top w:w="0" w:type="dxa"/>
            <w:left w:w="108" w:type="dxa"/>
            <w:bottom w:w="0" w:type="dxa"/>
            <w:right w:w="108" w:type="dxa"/>
          </w:tblCellMar>
        </w:tblPrEx>
        <w:trPr>
          <w:trHeight w:val="4310" w:hRule="atLeast"/>
          <w:jc w:val="center"/>
        </w:trPr>
        <w:tc>
          <w:tcPr>
            <w:tcW w:w="2459"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BBE3AC7">
            <w:pPr>
              <w:widowControl/>
              <w:spacing w:line="320" w:lineRule="exact"/>
              <w:ind w:firstLine="240" w:firstLineChars="100"/>
              <w:jc w:val="left"/>
              <w:rPr>
                <w:rFonts w:hint="eastAsia" w:ascii="宋体" w:hAnsi="宋体" w:eastAsia="宋体" w:cs="Arial"/>
                <w:kern w:val="0"/>
                <w:sz w:val="24"/>
                <w:szCs w:val="24"/>
                <w:lang w:val="zh-CN" w:eastAsia="zh-CN" w:bidi="ar-SA"/>
              </w:rPr>
            </w:pPr>
            <w:r>
              <w:rPr>
                <w:rFonts w:hint="eastAsia" w:ascii="宋体" w:hAnsi="宋体" w:cs="宋体"/>
                <w:color w:val="000000"/>
                <w:kern w:val="0"/>
                <w:lang w:val="zh-CN"/>
              </w:rPr>
              <w:t>投标保证金</w:t>
            </w:r>
          </w:p>
        </w:tc>
        <w:tc>
          <w:tcPr>
            <w:tcW w:w="746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AE933B7">
            <w:pPr>
              <w:widowControl/>
              <w:spacing w:line="320" w:lineRule="exact"/>
              <w:ind w:firstLine="0" w:firstLineChars="0"/>
              <w:rPr>
                <w:rFonts w:ascii="宋体" w:hAnsi="宋体" w:cs="宋体"/>
                <w:kern w:val="0"/>
              </w:rPr>
            </w:pPr>
            <w:r>
              <w:rPr>
                <w:rFonts w:hint="eastAsia" w:ascii="宋体" w:hAnsi="宋体" w:cs="宋体"/>
                <w:b/>
                <w:bCs/>
                <w:kern w:val="0"/>
              </w:rPr>
              <w:t>保证金金额：</w:t>
            </w:r>
            <w:r>
              <w:rPr>
                <w:rFonts w:hint="eastAsia" w:ascii="宋体" w:hAnsi="宋体" w:eastAsia="宋体" w:cs="宋体"/>
                <w:kern w:val="0"/>
                <w:lang w:val="en-US" w:eastAsia="zh-CN"/>
              </w:rPr>
              <w:t>43800.00</w:t>
            </w:r>
            <w:r>
              <w:rPr>
                <w:rFonts w:hint="eastAsia" w:ascii="宋体" w:hAnsi="宋体" w:cs="宋体"/>
                <w:kern w:val="0"/>
              </w:rPr>
              <w:t>元（</w:t>
            </w:r>
            <w:r>
              <w:rPr>
                <w:rFonts w:hint="eastAsia" w:ascii="宋体" w:hAnsi="宋体" w:cs="宋体"/>
                <w:kern w:val="0"/>
                <w:lang w:val="en-US" w:eastAsia="zh-CN"/>
              </w:rPr>
              <w:t>肆万叁仟捌佰元整</w:t>
            </w:r>
            <w:r>
              <w:rPr>
                <w:rFonts w:hint="eastAsia" w:ascii="宋体" w:hAnsi="宋体" w:cs="宋体"/>
                <w:kern w:val="0"/>
              </w:rPr>
              <w:t>）</w:t>
            </w:r>
          </w:p>
          <w:p w14:paraId="53D0B5A1">
            <w:pPr>
              <w:widowControl/>
              <w:spacing w:line="320" w:lineRule="exact"/>
              <w:ind w:firstLine="0" w:firstLineChars="0"/>
              <w:rPr>
                <w:rFonts w:hint="eastAsia" w:ascii="宋体" w:hAnsi="宋体" w:cs="宋体"/>
                <w:kern w:val="0"/>
                <w:lang w:val="en-US" w:eastAsia="zh-CN"/>
              </w:rPr>
            </w:pPr>
            <w:r>
              <w:rPr>
                <w:rFonts w:hint="eastAsia" w:ascii="宋体" w:hAnsi="宋体" w:cs="宋体"/>
                <w:b/>
                <w:bCs/>
                <w:kern w:val="0"/>
              </w:rPr>
              <w:t>收 款 单位：</w:t>
            </w:r>
            <w:r>
              <w:rPr>
                <w:rFonts w:hint="eastAsia" w:ascii="宋体" w:hAnsi="宋体" w:cs="宋体"/>
                <w:kern w:val="0"/>
                <w:lang w:val="en-US" w:eastAsia="zh-CN"/>
              </w:rPr>
              <w:t>格尔木市数据局</w:t>
            </w:r>
          </w:p>
          <w:p w14:paraId="3EA21D09">
            <w:pPr>
              <w:widowControl/>
              <w:spacing w:line="320" w:lineRule="exact"/>
              <w:ind w:firstLine="0" w:firstLineChars="0"/>
              <w:rPr>
                <w:rFonts w:hint="eastAsia" w:ascii="宋体" w:hAnsi="宋体" w:cs="宋体"/>
                <w:kern w:val="0"/>
              </w:rPr>
            </w:pPr>
            <w:r>
              <w:rPr>
                <w:rFonts w:hint="eastAsia" w:ascii="宋体" w:hAnsi="宋体" w:cs="宋体"/>
                <w:b/>
                <w:bCs/>
                <w:kern w:val="0"/>
              </w:rPr>
              <w:t>开  户 行</w:t>
            </w:r>
            <w:r>
              <w:rPr>
                <w:rFonts w:hint="eastAsia" w:ascii="宋体" w:hAnsi="宋体" w:cs="宋体"/>
                <w:kern w:val="0"/>
              </w:rPr>
              <w:t>：中国工商银行格尔木昆仑路支行</w:t>
            </w:r>
          </w:p>
          <w:p w14:paraId="252D026A">
            <w:pPr>
              <w:widowControl/>
              <w:spacing w:line="320" w:lineRule="exact"/>
              <w:ind w:firstLine="0" w:firstLineChars="0"/>
              <w:rPr>
                <w:rFonts w:hint="eastAsia" w:ascii="宋体" w:hAnsi="宋体" w:cs="宋体"/>
                <w:b/>
                <w:bCs/>
                <w:kern w:val="0"/>
              </w:rPr>
            </w:pPr>
            <w:r>
              <w:rPr>
                <w:rFonts w:hint="eastAsia" w:ascii="宋体" w:hAnsi="宋体" w:cs="宋体"/>
                <w:b/>
                <w:bCs/>
                <w:kern w:val="0"/>
              </w:rPr>
              <w:t>银行账号：</w:t>
            </w:r>
            <w:r>
              <w:rPr>
                <w:rFonts w:hint="eastAsia" w:ascii="宋体" w:hAnsi="宋体" w:cs="宋体"/>
                <w:kern w:val="0"/>
              </w:rPr>
              <w:t>2806000238000840015</w:t>
            </w:r>
          </w:p>
          <w:p w14:paraId="523131C8">
            <w:pPr>
              <w:widowControl/>
              <w:spacing w:line="320" w:lineRule="exact"/>
              <w:ind w:firstLine="0" w:firstLineChars="0"/>
              <w:rPr>
                <w:rFonts w:ascii="宋体" w:hAnsi="宋体" w:cs="宋体"/>
                <w:color w:val="000000" w:themeColor="text1"/>
                <w:spacing w:val="2"/>
                <w:lang w:val="zh-CN"/>
                <w14:textFill>
                  <w14:solidFill>
                    <w14:schemeClr w14:val="tx1"/>
                  </w14:solidFill>
                </w14:textFill>
              </w:rPr>
            </w:pPr>
            <w:r>
              <w:rPr>
                <w:rFonts w:hint="eastAsia" w:ascii="宋体" w:hAnsi="宋体" w:cs="宋体"/>
                <w:b/>
                <w:bCs/>
                <w:color w:val="000000" w:themeColor="text1"/>
                <w:spacing w:val="2"/>
                <w:lang w:val="zh-CN"/>
                <w14:textFill>
                  <w14:solidFill>
                    <w14:schemeClr w14:val="tx1"/>
                  </w14:solidFill>
                </w14:textFill>
              </w:rPr>
              <w:t>缴费方式：</w:t>
            </w:r>
            <w:r>
              <w:rPr>
                <w:rFonts w:hint="eastAsia" w:ascii="宋体" w:hAnsi="宋体" w:cs="宋体"/>
                <w:color w:val="000000" w:themeColor="text1"/>
                <w:spacing w:val="2"/>
                <w14:textFill>
                  <w14:solidFill>
                    <w14:schemeClr w14:val="tx1"/>
                  </w14:solidFill>
                </w14:textFill>
              </w:rPr>
              <w:t>磋</w:t>
            </w:r>
            <w:r>
              <w:rPr>
                <w:rFonts w:hint="eastAsia" w:ascii="宋体" w:hAnsi="宋体" w:cs="宋体"/>
                <w:color w:val="000000" w:themeColor="text1"/>
                <w:spacing w:val="2"/>
                <w:lang w:val="zh-CN"/>
                <w14:textFill>
                  <w14:solidFill>
                    <w14:schemeClr w14:val="tx1"/>
                  </w14:solidFill>
                </w14:textFill>
              </w:rPr>
              <w:t>商保证金应当以支票、汇票、本票或者金融机构、担保机构出具的保函等非现金形式提交，通过银行转账的，必须从投标人基本账户直接汇（转）入采购代理机构指定账户。</w:t>
            </w:r>
          </w:p>
          <w:p w14:paraId="0B72D4B7">
            <w:pPr>
              <w:widowControl/>
              <w:spacing w:line="320" w:lineRule="exact"/>
              <w:ind w:firstLine="0" w:firstLineChars="0"/>
              <w:rPr>
                <w:rFonts w:hint="eastAsia" w:ascii="宋体" w:hAnsi="宋体" w:eastAsia="宋体" w:cs="宋体"/>
                <w:kern w:val="0"/>
                <w:sz w:val="24"/>
                <w:szCs w:val="24"/>
                <w:lang w:val="en-US" w:eastAsia="zh-CN" w:bidi="ar-SA"/>
              </w:rPr>
            </w:pPr>
            <w:r>
              <w:rPr>
                <w:rFonts w:hint="eastAsia" w:ascii="宋体" w:hAnsi="宋体" w:cs="宋体"/>
                <w:b/>
                <w:bCs/>
                <w:color w:val="000000" w:themeColor="text1"/>
                <w:spacing w:val="2"/>
                <w:lang w:val="zh-CN"/>
                <w14:textFill>
                  <w14:solidFill>
                    <w14:schemeClr w14:val="tx1"/>
                  </w14:solidFill>
                </w14:textFill>
              </w:rPr>
              <w:t>投标保证金退还：</w:t>
            </w:r>
            <w:r>
              <w:rPr>
                <w:rFonts w:hint="eastAsia" w:ascii="宋体" w:hAnsi="宋体" w:cs="宋体"/>
                <w:color w:val="000000" w:themeColor="text1"/>
                <w:spacing w:val="2"/>
                <w:lang w:val="zh-CN"/>
                <w14:textFill>
                  <w14:solidFill>
                    <w14:schemeClr w14:val="tx1"/>
                  </w14:solidFill>
                </w14:textFill>
              </w:rPr>
              <w:t>投标人在投标截止时间前撤回已提交的投标文件的，采购代理机构应当自收到投标人书面撤回通知之日起5个工作日内，退还已收取的投标保证金，但因投标人自身原因导致无法及时退还的除外。采购代理机构应当自中标通知书发出之日起5个工作日内退还未中标人的投标保证金，自采购合同签订之日起5个工作日内退还中标人的投标保证金。</w:t>
            </w:r>
          </w:p>
        </w:tc>
      </w:tr>
      <w:tr w14:paraId="27120F5E">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90331C6">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Cambria" w:eastAsia="宋体" w:cs="宋体"/>
                <w:kern w:val="0"/>
                <w:sz w:val="24"/>
                <w:szCs w:val="24"/>
                <w:lang w:val="zh-CN"/>
              </w:rPr>
              <w:t>答疑或澄清或告知方式</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6BC23637">
            <w:pPr>
              <w:autoSpaceDE w:val="0"/>
              <w:autoSpaceDN w:val="0"/>
              <w:adjustRightInd w:val="0"/>
              <w:spacing w:line="360" w:lineRule="auto"/>
              <w:ind w:left="240" w:hanging="240" w:hangingChars="100"/>
              <w:jc w:val="both"/>
              <w:rPr>
                <w:rFonts w:hint="eastAsia" w:ascii="宋体" w:hAnsi="宋体" w:eastAsia="宋体" w:cs="宋体"/>
                <w:color w:val="auto"/>
                <w:lang w:eastAsia="zh-CN"/>
              </w:rPr>
            </w:pPr>
            <w:r>
              <w:rPr>
                <w:rFonts w:hint="eastAsia" w:ascii="宋体" w:hAnsi="宋体" w:eastAsia="宋体" w:cs="Times New Roman"/>
                <w:color w:val="auto"/>
                <w:lang w:eastAsia="zh-CN"/>
              </w:rPr>
              <w:t>在线</w:t>
            </w:r>
            <w:r>
              <w:rPr>
                <w:rFonts w:hint="eastAsia" w:ascii="宋体" w:hAnsi="Cambria" w:eastAsia="宋体" w:cs="宋体"/>
                <w:color w:val="auto"/>
                <w:kern w:val="0"/>
                <w:sz w:val="24"/>
                <w:szCs w:val="24"/>
                <w:lang w:val="zh-CN"/>
              </w:rPr>
              <w:t>答疑或澄清或告知，解密完成后</w:t>
            </w:r>
            <w:r>
              <w:rPr>
                <w:rFonts w:hint="eastAsia" w:ascii="宋体" w:hAnsi="宋体" w:eastAsia="宋体" w:cs="Times New Roman"/>
                <w:color w:val="auto"/>
              </w:rPr>
              <w:t>供应商</w:t>
            </w:r>
            <w:r>
              <w:rPr>
                <w:rFonts w:hint="eastAsia" w:ascii="宋体" w:hAnsi="宋体" w:eastAsia="宋体" w:cs="宋体"/>
                <w:color w:val="auto"/>
              </w:rPr>
              <w:t>须</w:t>
            </w:r>
            <w:r>
              <w:rPr>
                <w:rFonts w:hint="eastAsia" w:ascii="宋体" w:hAnsi="宋体" w:eastAsia="宋体" w:cs="宋体"/>
                <w:color w:val="auto"/>
                <w:lang w:eastAsia="zh-CN"/>
              </w:rPr>
              <w:t>随时关注政采云手机短</w:t>
            </w:r>
          </w:p>
          <w:p w14:paraId="3CDFE48D">
            <w:pPr>
              <w:autoSpaceDE w:val="0"/>
              <w:autoSpaceDN w:val="0"/>
              <w:adjustRightInd w:val="0"/>
              <w:spacing w:line="360" w:lineRule="auto"/>
              <w:ind w:left="240" w:hanging="240" w:hangingChars="100"/>
              <w:jc w:val="both"/>
              <w:rPr>
                <w:rFonts w:hint="eastAsia" w:ascii="宋体" w:hAnsi="Cambria" w:eastAsia="宋体" w:cs="宋体"/>
                <w:color w:val="auto"/>
                <w:kern w:val="0"/>
                <w:sz w:val="24"/>
                <w:szCs w:val="24"/>
                <w:lang w:val="zh-CN"/>
              </w:rPr>
            </w:pPr>
            <w:r>
              <w:rPr>
                <w:rFonts w:hint="eastAsia" w:ascii="宋体" w:hAnsi="宋体" w:eastAsia="宋体" w:cs="宋体"/>
                <w:color w:val="auto"/>
                <w:lang w:eastAsia="zh-CN"/>
              </w:rPr>
              <w:t>信通知，当</w:t>
            </w:r>
            <w:r>
              <w:rPr>
                <w:rFonts w:hint="eastAsia" w:ascii="宋体" w:hAnsi="Cambria" w:eastAsia="宋体" w:cs="宋体"/>
                <w:color w:val="auto"/>
                <w:kern w:val="0"/>
                <w:sz w:val="24"/>
                <w:szCs w:val="24"/>
                <w:lang w:val="zh-CN"/>
              </w:rPr>
              <w:t>答疑或澄清发出后，政采云系统会以短信的方式提示告知，</w:t>
            </w:r>
          </w:p>
          <w:p w14:paraId="203C4550">
            <w:pPr>
              <w:autoSpaceDE w:val="0"/>
              <w:autoSpaceDN w:val="0"/>
              <w:adjustRightInd w:val="0"/>
              <w:spacing w:line="360" w:lineRule="auto"/>
              <w:ind w:left="240" w:hanging="240" w:hangingChars="100"/>
              <w:jc w:val="both"/>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供应商应在规定的时间内（</w:t>
            </w:r>
            <w:r>
              <w:rPr>
                <w:rFonts w:hint="eastAsia" w:ascii="宋体" w:hAnsi="Cambria" w:eastAsia="宋体" w:cs="宋体"/>
                <w:b/>
                <w:bCs/>
                <w:color w:val="auto"/>
                <w:kern w:val="0"/>
                <w:sz w:val="24"/>
                <w:szCs w:val="24"/>
                <w:lang w:val="zh-CN"/>
              </w:rPr>
              <w:t>答疑或澄清时长为</w:t>
            </w:r>
            <w:r>
              <w:rPr>
                <w:rFonts w:hint="eastAsia" w:ascii="宋体" w:hAnsi="Cambria" w:eastAsia="宋体" w:cs="宋体"/>
                <w:b/>
                <w:bCs/>
                <w:color w:val="auto"/>
                <w:kern w:val="0"/>
                <w:sz w:val="24"/>
                <w:szCs w:val="24"/>
                <w:lang w:val="en-US" w:eastAsia="zh-CN"/>
              </w:rPr>
              <w:t>30分钟</w:t>
            </w:r>
            <w:r>
              <w:rPr>
                <w:rFonts w:hint="eastAsia" w:ascii="宋体" w:hAnsi="Cambria" w:eastAsia="宋体" w:cs="宋体"/>
                <w:b/>
                <w:bCs/>
                <w:color w:val="auto"/>
                <w:kern w:val="0"/>
                <w:sz w:val="24"/>
                <w:szCs w:val="24"/>
                <w:lang w:val="zh-CN"/>
              </w:rPr>
              <w:t>）</w:t>
            </w:r>
            <w:r>
              <w:rPr>
                <w:rFonts w:hint="eastAsia" w:ascii="宋体" w:hAnsi="Cambria" w:eastAsia="宋体" w:cs="宋体"/>
                <w:color w:val="auto"/>
                <w:kern w:val="0"/>
                <w:sz w:val="24"/>
                <w:szCs w:val="24"/>
                <w:lang w:val="zh-CN"/>
              </w:rPr>
              <w:t>在线提交答疑</w:t>
            </w:r>
          </w:p>
          <w:p w14:paraId="231391E5">
            <w:pPr>
              <w:autoSpaceDE w:val="0"/>
              <w:autoSpaceDN w:val="0"/>
              <w:adjustRightInd w:val="0"/>
              <w:spacing w:line="360" w:lineRule="auto"/>
              <w:ind w:left="240" w:hanging="240" w:hangingChars="100"/>
              <w:jc w:val="both"/>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或澄清证明资料，如发出的为告知函（资格审查未通过告知函或符合</w:t>
            </w:r>
          </w:p>
          <w:p w14:paraId="6B1F5A50">
            <w:pPr>
              <w:autoSpaceDE w:val="0"/>
              <w:autoSpaceDN w:val="0"/>
              <w:adjustRightInd w:val="0"/>
              <w:spacing w:line="360" w:lineRule="auto"/>
              <w:ind w:left="240" w:hanging="240" w:hangingChars="100"/>
              <w:jc w:val="both"/>
              <w:rPr>
                <w:rFonts w:hint="eastAsia" w:ascii="宋体" w:hAnsi="宋体" w:eastAsia="宋体" w:cs="宋体"/>
                <w:color w:val="auto"/>
                <w:lang w:val="zh-CN"/>
              </w:rPr>
            </w:pPr>
            <w:r>
              <w:rPr>
                <w:rFonts w:hint="eastAsia" w:ascii="宋体" w:hAnsi="Cambria" w:eastAsia="宋体" w:cs="宋体"/>
                <w:color w:val="auto"/>
                <w:kern w:val="0"/>
                <w:sz w:val="24"/>
                <w:szCs w:val="24"/>
                <w:lang w:val="zh-CN"/>
              </w:rPr>
              <w:t>性审查未通过告知函</w:t>
            </w:r>
            <w:r>
              <w:rPr>
                <w:rFonts w:hint="eastAsia" w:ascii="宋体" w:hAnsi="Cambria" w:eastAsia="宋体" w:cs="宋体"/>
                <w:color w:val="auto"/>
                <w:kern w:val="0"/>
                <w:sz w:val="24"/>
                <w:szCs w:val="24"/>
                <w:lang w:val="en-US" w:eastAsia="zh-CN"/>
              </w:rPr>
              <w:t xml:space="preserve"> </w:t>
            </w:r>
            <w:r>
              <w:rPr>
                <w:rFonts w:hint="eastAsia" w:ascii="宋体" w:hAnsi="Cambria" w:eastAsia="宋体" w:cs="宋体"/>
                <w:color w:val="auto"/>
                <w:kern w:val="0"/>
                <w:sz w:val="24"/>
                <w:szCs w:val="24"/>
                <w:lang w:val="zh-CN"/>
              </w:rPr>
              <w:t>）的则无需在线提交任何资料，</w:t>
            </w:r>
            <w:r>
              <w:rPr>
                <w:rFonts w:hint="eastAsia" w:ascii="宋体" w:hAnsi="宋体" w:eastAsia="宋体" w:cs="Times New Roman"/>
                <w:color w:val="auto"/>
                <w:lang w:eastAsia="zh-CN"/>
              </w:rPr>
              <w:t>逾期</w:t>
            </w:r>
            <w:r>
              <w:rPr>
                <w:rFonts w:hint="eastAsia" w:ascii="宋体" w:hAnsi="宋体" w:eastAsia="宋体" w:cs="宋体"/>
                <w:color w:val="auto"/>
                <w:lang w:val="zh-CN"/>
              </w:rPr>
              <w:t>未在线提交</w:t>
            </w:r>
          </w:p>
          <w:p w14:paraId="5CBDB654">
            <w:pPr>
              <w:autoSpaceDE w:val="0"/>
              <w:autoSpaceDN w:val="0"/>
              <w:adjustRightInd w:val="0"/>
              <w:spacing w:line="360" w:lineRule="auto"/>
              <w:ind w:left="240" w:hanging="240" w:hangingChars="100"/>
              <w:jc w:val="both"/>
              <w:rPr>
                <w:rFonts w:hint="eastAsia" w:ascii="宋体" w:hAnsi="宋体" w:eastAsia="宋体" w:cs="宋体"/>
                <w:color w:val="000000"/>
                <w:kern w:val="0"/>
                <w:lang w:val="zh-CN"/>
              </w:rPr>
            </w:pPr>
            <w:r>
              <w:rPr>
                <w:rFonts w:hint="eastAsia" w:ascii="宋体" w:hAnsi="宋体" w:eastAsia="宋体" w:cs="宋体"/>
                <w:color w:val="auto"/>
                <w:lang w:val="zh-CN"/>
              </w:rPr>
              <w:t>答疑或澄清的，</w:t>
            </w:r>
            <w:r>
              <w:rPr>
                <w:rFonts w:hint="eastAsia" w:ascii="宋体" w:hAnsi="宋体" w:eastAsia="宋体" w:cs="Times New Roman"/>
                <w:color w:val="auto"/>
              </w:rPr>
              <w:t>视同</w:t>
            </w:r>
            <w:r>
              <w:rPr>
                <w:rFonts w:hint="eastAsia" w:ascii="宋体" w:hAnsi="宋体" w:eastAsia="宋体" w:cs="Times New Roman"/>
                <w:color w:val="auto"/>
                <w:lang w:eastAsia="zh-CN"/>
              </w:rPr>
              <w:t>不接受答疑或澄清按无效投标处理</w:t>
            </w:r>
            <w:r>
              <w:rPr>
                <w:rFonts w:hint="eastAsia" w:ascii="宋体" w:hAnsi="宋体" w:eastAsia="宋体" w:cs="Times New Roman"/>
                <w:color w:val="auto"/>
              </w:rPr>
              <w:t>。</w:t>
            </w:r>
          </w:p>
        </w:tc>
      </w:tr>
      <w:tr w14:paraId="4F18A533">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33C86EB3">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采购人联系</w:t>
            </w:r>
            <w:r>
              <w:rPr>
                <w:rFonts w:hint="eastAsia" w:ascii="宋体" w:hAnsi="宋体" w:eastAsia="宋体" w:cs="宋体"/>
                <w:color w:val="000000"/>
                <w:kern w:val="0"/>
              </w:rPr>
              <w:t>人</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3553B18B">
            <w:pPr>
              <w:autoSpaceDE w:val="0"/>
              <w:autoSpaceDN w:val="0"/>
              <w:adjustRightInd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格尔木市公安局</w:t>
            </w:r>
            <w:r>
              <w:rPr>
                <w:rFonts w:hint="eastAsia" w:ascii="宋体" w:hAnsi="宋体" w:eastAsia="宋体" w:cs="宋体"/>
                <w:color w:val="000000"/>
                <w:kern w:val="0"/>
              </w:rPr>
              <w:t xml:space="preserve">  </w:t>
            </w:r>
          </w:p>
          <w:p w14:paraId="1C13BB73">
            <w:pPr>
              <w:autoSpaceDE w:val="0"/>
              <w:autoSpaceDN w:val="0"/>
              <w:adjustRightInd w:val="0"/>
              <w:spacing w:line="360" w:lineRule="auto"/>
              <w:ind w:left="240" w:hanging="240" w:hangingChars="100"/>
              <w:rPr>
                <w:rFonts w:hint="default" w:ascii="宋体" w:hAnsi="宋体" w:eastAsia="宋体" w:cs="宋体"/>
                <w:color w:val="000000"/>
                <w:kern w:val="0"/>
                <w:lang w:val="en-US" w:eastAsia="zh-CN"/>
              </w:rPr>
            </w:pPr>
            <w:r>
              <w:rPr>
                <w:rFonts w:hint="eastAsia" w:ascii="宋体" w:hAnsi="宋体" w:eastAsia="宋体" w:cs="宋体"/>
                <w:color w:val="000000"/>
                <w:kern w:val="0"/>
                <w:lang w:val="zh-CN"/>
              </w:rPr>
              <w:t>联系人：</w:t>
            </w:r>
            <w:r>
              <w:rPr>
                <w:rFonts w:hint="eastAsia" w:ascii="宋体" w:hAnsi="宋体" w:eastAsia="宋体" w:cs="宋体"/>
                <w:color w:val="000000"/>
                <w:kern w:val="0"/>
                <w:lang w:val="en-US" w:eastAsia="zh-CN"/>
              </w:rPr>
              <w:t>闫</w:t>
            </w:r>
            <w:r>
              <w:rPr>
                <w:rFonts w:hint="eastAsia" w:ascii="宋体" w:hAnsi="宋体" w:eastAsia="宋体" w:cs="宋体"/>
                <w:color w:val="000000"/>
                <w:kern w:val="0"/>
                <w:lang w:val="zh-CN"/>
              </w:rPr>
              <w:t>警官</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联系电话：</w:t>
            </w:r>
            <w:r>
              <w:rPr>
                <w:rFonts w:hint="eastAsia" w:ascii="宋体" w:hAnsi="宋体" w:eastAsia="宋体" w:cs="宋体"/>
                <w:kern w:val="0"/>
                <w:lang w:val="zh-CN"/>
              </w:rPr>
              <w:t>0979-8413805</w:t>
            </w:r>
          </w:p>
        </w:tc>
      </w:tr>
      <w:tr w14:paraId="329F9914">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6A37860E">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kern w:val="0"/>
              </w:rPr>
              <w:t>集中</w:t>
            </w:r>
            <w:r>
              <w:rPr>
                <w:rFonts w:ascii="宋体" w:hAnsi="宋体" w:eastAsia="宋体" w:cs="宋体"/>
                <w:kern w:val="0"/>
              </w:rPr>
              <w:t>采购机构及联系人</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634060CF">
            <w:pPr>
              <w:autoSpaceDE w:val="0"/>
              <w:autoSpaceDN w:val="0"/>
              <w:adjustRightInd w:val="0"/>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格尔木市政务服务和公共资源交易中心</w:t>
            </w:r>
          </w:p>
          <w:p w14:paraId="3FF52A01">
            <w:pPr>
              <w:autoSpaceDE w:val="0"/>
              <w:autoSpaceDN w:val="0"/>
              <w:adjustRightInd w:val="0"/>
              <w:spacing w:line="360" w:lineRule="auto"/>
              <w:rPr>
                <w:rFonts w:hint="eastAsia" w:ascii="宋体" w:hAnsi="宋体" w:eastAsia="宋体" w:cs="宋体"/>
                <w:color w:val="000000"/>
                <w:kern w:val="0"/>
                <w:lang w:val="zh-CN" w:eastAsia="zh-CN"/>
              </w:rPr>
            </w:pPr>
            <w:r>
              <w:rPr>
                <w:rFonts w:hint="eastAsia" w:ascii="宋体" w:hAnsi="宋体" w:eastAsia="宋体" w:cs="宋体"/>
                <w:kern w:val="0"/>
                <w:szCs w:val="21"/>
                <w:lang w:val="en-US" w:eastAsia="zh-CN"/>
              </w:rPr>
              <w:t>联系人：胡女士</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联系电话：</w:t>
            </w:r>
            <w:r>
              <w:rPr>
                <w:rFonts w:hint="eastAsia" w:ascii="宋体" w:hAnsi="宋体" w:eastAsia="宋体" w:cs="宋体"/>
                <w:kern w:val="0"/>
                <w:szCs w:val="21"/>
                <w:lang w:eastAsia="zh-CN"/>
              </w:rPr>
              <w:t>0979-8414789</w:t>
            </w:r>
          </w:p>
        </w:tc>
      </w:tr>
      <w:tr w14:paraId="3F3D9907">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1411D884">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其他事项</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19081720">
            <w:pPr>
              <w:widowControl/>
              <w:numPr>
                <w:ilvl w:val="0"/>
                <w:numId w:val="2"/>
              </w:numPr>
              <w:spacing w:line="320" w:lineRule="exact"/>
              <w:jc w:val="left"/>
              <w:rPr>
                <w:rFonts w:hint="eastAsia" w:ascii="Times New Roman" w:hAnsi="Times New Roman" w:eastAsia="宋体" w:cs="Times New Roman"/>
              </w:rPr>
            </w:pPr>
            <w:r>
              <w:rPr>
                <w:rFonts w:hint="eastAsia" w:ascii="Times New Roman" w:hAnsi="Times New Roman" w:eastAsia="宋体" w:cs="Times New Roman"/>
              </w:rPr>
              <w:t>本次项目招标采用线上进行，供应商无需到现场开标；如非系统原因造成无法解密的或非系统原因加密文件上传不成功的或</w:t>
            </w:r>
            <w:r>
              <w:rPr>
                <w:rFonts w:hint="eastAsia" w:cs="Times New Roman"/>
                <w:lang w:eastAsia="zh-CN"/>
              </w:rPr>
              <w:t>没有</w:t>
            </w:r>
            <w:r>
              <w:rPr>
                <w:rFonts w:hint="eastAsia" w:ascii="Times New Roman" w:hAnsi="Times New Roman" w:eastAsia="宋体" w:cs="Times New Roman"/>
              </w:rPr>
              <w:t>办理CA锁而造成加密文件无法解密、加密文件无法上传的视为无效投标，线上电子加密响应文件必须在响应文件递交截止时间前上传至电子开评标系统；</w:t>
            </w:r>
          </w:p>
          <w:p w14:paraId="52857544">
            <w:pPr>
              <w:widowControl/>
              <w:numPr>
                <w:ilvl w:val="0"/>
                <w:numId w:val="2"/>
              </w:numPr>
              <w:spacing w:line="320" w:lineRule="exact"/>
              <w:ind w:left="0" w:leftChars="0" w:firstLine="0" w:firstLineChars="0"/>
              <w:jc w:val="left"/>
              <w:rPr>
                <w:rFonts w:hint="eastAsia" w:ascii="Times New Roman" w:hAnsi="Times New Roman" w:eastAsia="宋体" w:cs="Times New Roman"/>
              </w:rPr>
            </w:pPr>
            <w:r>
              <w:rPr>
                <w:rFonts w:hint="eastAsia" w:ascii="Times New Roman" w:hAnsi="Times New Roman" w:eastAsia="宋体" w:cs="Times New Roman"/>
              </w:rPr>
              <w:t>线上电子化开评标系统操作及CA锁办理等相关事宜请咨询政采云：咨询电话：95763（办理实体CA或云CA均可）。</w:t>
            </w:r>
          </w:p>
          <w:p w14:paraId="4A114596">
            <w:pPr>
              <w:pStyle w:val="14"/>
              <w:numPr>
                <w:ilvl w:val="0"/>
                <w:numId w:val="2"/>
              </w:numPr>
              <w:ind w:left="0" w:leftChars="0" w:firstLine="0" w:firstLineChars="0"/>
              <w:rPr>
                <w:rFonts w:hint="eastAsia"/>
              </w:rPr>
            </w:pPr>
            <w:r>
              <w:rPr>
                <w:rFonts w:hint="eastAsia"/>
                <w:b/>
                <w:bCs/>
              </w:rPr>
              <w:t>项目核心产品：900万电子警察；900万环保卡口</w:t>
            </w:r>
          </w:p>
          <w:p w14:paraId="2A04496E">
            <w:pPr>
              <w:pStyle w:val="14"/>
              <w:numPr>
                <w:ilvl w:val="0"/>
                <w:numId w:val="2"/>
              </w:numPr>
              <w:ind w:left="0" w:leftChars="0" w:firstLine="0" w:firstLineChars="0"/>
              <w:rPr>
                <w:rFonts w:hint="eastAsia"/>
              </w:rPr>
            </w:pPr>
            <w:r>
              <w:rPr>
                <w:rFonts w:hint="eastAsia"/>
                <w:b/>
                <w:bCs/>
                <w:lang w:val="en-US" w:eastAsia="zh-CN"/>
              </w:rPr>
              <w:t>本项目所提供的交通设备设施</w:t>
            </w:r>
            <w:r>
              <w:rPr>
                <w:rFonts w:hint="eastAsia" w:ascii="Times New Roman" w:hAnsi="Times New Roman" w:eastAsia="宋体" w:cs="Times New Roman"/>
                <w:b/>
                <w:bCs/>
                <w:kern w:val="2"/>
                <w:sz w:val="24"/>
                <w:szCs w:val="24"/>
                <w:lang w:val="en-US" w:eastAsia="zh-CN" w:bidi="ar-SA"/>
              </w:rPr>
              <w:t>需实现与格尔木市公安局现有</w:t>
            </w:r>
            <w:r>
              <w:rPr>
                <w:rFonts w:hint="eastAsia" w:eastAsia="宋体" w:cs="Times New Roman"/>
                <w:b/>
                <w:bCs/>
                <w:kern w:val="2"/>
                <w:sz w:val="24"/>
                <w:szCs w:val="24"/>
                <w:lang w:val="en-US" w:eastAsia="zh-CN" w:bidi="ar-SA"/>
              </w:rPr>
              <w:t>平台对接，保证设备正常运行。</w:t>
            </w:r>
          </w:p>
        </w:tc>
      </w:tr>
      <w:tr w14:paraId="0E418E70">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36CFAEE5">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财政监督部门及电话</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5969F869">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格尔木市</w:t>
            </w:r>
            <w:r>
              <w:rPr>
                <w:rFonts w:hint="eastAsia" w:ascii="宋体" w:hAnsi="宋体" w:eastAsia="宋体" w:cs="宋体"/>
                <w:color w:val="000000"/>
                <w:kern w:val="0"/>
                <w:lang w:val="zh-CN"/>
              </w:rPr>
              <w:t xml:space="preserve">财政局           </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联系电话：0979-8418264</w:t>
            </w:r>
          </w:p>
        </w:tc>
      </w:tr>
      <w:bookmarkEnd w:id="1"/>
    </w:tbl>
    <w:p w14:paraId="6FBB6A86">
      <w:pPr>
        <w:pStyle w:val="28"/>
        <w:spacing w:before="0" w:after="0" w:line="360" w:lineRule="auto"/>
        <w:jc w:val="center"/>
        <w:rPr>
          <w:rFonts w:hint="eastAsia" w:ascii="宋体" w:hAnsi="宋体" w:cs="宋体"/>
          <w:color w:val="000000"/>
          <w:szCs w:val="36"/>
          <w:lang w:val="zh-CN"/>
        </w:rPr>
      </w:pPr>
      <w:bookmarkStart w:id="2" w:name="_Toc24554913"/>
      <w:bookmarkStart w:id="3" w:name="_Toc9811"/>
    </w:p>
    <w:p w14:paraId="072330D5">
      <w:pPr>
        <w:pStyle w:val="28"/>
        <w:spacing w:before="0" w:after="0" w:line="360" w:lineRule="auto"/>
        <w:jc w:val="center"/>
        <w:rPr>
          <w:rFonts w:hint="eastAsia" w:ascii="宋体" w:hAnsi="宋体" w:cs="宋体"/>
          <w:color w:val="000000"/>
          <w:szCs w:val="36"/>
          <w:lang w:val="zh-CN"/>
        </w:rPr>
      </w:pPr>
    </w:p>
    <w:p w14:paraId="2907CF29">
      <w:pPr>
        <w:pStyle w:val="28"/>
        <w:spacing w:before="0" w:after="0" w:line="360" w:lineRule="auto"/>
        <w:jc w:val="center"/>
        <w:rPr>
          <w:rFonts w:hint="eastAsia" w:ascii="宋体" w:hAnsi="宋体" w:cs="宋体"/>
          <w:color w:val="000000"/>
          <w:szCs w:val="36"/>
          <w:lang w:val="zh-CN"/>
        </w:rPr>
      </w:pPr>
    </w:p>
    <w:p w14:paraId="41978B2D">
      <w:pPr>
        <w:pStyle w:val="28"/>
        <w:spacing w:before="0" w:after="0" w:line="360" w:lineRule="auto"/>
        <w:jc w:val="center"/>
        <w:rPr>
          <w:rFonts w:hint="eastAsia" w:ascii="宋体" w:hAnsi="宋体" w:cs="宋体"/>
          <w:color w:val="000000"/>
          <w:szCs w:val="36"/>
          <w:lang w:val="zh-CN"/>
        </w:rPr>
      </w:pPr>
    </w:p>
    <w:p w14:paraId="780B75DB">
      <w:pPr>
        <w:pStyle w:val="28"/>
        <w:spacing w:before="0" w:after="0" w:line="360" w:lineRule="auto"/>
        <w:jc w:val="center"/>
        <w:rPr>
          <w:rFonts w:hint="eastAsia" w:ascii="宋体" w:hAnsi="宋体" w:cs="宋体"/>
          <w:color w:val="000000"/>
          <w:szCs w:val="36"/>
          <w:lang w:val="zh-CN"/>
        </w:rPr>
      </w:pPr>
    </w:p>
    <w:p w14:paraId="31258192">
      <w:pPr>
        <w:pStyle w:val="28"/>
        <w:spacing w:before="0" w:after="0" w:line="360" w:lineRule="auto"/>
        <w:jc w:val="center"/>
        <w:rPr>
          <w:rFonts w:hint="eastAsia" w:ascii="宋体" w:hAnsi="宋体" w:cs="宋体"/>
          <w:color w:val="000000"/>
          <w:szCs w:val="36"/>
          <w:lang w:val="zh-CN"/>
        </w:rPr>
      </w:pPr>
    </w:p>
    <w:p w14:paraId="7F61465A">
      <w:pPr>
        <w:pStyle w:val="28"/>
        <w:spacing w:before="0" w:after="0" w:line="360" w:lineRule="auto"/>
        <w:jc w:val="center"/>
        <w:rPr>
          <w:rFonts w:hint="eastAsia" w:ascii="宋体" w:hAnsi="宋体" w:cs="宋体"/>
          <w:color w:val="000000"/>
          <w:szCs w:val="36"/>
          <w:lang w:val="zh-CN"/>
        </w:rPr>
      </w:pPr>
    </w:p>
    <w:p w14:paraId="03CC464B">
      <w:pPr>
        <w:pStyle w:val="28"/>
        <w:spacing w:before="0" w:after="0" w:line="360" w:lineRule="auto"/>
        <w:jc w:val="center"/>
        <w:rPr>
          <w:rFonts w:hint="eastAsia" w:ascii="宋体" w:hAnsi="宋体" w:cs="宋体"/>
          <w:color w:val="000000"/>
          <w:szCs w:val="36"/>
          <w:lang w:val="zh-CN"/>
        </w:rPr>
      </w:pPr>
    </w:p>
    <w:p w14:paraId="77DFE019">
      <w:pPr>
        <w:pStyle w:val="28"/>
        <w:spacing w:before="0" w:after="0" w:line="360" w:lineRule="auto"/>
        <w:jc w:val="center"/>
        <w:rPr>
          <w:rFonts w:hint="eastAsia" w:ascii="宋体" w:hAnsi="宋体" w:cs="宋体"/>
          <w:color w:val="000000"/>
          <w:szCs w:val="36"/>
          <w:lang w:val="zh-CN"/>
        </w:rPr>
      </w:pPr>
    </w:p>
    <w:p w14:paraId="7D9EA038">
      <w:pPr>
        <w:pStyle w:val="28"/>
        <w:spacing w:before="0" w:after="0" w:line="360" w:lineRule="auto"/>
        <w:jc w:val="center"/>
        <w:rPr>
          <w:rFonts w:hint="eastAsia" w:ascii="宋体" w:hAnsi="宋体" w:cs="宋体"/>
          <w:color w:val="000000"/>
          <w:szCs w:val="36"/>
          <w:lang w:val="zh-CN"/>
        </w:rPr>
      </w:pPr>
    </w:p>
    <w:p w14:paraId="23483851">
      <w:pPr>
        <w:pStyle w:val="28"/>
        <w:spacing w:before="0" w:after="0" w:line="360" w:lineRule="auto"/>
        <w:jc w:val="center"/>
        <w:rPr>
          <w:rFonts w:hint="eastAsia" w:ascii="宋体" w:hAnsi="宋体" w:cs="宋体"/>
          <w:color w:val="000000"/>
          <w:szCs w:val="36"/>
          <w:lang w:val="zh-CN"/>
        </w:rPr>
      </w:pPr>
    </w:p>
    <w:p w14:paraId="0A84EEC3">
      <w:pPr>
        <w:pStyle w:val="28"/>
        <w:spacing w:before="0" w:after="0" w:line="360" w:lineRule="auto"/>
        <w:jc w:val="center"/>
        <w:rPr>
          <w:rFonts w:hint="eastAsia" w:ascii="宋体" w:hAnsi="宋体" w:cs="宋体"/>
          <w:color w:val="000000"/>
          <w:szCs w:val="36"/>
          <w:lang w:val="zh-CN"/>
        </w:rPr>
      </w:pPr>
    </w:p>
    <w:p w14:paraId="3636620E">
      <w:pPr>
        <w:pStyle w:val="28"/>
        <w:spacing w:before="0" w:after="0" w:line="360" w:lineRule="auto"/>
        <w:jc w:val="center"/>
        <w:rPr>
          <w:rFonts w:hint="eastAsia" w:ascii="宋体" w:hAnsi="宋体" w:cs="宋体"/>
          <w:color w:val="000000"/>
          <w:szCs w:val="36"/>
        </w:rPr>
      </w:pPr>
      <w:r>
        <w:rPr>
          <w:rFonts w:hint="eastAsia" w:ascii="宋体" w:hAnsi="宋体" w:cs="宋体"/>
          <w:color w:val="000000"/>
          <w:szCs w:val="36"/>
          <w:lang w:val="zh-CN"/>
        </w:rPr>
        <w:t>第二部分  投标人须知</w:t>
      </w:r>
      <w:bookmarkEnd w:id="2"/>
      <w:bookmarkEnd w:id="3"/>
    </w:p>
    <w:p w14:paraId="5BB866CC">
      <w:pPr>
        <w:pStyle w:val="28"/>
        <w:spacing w:before="0" w:after="0" w:line="360" w:lineRule="auto"/>
        <w:rPr>
          <w:rFonts w:hint="eastAsia" w:ascii="宋体" w:hAnsi="宋体" w:cs="宋体"/>
          <w:color w:val="000000"/>
        </w:rPr>
      </w:pPr>
      <w:bookmarkStart w:id="4" w:name="_Toc3021"/>
      <w:r>
        <w:rPr>
          <w:rFonts w:hint="eastAsia" w:ascii="宋体" w:hAnsi="宋体" w:cs="宋体"/>
          <w:color w:val="000000"/>
          <w:lang w:val="zh-CN"/>
        </w:rPr>
        <w:t>一、说明</w:t>
      </w:r>
      <w:bookmarkEnd w:id="4"/>
    </w:p>
    <w:p w14:paraId="2C8F6A52">
      <w:pPr>
        <w:pStyle w:val="28"/>
        <w:spacing w:before="0" w:after="0" w:line="360" w:lineRule="auto"/>
        <w:jc w:val="left"/>
        <w:rPr>
          <w:rFonts w:hint="eastAsia" w:ascii="宋体" w:hAnsi="宋体" w:cs="宋体"/>
          <w:color w:val="000000"/>
          <w:lang w:val="zh-CN"/>
        </w:rPr>
      </w:pPr>
      <w:bookmarkStart w:id="5" w:name="_Toc5211"/>
      <w:r>
        <w:rPr>
          <w:rFonts w:hint="eastAsia" w:ascii="宋体" w:hAnsi="宋体" w:cs="宋体"/>
          <w:color w:val="000000"/>
          <w:sz w:val="28"/>
          <w:szCs w:val="28"/>
          <w:lang w:val="zh-CN"/>
        </w:rPr>
        <w:t>1.适用范围</w:t>
      </w:r>
      <w:bookmarkEnd w:id="5"/>
    </w:p>
    <w:p w14:paraId="4E7E669C">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14:paraId="1733E8B6">
      <w:pPr>
        <w:pStyle w:val="28"/>
        <w:spacing w:before="0" w:after="0" w:line="360" w:lineRule="auto"/>
        <w:jc w:val="left"/>
        <w:rPr>
          <w:rFonts w:hint="eastAsia" w:ascii="宋体" w:hAnsi="宋体" w:cs="宋体"/>
          <w:color w:val="000000"/>
          <w:lang w:val="zh-CN"/>
        </w:rPr>
      </w:pPr>
      <w:bookmarkStart w:id="6" w:name="_Toc9643"/>
      <w:r>
        <w:rPr>
          <w:rFonts w:hint="eastAsia" w:ascii="宋体" w:hAnsi="宋体" w:cs="宋体"/>
          <w:color w:val="000000"/>
          <w:sz w:val="28"/>
          <w:szCs w:val="28"/>
          <w:lang w:val="zh-CN"/>
        </w:rPr>
        <w:t>2.采购方式、合格的投标人</w:t>
      </w:r>
      <w:bookmarkEnd w:id="6"/>
    </w:p>
    <w:p w14:paraId="46CFC66E">
      <w:pPr>
        <w:autoSpaceDE w:val="0"/>
        <w:autoSpaceDN w:val="0"/>
        <w:spacing w:line="360" w:lineRule="auto"/>
        <w:ind w:firstLine="360" w:firstLineChars="150"/>
        <w:rPr>
          <w:rFonts w:hint="eastAsia"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14:paraId="54C78150">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14:paraId="49DD4EF9">
      <w:pPr>
        <w:pStyle w:val="28"/>
        <w:spacing w:before="0" w:after="0" w:line="360" w:lineRule="auto"/>
        <w:jc w:val="left"/>
        <w:rPr>
          <w:rFonts w:hint="eastAsia" w:ascii="宋体" w:hAnsi="宋体" w:cs="宋体"/>
          <w:color w:val="000000"/>
          <w:lang w:val="zh-CN"/>
        </w:rPr>
      </w:pPr>
      <w:bookmarkStart w:id="7" w:name="_Toc12030"/>
      <w:r>
        <w:rPr>
          <w:rFonts w:hint="eastAsia" w:ascii="宋体" w:hAnsi="宋体" w:cs="宋体"/>
          <w:color w:val="000000"/>
          <w:sz w:val="28"/>
          <w:szCs w:val="28"/>
          <w:lang w:val="zh-CN"/>
        </w:rPr>
        <w:t>3.投标费用</w:t>
      </w:r>
      <w:bookmarkEnd w:id="7"/>
    </w:p>
    <w:p w14:paraId="162AA582">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投标人应自愿承担与参加本次投标有关的费用。采购中心对投标人发生的费用不承担任何责任。</w:t>
      </w:r>
    </w:p>
    <w:p w14:paraId="27832CDF">
      <w:pPr>
        <w:pStyle w:val="28"/>
        <w:spacing w:before="0" w:after="0" w:line="360" w:lineRule="auto"/>
        <w:rPr>
          <w:rFonts w:hint="eastAsia" w:ascii="宋体" w:hAnsi="宋体" w:cs="宋体"/>
          <w:color w:val="000000"/>
        </w:rPr>
      </w:pPr>
      <w:bookmarkStart w:id="8" w:name="_Toc24749"/>
      <w:r>
        <w:rPr>
          <w:rFonts w:hint="eastAsia" w:ascii="宋体" w:hAnsi="宋体" w:cs="宋体"/>
          <w:color w:val="000000"/>
          <w:lang w:val="zh-CN"/>
        </w:rPr>
        <w:t>二、招标文件说明</w:t>
      </w:r>
      <w:bookmarkEnd w:id="8"/>
    </w:p>
    <w:p w14:paraId="174BB2F3">
      <w:pPr>
        <w:pStyle w:val="28"/>
        <w:spacing w:before="0" w:after="0" w:line="360" w:lineRule="auto"/>
        <w:jc w:val="left"/>
        <w:rPr>
          <w:rFonts w:hint="eastAsia" w:ascii="宋体" w:hAnsi="宋体" w:cs="宋体"/>
          <w:color w:val="000000"/>
          <w:lang w:val="zh-CN"/>
        </w:rPr>
      </w:pPr>
      <w:bookmarkStart w:id="9" w:name="_Toc4696"/>
      <w:r>
        <w:rPr>
          <w:rFonts w:hint="eastAsia" w:ascii="宋体" w:hAnsi="宋体" w:cs="宋体"/>
          <w:color w:val="000000"/>
          <w:sz w:val="28"/>
          <w:szCs w:val="28"/>
          <w:lang w:val="zh-CN"/>
        </w:rPr>
        <w:t>4.招标文件的构成</w:t>
      </w:r>
      <w:bookmarkEnd w:id="9"/>
    </w:p>
    <w:p w14:paraId="32A47E84">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14:paraId="5545C5C5">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（1）投标邀请</w:t>
      </w:r>
    </w:p>
    <w:p w14:paraId="00E06BF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14:paraId="0E2C304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）格尔木市政府采购项目合同书范本</w:t>
      </w:r>
    </w:p>
    <w:p w14:paraId="4D2C328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14:paraId="5625D1C8">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14:paraId="509A8231">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14:paraId="3BE6F9ED">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投标人按照招标文件的要求编制投标文件。投标文件对招标文件提出的要求和条件作出明确响应。</w:t>
      </w:r>
    </w:p>
    <w:p w14:paraId="1FDCD071">
      <w:pPr>
        <w:pStyle w:val="28"/>
        <w:spacing w:before="0" w:after="0" w:line="360" w:lineRule="auto"/>
        <w:jc w:val="left"/>
        <w:rPr>
          <w:rFonts w:hint="eastAsia" w:ascii="宋体" w:hAnsi="宋体" w:cs="宋体"/>
          <w:color w:val="000000"/>
          <w:sz w:val="28"/>
          <w:szCs w:val="28"/>
          <w:lang w:val="zh-CN"/>
        </w:rPr>
      </w:pPr>
      <w:bookmarkStart w:id="10" w:name="_Toc23073"/>
      <w:r>
        <w:rPr>
          <w:rFonts w:hint="eastAsia" w:ascii="宋体" w:hAnsi="宋体" w:cs="宋体"/>
          <w:color w:val="000000"/>
          <w:sz w:val="28"/>
          <w:szCs w:val="28"/>
          <w:lang w:val="zh-CN"/>
        </w:rPr>
        <w:t>5.招标文件、采购活动和中标结果的质疑</w:t>
      </w:r>
      <w:bookmarkEnd w:id="10"/>
    </w:p>
    <w:p w14:paraId="4B17E358">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投标人认为招标文件使自己的权益受到损害的，可以在知道或者应知其权益受到损害之日起7个工作日内以书面形式（如信件、传真等）向采购人或格尔木市政务服务和公共资源交易中心质疑，不接受匿名质疑。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对采购文件提出质疑的，在获取采购文件或者采购文件公告期限届满之日起</w:t>
      </w:r>
      <w:r>
        <w:rPr>
          <w:rFonts w:hint="eastAsia" w:ascii="宋体" w:hAnsi="宋体" w:cs="宋体"/>
          <w:color w:val="000000"/>
        </w:rPr>
        <w:t>7</w:t>
      </w:r>
      <w:r>
        <w:rPr>
          <w:rFonts w:ascii="Arial" w:hAnsi="Arial" w:cs="Arial"/>
          <w:color w:val="000000"/>
        </w:rPr>
        <w:t>个工作日内提出</w:t>
      </w:r>
      <w:r>
        <w:rPr>
          <w:rFonts w:hint="eastAsia" w:ascii="宋体" w:hAnsi="宋体" w:cs="宋体"/>
          <w:color w:val="000000"/>
          <w:kern w:val="0"/>
          <w:lang w:bidi="ar"/>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Arial" w:hAnsi="Arial" w:cs="Arial"/>
          <w:color w:val="000000"/>
        </w:rPr>
        <w:t>采购人或采购中心</w:t>
      </w:r>
      <w:r>
        <w:rPr>
          <w:rFonts w:hint="eastAsia" w:ascii="宋体" w:hAnsi="宋体" w:cs="宋体"/>
          <w:color w:val="000000"/>
          <w:kern w:val="0"/>
          <w:lang w:val="zh-CN"/>
        </w:rPr>
        <w:t>在收到书面</w:t>
      </w:r>
      <w:r>
        <w:rPr>
          <w:rFonts w:ascii="Arial" w:hAnsi="Arial" w:cs="Arial"/>
          <w:color w:val="000000"/>
        </w:rPr>
        <w:t>质疑函后</w:t>
      </w:r>
      <w:r>
        <w:rPr>
          <w:rFonts w:hint="eastAsia" w:ascii="宋体" w:hAnsi="宋体" w:cs="宋体"/>
          <w:color w:val="000000"/>
        </w:rPr>
        <w:t>7</w:t>
      </w:r>
      <w:r>
        <w:rPr>
          <w:rFonts w:ascii="Arial" w:hAnsi="Arial" w:cs="Arial"/>
          <w:color w:val="000000"/>
        </w:rPr>
        <w:t>个工作日内作出答复</w:t>
      </w:r>
      <w:r>
        <w:rPr>
          <w:rFonts w:hint="eastAsia" w:ascii="宋体" w:hAnsi="宋体" w:cs="宋体"/>
          <w:color w:val="000000"/>
          <w:kern w:val="0"/>
          <w:lang w:val="zh-CN"/>
        </w:rPr>
        <w:t>。</w:t>
      </w:r>
    </w:p>
    <w:p w14:paraId="3DE45E82">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参与采购活动的投标人对评审过程或者结果提出质疑的，采购人、采购中心可以组织原评审委员会协助答复质疑。质疑事项处理完成后，格尔木市政务服务和公共资源交易中心应按照规定填写《</w:t>
      </w:r>
      <w:r>
        <w:rPr>
          <w:rFonts w:hint="eastAsia" w:ascii="宋体" w:hAnsi="宋体" w:cs="宋体"/>
          <w:color w:val="000000"/>
          <w:kern w:val="0"/>
          <w:lang w:val="en-US" w:eastAsia="zh-CN"/>
        </w:rPr>
        <w:t>格尔木</w:t>
      </w:r>
      <w:r>
        <w:rPr>
          <w:rFonts w:hint="eastAsia" w:ascii="宋体" w:hAnsi="宋体" w:cs="宋体"/>
          <w:color w:val="000000"/>
          <w:kern w:val="0"/>
          <w:lang w:val="zh-CN"/>
        </w:rPr>
        <w:t>市政府采购投标人质疑处理情况表》，并在15日内报同级政府采购监督管理部门备案。</w:t>
      </w:r>
    </w:p>
    <w:p w14:paraId="469FD2B4">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投标人应知其权益受到损害之日，是指：</w:t>
      </w:r>
    </w:p>
    <w:p w14:paraId="0E0136BE">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14:paraId="392676BF">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14:paraId="31987AF2">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14:paraId="0F0FA58D">
      <w:pPr>
        <w:pStyle w:val="28"/>
        <w:spacing w:before="0" w:after="0" w:line="360" w:lineRule="auto"/>
        <w:jc w:val="left"/>
        <w:rPr>
          <w:rFonts w:hint="eastAsia" w:ascii="宋体" w:hAnsi="宋体" w:cs="宋体"/>
          <w:color w:val="000000"/>
          <w:lang w:val="zh-CN"/>
        </w:rPr>
      </w:pPr>
      <w:bookmarkStart w:id="11" w:name="_Toc6552"/>
      <w:r>
        <w:rPr>
          <w:rFonts w:hint="eastAsia" w:ascii="宋体" w:hAnsi="宋体" w:cs="宋体"/>
          <w:color w:val="000000"/>
          <w:sz w:val="28"/>
          <w:szCs w:val="28"/>
          <w:lang w:val="zh-CN"/>
        </w:rPr>
        <w:t>6.澄清或修改</w:t>
      </w:r>
      <w:bookmarkEnd w:id="11"/>
    </w:p>
    <w:p w14:paraId="23464F02">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6.1 采购中心可以对已发出的招标文件进行必要的澄清或者修改，但不得改变采购标的和资格条件。澄清或者修改在原公告发布媒体上发布澄清公告。澄清或者修改的内容为招标文件的组成部分。</w:t>
      </w:r>
    </w:p>
    <w:p w14:paraId="534EBBDA">
      <w:pPr>
        <w:autoSpaceDE w:val="0"/>
        <w:autoSpaceDN w:val="0"/>
        <w:spacing w:line="360" w:lineRule="auto"/>
        <w:ind w:firstLine="480" w:firstLineChars="200"/>
        <w:rPr>
          <w:rFonts w:hint="eastAsia" w:ascii="宋体" w:hAnsi="宋体" w:cs="宋体"/>
          <w:color w:val="000000"/>
          <w:kern w:val="0"/>
          <w:lang w:val="zh-CN"/>
        </w:rPr>
      </w:pPr>
      <w:r>
        <w:rPr>
          <w:rFonts w:ascii="宋体" w:hAnsi="宋体" w:cs="宋体"/>
          <w:color w:val="000000"/>
          <w:kern w:val="0"/>
          <w:lang w:val="zh-CN"/>
        </w:rPr>
        <w:t xml:space="preserve">6.2 </w:t>
      </w:r>
      <w:r>
        <w:rPr>
          <w:rFonts w:hint="eastAsia" w:ascii="宋体" w:hAnsi="宋体" w:cs="宋体"/>
          <w:color w:val="000000"/>
          <w:kern w:val="0"/>
          <w:lang w:val="zh-CN"/>
        </w:rPr>
        <w:t>澄清或者修改的内容可能影响投标文件编制的，采购中心在投标截止时间至少15日前，以书面形式通知所有获取招标文件的潜在投标人，</w:t>
      </w:r>
      <w:r>
        <w:rPr>
          <w:rFonts w:ascii="宋体" w:hAnsi="宋体" w:cs="宋体"/>
          <w:color w:val="000000"/>
          <w:kern w:val="0"/>
          <w:lang w:val="zh-CN"/>
        </w:rPr>
        <w:t>并在发布本次招标公告的网站上发布变更公告</w:t>
      </w:r>
      <w:r>
        <w:rPr>
          <w:rFonts w:hint="eastAsia" w:ascii="宋体" w:hAnsi="宋体" w:cs="宋体"/>
          <w:color w:val="000000"/>
          <w:kern w:val="0"/>
          <w:lang w:val="zh-CN"/>
        </w:rPr>
        <w:t>；不足15日的，采购中心顺延提交投标文件的截止时间。</w:t>
      </w:r>
    </w:p>
    <w:p w14:paraId="2FD07115">
      <w:pPr>
        <w:autoSpaceDE w:val="0"/>
        <w:autoSpaceDN w:val="0"/>
        <w:spacing w:line="360" w:lineRule="auto"/>
        <w:ind w:firstLine="482" w:firstLineChars="200"/>
        <w:rPr>
          <w:rFonts w:hint="eastAsia" w:ascii="宋体" w:hAnsi="宋体" w:cs="宋体"/>
          <w:b/>
          <w:color w:val="000000"/>
          <w:kern w:val="0"/>
          <w:lang w:val="zh-CN"/>
        </w:rPr>
      </w:pPr>
      <w:r>
        <w:rPr>
          <w:rFonts w:hint="eastAsia" w:ascii="宋体" w:hAnsi="宋体" w:cs="宋体"/>
          <w:b/>
          <w:color w:val="000000"/>
          <w:kern w:val="0"/>
          <w:lang w:val="zh-CN"/>
        </w:rPr>
        <w:t>6.3 在评审过程中评审专家就有关问题需要向供应商进行澄清时，将通过电子评标系统进行线上询问，供应商接到澄清通知登录评标系统在规定的时间内完成线上答复，超时视为认可评审专家所提出的所有问题；如发出的为告知函则无需在线提交任何证明资料。</w:t>
      </w:r>
    </w:p>
    <w:p w14:paraId="4D1B71E2">
      <w:pPr>
        <w:autoSpaceDE w:val="0"/>
        <w:autoSpaceDN w:val="0"/>
        <w:spacing w:line="360" w:lineRule="auto"/>
        <w:ind w:firstLine="482" w:firstLineChars="200"/>
        <w:rPr>
          <w:rFonts w:hint="eastAsia" w:ascii="宋体" w:hAnsi="宋体" w:cs="宋体"/>
          <w:b/>
          <w:color w:val="000000"/>
          <w:kern w:val="0"/>
          <w:lang w:val="zh-CN"/>
        </w:rPr>
      </w:pPr>
    </w:p>
    <w:p w14:paraId="2B47CCB7">
      <w:pPr>
        <w:pStyle w:val="28"/>
        <w:spacing w:before="0" w:after="0" w:line="360" w:lineRule="auto"/>
        <w:rPr>
          <w:rFonts w:hint="eastAsia" w:ascii="宋体" w:hAnsi="宋体" w:cs="宋体"/>
          <w:color w:val="000000"/>
        </w:rPr>
      </w:pPr>
      <w:bookmarkStart w:id="12" w:name="_Toc20266"/>
      <w:r>
        <w:rPr>
          <w:rFonts w:hint="eastAsia" w:ascii="宋体" w:hAnsi="宋体" w:cs="宋体"/>
          <w:color w:val="000000"/>
          <w:lang w:val="zh-CN"/>
        </w:rPr>
        <w:t>三、投标文件的编制</w:t>
      </w:r>
      <w:bookmarkEnd w:id="12"/>
    </w:p>
    <w:p w14:paraId="3527E6BF">
      <w:pPr>
        <w:pStyle w:val="28"/>
        <w:spacing w:before="0" w:after="0" w:line="360" w:lineRule="auto"/>
        <w:jc w:val="left"/>
        <w:rPr>
          <w:rFonts w:hint="eastAsia" w:ascii="宋体" w:hAnsi="宋体" w:cs="宋体"/>
          <w:color w:val="000000"/>
          <w:lang w:val="zh-CN"/>
        </w:rPr>
      </w:pPr>
      <w:bookmarkStart w:id="13" w:name="_Toc26947"/>
      <w:r>
        <w:rPr>
          <w:rFonts w:hint="eastAsia" w:ascii="宋体" w:hAnsi="宋体" w:cs="宋体"/>
          <w:color w:val="000000"/>
          <w:sz w:val="28"/>
          <w:szCs w:val="28"/>
          <w:lang w:val="zh-CN"/>
        </w:rPr>
        <w:t>7.投标文件的语言及度量衡单位</w:t>
      </w:r>
      <w:bookmarkEnd w:id="13"/>
    </w:p>
    <w:p w14:paraId="53681A4F">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投标人提交的投标文件以及投标人与采购中心就此投标发生的所有来往函电均应使用简体中文。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14:paraId="463C9BD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14:paraId="401C441A">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14:paraId="6A544454">
      <w:pPr>
        <w:pStyle w:val="28"/>
        <w:spacing w:before="0" w:after="0" w:line="360" w:lineRule="auto"/>
        <w:jc w:val="left"/>
        <w:rPr>
          <w:rFonts w:hint="eastAsia" w:ascii="宋体" w:hAnsi="宋体" w:cs="宋体"/>
          <w:color w:val="000000"/>
          <w:lang w:val="zh-CN"/>
        </w:rPr>
      </w:pPr>
      <w:bookmarkStart w:id="14" w:name="_Toc26236"/>
      <w:r>
        <w:rPr>
          <w:rFonts w:hint="eastAsia" w:ascii="宋体" w:hAnsi="宋体" w:cs="宋体"/>
          <w:color w:val="000000"/>
          <w:sz w:val="28"/>
          <w:szCs w:val="28"/>
          <w:lang w:val="zh-CN"/>
        </w:rPr>
        <w:t>8.投标报价及币种</w:t>
      </w:r>
      <w:bookmarkEnd w:id="14"/>
    </w:p>
    <w:p w14:paraId="541471C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投标报价为投标总价。投标报价必须包括：保险费、安装费、调试费、培训费、税金及不可预见费等全部费用。</w:t>
      </w:r>
    </w:p>
    <w:p w14:paraId="320329E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14:paraId="6D5969F4">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14:paraId="259E1BD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14:paraId="623B90A6">
      <w:pPr>
        <w:pStyle w:val="28"/>
        <w:spacing w:before="0" w:after="0" w:line="360" w:lineRule="auto"/>
        <w:jc w:val="left"/>
        <w:rPr>
          <w:rFonts w:hint="eastAsia" w:ascii="宋体" w:hAnsi="宋体" w:cs="宋体"/>
          <w:color w:val="000000"/>
          <w:lang w:val="zh-CN"/>
        </w:rPr>
      </w:pPr>
      <w:bookmarkStart w:id="15" w:name="_Toc22643"/>
      <w:r>
        <w:rPr>
          <w:rFonts w:hint="eastAsia" w:ascii="宋体" w:hAnsi="宋体" w:cs="宋体"/>
          <w:color w:val="000000"/>
          <w:sz w:val="28"/>
          <w:szCs w:val="28"/>
        </w:rPr>
        <w:t>9</w:t>
      </w:r>
      <w:r>
        <w:rPr>
          <w:rFonts w:hint="eastAsia" w:ascii="宋体" w:hAnsi="宋体" w:cs="宋体"/>
          <w:color w:val="000000"/>
          <w:sz w:val="28"/>
          <w:szCs w:val="28"/>
          <w:lang w:val="zh-CN"/>
        </w:rPr>
        <w:t>.投标有效期</w:t>
      </w:r>
      <w:bookmarkEnd w:id="15"/>
    </w:p>
    <w:p w14:paraId="72728760">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shd w:val="clear" w:color="auto" w:fill="FFFFFF"/>
        </w:rPr>
        <w:t>从提交投标文件的截止之日起</w:t>
      </w:r>
      <w:r>
        <w:rPr>
          <w:rFonts w:hint="eastAsia" w:ascii="宋体" w:hAnsi="宋体" w:cs="宋体"/>
          <w:color w:val="000000"/>
          <w:kern w:val="0"/>
          <w:lang w:val="zh-CN"/>
        </w:rPr>
        <w:t>60日历日。投标文件中承诺的投标有效期不少于招标文件中载明的投标有效期。</w:t>
      </w:r>
    </w:p>
    <w:p w14:paraId="6268869C">
      <w:pPr>
        <w:pStyle w:val="28"/>
        <w:spacing w:before="0" w:after="0" w:line="360" w:lineRule="auto"/>
        <w:jc w:val="left"/>
        <w:rPr>
          <w:rFonts w:hint="eastAsia" w:ascii="宋体" w:hAnsi="宋体" w:cs="宋体"/>
          <w:color w:val="000000"/>
          <w:lang w:val="zh-CN"/>
        </w:rPr>
      </w:pPr>
      <w:bookmarkStart w:id="16" w:name="_Toc8477"/>
      <w:r>
        <w:rPr>
          <w:rFonts w:hint="eastAsia" w:ascii="宋体" w:hAnsi="宋体" w:cs="宋体"/>
          <w:color w:val="000000"/>
          <w:sz w:val="28"/>
          <w:szCs w:val="28"/>
          <w:lang w:val="zh-CN"/>
        </w:rPr>
        <w:t>1</w:t>
      </w:r>
      <w:r>
        <w:rPr>
          <w:rFonts w:hint="eastAsia" w:ascii="宋体" w:hAnsi="宋体" w:cs="宋体"/>
          <w:color w:val="000000"/>
          <w:sz w:val="28"/>
          <w:szCs w:val="28"/>
        </w:rPr>
        <w:t>0</w:t>
      </w:r>
      <w:r>
        <w:rPr>
          <w:rFonts w:hint="eastAsia" w:ascii="宋体" w:hAnsi="宋体" w:cs="宋体"/>
          <w:color w:val="000000"/>
          <w:sz w:val="28"/>
          <w:szCs w:val="28"/>
          <w:lang w:val="zh-CN"/>
        </w:rPr>
        <w:t>.投标文件构成</w:t>
      </w:r>
      <w:bookmarkEnd w:id="16"/>
    </w:p>
    <w:p w14:paraId="3C28D0E5">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14:paraId="678DF706">
      <w:pPr>
        <w:autoSpaceDE w:val="0"/>
        <w:autoSpaceDN w:val="0"/>
        <w:spacing w:line="360" w:lineRule="auto"/>
        <w:ind w:firstLine="482" w:firstLineChars="200"/>
        <w:rPr>
          <w:rFonts w:hint="eastAsia" w:ascii="宋体" w:hAnsi="宋体" w:cs="宋体"/>
          <w:color w:val="000000"/>
        </w:rPr>
      </w:pPr>
      <w:r>
        <w:rPr>
          <w:rFonts w:hint="eastAsia" w:ascii="宋体" w:hAnsi="宋体" w:cs="宋体"/>
          <w:b/>
          <w:bCs/>
          <w:color w:val="000000"/>
          <w:kern w:val="0"/>
        </w:rPr>
        <w:t>10.1</w:t>
      </w:r>
      <w:r>
        <w:rPr>
          <w:rFonts w:hint="eastAsia" w:ascii="宋体" w:hAnsi="宋体" w:cs="宋体"/>
          <w:b/>
          <w:bCs/>
          <w:color w:val="000000"/>
          <w:kern w:val="0"/>
          <w:lang w:val="zh-CN"/>
        </w:rPr>
        <w:t>、投标文件（上册）（资格审查）</w:t>
      </w:r>
    </w:p>
    <w:p w14:paraId="6054B925">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投标函</w:t>
      </w:r>
    </w:p>
    <w:p w14:paraId="228F378E">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法定代表人证明书</w:t>
      </w:r>
    </w:p>
    <w:p w14:paraId="6B5CC443">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法定代表人授权书</w:t>
      </w:r>
    </w:p>
    <w:p w14:paraId="5C740BD9">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投标人承诺函</w:t>
      </w:r>
    </w:p>
    <w:p w14:paraId="0B69CAEC">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投标人诚信承诺书</w:t>
      </w:r>
    </w:p>
    <w:p w14:paraId="7B10E637">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资格证明材料</w:t>
      </w:r>
    </w:p>
    <w:p w14:paraId="7CB29493">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14:paraId="689EFB46">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14:paraId="2F98EF9F">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无重大违法记录声明</w:t>
      </w:r>
    </w:p>
    <w:p w14:paraId="57C13598">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投标保证金证明</w:t>
      </w:r>
    </w:p>
    <w:p w14:paraId="62711335">
      <w:pPr>
        <w:autoSpaceDE w:val="0"/>
        <w:autoSpaceDN w:val="0"/>
        <w:spacing w:line="360" w:lineRule="auto"/>
        <w:ind w:firstLine="482" w:firstLineChars="200"/>
        <w:rPr>
          <w:rFonts w:hint="eastAsia" w:ascii="宋体" w:hAnsi="宋体" w:cs="宋体"/>
          <w:color w:val="000000"/>
          <w:kern w:val="0"/>
        </w:rPr>
      </w:pPr>
      <w:r>
        <w:rPr>
          <w:rFonts w:hint="eastAsia" w:ascii="宋体" w:hAnsi="宋体" w:cs="宋体"/>
          <w:b/>
          <w:bCs/>
          <w:color w:val="000000"/>
          <w:kern w:val="0"/>
        </w:rPr>
        <w:t xml:space="preserve">10.2 </w:t>
      </w:r>
      <w:r>
        <w:rPr>
          <w:rFonts w:hint="eastAsia" w:ascii="宋体" w:hAnsi="宋体" w:cs="宋体"/>
          <w:b/>
          <w:bCs/>
          <w:color w:val="000000"/>
          <w:kern w:val="0"/>
          <w:lang w:val="zh-CN"/>
        </w:rPr>
        <w:t>投标文件（下册）（符合性审查）</w:t>
      </w:r>
    </w:p>
    <w:p w14:paraId="746763D5">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评分对照表</w:t>
      </w:r>
    </w:p>
    <w:p w14:paraId="408EE313">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开标一览表（报价表）</w:t>
      </w:r>
    </w:p>
    <w:p w14:paraId="382182DE">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分项报价表</w:t>
      </w:r>
    </w:p>
    <w:p w14:paraId="40815456">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技术规格响应表</w:t>
      </w:r>
    </w:p>
    <w:p w14:paraId="0635E612">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投标产品相关资料</w:t>
      </w:r>
    </w:p>
    <w:p w14:paraId="01DDA21A">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投标人的类似业绩证明材料</w:t>
      </w:r>
    </w:p>
    <w:p w14:paraId="4E4A9659">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中小企业声明函</w:t>
      </w:r>
    </w:p>
    <w:p w14:paraId="3B0E8781">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rPr>
        <w:t>残疾人福利性单位声明函</w:t>
      </w:r>
    </w:p>
    <w:p w14:paraId="1A9BA08F">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投标人认为在其他方面有必要说明的事项</w:t>
      </w:r>
    </w:p>
    <w:p w14:paraId="3EB90916">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14:paraId="0693AE04">
      <w:pPr>
        <w:pStyle w:val="28"/>
        <w:spacing w:before="0" w:after="0" w:line="360" w:lineRule="auto"/>
        <w:jc w:val="left"/>
        <w:rPr>
          <w:rFonts w:hint="eastAsia" w:ascii="宋体" w:hAnsi="宋体" w:cs="宋体"/>
          <w:color w:val="000000"/>
          <w:lang w:val="zh-CN"/>
        </w:rPr>
      </w:pPr>
      <w:bookmarkStart w:id="17" w:name="_Toc6431"/>
      <w:r>
        <w:rPr>
          <w:rFonts w:hint="eastAsia" w:ascii="宋体" w:hAnsi="宋体" w:cs="宋体"/>
          <w:color w:val="000000"/>
          <w:sz w:val="28"/>
          <w:szCs w:val="28"/>
          <w:lang w:val="zh-CN"/>
        </w:rPr>
        <w:t>1</w:t>
      </w:r>
      <w:r>
        <w:rPr>
          <w:rFonts w:hint="eastAsia" w:ascii="宋体" w:hAnsi="宋体" w:cs="宋体"/>
          <w:color w:val="000000"/>
          <w:sz w:val="28"/>
          <w:szCs w:val="28"/>
        </w:rPr>
        <w:t>1</w:t>
      </w:r>
      <w:r>
        <w:rPr>
          <w:rFonts w:hint="eastAsia" w:ascii="宋体" w:hAnsi="宋体" w:cs="宋体"/>
          <w:color w:val="000000"/>
          <w:sz w:val="28"/>
          <w:szCs w:val="28"/>
          <w:lang w:val="zh-CN"/>
        </w:rPr>
        <w:t>.投标文件的编制要求</w:t>
      </w:r>
      <w:bookmarkEnd w:id="17"/>
    </w:p>
    <w:p w14:paraId="36494ADD">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1</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730D05D2">
      <w:pPr>
        <w:widowControl/>
        <w:ind w:firstLine="482" w:firstLineChars="200"/>
        <w:jc w:val="left"/>
        <w:rPr>
          <w:rFonts w:hint="eastAsia" w:ascii="宋体" w:hAnsi="宋体" w:cs="宋体"/>
          <w:b/>
          <w:color w:val="000000"/>
          <w:kern w:val="0"/>
          <w:lang w:val="zh-CN"/>
        </w:rPr>
      </w:pPr>
      <w:r>
        <w:rPr>
          <w:rFonts w:hint="eastAsia" w:ascii="宋体" w:hAnsi="宋体" w:cs="宋体"/>
          <w:b/>
          <w:color w:val="000000"/>
          <w:kern w:val="0"/>
          <w:lang w:val="zh-CN"/>
        </w:rPr>
        <w:t>1</w:t>
      </w:r>
      <w:r>
        <w:rPr>
          <w:rFonts w:hint="eastAsia" w:ascii="宋体" w:hAnsi="宋体" w:cs="宋体"/>
          <w:b/>
          <w:color w:val="000000"/>
          <w:kern w:val="0"/>
        </w:rPr>
        <w:t>1</w:t>
      </w:r>
      <w:r>
        <w:rPr>
          <w:rFonts w:hint="eastAsia" w:ascii="宋体" w:hAnsi="宋体" w:cs="宋体"/>
          <w:b/>
          <w:color w:val="000000"/>
          <w:kern w:val="0"/>
          <w:lang w:val="zh-CN"/>
        </w:rPr>
        <w:t>.2</w:t>
      </w:r>
      <w:r>
        <w:rPr>
          <w:rFonts w:hint="eastAsia" w:ascii="宋体" w:hAnsi="宋体" w:cs="宋体"/>
          <w:b/>
          <w:color w:val="000000"/>
          <w:kern w:val="0"/>
        </w:rPr>
        <w:t xml:space="preserve"> </w:t>
      </w:r>
      <w:r>
        <w:rPr>
          <w:rFonts w:hint="eastAsia" w:ascii="宋体" w:hAnsi="宋体" w:cs="宋体"/>
          <w:b/>
          <w:color w:val="000000"/>
          <w:kern w:val="0"/>
          <w:lang w:val="zh-CN"/>
        </w:rPr>
        <w:t>投标人应在投标截止时间之前将加密电子投标文件上传至评标系统；加密电子投标文件的制作详情请咨询政采云，咨询电话：</w:t>
      </w:r>
      <w:r>
        <w:rPr>
          <w:rFonts w:hint="eastAsia" w:ascii="宋体" w:hAnsi="宋体" w:cs="宋体"/>
          <w:b/>
          <w:color w:val="0000FF"/>
          <w:kern w:val="0"/>
        </w:rPr>
        <w:t>95763</w:t>
      </w:r>
      <w:r>
        <w:rPr>
          <w:rFonts w:hint="eastAsia" w:ascii="宋体" w:hAnsi="宋体" w:cs="宋体"/>
          <w:b/>
          <w:color w:val="000000"/>
          <w:kern w:val="0"/>
          <w:lang w:val="zh-CN"/>
        </w:rPr>
        <w:t>。</w:t>
      </w:r>
    </w:p>
    <w:p w14:paraId="19ACEC34">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1</w:t>
      </w:r>
      <w:r>
        <w:rPr>
          <w:rFonts w:hint="eastAsia" w:ascii="宋体" w:hAnsi="宋体" w:cs="宋体"/>
          <w:color w:val="000000"/>
          <w:kern w:val="0"/>
          <w:lang w:val="zh-CN"/>
        </w:rPr>
        <w:t>.3投标文件中不得行间插字、涂改或增删，如有修改错漏处，须由投标人法定代表人或其委托代理人签字、加盖公章。</w:t>
      </w:r>
    </w:p>
    <w:p w14:paraId="2A2AAF95">
      <w:pPr>
        <w:pStyle w:val="28"/>
        <w:spacing w:before="0" w:after="0" w:line="360" w:lineRule="auto"/>
        <w:rPr>
          <w:rFonts w:hint="eastAsia" w:ascii="宋体" w:hAnsi="宋体" w:cs="宋体"/>
          <w:color w:val="000000"/>
        </w:rPr>
      </w:pPr>
      <w:bookmarkStart w:id="18" w:name="_Toc29189"/>
      <w:r>
        <w:rPr>
          <w:rFonts w:hint="eastAsia" w:ascii="宋体" w:hAnsi="宋体" w:cs="宋体"/>
          <w:color w:val="000000"/>
          <w:lang w:val="zh-CN"/>
        </w:rPr>
        <w:t>四、</w:t>
      </w:r>
      <w:r>
        <w:rPr>
          <w:rFonts w:hint="eastAsia" w:ascii="宋体" w:hAnsi="宋体" w:cs="宋体"/>
          <w:color w:val="000000"/>
          <w:kern w:val="0"/>
          <w:lang w:val="zh-CN"/>
        </w:rPr>
        <w:t>电子</w:t>
      </w:r>
      <w:r>
        <w:rPr>
          <w:rFonts w:hint="eastAsia" w:ascii="宋体" w:hAnsi="宋体" w:cs="宋体"/>
          <w:color w:val="000000"/>
          <w:lang w:val="zh-CN"/>
        </w:rPr>
        <w:t>投标文件的上传</w:t>
      </w:r>
      <w:bookmarkEnd w:id="18"/>
    </w:p>
    <w:p w14:paraId="4C403976">
      <w:pPr>
        <w:pStyle w:val="28"/>
        <w:spacing w:before="0" w:after="0" w:line="360" w:lineRule="auto"/>
        <w:jc w:val="left"/>
        <w:rPr>
          <w:rFonts w:hint="eastAsia" w:ascii="宋体" w:hAnsi="宋体" w:cs="宋体"/>
          <w:color w:val="000000"/>
          <w:lang w:val="zh-CN"/>
        </w:rPr>
      </w:pPr>
      <w:bookmarkStart w:id="19" w:name="_Toc16316"/>
      <w:r>
        <w:rPr>
          <w:rFonts w:hint="eastAsia" w:ascii="宋体" w:hAnsi="宋体" w:cs="宋体"/>
          <w:color w:val="000000"/>
          <w:sz w:val="28"/>
          <w:szCs w:val="28"/>
          <w:lang w:val="zh-CN"/>
        </w:rPr>
        <w:t>1</w:t>
      </w:r>
      <w:r>
        <w:rPr>
          <w:rFonts w:hint="eastAsia" w:ascii="宋体" w:hAnsi="宋体" w:cs="宋体"/>
          <w:color w:val="000000"/>
          <w:sz w:val="28"/>
          <w:szCs w:val="28"/>
        </w:rPr>
        <w:t>2</w:t>
      </w:r>
      <w:r>
        <w:rPr>
          <w:rFonts w:hint="eastAsia" w:ascii="宋体" w:hAnsi="宋体" w:cs="宋体"/>
          <w:color w:val="000000"/>
          <w:sz w:val="28"/>
          <w:szCs w:val="28"/>
          <w:lang w:val="zh-CN"/>
        </w:rPr>
        <w:t>.</w:t>
      </w:r>
      <w:r>
        <w:rPr>
          <w:rFonts w:hint="eastAsia" w:ascii="宋体" w:hAnsi="宋体" w:cs="宋体"/>
          <w:color w:val="000000"/>
          <w:kern w:val="0"/>
          <w:lang w:val="zh-CN"/>
        </w:rPr>
        <w:t xml:space="preserve"> </w:t>
      </w:r>
      <w:r>
        <w:rPr>
          <w:rFonts w:hint="eastAsia" w:ascii="宋体" w:hAnsi="宋体" w:cs="宋体"/>
          <w:color w:val="000000"/>
          <w:sz w:val="28"/>
          <w:szCs w:val="28"/>
          <w:lang w:val="zh-CN"/>
        </w:rPr>
        <w:t>电子投标文件上传</w:t>
      </w:r>
      <w:bookmarkEnd w:id="19"/>
    </w:p>
    <w:p w14:paraId="0216E38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电子投标文件（</w:t>
      </w:r>
      <w:r>
        <w:rPr>
          <w:rFonts w:hint="eastAsia" w:ascii="宋体" w:hAnsi="宋体" w:cs="宋体"/>
          <w:color w:val="000000"/>
          <w:kern w:val="0"/>
        </w:rPr>
        <w:t>上、下册</w:t>
      </w:r>
      <w:r>
        <w:rPr>
          <w:rFonts w:hint="eastAsia" w:ascii="宋体" w:hAnsi="宋体" w:cs="宋体"/>
          <w:color w:val="000000"/>
          <w:kern w:val="0"/>
          <w:lang w:eastAsia="zh-CN"/>
        </w:rPr>
        <w:t>）</w:t>
      </w:r>
      <w:r>
        <w:rPr>
          <w:rFonts w:hint="eastAsia" w:ascii="宋体" w:hAnsi="宋体" w:cs="宋体"/>
          <w:color w:val="000000"/>
          <w:kern w:val="0"/>
          <w:lang w:val="zh-CN"/>
        </w:rPr>
        <w:t>，应分别按照招标文件及电子评标系统要求上传。</w:t>
      </w:r>
    </w:p>
    <w:p w14:paraId="4D3D9D7C">
      <w:pPr>
        <w:pStyle w:val="28"/>
        <w:spacing w:before="0" w:after="0" w:line="360" w:lineRule="auto"/>
        <w:jc w:val="left"/>
        <w:rPr>
          <w:rFonts w:hint="eastAsia" w:ascii="宋体" w:hAnsi="宋体" w:cs="宋体"/>
          <w:color w:val="000000"/>
          <w:lang w:val="zh-CN"/>
        </w:rPr>
      </w:pPr>
      <w:bookmarkStart w:id="20" w:name="_Toc15309"/>
      <w:r>
        <w:rPr>
          <w:rFonts w:hint="eastAsia" w:ascii="宋体" w:hAnsi="宋体" w:cs="宋体"/>
          <w:color w:val="000000"/>
          <w:sz w:val="28"/>
          <w:szCs w:val="28"/>
          <w:lang w:val="zh-CN"/>
        </w:rPr>
        <w:t>1</w:t>
      </w:r>
      <w:r>
        <w:rPr>
          <w:rFonts w:hint="eastAsia" w:ascii="宋体" w:hAnsi="宋体" w:cs="宋体"/>
          <w:color w:val="000000"/>
          <w:sz w:val="28"/>
          <w:szCs w:val="28"/>
        </w:rPr>
        <w:t>3</w:t>
      </w:r>
      <w:r>
        <w:rPr>
          <w:rFonts w:hint="eastAsia" w:ascii="宋体" w:hAnsi="宋体" w:cs="宋体"/>
          <w:color w:val="000000"/>
          <w:sz w:val="28"/>
          <w:szCs w:val="28"/>
          <w:lang w:val="zh-CN"/>
        </w:rPr>
        <w:t>.上传加密电子投标文件的时间、地点、方式</w:t>
      </w:r>
      <w:bookmarkEnd w:id="20"/>
    </w:p>
    <w:p w14:paraId="2A1F282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投标人在招标文件要求开标截止时间前，</w:t>
      </w:r>
      <w:r>
        <w:rPr>
          <w:rFonts w:ascii="宋体" w:hAnsi="宋体" w:cs="宋体"/>
          <w:color w:val="000000"/>
          <w:kern w:val="0"/>
          <w:lang w:val="zh-CN"/>
        </w:rPr>
        <w:t>按要求</w:t>
      </w:r>
      <w:r>
        <w:rPr>
          <w:rFonts w:hint="eastAsia" w:ascii="宋体" w:hAnsi="宋体" w:cs="宋体"/>
          <w:color w:val="000000"/>
          <w:kern w:val="0"/>
          <w:lang w:val="zh-CN"/>
        </w:rPr>
        <w:t>上传加密电子投标文件至评标系统。</w:t>
      </w:r>
    </w:p>
    <w:p w14:paraId="2AFD3A05">
      <w:pPr>
        <w:pStyle w:val="28"/>
        <w:spacing w:before="0" w:after="0" w:line="360" w:lineRule="auto"/>
        <w:jc w:val="left"/>
        <w:rPr>
          <w:rFonts w:hint="eastAsia" w:ascii="宋体" w:hAnsi="宋体" w:cs="宋体"/>
          <w:color w:val="000000"/>
          <w:lang w:val="zh-CN"/>
        </w:rPr>
      </w:pPr>
      <w:bookmarkStart w:id="21" w:name="_Toc3244"/>
      <w:r>
        <w:rPr>
          <w:rFonts w:hint="eastAsia" w:ascii="宋体" w:hAnsi="宋体" w:cs="宋体"/>
          <w:color w:val="000000"/>
          <w:sz w:val="28"/>
          <w:szCs w:val="28"/>
          <w:lang w:val="zh-CN"/>
        </w:rPr>
        <w:t>1</w:t>
      </w:r>
      <w:r>
        <w:rPr>
          <w:rFonts w:hint="eastAsia" w:ascii="宋体" w:hAnsi="宋体" w:cs="宋体"/>
          <w:color w:val="000000"/>
          <w:sz w:val="28"/>
          <w:szCs w:val="28"/>
        </w:rPr>
        <w:t>4</w:t>
      </w:r>
      <w:r>
        <w:rPr>
          <w:rFonts w:hint="eastAsia" w:ascii="宋体" w:hAnsi="宋体" w:cs="宋体"/>
          <w:color w:val="000000"/>
          <w:sz w:val="28"/>
          <w:szCs w:val="28"/>
          <w:lang w:val="zh-CN"/>
        </w:rPr>
        <w:t>.电子投标文件的补充、修改或者撤回</w:t>
      </w:r>
      <w:bookmarkEnd w:id="21"/>
    </w:p>
    <w:p w14:paraId="1F6CCB95">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4</w:t>
      </w:r>
      <w:r>
        <w:rPr>
          <w:rFonts w:hint="eastAsia" w:ascii="宋体" w:hAnsi="宋体" w:cs="宋体"/>
          <w:color w:val="000000"/>
          <w:kern w:val="0"/>
          <w:lang w:val="zh-CN"/>
        </w:rPr>
        <w:t>.1</w:t>
      </w:r>
      <w:r>
        <w:rPr>
          <w:rFonts w:hint="eastAsia" w:ascii="宋体" w:hAnsi="宋体" w:cs="宋体"/>
          <w:color w:val="000000"/>
          <w:kern w:val="0"/>
        </w:rPr>
        <w:t xml:space="preserve"> 投标人在投标截止时间前，可以对所上传的电子投标文件进行补充、修改或者撤回。补充、修改的内容按照招标文件要求签署、盖章，作为投标文件的组成部分。</w:t>
      </w:r>
    </w:p>
    <w:p w14:paraId="77A918B6">
      <w:pPr>
        <w:pStyle w:val="28"/>
        <w:spacing w:before="0" w:after="0" w:line="360" w:lineRule="auto"/>
        <w:rPr>
          <w:rFonts w:hint="eastAsia" w:ascii="宋体" w:hAnsi="宋体" w:cs="宋体"/>
          <w:color w:val="000000"/>
          <w:highlight w:val="green"/>
        </w:rPr>
      </w:pPr>
      <w:bookmarkStart w:id="22" w:name="_Toc11471"/>
      <w:r>
        <w:rPr>
          <w:rFonts w:hint="eastAsia" w:ascii="宋体" w:hAnsi="宋体" w:cs="宋体"/>
          <w:color w:val="000000"/>
          <w:lang w:val="zh-CN"/>
        </w:rPr>
        <w:t>五、开标</w:t>
      </w:r>
      <w:bookmarkEnd w:id="22"/>
    </w:p>
    <w:p w14:paraId="5F9043F8">
      <w:pPr>
        <w:pStyle w:val="28"/>
        <w:spacing w:before="0" w:after="0" w:line="360" w:lineRule="auto"/>
        <w:jc w:val="left"/>
        <w:rPr>
          <w:rFonts w:hint="eastAsia" w:ascii="宋体" w:hAnsi="宋体" w:cs="宋体"/>
          <w:color w:val="000000"/>
          <w:lang w:val="zh-CN"/>
        </w:rPr>
      </w:pPr>
      <w:bookmarkStart w:id="23" w:name="_Toc11859"/>
      <w:r>
        <w:rPr>
          <w:rFonts w:hint="eastAsia" w:ascii="宋体" w:hAnsi="宋体" w:cs="宋体"/>
          <w:color w:val="000000"/>
          <w:sz w:val="28"/>
          <w:szCs w:val="28"/>
          <w:lang w:val="zh-CN"/>
        </w:rPr>
        <w:t>1</w:t>
      </w:r>
      <w:r>
        <w:rPr>
          <w:rFonts w:hint="eastAsia" w:ascii="宋体" w:hAnsi="宋体" w:cs="宋体"/>
          <w:color w:val="000000"/>
          <w:sz w:val="28"/>
          <w:szCs w:val="28"/>
        </w:rPr>
        <w:t>5</w:t>
      </w:r>
      <w:r>
        <w:rPr>
          <w:rFonts w:hint="eastAsia" w:ascii="宋体" w:hAnsi="宋体" w:cs="宋体"/>
          <w:color w:val="000000"/>
          <w:sz w:val="28"/>
          <w:szCs w:val="28"/>
          <w:lang w:val="zh-CN"/>
        </w:rPr>
        <w:t>.开标</w:t>
      </w:r>
      <w:bookmarkEnd w:id="23"/>
    </w:p>
    <w:p w14:paraId="27F6CB4D">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5</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开标在招标文件确定的上传投标文件截止时间的同一时间进行，格尔木市政务服务和公共资源交易中心按本文件中确定的时间和地点组织开标活动。</w:t>
      </w:r>
    </w:p>
    <w:p w14:paraId="79F1F729">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采购中心对开标、评标现场活动进行全程录音录像。录音录像清晰可辨，音像资料作为采购文件一并存档。</w:t>
      </w:r>
    </w:p>
    <w:p w14:paraId="2E7FCC7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5</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shd w:val="clear" w:color="auto" w:fill="FFFFFF"/>
        </w:rPr>
        <w:t>开标由</w:t>
      </w:r>
      <w:r>
        <w:rPr>
          <w:rFonts w:hint="eastAsia" w:ascii="宋体" w:hAnsi="宋体" w:cs="宋体"/>
          <w:color w:val="000000"/>
          <w:kern w:val="0"/>
          <w:lang w:val="zh-CN"/>
        </w:rPr>
        <w:t>采购中心</w:t>
      </w:r>
      <w:r>
        <w:rPr>
          <w:rFonts w:hint="eastAsia" w:ascii="宋体" w:hAnsi="宋体" w:cs="宋体"/>
          <w:color w:val="000000"/>
          <w:shd w:val="clear" w:color="auto" w:fill="FFFFFF"/>
        </w:rPr>
        <w:t>主持。评标委员会成员不得参加开标活动。</w:t>
      </w:r>
    </w:p>
    <w:p w14:paraId="44733F51">
      <w:pPr>
        <w:autoSpaceDE w:val="0"/>
        <w:autoSpaceDN w:val="0"/>
        <w:spacing w:line="360" w:lineRule="auto"/>
        <w:ind w:firstLine="480" w:firstLineChars="200"/>
        <w:rPr>
          <w:rFonts w:hint="eastAsia"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投标人不足3家的，宣布本次公开招标采购活动终止。</w:t>
      </w:r>
    </w:p>
    <w:p w14:paraId="3145FE19">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15.3开标过程由</w:t>
      </w:r>
      <w:r>
        <w:rPr>
          <w:rFonts w:hint="eastAsia" w:ascii="宋体" w:hAnsi="宋体" w:cs="宋体"/>
          <w:color w:val="000000"/>
          <w:kern w:val="0"/>
          <w:lang w:val="zh-CN"/>
        </w:rPr>
        <w:t>采购中心</w:t>
      </w:r>
      <w:r>
        <w:rPr>
          <w:rFonts w:hint="eastAsia" w:ascii="宋体" w:hAnsi="宋体" w:cs="宋体"/>
          <w:color w:val="000000"/>
          <w:kern w:val="0"/>
        </w:rPr>
        <w:t>负责记录，由参加开标的各投标人代表和相关工作人员线上签字确认后</w:t>
      </w:r>
      <w:r>
        <w:rPr>
          <w:rFonts w:ascii="宋体" w:hAnsi="宋体" w:cs="宋体"/>
          <w:color w:val="000000"/>
          <w:kern w:val="0"/>
        </w:rPr>
        <w:t>随采购文件一并存档</w:t>
      </w:r>
      <w:r>
        <w:rPr>
          <w:rFonts w:hint="eastAsia" w:ascii="宋体" w:hAnsi="宋体" w:cs="宋体"/>
          <w:color w:val="000000"/>
          <w:kern w:val="0"/>
        </w:rPr>
        <w:t>。</w:t>
      </w:r>
    </w:p>
    <w:p w14:paraId="2799A701">
      <w:pPr>
        <w:pStyle w:val="28"/>
        <w:spacing w:before="0" w:after="0" w:line="360" w:lineRule="auto"/>
        <w:rPr>
          <w:rFonts w:hint="eastAsia" w:ascii="宋体" w:hAnsi="宋体" w:cs="宋体"/>
          <w:color w:val="000000"/>
          <w:kern w:val="0"/>
        </w:rPr>
      </w:pPr>
      <w:bookmarkStart w:id="24" w:name="_Toc496004006"/>
      <w:bookmarkStart w:id="25" w:name="_Toc30061"/>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24"/>
      <w:bookmarkEnd w:id="25"/>
    </w:p>
    <w:p w14:paraId="17BDEDE5">
      <w:pPr>
        <w:pStyle w:val="28"/>
        <w:spacing w:before="0" w:after="0" w:line="360" w:lineRule="auto"/>
        <w:jc w:val="left"/>
        <w:rPr>
          <w:rFonts w:hint="eastAsia" w:ascii="宋体" w:hAnsi="宋体" w:cs="宋体"/>
          <w:color w:val="000000"/>
          <w:sz w:val="28"/>
          <w:szCs w:val="28"/>
        </w:rPr>
      </w:pPr>
      <w:bookmarkStart w:id="26" w:name="_Toc10459"/>
      <w:r>
        <w:rPr>
          <w:rFonts w:hint="eastAsia" w:ascii="宋体" w:hAnsi="宋体" w:cs="宋体"/>
          <w:color w:val="000000"/>
          <w:sz w:val="28"/>
          <w:szCs w:val="28"/>
        </w:rPr>
        <w:t>16.资格审查</w:t>
      </w:r>
      <w:bookmarkEnd w:id="26"/>
    </w:p>
    <w:p w14:paraId="4EAC703B">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16.1 开标结束后，采购人依法对投标人的</w:t>
      </w:r>
      <w:r>
        <w:rPr>
          <w:rFonts w:hint="eastAsia" w:ascii="宋体" w:hAnsi="宋体" w:cs="宋体"/>
          <w:color w:val="000000"/>
          <w:kern w:val="0"/>
          <w:lang w:eastAsia="zh-CN"/>
        </w:rPr>
        <w:t>资格</w:t>
      </w:r>
      <w:r>
        <w:rPr>
          <w:rFonts w:hint="eastAsia" w:ascii="宋体" w:hAnsi="宋体" w:cs="宋体"/>
          <w:color w:val="000000"/>
          <w:kern w:val="0"/>
        </w:rPr>
        <w:t>审查文件（上册）进行审查。</w:t>
      </w:r>
    </w:p>
    <w:p w14:paraId="3685A36E">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16.2 合格投标人不足3家的，不得评标，</w:t>
      </w:r>
      <w:r>
        <w:rPr>
          <w:rFonts w:hint="eastAsia" w:ascii="宋体" w:hAnsi="宋体" w:cs="宋体"/>
          <w:color w:val="000000"/>
          <w:shd w:val="clear" w:color="auto" w:fill="FFFFFF"/>
          <w:lang w:val="zh-CN"/>
        </w:rPr>
        <w:t>宣布本次公开招标采购活动终止</w:t>
      </w:r>
      <w:r>
        <w:rPr>
          <w:rFonts w:hint="eastAsia" w:ascii="宋体" w:hAnsi="宋体" w:cs="宋体"/>
          <w:color w:val="000000"/>
          <w:kern w:val="0"/>
        </w:rPr>
        <w:t>。</w:t>
      </w:r>
    </w:p>
    <w:p w14:paraId="103312E5">
      <w:pPr>
        <w:autoSpaceDE w:val="0"/>
        <w:autoSpaceDN w:val="0"/>
        <w:spacing w:line="360" w:lineRule="auto"/>
        <w:ind w:firstLine="480" w:firstLineChars="200"/>
        <w:rPr>
          <w:rFonts w:hint="eastAsia" w:ascii="宋体" w:hAnsi="宋体" w:cs="宋体"/>
          <w:color w:val="000000"/>
          <w:sz w:val="28"/>
          <w:szCs w:val="28"/>
        </w:rPr>
      </w:pPr>
      <w:bookmarkStart w:id="27" w:name="_Toc30809"/>
      <w:bookmarkStart w:id="28" w:name="_Toc497503249"/>
      <w:bookmarkStart w:id="29" w:name="_Toc497503315"/>
      <w:bookmarkStart w:id="30" w:name="_Toc497503449"/>
      <w:bookmarkStart w:id="31" w:name="_Toc497503516"/>
      <w:r>
        <w:rPr>
          <w:rFonts w:hint="eastAsia" w:ascii="宋体" w:hAnsi="宋体" w:cs="宋体"/>
          <w:color w:val="000000"/>
          <w:kern w:val="0"/>
        </w:rPr>
        <w:t>16.3 资格审查时，投标人存在下列情况之一的，按无效投标处理：</w:t>
      </w:r>
      <w:bookmarkEnd w:id="27"/>
      <w:bookmarkEnd w:id="28"/>
      <w:bookmarkEnd w:id="29"/>
      <w:bookmarkEnd w:id="30"/>
      <w:bookmarkEnd w:id="31"/>
    </w:p>
    <w:p w14:paraId="6E8D0100">
      <w:pPr>
        <w:numPr>
          <w:ilvl w:val="0"/>
          <w:numId w:val="4"/>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shd w:val="clear" w:color="auto" w:fill="FFFFFF"/>
        </w:rPr>
        <w:t>不具备</w:t>
      </w:r>
      <w:r>
        <w:rPr>
          <w:rFonts w:hint="eastAsia" w:ascii="宋体" w:hAnsi="宋体" w:cs="宋体"/>
          <w:color w:val="000000"/>
          <w:kern w:val="0"/>
          <w:lang w:val="zh-CN"/>
        </w:rPr>
        <w:t>第一部分“投标邀请”中各包投标人资格要求</w:t>
      </w:r>
      <w:r>
        <w:rPr>
          <w:rFonts w:hint="eastAsia" w:ascii="宋体" w:hAnsi="宋体" w:cs="宋体"/>
          <w:color w:val="000000"/>
          <w:shd w:val="clear" w:color="auto" w:fill="FFFFFF"/>
        </w:rPr>
        <w:t>的；</w:t>
      </w:r>
    </w:p>
    <w:p w14:paraId="63149A41">
      <w:pPr>
        <w:numPr>
          <w:ilvl w:val="0"/>
          <w:numId w:val="4"/>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未按第10.1要求提供相关资料的；</w:t>
      </w:r>
    </w:p>
    <w:p w14:paraId="3ACA9F2C">
      <w:pPr>
        <w:numPr>
          <w:ilvl w:val="0"/>
          <w:numId w:val="4"/>
        </w:numPr>
        <w:tabs>
          <w:tab w:val="left" w:pos="960"/>
        </w:tabs>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lang w:eastAsia="zh-CN"/>
        </w:rPr>
        <w:t>资格</w:t>
      </w:r>
      <w:r>
        <w:rPr>
          <w:rFonts w:hint="eastAsia" w:ascii="宋体" w:hAnsi="宋体" w:cs="宋体"/>
          <w:color w:val="000000"/>
          <w:kern w:val="0"/>
        </w:rPr>
        <w:t>审查文件未按招标文件规定和要求签字、盖章的；</w:t>
      </w:r>
    </w:p>
    <w:p w14:paraId="3A8AEC05">
      <w:pPr>
        <w:numPr>
          <w:ilvl w:val="0"/>
          <w:numId w:val="4"/>
        </w:numPr>
        <w:tabs>
          <w:tab w:val="left" w:pos="960"/>
        </w:tabs>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报价超过招标文件中规定的预算金额或者最高限价的；</w:t>
      </w:r>
    </w:p>
    <w:p w14:paraId="5D242632">
      <w:pPr>
        <w:numPr>
          <w:ilvl w:val="0"/>
          <w:numId w:val="4"/>
        </w:numPr>
        <w:tabs>
          <w:tab w:val="left" w:pos="960"/>
        </w:tabs>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14:paraId="5194D10C">
      <w:pPr>
        <w:pStyle w:val="28"/>
        <w:spacing w:before="0" w:after="0" w:line="360" w:lineRule="auto"/>
        <w:rPr>
          <w:rFonts w:hint="eastAsia" w:ascii="宋体" w:hAnsi="宋体" w:cs="宋体"/>
          <w:color w:val="000000"/>
        </w:rPr>
      </w:pPr>
      <w:bookmarkStart w:id="32" w:name="_Toc29010"/>
      <w:r>
        <w:rPr>
          <w:rFonts w:hint="eastAsia" w:ascii="宋体" w:hAnsi="宋体" w:cs="宋体"/>
          <w:color w:val="000000"/>
          <w:lang w:val="zh-CN"/>
        </w:rPr>
        <w:t>七、评审程序及方法</w:t>
      </w:r>
      <w:bookmarkEnd w:id="32"/>
    </w:p>
    <w:p w14:paraId="1E54A1C7">
      <w:pPr>
        <w:pStyle w:val="28"/>
        <w:spacing w:before="0" w:after="0" w:line="360" w:lineRule="auto"/>
        <w:jc w:val="left"/>
        <w:rPr>
          <w:rFonts w:hint="eastAsia" w:ascii="宋体" w:hAnsi="宋体" w:cs="宋体"/>
          <w:color w:val="000000"/>
          <w:lang w:val="zh-CN"/>
        </w:rPr>
      </w:pPr>
      <w:bookmarkStart w:id="33" w:name="_Toc14554"/>
      <w:r>
        <w:rPr>
          <w:rFonts w:hint="eastAsia" w:ascii="宋体" w:hAnsi="宋体" w:cs="宋体"/>
          <w:color w:val="000000"/>
          <w:sz w:val="28"/>
          <w:szCs w:val="28"/>
          <w:lang w:val="zh-CN"/>
        </w:rPr>
        <w:t>1</w:t>
      </w:r>
      <w:r>
        <w:rPr>
          <w:rFonts w:hint="eastAsia" w:ascii="宋体" w:hAnsi="宋体" w:cs="宋体"/>
          <w:color w:val="000000"/>
          <w:sz w:val="28"/>
          <w:szCs w:val="28"/>
        </w:rPr>
        <w:t>7</w:t>
      </w:r>
      <w:r>
        <w:rPr>
          <w:rFonts w:hint="eastAsia" w:ascii="宋体" w:hAnsi="宋体" w:cs="宋体"/>
          <w:color w:val="000000"/>
          <w:sz w:val="28"/>
          <w:szCs w:val="28"/>
          <w:lang w:val="zh-CN"/>
        </w:rPr>
        <w:t>.评标委员会</w:t>
      </w:r>
      <w:bookmarkEnd w:id="33"/>
    </w:p>
    <w:p w14:paraId="164DAC3A">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17.1 </w:t>
      </w:r>
      <w:r>
        <w:rPr>
          <w:rFonts w:hint="eastAsia" w:ascii="宋体" w:hAnsi="宋体" w:cs="宋体"/>
          <w:color w:val="000000"/>
          <w:kern w:val="0"/>
          <w:lang w:val="zh-CN"/>
        </w:rPr>
        <w:t>格尔木市政务服务和公共资源交易中心负责组织评标工作，并履行下列职责：</w:t>
      </w:r>
    </w:p>
    <w:p w14:paraId="3E2BAB40">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14:paraId="2AC72AC1">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14:paraId="79D99A1E">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）公布投标人名单，告知评审专家回避的情形；</w:t>
      </w:r>
    </w:p>
    <w:p w14:paraId="030A25C4">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14:paraId="6100D164">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5</w:t>
      </w:r>
      <w:r>
        <w:rPr>
          <w:rFonts w:hint="eastAsia" w:ascii="宋体" w:hAnsi="宋体" w:cs="宋体"/>
          <w:color w:val="000000"/>
          <w:kern w:val="0"/>
          <w:lang w:val="zh-CN"/>
        </w:rPr>
        <w:t>）根据评标委员会的要求介绍政府采购相关政策法规、招标文件；</w:t>
      </w:r>
    </w:p>
    <w:p w14:paraId="41AFEB0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6</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14:paraId="49ADFA2D">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7</w:t>
      </w:r>
      <w:r>
        <w:rPr>
          <w:rFonts w:hint="eastAsia" w:ascii="宋体" w:hAnsi="宋体" w:cs="宋体"/>
          <w:color w:val="000000"/>
          <w:kern w:val="0"/>
          <w:lang w:val="zh-CN"/>
        </w:rPr>
        <w:t>）核对评标结果，有</w:t>
      </w:r>
      <w:r>
        <w:rPr>
          <w:rFonts w:hint="eastAsia" w:ascii="宋体" w:hAnsi="宋体" w:cs="宋体"/>
          <w:color w:val="000000"/>
          <w:kern w:val="0"/>
        </w:rPr>
        <w:t>19.4</w:t>
      </w:r>
      <w:r>
        <w:rPr>
          <w:rFonts w:hint="eastAsia" w:ascii="宋体" w:hAnsi="宋体" w:cs="宋体"/>
          <w:color w:val="000000"/>
          <w:kern w:val="0"/>
          <w:lang w:val="zh-CN"/>
        </w:rPr>
        <w:t>规定情形的，要求评标委员会复核或者书面说明理由，评标委员会拒绝的，应予记录并向本级财政部门报告；</w:t>
      </w:r>
    </w:p>
    <w:p w14:paraId="6C3C77F4">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8</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14:paraId="377BBC01">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9</w:t>
      </w:r>
      <w:r>
        <w:rPr>
          <w:rFonts w:hint="eastAsia" w:ascii="宋体" w:hAnsi="宋体" w:cs="宋体"/>
          <w:color w:val="000000"/>
          <w:kern w:val="0"/>
          <w:lang w:val="zh-CN"/>
        </w:rPr>
        <w:t>）处理与评标有关的其他事项。</w:t>
      </w:r>
    </w:p>
    <w:p w14:paraId="5F922533">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采购人可以在评标前说明项目背景和采购需求，说明内容不得含有歧视性、倾向性意见，不得超出招标文件所述范围。说明提交书面材料，并随采购文件一并存档。</w:t>
      </w:r>
    </w:p>
    <w:p w14:paraId="1E28A2A7">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17.2 评标委员会负责具体评标事务，并独立履行下列职责：</w:t>
      </w:r>
    </w:p>
    <w:p w14:paraId="1F8129EC">
      <w:pPr>
        <w:numPr>
          <w:ilvl w:val="0"/>
          <w:numId w:val="5"/>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严格遵守评审工作纪律</w:t>
      </w:r>
      <w:r>
        <w:rPr>
          <w:rFonts w:hint="eastAsia" w:ascii="宋体" w:hAnsi="宋体" w:cs="宋体"/>
          <w:color w:val="000000"/>
          <w:kern w:val="0"/>
          <w:lang w:eastAsia="zh-CN"/>
        </w:rPr>
        <w:t>，</w:t>
      </w:r>
      <w:r>
        <w:rPr>
          <w:rFonts w:hint="eastAsia" w:ascii="宋体" w:hAnsi="宋体" w:cs="宋体"/>
          <w:color w:val="000000"/>
          <w:kern w:val="0"/>
        </w:rPr>
        <w:t>按照客观、公正、审慎的原则</w:t>
      </w:r>
      <w:r>
        <w:rPr>
          <w:rFonts w:hint="eastAsia" w:ascii="宋体" w:hAnsi="宋体" w:cs="宋体"/>
          <w:color w:val="000000"/>
          <w:kern w:val="0"/>
          <w:lang w:eastAsia="zh-CN"/>
        </w:rPr>
        <w:t>，</w:t>
      </w:r>
      <w:r>
        <w:rPr>
          <w:rFonts w:hint="eastAsia" w:ascii="宋体" w:hAnsi="宋体" w:cs="宋体"/>
          <w:color w:val="000000"/>
          <w:kern w:val="0"/>
        </w:rPr>
        <w:t>根据采购文件规定的评审程序、评审方法和评审标准进行独立评审</w:t>
      </w:r>
      <w:r>
        <w:rPr>
          <w:rFonts w:hint="eastAsia" w:ascii="宋体" w:hAnsi="宋体" w:cs="宋体"/>
          <w:color w:val="000000"/>
          <w:kern w:val="0"/>
          <w:lang w:val="zh-CN"/>
        </w:rPr>
        <w:t>；</w:t>
      </w:r>
    </w:p>
    <w:p w14:paraId="66EAD3C5">
      <w:pPr>
        <w:numPr>
          <w:ilvl w:val="0"/>
          <w:numId w:val="5"/>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w:t>
      </w:r>
      <w:r>
        <w:rPr>
          <w:rFonts w:hint="eastAsia" w:ascii="宋体" w:hAnsi="宋体" w:cs="宋体"/>
          <w:color w:val="000000"/>
          <w:kern w:val="0"/>
          <w:lang w:eastAsia="zh-CN"/>
        </w:rPr>
        <w:t>，</w:t>
      </w:r>
      <w:r>
        <w:rPr>
          <w:rFonts w:hint="eastAsia" w:ascii="宋体" w:hAnsi="宋体" w:cs="宋体"/>
          <w:color w:val="000000"/>
          <w:kern w:val="0"/>
        </w:rPr>
        <w:t>停止评审并向</w:t>
      </w:r>
      <w:r>
        <w:rPr>
          <w:rFonts w:hint="eastAsia" w:ascii="宋体" w:hAnsi="宋体" w:cs="宋体"/>
          <w:color w:val="000000"/>
          <w:kern w:val="0"/>
          <w:lang w:eastAsia="zh-CN"/>
        </w:rPr>
        <w:t>格尔木市政务服务和公共资源交易中心</w:t>
      </w:r>
      <w:r>
        <w:rPr>
          <w:rFonts w:hint="eastAsia" w:ascii="宋体" w:hAnsi="宋体" w:cs="宋体"/>
          <w:color w:val="000000"/>
          <w:kern w:val="0"/>
        </w:rPr>
        <w:t>书面说明情况</w:t>
      </w:r>
      <w:r>
        <w:rPr>
          <w:rFonts w:hint="eastAsia" w:ascii="宋体" w:hAnsi="宋体" w:cs="宋体"/>
          <w:color w:val="000000"/>
          <w:kern w:val="0"/>
          <w:lang w:val="zh-CN"/>
        </w:rPr>
        <w:t>；</w:t>
      </w:r>
    </w:p>
    <w:p w14:paraId="56C7519F">
      <w:pPr>
        <w:numPr>
          <w:ilvl w:val="0"/>
          <w:numId w:val="5"/>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14:paraId="0B175B12">
      <w:pPr>
        <w:numPr>
          <w:ilvl w:val="0"/>
          <w:numId w:val="5"/>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要求投标人对投标文件有关事项作出澄清或者说明；</w:t>
      </w:r>
    </w:p>
    <w:p w14:paraId="31992CD7">
      <w:pPr>
        <w:numPr>
          <w:ilvl w:val="0"/>
          <w:numId w:val="5"/>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对投标文件进行比较和评价；</w:t>
      </w:r>
    </w:p>
    <w:p w14:paraId="7B828035">
      <w:pPr>
        <w:numPr>
          <w:ilvl w:val="0"/>
          <w:numId w:val="5"/>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确定中标候选人名单，以及根据采购人委托直接确定中标人；</w:t>
      </w:r>
    </w:p>
    <w:p w14:paraId="2EF89F93">
      <w:pPr>
        <w:numPr>
          <w:ilvl w:val="0"/>
          <w:numId w:val="5"/>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配合答复供应商的询问、质疑和投诉等事项</w:t>
      </w:r>
      <w:r>
        <w:rPr>
          <w:rFonts w:hint="eastAsia" w:ascii="宋体" w:hAnsi="宋体" w:cs="宋体"/>
          <w:color w:val="000000"/>
          <w:kern w:val="0"/>
          <w:lang w:eastAsia="zh-CN"/>
        </w:rPr>
        <w:t>，</w:t>
      </w:r>
      <w:r>
        <w:rPr>
          <w:rFonts w:hint="eastAsia" w:ascii="宋体" w:hAnsi="宋体" w:cs="宋体"/>
          <w:color w:val="000000"/>
          <w:kern w:val="0"/>
        </w:rPr>
        <w:t>不得泄露评审文件、评审情况和在评审过程中获悉的商业秘密</w:t>
      </w:r>
      <w:r>
        <w:rPr>
          <w:rFonts w:hint="eastAsia" w:ascii="宋体" w:hAnsi="宋体" w:cs="宋体"/>
          <w:color w:val="000000"/>
          <w:kern w:val="0"/>
          <w:lang w:val="zh-CN"/>
        </w:rPr>
        <w:t>；</w:t>
      </w:r>
    </w:p>
    <w:p w14:paraId="50AA1DF6">
      <w:pPr>
        <w:numPr>
          <w:ilvl w:val="0"/>
          <w:numId w:val="5"/>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向采购人、采购中心或者有关部门报告评标中发现的违法行为。</w:t>
      </w:r>
    </w:p>
    <w:p w14:paraId="0E72FDD2">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17.3 评标委员会由采购人代表和评审专家组成，成员人数为5人以上单数，其中评审专家不得少于成员总数的三分之二。</w:t>
      </w:r>
    </w:p>
    <w:p w14:paraId="6AC7EDC1">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采购项目符合下列情形之一的，评标委员会成员人数为7人以上单数：</w:t>
      </w:r>
    </w:p>
    <w:p w14:paraId="0AB1CD1B">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（1）采购预算金额在1000万元以上；</w:t>
      </w:r>
    </w:p>
    <w:p w14:paraId="2A8CAFFE">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（2）技术复杂；</w:t>
      </w:r>
    </w:p>
    <w:p w14:paraId="59F1068A">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（3）社会影响较大。</w:t>
      </w:r>
    </w:p>
    <w:p w14:paraId="2E93A75F">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评审专家对本单位的采购项目只能作为采购人代表参与评标。采购中心工作人员不得参加由本机构代理的政府采购项目的评标。</w:t>
      </w:r>
    </w:p>
    <w:p w14:paraId="329159D4">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评标委员会成员名单在评标结果公告前保密。</w:t>
      </w:r>
    </w:p>
    <w:p w14:paraId="6A23462C">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 xml:space="preserve">17.4 </w:t>
      </w:r>
      <w:r>
        <w:rPr>
          <w:rFonts w:hint="eastAsia" w:ascii="宋体" w:hAnsi="宋体" w:cs="宋体"/>
          <w:color w:val="000000"/>
          <w:kern w:val="0"/>
          <w:lang w:val="zh-CN"/>
        </w:rPr>
        <w:t>采购中心</w:t>
      </w:r>
      <w:r>
        <w:rPr>
          <w:rFonts w:hint="eastAsia" w:ascii="宋体" w:hAnsi="宋体" w:cs="宋体"/>
          <w:color w:val="000000"/>
          <w:kern w:val="0"/>
        </w:rPr>
        <w:t>从省级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优先选择本单位以外的评审专家，本项目所需评审专家均为省级专家库抽取。</w:t>
      </w:r>
    </w:p>
    <w:p w14:paraId="1EFBCDF5">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7</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中心依法补足后继续评标。被更换的评标委员会成员所作出的评标意见无效。无法及时补足评标委员会成员的，采购中心停止评标活动，封存所有投标文件和开标、评标资料，依法重新组建评标委员会进行评标。原评标委员会所作出的评标意见无效。</w:t>
      </w:r>
    </w:p>
    <w:p w14:paraId="2F86728A">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采购中心</w:t>
      </w:r>
      <w:r>
        <w:rPr>
          <w:rFonts w:hint="eastAsia" w:ascii="宋体" w:hAnsi="宋体" w:cs="宋体"/>
          <w:color w:val="000000"/>
          <w:kern w:val="0"/>
        </w:rPr>
        <w:t>将变更、重新组建评标委员会的情况予以记录，并随采购文件一并存档。</w:t>
      </w:r>
    </w:p>
    <w:p w14:paraId="79019ABF">
      <w:pPr>
        <w:pStyle w:val="28"/>
        <w:spacing w:before="0" w:after="0" w:line="360" w:lineRule="auto"/>
        <w:jc w:val="left"/>
        <w:rPr>
          <w:rFonts w:hint="eastAsia" w:ascii="宋体" w:hAnsi="宋体" w:cs="宋体"/>
          <w:color w:val="000000"/>
          <w:lang w:val="zh-CN"/>
        </w:rPr>
      </w:pPr>
      <w:bookmarkStart w:id="34" w:name="_Toc25574"/>
      <w:r>
        <w:rPr>
          <w:rFonts w:hint="eastAsia" w:ascii="宋体" w:hAnsi="宋体" w:cs="宋体"/>
          <w:color w:val="000000"/>
          <w:sz w:val="28"/>
          <w:szCs w:val="28"/>
        </w:rPr>
        <w:t>18</w:t>
      </w:r>
      <w:r>
        <w:rPr>
          <w:rFonts w:hint="eastAsia" w:ascii="宋体" w:hAnsi="宋体" w:cs="宋体"/>
          <w:color w:val="000000"/>
          <w:sz w:val="28"/>
          <w:szCs w:val="28"/>
          <w:lang w:val="zh-CN"/>
        </w:rPr>
        <w:t>.评审工作程序</w:t>
      </w:r>
      <w:bookmarkEnd w:id="34"/>
    </w:p>
    <w:p w14:paraId="5ECB99B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评标委员会对符合资格的投标人的符合性文件进行审查，以确定其是否满足招标文件的实质性要求。</w:t>
      </w:r>
    </w:p>
    <w:p w14:paraId="227FAB4F">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18.1.1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投标文件中含义不明确、同类问题表述不一致或者有明显文字和计算错误的内容，评标委员会以书面形式要求投标人作出必要的澄清、说明或者补正。</w:t>
      </w:r>
    </w:p>
    <w:p w14:paraId="004E7E8C">
      <w:pPr>
        <w:autoSpaceDE w:val="0"/>
        <w:autoSpaceDN w:val="0"/>
        <w:spacing w:line="360" w:lineRule="auto"/>
        <w:ind w:firstLine="480" w:firstLineChars="200"/>
        <w:rPr>
          <w:rFonts w:hint="eastAsia" w:ascii="宋体" w:hAnsi="宋体" w:cs="宋体"/>
          <w:b/>
          <w:bCs/>
          <w:color w:val="000000"/>
          <w:kern w:val="0"/>
        </w:rPr>
      </w:pPr>
      <w:r>
        <w:rPr>
          <w:rFonts w:hint="eastAsia" w:ascii="宋体" w:hAnsi="宋体" w:cs="宋体"/>
          <w:color w:val="000000"/>
          <w:kern w:val="0"/>
          <w:lang w:val="zh-CN"/>
        </w:rPr>
        <w:t>投标人的澄清、说明或者补正采用线上形式，并加盖公章，或者由法定代表人或其授权的代表签字。投标人的澄清、说明或者补正不得超出投标文件的范围或者改变投标文件的实质性内容。</w:t>
      </w:r>
    </w:p>
    <w:p w14:paraId="6BD87C78">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14:paraId="67463D1A">
      <w:pPr>
        <w:numPr>
          <w:ilvl w:val="0"/>
          <w:numId w:val="6"/>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14:paraId="7BB12F83">
      <w:pPr>
        <w:numPr>
          <w:ilvl w:val="0"/>
          <w:numId w:val="6"/>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lang w:val="zh-CN"/>
        </w:rPr>
        <w:t>未按第1</w:t>
      </w:r>
      <w:r>
        <w:rPr>
          <w:rFonts w:hint="eastAsia" w:ascii="宋体" w:hAnsi="宋体" w:cs="宋体"/>
        </w:rPr>
        <w:t>0.</w:t>
      </w:r>
      <w:r>
        <w:rPr>
          <w:rFonts w:hint="eastAsia" w:ascii="宋体" w:hAnsi="宋体" w:cs="宋体"/>
          <w:lang w:val="zh-CN"/>
        </w:rPr>
        <w:t>2（</w:t>
      </w:r>
      <w:r>
        <w:rPr>
          <w:rFonts w:hint="eastAsia" w:ascii="宋体" w:hAnsi="宋体" w:cs="宋体"/>
        </w:rPr>
        <w:t>1</w:t>
      </w:r>
      <w:r>
        <w:rPr>
          <w:rFonts w:hint="eastAsia" w:ascii="宋体" w:hAnsi="宋体" w:cs="宋体"/>
          <w:lang w:val="en-US" w:eastAsia="zh-CN"/>
        </w:rPr>
        <w:t>1</w:t>
      </w:r>
      <w:r>
        <w:rPr>
          <w:rFonts w:hint="eastAsia" w:ascii="宋体" w:hAnsi="宋体" w:cs="宋体"/>
          <w:lang w:val="zh-CN"/>
        </w:rPr>
        <w:t>）－</w:t>
      </w:r>
      <w:r>
        <w:rPr>
          <w:rFonts w:ascii="宋体" w:hAnsi="宋体" w:cs="宋体"/>
          <w:lang w:val="zh-CN"/>
        </w:rPr>
        <w:t>（</w:t>
      </w:r>
      <w:r>
        <w:rPr>
          <w:rFonts w:hint="eastAsia" w:ascii="宋体" w:hAnsi="宋体" w:cs="宋体"/>
          <w:lang w:val="zh-CN"/>
        </w:rPr>
        <w:t>1</w:t>
      </w:r>
      <w:r>
        <w:rPr>
          <w:rFonts w:hint="eastAsia" w:ascii="宋体" w:hAnsi="宋体" w:cs="宋体"/>
          <w:lang w:val="en-US" w:eastAsia="zh-CN"/>
        </w:rPr>
        <w:t>6</w:t>
      </w:r>
      <w:r>
        <w:rPr>
          <w:rFonts w:ascii="宋体" w:hAnsi="宋体" w:cs="宋体"/>
          <w:lang w:val="zh-CN"/>
        </w:rPr>
        <w:t>）</w:t>
      </w:r>
      <w:r>
        <w:rPr>
          <w:rFonts w:hint="eastAsia" w:ascii="宋体" w:hAnsi="宋体" w:cs="宋体"/>
          <w:lang w:val="zh-CN"/>
        </w:rPr>
        <w:t>款要求提供相关资料的</w:t>
      </w:r>
      <w:r>
        <w:rPr>
          <w:rFonts w:hint="eastAsia" w:ascii="宋体" w:hAnsi="宋体" w:cs="宋体"/>
          <w:color w:val="000000"/>
          <w:lang w:val="zh-CN"/>
        </w:rPr>
        <w:t>；</w:t>
      </w:r>
    </w:p>
    <w:p w14:paraId="666B3009">
      <w:pPr>
        <w:numPr>
          <w:ilvl w:val="0"/>
          <w:numId w:val="6"/>
        </w:num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14:paraId="295F3B87">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kern w:val="0"/>
          <w:lang w:val="zh-CN"/>
        </w:rPr>
        <w:t>服务</w:t>
      </w:r>
      <w:r>
        <w:rPr>
          <w:rFonts w:hint="eastAsia" w:ascii="宋体" w:hAnsi="宋体" w:cs="宋体"/>
          <w:kern w:val="0"/>
        </w:rPr>
        <w:t>/交货</w:t>
      </w:r>
      <w:r>
        <w:rPr>
          <w:rFonts w:hint="eastAsia" w:ascii="宋体" w:hAnsi="宋体" w:cs="宋体"/>
          <w:kern w:val="0"/>
          <w:lang w:val="zh-CN"/>
        </w:rPr>
        <w:t>时间</w:t>
      </w:r>
      <w:r>
        <w:rPr>
          <w:rFonts w:hint="eastAsia" w:ascii="宋体" w:hAnsi="宋体" w:cs="宋体"/>
          <w:color w:val="000000"/>
          <w:kern w:val="0"/>
          <w:lang w:val="zh-CN"/>
        </w:rPr>
        <w:t>不能满足招标文件要求的；</w:t>
      </w:r>
    </w:p>
    <w:p w14:paraId="16F8B997">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投标总报价超过招标文件规定的采购预算额度或者最高限价的；</w:t>
      </w:r>
    </w:p>
    <w:p w14:paraId="3C9A4A34">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存在串通投标行为；</w:t>
      </w:r>
    </w:p>
    <w:p w14:paraId="5C4F6028">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又不按18.1.</w:t>
      </w:r>
      <w:r>
        <w:rPr>
          <w:rFonts w:ascii="宋体" w:hAnsi="宋体"/>
          <w:color w:val="000000"/>
        </w:rPr>
        <w:t>3</w:t>
      </w:r>
      <w:r>
        <w:rPr>
          <w:rFonts w:hint="eastAsia" w:ascii="宋体" w:hAnsi="宋体"/>
          <w:color w:val="000000"/>
        </w:rPr>
        <w:t>进行确认</w:t>
      </w:r>
      <w:r>
        <w:rPr>
          <w:rFonts w:ascii="宋体" w:hAnsi="宋体"/>
          <w:color w:val="000000"/>
        </w:rPr>
        <w:t>的；</w:t>
      </w:r>
    </w:p>
    <w:p w14:paraId="22AA7213">
      <w:pPr>
        <w:numPr>
          <w:ilvl w:val="0"/>
          <w:numId w:val="6"/>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olor w:val="000000"/>
        </w:rPr>
        <w:t>评标委员会认为应按无效投标处理的其他情况；</w:t>
      </w:r>
    </w:p>
    <w:p w14:paraId="2F264FD6">
      <w:pPr>
        <w:numPr>
          <w:ilvl w:val="0"/>
          <w:numId w:val="6"/>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法律法规和招标文件规定的其他无效情形。</w:t>
      </w:r>
    </w:p>
    <w:p w14:paraId="49B21C05">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18.1.3 投标文件报价出现前后不一致的，按照下列规定修正：</w:t>
      </w:r>
    </w:p>
    <w:p w14:paraId="1E5BFF36">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14:paraId="25F48B5F">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（2）大写金额和小写金额不一致的，以大写金额为准；</w:t>
      </w:r>
    </w:p>
    <w:p w14:paraId="451A2DD2">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14:paraId="51D2E57D">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（4）总价金额与按单价汇总金额不一致的，以单价金额计算结果为准。</w:t>
      </w:r>
    </w:p>
    <w:p w14:paraId="724A1A4C">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同时出现两种以上不一致的，按照前款规定的顺序修正。修正后的报价按18.1.1第二款的规定经投标人确认后产生约束力。</w:t>
      </w:r>
    </w:p>
    <w:p w14:paraId="7489226A">
      <w:pPr>
        <w:autoSpaceDE w:val="0"/>
        <w:autoSpaceDN w:val="0"/>
        <w:spacing w:line="360" w:lineRule="auto"/>
        <w:ind w:firstLine="480" w:firstLineChars="200"/>
        <w:rPr>
          <w:rFonts w:ascii="宋体" w:hAnsi="宋体" w:cs="宋体"/>
          <w:b/>
          <w:color w:val="000000"/>
          <w:kern w:val="0"/>
          <w:lang w:val="zh-CN"/>
        </w:rPr>
      </w:pPr>
      <w:r>
        <w:rPr>
          <w:rFonts w:hint="eastAsia" w:ascii="宋体" w:hAnsi="宋体" w:cs="宋体"/>
          <w:color w:val="000000"/>
          <w:kern w:val="0"/>
        </w:rPr>
        <w:t>18.2</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根据《政府采购促进中小企业发展管理办法》，属小型、微型企业制造的货物，</w:t>
      </w:r>
      <w:r>
        <w:rPr>
          <w:rFonts w:hint="eastAsia" w:ascii="宋体" w:hAnsi="宋体" w:cs="宋体"/>
          <w:color w:val="000000"/>
          <w:kern w:val="0"/>
        </w:rPr>
        <w:t>投标人须提</w:t>
      </w:r>
      <w:r>
        <w:rPr>
          <w:rFonts w:hint="eastAsia" w:ascii="宋体" w:hAnsi="宋体" w:cs="宋体"/>
          <w:color w:val="000000"/>
          <w:kern w:val="0"/>
          <w:lang w:val="zh-CN"/>
        </w:rPr>
        <w:t>供</w:t>
      </w:r>
      <w:r>
        <w:rPr>
          <w:rFonts w:hint="eastAsia" w:ascii="宋体" w:hAnsi="宋体" w:cs="宋体"/>
          <w:b/>
          <w:color w:val="000000"/>
          <w:kern w:val="0"/>
          <w:lang w:val="zh-CN"/>
        </w:rPr>
        <w:t>《中小企业声明函》</w:t>
      </w:r>
      <w:r>
        <w:rPr>
          <w:rFonts w:hint="eastAsia" w:ascii="宋体" w:hAnsi="宋体" w:cs="宋体"/>
          <w:color w:val="000000"/>
          <w:kern w:val="0"/>
          <w:lang w:val="zh-CN"/>
        </w:rPr>
        <w:t>，并由投标人加盖公章，其划型标准严格按照工信部、国家统计局、国家发展改革委、财政部出台的《中小企业划型标准规定》（工信部联企业〔2011〕300号）执行。</w:t>
      </w:r>
      <w:r>
        <w:rPr>
          <w:rFonts w:hint="eastAsia" w:ascii="宋体" w:hAnsi="宋体" w:cs="宋体"/>
          <w:b/>
          <w:color w:val="000000"/>
          <w:kern w:val="0"/>
          <w:lang w:val="zh-CN"/>
        </w:rPr>
        <w:t>投标人提供的《中小企业声明函》资料必须真实，否则，按照有关规定予以处理。</w:t>
      </w:r>
    </w:p>
    <w:p w14:paraId="7AF0BE23">
      <w:pPr>
        <w:autoSpaceDE w:val="0"/>
        <w:autoSpaceDN w:val="0"/>
        <w:spacing w:line="360" w:lineRule="auto"/>
        <w:ind w:firstLine="480" w:firstLineChars="200"/>
        <w:rPr>
          <w:rFonts w:ascii="宋体" w:hAnsi="宋体" w:cs="宋体"/>
          <w:b/>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w:t>
      </w:r>
      <w:r>
        <w:rPr>
          <w:rFonts w:hint="eastAsia" w:ascii="宋体" w:hAnsi="宋体" w:cs="宋体"/>
          <w:kern w:val="0"/>
          <w:lang w:val="zh-CN"/>
        </w:rPr>
        <w:t>》，</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color w:val="000000"/>
          <w:kern w:val="0"/>
          <w:lang w:val="zh-CN"/>
        </w:rPr>
        <w:t>投标人提供的《残疾人福利性单位声明函》资料必须真实，否则，按照有关规定予以处理。</w:t>
      </w:r>
    </w:p>
    <w:p w14:paraId="21F8E52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18.3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评标委员会成员对需要共同认定的事项存在争议的，按照少数服从多数的原则作出结论。持不同意见的评标委员会成员在评标报告上签署不同意见及理由，否则视为同意评标报告。</w:t>
      </w:r>
    </w:p>
    <w:p w14:paraId="257FA792">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评标委员会按照招标文件中规定的评标方法和标准，对符合性审查合格的投标文件进行商务和技术评估，综合比较与评价。</w:t>
      </w:r>
    </w:p>
    <w:p w14:paraId="67683AC9">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w:t>
      </w:r>
      <w:r>
        <w:rPr>
          <w:rFonts w:hint="eastAsia" w:ascii="宋体" w:hAnsi="宋体" w:cs="宋体"/>
          <w:color w:val="000000"/>
          <w:shd w:val="clear" w:color="auto" w:fill="FFFFFF"/>
          <w:lang w:eastAsia="zh-CN"/>
        </w:rPr>
        <w:t>查的</w:t>
      </w:r>
      <w:r>
        <w:rPr>
          <w:rFonts w:hint="eastAsia" w:ascii="宋体" w:hAnsi="宋体" w:cs="宋体"/>
          <w:color w:val="000000"/>
          <w:shd w:val="clear" w:color="auto" w:fill="FFFFFF"/>
        </w:rPr>
        <w:t>投标人的报价，有可能影响产品质量或者不能诚信履约的，要求其在评标现场合理的时间内提供书面说明，必要时提交相关证明材料；投标人不能证明其报价合理性的，评标委员会将其作为无效投标处理。</w:t>
      </w:r>
    </w:p>
    <w:p w14:paraId="43DFEC58">
      <w:pPr>
        <w:pStyle w:val="28"/>
        <w:spacing w:before="0" w:after="0" w:line="360" w:lineRule="auto"/>
        <w:jc w:val="left"/>
        <w:rPr>
          <w:rFonts w:hint="eastAsia" w:ascii="宋体" w:hAnsi="宋体" w:cs="宋体"/>
          <w:color w:val="000000"/>
          <w:sz w:val="28"/>
          <w:szCs w:val="28"/>
          <w:lang w:val="zh-CN"/>
        </w:rPr>
      </w:pPr>
      <w:bookmarkStart w:id="35" w:name="_Toc28804"/>
      <w:r>
        <w:rPr>
          <w:rFonts w:hint="eastAsia" w:ascii="宋体" w:hAnsi="宋体" w:cs="宋体"/>
          <w:color w:val="000000"/>
          <w:sz w:val="28"/>
          <w:szCs w:val="28"/>
        </w:rPr>
        <w:t>19</w:t>
      </w:r>
      <w:r>
        <w:rPr>
          <w:rFonts w:hint="eastAsia" w:ascii="宋体" w:hAnsi="宋体" w:cs="宋体"/>
          <w:color w:val="000000"/>
          <w:sz w:val="28"/>
          <w:szCs w:val="28"/>
          <w:lang w:val="zh-CN"/>
        </w:rPr>
        <w:t>.评审方法和标准</w:t>
      </w:r>
      <w:bookmarkEnd w:id="35"/>
    </w:p>
    <w:p w14:paraId="0DA80F44">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本项目采用综合评分法，</w:t>
      </w:r>
      <w:r>
        <w:rPr>
          <w:rFonts w:hint="eastAsia" w:ascii="宋体" w:hAnsi="宋体" w:cs="宋体"/>
          <w:color w:val="000000"/>
          <w:shd w:val="clear" w:color="auto" w:fill="FFFFFF"/>
        </w:rPr>
        <w:t>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14:paraId="57A7C3DA">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评审因素的设定与投标人所提供货物服务的质量相关，包括</w:t>
      </w:r>
      <w:r>
        <w:rPr>
          <w:rFonts w:hint="eastAsia" w:ascii="宋体" w:hAnsi="宋体" w:cs="宋体"/>
          <w:b/>
          <w:bCs/>
          <w:color w:val="000000"/>
          <w:shd w:val="clear" w:color="auto" w:fill="FFFFFF"/>
        </w:rPr>
        <w:t>投标报价、技术水平、履约</w:t>
      </w:r>
      <w:r>
        <w:rPr>
          <w:rFonts w:hint="eastAsia" w:ascii="宋体" w:hAnsi="宋体" w:cs="宋体"/>
          <w:b/>
          <w:bCs/>
          <w:color w:val="000000"/>
          <w:shd w:val="clear" w:color="auto" w:fill="FFFFFF"/>
          <w:lang w:val="en-US" w:eastAsia="zh-CN"/>
        </w:rPr>
        <w:t>及售后服务</w:t>
      </w:r>
      <w:r>
        <w:rPr>
          <w:rFonts w:hint="eastAsia" w:ascii="宋体" w:hAnsi="宋体" w:cs="宋体"/>
          <w:b/>
          <w:bCs/>
          <w:color w:val="000000"/>
          <w:shd w:val="clear" w:color="auto" w:fill="FFFFFF"/>
        </w:rPr>
        <w:t>能力</w:t>
      </w:r>
      <w:r>
        <w:rPr>
          <w:rFonts w:hint="eastAsia" w:ascii="宋体" w:hAnsi="宋体" w:cs="宋体"/>
          <w:color w:val="000000"/>
          <w:shd w:val="clear" w:color="auto" w:fill="FFFFFF"/>
        </w:rPr>
        <w:t>等。资格条件不得作为评审因素。</w:t>
      </w:r>
    </w:p>
    <w:p w14:paraId="56852CE7">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评审因素细化和量化，且与相应的商务条件和采购需求对应。商务条件和采购需求指标有区间规定的，评审因素量化到相应区间，并设置各区间对应的不同分值。</w:t>
      </w:r>
    </w:p>
    <w:p w14:paraId="38BE93A6">
      <w:pPr>
        <w:ind w:firstLine="480"/>
        <w:jc w:val="left"/>
        <w:rPr>
          <w:rFonts w:ascii="宋体" w:hAnsi="宋体" w:cs="宋体"/>
          <w:lang w:val="zh-CN"/>
        </w:rPr>
      </w:pPr>
      <w:r>
        <w:rPr>
          <w:rFonts w:hint="eastAsia" w:ascii="宋体" w:hAnsi="宋体"/>
        </w:rPr>
        <w:t>评审标准和分值分配：</w:t>
      </w:r>
      <w:r>
        <w:rPr>
          <w:rFonts w:hint="eastAsia" w:ascii="宋体" w:hAnsi="宋体" w:cs="宋体"/>
          <w:lang w:val="zh-CN"/>
        </w:rPr>
        <w:t xml:space="preserve"> </w:t>
      </w:r>
    </w:p>
    <w:p w14:paraId="1AF6EB86">
      <w:pPr>
        <w:spacing w:line="360" w:lineRule="auto"/>
        <w:ind w:firstLine="480"/>
        <w:rPr>
          <w:rFonts w:hint="eastAsia" w:ascii="宋体" w:hAnsi="宋体"/>
        </w:rPr>
      </w:pPr>
      <w:r>
        <w:rPr>
          <w:rFonts w:hint="eastAsia" w:ascii="宋体" w:hAnsi="宋体"/>
        </w:rPr>
        <w:t>具体项目及评分细则：</w:t>
      </w:r>
    </w:p>
    <w:tbl>
      <w:tblPr>
        <w:tblStyle w:val="33"/>
        <w:tblW w:w="91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6"/>
        <w:gridCol w:w="1485"/>
        <w:gridCol w:w="736"/>
        <w:gridCol w:w="5985"/>
      </w:tblGrid>
      <w:tr w14:paraId="72753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3B909A4D">
            <w:pPr>
              <w:ind w:firstLine="0" w:firstLineChars="0"/>
              <w:rPr>
                <w:rFonts w:ascii="宋体" w:hAnsi="宋体" w:eastAsia="宋体" w:cs="Times New Roman"/>
                <w:sz w:val="21"/>
                <w:szCs w:val="21"/>
              </w:rPr>
            </w:pPr>
            <w:r>
              <w:rPr>
                <w:rFonts w:hint="eastAsia" w:ascii="宋体" w:hAnsi="宋体" w:eastAsia="宋体" w:cs="Times New Roman"/>
                <w:sz w:val="21"/>
                <w:szCs w:val="21"/>
              </w:rPr>
              <w:t>类别</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A1FE726">
            <w:pPr>
              <w:ind w:firstLine="0" w:firstLineChars="0"/>
              <w:rPr>
                <w:rFonts w:hint="eastAsia" w:ascii="宋体" w:hAnsi="宋体" w:eastAsia="宋体" w:cs="Times New Roman"/>
                <w:sz w:val="21"/>
                <w:szCs w:val="21"/>
              </w:rPr>
            </w:pPr>
            <w:r>
              <w:rPr>
                <w:rFonts w:hint="eastAsia" w:ascii="宋体" w:hAnsi="宋体" w:eastAsia="宋体" w:cs="Times New Roman"/>
                <w:sz w:val="21"/>
                <w:szCs w:val="21"/>
              </w:rPr>
              <w:t>项目</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3FB9C1E6">
            <w:pPr>
              <w:ind w:firstLine="0" w:firstLineChars="0"/>
              <w:jc w:val="center"/>
              <w:rPr>
                <w:rFonts w:hint="eastAsia" w:ascii="宋体" w:hAnsi="宋体" w:eastAsia="宋体" w:cs="Times New Roman"/>
                <w:sz w:val="21"/>
                <w:szCs w:val="21"/>
              </w:rPr>
            </w:pPr>
            <w:r>
              <w:rPr>
                <w:rFonts w:hint="eastAsia" w:ascii="宋体" w:hAnsi="宋体" w:eastAsia="宋体" w:cs="Times New Roman"/>
                <w:sz w:val="21"/>
                <w:szCs w:val="21"/>
              </w:rPr>
              <w:t>满分 分值</w:t>
            </w:r>
          </w:p>
        </w:tc>
        <w:tc>
          <w:tcPr>
            <w:tcW w:w="5985" w:type="dxa"/>
            <w:tcBorders>
              <w:top w:val="single" w:color="auto" w:sz="4" w:space="0"/>
              <w:left w:val="single" w:color="auto" w:sz="4" w:space="0"/>
              <w:bottom w:val="single" w:color="auto" w:sz="4" w:space="0"/>
              <w:right w:val="single" w:color="auto" w:sz="4" w:space="0"/>
            </w:tcBorders>
            <w:noWrap w:val="0"/>
            <w:vAlign w:val="center"/>
          </w:tcPr>
          <w:p w14:paraId="283D5F2D">
            <w:pPr>
              <w:ind w:firstLine="420"/>
              <w:jc w:val="center"/>
              <w:rPr>
                <w:rFonts w:ascii="宋体" w:hAnsi="宋体" w:eastAsia="宋体" w:cs="Times New Roman"/>
                <w:sz w:val="21"/>
                <w:szCs w:val="21"/>
              </w:rPr>
            </w:pPr>
            <w:r>
              <w:rPr>
                <w:rFonts w:hint="eastAsia" w:ascii="宋体" w:hAnsi="宋体" w:eastAsia="宋体" w:cs="Times New Roman"/>
                <w:sz w:val="21"/>
                <w:szCs w:val="21"/>
              </w:rPr>
              <w:t>评标标准</w:t>
            </w:r>
          </w:p>
        </w:tc>
      </w:tr>
      <w:tr w14:paraId="6F27E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1"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310A561C">
            <w:pPr>
              <w:ind w:firstLine="0" w:firstLineChars="0"/>
              <w:rPr>
                <w:rFonts w:hint="eastAsia" w:ascii="宋体" w:hAnsi="宋体" w:eastAsia="宋体" w:cs="Times New Roman"/>
                <w:sz w:val="21"/>
                <w:szCs w:val="21"/>
              </w:rPr>
            </w:pPr>
            <w:r>
              <w:rPr>
                <w:rFonts w:hint="eastAsia" w:ascii="宋体" w:hAnsi="宋体" w:eastAsia="宋体" w:cs="Times New Roman"/>
                <w:sz w:val="21"/>
                <w:szCs w:val="21"/>
              </w:rPr>
              <w:t>投标报价</w:t>
            </w:r>
            <w:r>
              <w:rPr>
                <w:rFonts w:hint="eastAsia" w:ascii="宋体" w:hAnsi="宋体" w:cs="Times New Roman"/>
                <w:sz w:val="21"/>
                <w:szCs w:val="21"/>
                <w:lang w:val="en-US" w:eastAsia="zh-CN"/>
              </w:rPr>
              <w:t>30</w:t>
            </w:r>
            <w:r>
              <w:rPr>
                <w:rFonts w:hint="eastAsia" w:ascii="宋体" w:hAnsi="宋体" w:eastAsia="宋体" w:cs="Times New Roman"/>
                <w:sz w:val="21"/>
                <w:szCs w:val="21"/>
              </w:rPr>
              <w:t>分</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AF29E14">
            <w:pPr>
              <w:ind w:firstLine="0" w:firstLineChars="0"/>
              <w:rPr>
                <w:rFonts w:hint="eastAsia" w:ascii="宋体" w:hAnsi="宋体" w:eastAsia="宋体" w:cs="Times New Roman"/>
                <w:sz w:val="21"/>
                <w:szCs w:val="21"/>
              </w:rPr>
            </w:pPr>
            <w:r>
              <w:rPr>
                <w:rFonts w:hint="eastAsia" w:ascii="宋体" w:hAnsi="宋体" w:eastAsia="宋体" w:cs="Times New Roman"/>
                <w:sz w:val="21"/>
                <w:szCs w:val="21"/>
              </w:rPr>
              <w:t>报价分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7CE214DF">
            <w:pPr>
              <w:ind w:firstLine="0" w:firstLineChars="0"/>
              <w:jc w:val="center"/>
              <w:rPr>
                <w:rFonts w:hint="default" w:ascii="宋体" w:hAnsi="宋体" w:eastAsia="宋体" w:cs="Times New Roman"/>
                <w:sz w:val="21"/>
                <w:szCs w:val="21"/>
                <w:lang w:val="en-US" w:eastAsia="zh-CN"/>
              </w:rPr>
            </w:pPr>
            <w:r>
              <w:rPr>
                <w:rFonts w:hint="eastAsia" w:ascii="宋体" w:hAnsi="宋体" w:cs="Times New Roman"/>
                <w:sz w:val="21"/>
                <w:szCs w:val="21"/>
                <w:lang w:val="en-US" w:eastAsia="zh-CN"/>
              </w:rPr>
              <w:t>30</w:t>
            </w:r>
          </w:p>
        </w:tc>
        <w:tc>
          <w:tcPr>
            <w:tcW w:w="5985" w:type="dxa"/>
            <w:tcBorders>
              <w:top w:val="single" w:color="auto" w:sz="4" w:space="0"/>
              <w:left w:val="single" w:color="auto" w:sz="4" w:space="0"/>
              <w:bottom w:val="single" w:color="auto" w:sz="4" w:space="0"/>
              <w:right w:val="single" w:color="auto" w:sz="4" w:space="0"/>
            </w:tcBorders>
            <w:noWrap w:val="0"/>
            <w:vAlign w:val="center"/>
          </w:tcPr>
          <w:p w14:paraId="020A7EAD">
            <w:pPr>
              <w:ind w:firstLine="0" w:firstLineChars="0"/>
              <w:rPr>
                <w:rFonts w:hint="eastAsia" w:ascii="宋体" w:hAnsi="宋体" w:eastAsia="宋体" w:cs="Times New Roman"/>
                <w:sz w:val="21"/>
                <w:szCs w:val="21"/>
              </w:rPr>
            </w:pPr>
            <w:r>
              <w:rPr>
                <w:rFonts w:hint="eastAsia" w:ascii="宋体" w:hAnsi="宋体" w:eastAsia="宋体" w:cs="Times New Roman"/>
                <w:sz w:val="21"/>
                <w:szCs w:val="21"/>
              </w:rPr>
              <w:t>在所有的有效投标报价中，以最低投标报价为基准价，其价格分为满分。其他投标人的报价分统一按下列公式计算：投标报价得分=</w:t>
            </w:r>
            <w:r>
              <w:rPr>
                <w:rFonts w:hint="eastAsia" w:ascii="宋体" w:hAnsi="宋体" w:cs="Times New Roman"/>
                <w:sz w:val="21"/>
                <w:szCs w:val="21"/>
                <w:lang w:eastAsia="zh-CN"/>
              </w:rPr>
              <w:t>（</w:t>
            </w:r>
            <w:r>
              <w:rPr>
                <w:rFonts w:hint="eastAsia" w:ascii="宋体" w:hAnsi="宋体" w:eastAsia="宋体" w:cs="Times New Roman"/>
                <w:sz w:val="21"/>
                <w:szCs w:val="21"/>
              </w:rPr>
              <w:t>评标基准价／投标报价</w:t>
            </w:r>
            <w:r>
              <w:rPr>
                <w:rFonts w:hint="eastAsia" w:ascii="宋体" w:hAnsi="宋体" w:cs="Times New Roman"/>
                <w:sz w:val="21"/>
                <w:szCs w:val="21"/>
                <w:lang w:eastAsia="zh-CN"/>
              </w:rPr>
              <w:t>）</w:t>
            </w:r>
            <w:r>
              <w:rPr>
                <w:rFonts w:hint="eastAsia" w:ascii="宋体" w:hAnsi="宋体" w:eastAsia="宋体" w:cs="Times New Roman"/>
                <w:sz w:val="21"/>
                <w:szCs w:val="21"/>
              </w:rPr>
              <w:t>×价格权值（</w:t>
            </w:r>
            <w:r>
              <w:rPr>
                <w:rFonts w:hint="eastAsia" w:ascii="宋体" w:hAnsi="宋体" w:cs="Times New Roman"/>
                <w:sz w:val="21"/>
                <w:szCs w:val="21"/>
                <w:lang w:val="en-US" w:eastAsia="zh-CN"/>
              </w:rPr>
              <w:t>30</w:t>
            </w:r>
            <w:r>
              <w:rPr>
                <w:rFonts w:hint="eastAsia" w:ascii="宋体" w:hAnsi="宋体" w:eastAsia="宋体" w:cs="Times New Roman"/>
                <w:sz w:val="21"/>
                <w:szCs w:val="21"/>
              </w:rPr>
              <w:t>%）×100（四舍五入后保留小数点后两位）。</w:t>
            </w:r>
          </w:p>
          <w:p w14:paraId="36FFD74F">
            <w:pPr>
              <w:ind w:firstLine="0" w:firstLineChars="0"/>
              <w:rPr>
                <w:rFonts w:hint="eastAsia" w:ascii="宋体" w:hAnsi="宋体" w:eastAsia="宋体" w:cs="Times New Roman"/>
                <w:sz w:val="21"/>
                <w:szCs w:val="21"/>
              </w:rPr>
            </w:pPr>
            <w:r>
              <w:rPr>
                <w:rFonts w:hint="eastAsia" w:ascii="宋体" w:hAnsi="宋体" w:eastAsia="宋体" w:cs="Times New Roman"/>
                <w:sz w:val="21"/>
                <w:szCs w:val="21"/>
              </w:rPr>
              <w:t>注：根据《政府采购促进中小企业发展暂行办法</w:t>
            </w:r>
            <w:r>
              <w:rPr>
                <w:rFonts w:hint="eastAsia" w:ascii="宋体" w:hAnsi="宋体" w:cs="Times New Roman"/>
                <w:sz w:val="21"/>
                <w:szCs w:val="21"/>
                <w:lang w:eastAsia="zh-CN"/>
              </w:rPr>
              <w:t>》《</w:t>
            </w:r>
            <w:r>
              <w:rPr>
                <w:rFonts w:hint="eastAsia" w:ascii="宋体" w:hAnsi="宋体" w:eastAsia="宋体" w:cs="Times New Roman"/>
                <w:sz w:val="21"/>
                <w:szCs w:val="21"/>
              </w:rPr>
              <w:t>关于促进残疾人就业政府采购政策的通知》的相关规定，对残疾人福利性单位、小型和微型企业制造（生产）产品的价格给予</w:t>
            </w:r>
            <w:r>
              <w:rPr>
                <w:rFonts w:hint="eastAsia" w:ascii="宋体" w:hAnsi="宋体" w:cs="Times New Roman"/>
                <w:sz w:val="21"/>
                <w:szCs w:val="21"/>
                <w:lang w:val="en-US" w:eastAsia="zh-CN"/>
              </w:rPr>
              <w:t>10</w:t>
            </w:r>
            <w:r>
              <w:rPr>
                <w:rFonts w:hint="eastAsia" w:ascii="宋体" w:hAnsi="宋体" w:eastAsia="宋体" w:cs="Times New Roman"/>
                <w:sz w:val="21"/>
                <w:szCs w:val="21"/>
              </w:rPr>
              <w:t>%的扣除，用扣除后的价格参与评标。</w:t>
            </w:r>
          </w:p>
          <w:p w14:paraId="24D58DD2">
            <w:pPr>
              <w:ind w:firstLine="0" w:firstLineChars="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残疾人福利性单位属于小型、微型企业的，不重复享受政策。</w:t>
            </w:r>
          </w:p>
        </w:tc>
      </w:tr>
      <w:tr w14:paraId="012CB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7" w:hRule="atLeast"/>
          <w:jc w:val="center"/>
        </w:trPr>
        <w:tc>
          <w:tcPr>
            <w:tcW w:w="986" w:type="dxa"/>
            <w:vMerge w:val="restart"/>
            <w:tcBorders>
              <w:top w:val="single" w:color="auto" w:sz="4" w:space="0"/>
              <w:left w:val="single" w:color="auto" w:sz="4" w:space="0"/>
              <w:right w:val="single" w:color="auto" w:sz="4" w:space="0"/>
            </w:tcBorders>
            <w:noWrap w:val="0"/>
            <w:vAlign w:val="center"/>
          </w:tcPr>
          <w:p w14:paraId="0F813318">
            <w:pPr>
              <w:ind w:firstLine="0" w:firstLineChars="0"/>
              <w:rPr>
                <w:rFonts w:hint="eastAsia" w:ascii="宋体" w:hAnsi="宋体" w:eastAsia="宋体" w:cs="Times New Roman"/>
                <w:sz w:val="21"/>
                <w:szCs w:val="21"/>
              </w:rPr>
            </w:pPr>
            <w:r>
              <w:rPr>
                <w:rFonts w:hint="eastAsia" w:ascii="宋体" w:hAnsi="宋体" w:eastAsia="宋体" w:cs="Times New Roman"/>
                <w:sz w:val="21"/>
                <w:szCs w:val="21"/>
              </w:rPr>
              <w:t>技术水平</w:t>
            </w:r>
            <w:r>
              <w:rPr>
                <w:rFonts w:hint="eastAsia" w:ascii="宋体" w:hAnsi="宋体" w:cs="Times New Roman"/>
                <w:sz w:val="21"/>
                <w:szCs w:val="21"/>
                <w:lang w:val="en-US" w:eastAsia="zh-CN"/>
              </w:rPr>
              <w:t>57</w:t>
            </w:r>
            <w:r>
              <w:rPr>
                <w:rFonts w:hint="eastAsia" w:ascii="宋体" w:hAnsi="宋体" w:eastAsia="宋体" w:cs="Times New Roman"/>
                <w:sz w:val="21"/>
                <w:szCs w:val="21"/>
              </w:rPr>
              <w:t>分</w:t>
            </w:r>
          </w:p>
        </w:tc>
        <w:tc>
          <w:tcPr>
            <w:tcW w:w="1485" w:type="dxa"/>
            <w:tcBorders>
              <w:top w:val="single" w:color="auto" w:sz="4" w:space="0"/>
              <w:left w:val="single" w:color="auto" w:sz="4" w:space="0"/>
              <w:right w:val="single" w:color="auto" w:sz="4" w:space="0"/>
            </w:tcBorders>
            <w:noWrap w:val="0"/>
            <w:vAlign w:val="center"/>
          </w:tcPr>
          <w:p w14:paraId="11B4630D">
            <w:pPr>
              <w:ind w:firstLine="0" w:firstLineChars="0"/>
              <w:rPr>
                <w:rFonts w:ascii="宋体" w:hAnsi="宋体" w:eastAsia="宋体" w:cs="Times New Roman"/>
                <w:sz w:val="21"/>
                <w:szCs w:val="21"/>
              </w:rPr>
            </w:pPr>
            <w:r>
              <w:rPr>
                <w:rFonts w:hint="eastAsia" w:ascii="宋体" w:hAnsi="宋体" w:eastAsia="宋体" w:cs="Times New Roman"/>
                <w:sz w:val="21"/>
                <w:szCs w:val="21"/>
              </w:rPr>
              <w:t>技术参数</w:t>
            </w:r>
          </w:p>
        </w:tc>
        <w:tc>
          <w:tcPr>
            <w:tcW w:w="736" w:type="dxa"/>
            <w:tcBorders>
              <w:top w:val="single" w:color="auto" w:sz="4" w:space="0"/>
              <w:left w:val="single" w:color="auto" w:sz="4" w:space="0"/>
              <w:right w:val="single" w:color="auto" w:sz="4" w:space="0"/>
            </w:tcBorders>
            <w:noWrap w:val="0"/>
            <w:vAlign w:val="center"/>
          </w:tcPr>
          <w:p w14:paraId="5DADFDCC">
            <w:pPr>
              <w:ind w:firstLine="0" w:firstLineChars="0"/>
              <w:jc w:val="center"/>
              <w:rPr>
                <w:rFonts w:hint="default" w:ascii="宋体" w:hAnsi="宋体" w:eastAsia="宋体" w:cs="Times New Roman"/>
                <w:sz w:val="21"/>
                <w:szCs w:val="21"/>
                <w:lang w:val="en-US" w:eastAsia="zh-CN"/>
              </w:rPr>
            </w:pPr>
            <w:r>
              <w:rPr>
                <w:rFonts w:hint="eastAsia" w:ascii="宋体" w:hAnsi="宋体" w:cs="Times New Roman"/>
                <w:sz w:val="21"/>
                <w:szCs w:val="21"/>
                <w:lang w:val="en-US" w:eastAsia="zh-CN"/>
              </w:rPr>
              <w:t>30</w:t>
            </w:r>
          </w:p>
        </w:tc>
        <w:tc>
          <w:tcPr>
            <w:tcW w:w="5985" w:type="dxa"/>
            <w:tcBorders>
              <w:top w:val="single" w:color="auto" w:sz="4" w:space="0"/>
              <w:left w:val="single" w:color="auto" w:sz="4" w:space="0"/>
              <w:bottom w:val="single" w:color="auto" w:sz="4" w:space="0"/>
              <w:right w:val="single" w:color="auto" w:sz="4" w:space="0"/>
            </w:tcBorders>
            <w:noWrap w:val="0"/>
            <w:vAlign w:val="center"/>
          </w:tcPr>
          <w:p w14:paraId="0DF7D8AD">
            <w:pPr>
              <w:ind w:firstLine="0" w:firstLineChars="0"/>
              <w:rPr>
                <w:rFonts w:hint="eastAsia" w:ascii="Times New Roman" w:hAnsi="宋体" w:eastAsia="宋体" w:cs="Times New Roman"/>
                <w:color w:val="FF0000"/>
                <w:sz w:val="21"/>
                <w:szCs w:val="21"/>
                <w:u w:val="single"/>
              </w:rPr>
            </w:pPr>
            <w:r>
              <w:rPr>
                <w:rFonts w:hint="eastAsia" w:ascii="宋体" w:hAnsi="宋体" w:eastAsia="宋体" w:cs="Times New Roman"/>
                <w:sz w:val="21"/>
                <w:szCs w:val="21"/>
              </w:rPr>
              <w:t>投标产品技术参数和配置完全满足或高于招标文件要求的，得</w:t>
            </w:r>
            <w:r>
              <w:rPr>
                <w:rFonts w:hint="eastAsia" w:ascii="宋体" w:hAnsi="宋体" w:cs="Times New Roman"/>
                <w:sz w:val="21"/>
                <w:szCs w:val="21"/>
                <w:lang w:val="en-US" w:eastAsia="zh-CN"/>
              </w:rPr>
              <w:t>30</w:t>
            </w:r>
            <w:r>
              <w:rPr>
                <w:rFonts w:hint="eastAsia" w:ascii="宋体" w:hAnsi="宋体" w:eastAsia="宋体" w:cs="Times New Roman"/>
                <w:sz w:val="21"/>
                <w:szCs w:val="21"/>
              </w:rPr>
              <w:t>分；每有一项负偏离扣</w:t>
            </w:r>
            <w:r>
              <w:rPr>
                <w:rFonts w:hint="eastAsia" w:ascii="宋体" w:hAnsi="宋体" w:eastAsia="宋体" w:cs="Times New Roman"/>
                <w:sz w:val="21"/>
                <w:szCs w:val="21"/>
                <w:lang w:val="en-US" w:eastAsia="zh-CN"/>
              </w:rPr>
              <w:t>1</w:t>
            </w:r>
            <w:r>
              <w:rPr>
                <w:rFonts w:hint="eastAsia" w:ascii="宋体" w:hAnsi="宋体" w:eastAsia="宋体" w:cs="Times New Roman"/>
                <w:sz w:val="21"/>
                <w:szCs w:val="21"/>
              </w:rPr>
              <w:t>分，扣完为止。</w:t>
            </w:r>
          </w:p>
        </w:tc>
      </w:tr>
      <w:tr w14:paraId="7403B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8" w:hRule="atLeast"/>
          <w:jc w:val="center"/>
        </w:trPr>
        <w:tc>
          <w:tcPr>
            <w:tcW w:w="986" w:type="dxa"/>
            <w:vMerge w:val="continue"/>
            <w:tcBorders>
              <w:left w:val="single" w:color="auto" w:sz="4" w:space="0"/>
              <w:right w:val="single" w:color="auto" w:sz="4" w:space="0"/>
            </w:tcBorders>
            <w:noWrap w:val="0"/>
            <w:vAlign w:val="center"/>
          </w:tcPr>
          <w:p w14:paraId="56485FB9">
            <w:pPr>
              <w:ind w:firstLine="420"/>
              <w:jc w:val="center"/>
              <w:rPr>
                <w:rFonts w:ascii="宋体" w:hAnsi="宋体" w:eastAsia="宋体" w:cs="Times New Roman"/>
                <w:sz w:val="21"/>
                <w:szCs w:val="21"/>
              </w:rPr>
            </w:pPr>
          </w:p>
        </w:tc>
        <w:tc>
          <w:tcPr>
            <w:tcW w:w="14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A36EE2">
            <w:pPr>
              <w:ind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项目管理及实施方案</w:t>
            </w:r>
          </w:p>
        </w:tc>
        <w:tc>
          <w:tcPr>
            <w:tcW w:w="7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EBE9F6">
            <w:pPr>
              <w:widowControl/>
              <w:ind w:firstLine="0" w:firstLineChars="0"/>
              <w:jc w:val="center"/>
              <w:rPr>
                <w:rFonts w:hint="eastAsia" w:ascii="宋体" w:hAnsi="宋体" w:eastAsia="宋体" w:cs="Times New Roman"/>
                <w:kern w:val="2"/>
                <w:sz w:val="21"/>
                <w:szCs w:val="21"/>
                <w:lang w:val="en-US" w:eastAsia="zh-CN" w:bidi="ar-SA"/>
              </w:rPr>
            </w:pPr>
            <w:r>
              <w:rPr>
                <w:rFonts w:hint="eastAsia" w:ascii="宋体" w:hAnsi="宋体" w:cs="Times New Roman"/>
                <w:sz w:val="21"/>
                <w:szCs w:val="21"/>
                <w:lang w:val="en-US" w:eastAsia="zh-CN"/>
              </w:rPr>
              <w:t>20</w:t>
            </w:r>
          </w:p>
        </w:tc>
        <w:tc>
          <w:tcPr>
            <w:tcW w:w="59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6E5DAF">
            <w:pPr>
              <w:widowControl/>
              <w:ind w:firstLine="210" w:firstLineChars="100"/>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根据供应商提供的针对本项目的实施方案进行评审，内容包含但不限于：</w:t>
            </w:r>
            <w:r>
              <w:rPr>
                <w:rFonts w:hint="eastAsia" w:ascii="宋体" w:hAnsi="宋体" w:eastAsia="宋体" w:cs="宋体"/>
                <w:b/>
                <w:bCs/>
                <w:color w:val="000000"/>
                <w:kern w:val="0"/>
                <w:sz w:val="21"/>
                <w:szCs w:val="21"/>
                <w:highlight w:val="none"/>
                <w:lang w:val="en-US" w:eastAsia="zh-CN"/>
              </w:rPr>
              <w:t>①备货、运输及配送方案：</w:t>
            </w:r>
            <w:r>
              <w:rPr>
                <w:rFonts w:hint="eastAsia" w:ascii="宋体" w:hAnsi="宋体" w:eastAsia="宋体" w:cs="宋体"/>
                <w:color w:val="000000"/>
                <w:kern w:val="0"/>
                <w:sz w:val="21"/>
                <w:szCs w:val="21"/>
                <w:highlight w:val="none"/>
                <w:lang w:val="en-US" w:eastAsia="zh-CN"/>
              </w:rPr>
              <w:t>筹集货品、订货、购货、进货及运输路线、配车保障等。</w:t>
            </w:r>
            <w:r>
              <w:rPr>
                <w:rFonts w:hint="eastAsia" w:ascii="宋体" w:hAnsi="宋体" w:eastAsia="宋体" w:cs="宋体"/>
                <w:b/>
                <w:bCs/>
                <w:color w:val="000000"/>
                <w:kern w:val="0"/>
                <w:sz w:val="21"/>
                <w:szCs w:val="21"/>
                <w:highlight w:val="none"/>
                <w:lang w:val="en-US" w:eastAsia="zh-CN"/>
              </w:rPr>
              <w:t>②进度计划安排：</w:t>
            </w:r>
            <w:r>
              <w:rPr>
                <w:rFonts w:hint="eastAsia" w:ascii="宋体" w:hAnsi="宋体" w:eastAsia="宋体" w:cs="宋体"/>
                <w:color w:val="000000"/>
                <w:kern w:val="0"/>
                <w:sz w:val="21"/>
                <w:szCs w:val="21"/>
                <w:highlight w:val="none"/>
                <w:lang w:val="en-US" w:eastAsia="zh-CN"/>
              </w:rPr>
              <w:t>根据本次采购文件的要求及项目的特点确定实施工作顺序，并做出具体的实施进度安排。</w:t>
            </w:r>
            <w:r>
              <w:rPr>
                <w:rFonts w:hint="eastAsia" w:ascii="宋体" w:hAnsi="宋体" w:eastAsia="宋体" w:cs="宋体"/>
                <w:b/>
                <w:bCs/>
                <w:color w:val="000000"/>
                <w:kern w:val="0"/>
                <w:sz w:val="21"/>
                <w:szCs w:val="21"/>
                <w:highlight w:val="none"/>
                <w:lang w:val="en-US" w:eastAsia="zh-CN"/>
              </w:rPr>
              <w:t>③安装调试方案：</w:t>
            </w:r>
            <w:r>
              <w:rPr>
                <w:rFonts w:hint="eastAsia" w:ascii="宋体" w:hAnsi="宋体" w:eastAsia="宋体" w:cs="宋体"/>
                <w:color w:val="000000"/>
                <w:kern w:val="0"/>
                <w:sz w:val="21"/>
                <w:szCs w:val="21"/>
                <w:highlight w:val="none"/>
                <w:lang w:val="en-US" w:eastAsia="zh-CN"/>
              </w:rPr>
              <w:t>有详细的安装调试方案及安装调试过程的资源配备计划。</w:t>
            </w:r>
            <w:r>
              <w:rPr>
                <w:rFonts w:hint="eastAsia" w:ascii="宋体" w:hAnsi="宋体" w:eastAsia="宋体" w:cs="宋体"/>
                <w:b/>
                <w:bCs/>
                <w:color w:val="000000"/>
                <w:kern w:val="0"/>
                <w:sz w:val="21"/>
                <w:szCs w:val="21"/>
                <w:highlight w:val="none"/>
                <w:lang w:val="en-US" w:eastAsia="zh-CN"/>
              </w:rPr>
              <w:t>④质量保障措施：</w:t>
            </w:r>
            <w:r>
              <w:rPr>
                <w:rFonts w:hint="eastAsia" w:ascii="宋体" w:hAnsi="宋体" w:eastAsia="宋体" w:cs="宋体"/>
                <w:color w:val="000000"/>
                <w:kern w:val="0"/>
                <w:sz w:val="21"/>
                <w:szCs w:val="21"/>
                <w:highlight w:val="none"/>
                <w:lang w:val="en-US" w:eastAsia="zh-CN"/>
              </w:rPr>
              <w:t>有货物质量保证的承诺、质量保证体系及质量保证措施等。</w:t>
            </w:r>
            <w:r>
              <w:rPr>
                <w:rFonts w:hint="default" w:ascii="宋体" w:hAnsi="宋体" w:eastAsia="宋体" w:cs="宋体"/>
                <w:b/>
                <w:bCs/>
                <w:color w:val="000000"/>
                <w:kern w:val="0"/>
                <w:sz w:val="21"/>
                <w:szCs w:val="21"/>
                <w:highlight w:val="none"/>
                <w:lang w:val="en-US" w:eastAsia="zh-CN"/>
              </w:rPr>
              <w:t>⑤</w:t>
            </w:r>
            <w:r>
              <w:rPr>
                <w:rFonts w:hint="eastAsia" w:ascii="宋体" w:hAnsi="宋体" w:eastAsia="宋体" w:cs="宋体"/>
                <w:b/>
                <w:bCs/>
                <w:color w:val="000000"/>
                <w:kern w:val="0"/>
                <w:sz w:val="21"/>
                <w:szCs w:val="21"/>
                <w:highlight w:val="none"/>
                <w:lang w:val="en-US" w:eastAsia="zh-CN"/>
              </w:rPr>
              <w:t>人员配备方案：</w:t>
            </w:r>
            <w:r>
              <w:rPr>
                <w:rFonts w:hint="eastAsia" w:ascii="宋体" w:hAnsi="宋体" w:eastAsia="宋体" w:cs="宋体"/>
                <w:color w:val="000000"/>
                <w:kern w:val="0"/>
                <w:sz w:val="21"/>
                <w:szCs w:val="21"/>
                <w:highlight w:val="none"/>
                <w:lang w:val="en-US" w:eastAsia="zh-CN"/>
              </w:rPr>
              <w:t>针对本项目配备完整可靠的人员配置，保证项目顺利实施，有能力解决各项技术问题。</w:t>
            </w:r>
          </w:p>
          <w:p w14:paraId="008D9322">
            <w:pPr>
              <w:widowControl/>
              <w:ind w:firstLine="210" w:firstLineChars="100"/>
              <w:rPr>
                <w:rFonts w:hint="eastAsia"/>
                <w:lang w:val="en-US" w:eastAsia="zh-CN"/>
              </w:rPr>
            </w:pPr>
            <w:r>
              <w:rPr>
                <w:rFonts w:hint="eastAsia" w:ascii="宋体" w:hAnsi="宋体" w:eastAsia="宋体" w:cs="宋体"/>
                <w:color w:val="000000"/>
                <w:kern w:val="0"/>
                <w:sz w:val="21"/>
                <w:szCs w:val="21"/>
                <w:highlight w:val="none"/>
                <w:lang w:val="en-US" w:eastAsia="zh-CN"/>
              </w:rPr>
              <w:t>实施方案编制要求：①具有针对性（能够准确凸显项目特点、要点）且全面完整（有具体详尽的文字阐述）；②层次分明（次序清晰，前后有序，不存在相互矛盾、杂乱无章等情形）；③具有合理性（符合实际，不存在夸大、凭空编造、内容缺陷、功能性欠缺、技术可行性不强、无法实施等情形）。</w:t>
            </w:r>
          </w:p>
          <w:p w14:paraId="697F3FFE">
            <w:pPr>
              <w:ind w:firstLine="0" w:firstLineChars="0"/>
              <w:rPr>
                <w:rFonts w:hint="eastAsia" w:ascii="宋体" w:hAnsi="宋体" w:eastAsia="宋体" w:cs="Times New Roman"/>
                <w:kern w:val="2"/>
                <w:sz w:val="21"/>
                <w:szCs w:val="21"/>
                <w:lang w:val="en-US" w:eastAsia="zh-CN" w:bidi="ar-SA"/>
              </w:rPr>
            </w:pPr>
            <w:r>
              <w:rPr>
                <w:rFonts w:hint="eastAsia" w:ascii="宋体" w:hAnsi="宋体" w:eastAsia="宋体" w:cs="宋体"/>
                <w:color w:val="000000"/>
                <w:kern w:val="0"/>
                <w:sz w:val="21"/>
                <w:szCs w:val="21"/>
                <w:highlight w:val="none"/>
                <w:lang w:val="en-US" w:eastAsia="zh-CN"/>
              </w:rPr>
              <w:t>实施方案内容齐全且完全满足编制要求的得分</w:t>
            </w:r>
            <w:r>
              <w:rPr>
                <w:rFonts w:hint="eastAsia" w:ascii="宋体" w:hAnsi="宋体" w:eastAsia="宋体" w:cs="宋体"/>
                <w:b/>
                <w:bCs/>
                <w:color w:val="000000"/>
                <w:kern w:val="0"/>
                <w:sz w:val="21"/>
                <w:szCs w:val="21"/>
                <w:highlight w:val="none"/>
                <w:lang w:val="en-US" w:eastAsia="zh-CN"/>
              </w:rPr>
              <w:t>20</w:t>
            </w:r>
            <w:r>
              <w:rPr>
                <w:rFonts w:hint="eastAsia" w:ascii="宋体" w:hAnsi="宋体" w:eastAsia="宋体" w:cs="宋体"/>
                <w:color w:val="000000"/>
                <w:kern w:val="0"/>
                <w:sz w:val="21"/>
                <w:szCs w:val="21"/>
                <w:highlight w:val="none"/>
                <w:lang w:val="en-US" w:eastAsia="zh-CN"/>
              </w:rPr>
              <w:t>分，每缺少一项内容扣</w:t>
            </w:r>
            <w:r>
              <w:rPr>
                <w:rFonts w:hint="eastAsia" w:ascii="宋体" w:hAnsi="宋体" w:eastAsia="宋体" w:cs="宋体"/>
                <w:b/>
                <w:bCs/>
                <w:color w:val="000000"/>
                <w:kern w:val="0"/>
                <w:sz w:val="21"/>
                <w:szCs w:val="21"/>
                <w:highlight w:val="none"/>
                <w:lang w:val="en-US" w:eastAsia="zh-CN"/>
              </w:rPr>
              <w:t>4</w:t>
            </w:r>
            <w:r>
              <w:rPr>
                <w:rFonts w:hint="eastAsia" w:ascii="宋体" w:hAnsi="宋体" w:eastAsia="宋体" w:cs="宋体"/>
                <w:color w:val="000000"/>
                <w:kern w:val="0"/>
                <w:sz w:val="21"/>
                <w:szCs w:val="21"/>
                <w:highlight w:val="none"/>
                <w:lang w:val="en-US" w:eastAsia="zh-CN"/>
              </w:rPr>
              <w:t>分。方案中每有一处内容不满足实施方案编制要求的，一处扣</w:t>
            </w:r>
            <w:r>
              <w:rPr>
                <w:rFonts w:hint="eastAsia" w:ascii="宋体" w:hAnsi="宋体" w:eastAsia="宋体" w:cs="宋体"/>
                <w:b/>
                <w:bCs/>
                <w:color w:val="000000"/>
                <w:kern w:val="0"/>
                <w:sz w:val="21"/>
                <w:szCs w:val="21"/>
                <w:highlight w:val="none"/>
                <w:lang w:val="en-US" w:eastAsia="zh-CN"/>
              </w:rPr>
              <w:t>1</w:t>
            </w:r>
            <w:r>
              <w:rPr>
                <w:rFonts w:hint="eastAsia" w:ascii="宋体" w:hAnsi="宋体" w:eastAsia="宋体" w:cs="宋体"/>
                <w:color w:val="000000"/>
                <w:kern w:val="0"/>
                <w:sz w:val="21"/>
                <w:szCs w:val="21"/>
                <w:highlight w:val="none"/>
                <w:lang w:val="en-US" w:eastAsia="zh-CN"/>
              </w:rPr>
              <w:t>分，扣完为止。</w:t>
            </w:r>
          </w:p>
        </w:tc>
      </w:tr>
      <w:tr w14:paraId="507F1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986" w:type="dxa"/>
            <w:vMerge w:val="continue"/>
            <w:tcBorders>
              <w:left w:val="single" w:color="auto" w:sz="4" w:space="0"/>
              <w:right w:val="single" w:color="auto" w:sz="4" w:space="0"/>
            </w:tcBorders>
            <w:noWrap w:val="0"/>
            <w:vAlign w:val="center"/>
          </w:tcPr>
          <w:p w14:paraId="2A2E19EE">
            <w:pPr>
              <w:ind w:firstLine="420"/>
              <w:jc w:val="center"/>
              <w:rPr>
                <w:rFonts w:ascii="宋体" w:hAnsi="宋体" w:eastAsia="宋体" w:cs="Times New Roman"/>
                <w:sz w:val="21"/>
                <w:szCs w:val="21"/>
              </w:rPr>
            </w:pPr>
          </w:p>
        </w:tc>
        <w:tc>
          <w:tcPr>
            <w:tcW w:w="1485" w:type="dxa"/>
            <w:tcBorders>
              <w:top w:val="single" w:color="auto" w:sz="4" w:space="0"/>
              <w:left w:val="single" w:color="auto" w:sz="4" w:space="0"/>
              <w:right w:val="single" w:color="auto" w:sz="4" w:space="0"/>
            </w:tcBorders>
            <w:shd w:val="clear" w:color="auto" w:fill="auto"/>
            <w:noWrap w:val="0"/>
            <w:vAlign w:val="center"/>
          </w:tcPr>
          <w:p w14:paraId="133F0E7D">
            <w:pPr>
              <w:spacing w:line="400" w:lineRule="exact"/>
              <w:ind w:left="0" w:leftChars="0" w:firstLine="0" w:firstLineChars="0"/>
              <w:rPr>
                <w:rFonts w:hint="eastAsia" w:ascii="黑体" w:hAnsi="黑体" w:eastAsia="黑体" w:cs="黑体"/>
                <w:b/>
                <w:bCs/>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施工方案与技术措施</w:t>
            </w:r>
          </w:p>
        </w:tc>
        <w:tc>
          <w:tcPr>
            <w:tcW w:w="736" w:type="dxa"/>
            <w:tcBorders>
              <w:top w:val="single" w:color="auto" w:sz="4" w:space="0"/>
              <w:left w:val="single" w:color="auto" w:sz="4" w:space="0"/>
              <w:right w:val="single" w:color="auto" w:sz="4" w:space="0"/>
            </w:tcBorders>
            <w:shd w:val="clear" w:color="auto" w:fill="auto"/>
            <w:noWrap w:val="0"/>
            <w:vAlign w:val="center"/>
          </w:tcPr>
          <w:p w14:paraId="30E54BA1">
            <w:pPr>
              <w:autoSpaceDE w:val="0"/>
              <w:autoSpaceDN w:val="0"/>
              <w:adjustRightInd w:val="0"/>
              <w:spacing w:line="400" w:lineRule="exact"/>
              <w:ind w:left="0" w:leftChars="0" w:firstLine="0" w:firstLineChars="0"/>
              <w:jc w:val="center"/>
              <w:rPr>
                <w:rFonts w:hint="eastAsia" w:ascii="宋体" w:hAnsi="宋体" w:eastAsia="宋体" w:cs="宋体"/>
                <w:b/>
                <w:bCs/>
                <w:color w:val="000000"/>
                <w:kern w:val="0"/>
                <w:sz w:val="24"/>
                <w:szCs w:val="24"/>
                <w:lang w:val="en-US" w:eastAsia="zh-CN" w:bidi="ar"/>
              </w:rPr>
            </w:pPr>
            <w:r>
              <w:rPr>
                <w:rFonts w:hint="eastAsia" w:cs="宋体"/>
                <w:color w:val="000000"/>
                <w:kern w:val="0"/>
                <w:sz w:val="24"/>
                <w:szCs w:val="24"/>
                <w:lang w:val="en-US" w:eastAsia="zh-CN"/>
              </w:rPr>
              <w:t>7</w:t>
            </w:r>
          </w:p>
        </w:tc>
        <w:tc>
          <w:tcPr>
            <w:tcW w:w="59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9C6E6C">
            <w:pPr>
              <w:spacing w:line="400" w:lineRule="exact"/>
              <w:ind w:left="0" w:leftChars="0" w:firstLine="0" w:firstLineChars="0"/>
              <w:rPr>
                <w:rFonts w:hint="eastAsia" w:ascii="宋体" w:hAnsi="宋体" w:eastAsia="宋体" w:cs="宋体"/>
                <w:color w:val="000000"/>
                <w:kern w:val="0"/>
                <w:sz w:val="24"/>
                <w:szCs w:val="24"/>
                <w:lang w:val="en-US" w:eastAsia="zh-CN" w:bidi="ar-SA"/>
              </w:rPr>
            </w:pPr>
            <w:r>
              <w:rPr>
                <w:rFonts w:hint="eastAsia" w:eastAsia="宋体" w:cs="Times New Roman"/>
                <w:color w:val="auto"/>
                <w:kern w:val="2"/>
                <w:sz w:val="24"/>
                <w:szCs w:val="24"/>
                <w:highlight w:val="none"/>
                <w:lang w:val="en-US" w:eastAsia="zh-CN" w:bidi="ar-SA"/>
              </w:rPr>
              <w:t>施工部署合理，施工顺序及方案切实可行、针对性强；各项管理目标明确，技术措施满足工期、质量、安全生产及文明施工要求。完全符合以上要求的得</w:t>
            </w:r>
            <w:r>
              <w:rPr>
                <w:rFonts w:hint="eastAsia" w:cs="Times New Roman"/>
                <w:color w:val="auto"/>
                <w:kern w:val="2"/>
                <w:sz w:val="24"/>
                <w:szCs w:val="24"/>
                <w:highlight w:val="none"/>
                <w:lang w:val="en-US" w:eastAsia="zh-CN" w:bidi="ar-SA"/>
              </w:rPr>
              <w:t>7</w:t>
            </w:r>
            <w:r>
              <w:rPr>
                <w:rFonts w:hint="eastAsia" w:eastAsia="宋体" w:cs="Times New Roman"/>
                <w:color w:val="auto"/>
                <w:kern w:val="2"/>
                <w:sz w:val="24"/>
                <w:szCs w:val="24"/>
                <w:highlight w:val="none"/>
                <w:lang w:val="en-US" w:eastAsia="zh-CN" w:bidi="ar-SA"/>
              </w:rPr>
              <w:t>分，符合程度高的得</w:t>
            </w:r>
            <w:r>
              <w:rPr>
                <w:rFonts w:hint="eastAsia" w:cs="Times New Roman"/>
                <w:color w:val="auto"/>
                <w:kern w:val="2"/>
                <w:sz w:val="24"/>
                <w:szCs w:val="24"/>
                <w:highlight w:val="none"/>
                <w:lang w:val="en-US" w:eastAsia="zh-CN" w:bidi="ar-SA"/>
              </w:rPr>
              <w:t>5</w:t>
            </w:r>
            <w:r>
              <w:rPr>
                <w:rFonts w:hint="eastAsia" w:eastAsia="宋体" w:cs="Times New Roman"/>
                <w:color w:val="auto"/>
                <w:kern w:val="2"/>
                <w:sz w:val="24"/>
                <w:szCs w:val="24"/>
                <w:highlight w:val="none"/>
                <w:lang w:val="en-US" w:eastAsia="zh-CN" w:bidi="ar-SA"/>
              </w:rPr>
              <w:t>分，符合程度一般的得</w:t>
            </w:r>
            <w:r>
              <w:rPr>
                <w:rFonts w:hint="eastAsia" w:cs="Times New Roman"/>
                <w:color w:val="auto"/>
                <w:kern w:val="2"/>
                <w:sz w:val="24"/>
                <w:szCs w:val="24"/>
                <w:highlight w:val="none"/>
                <w:lang w:val="en-US" w:eastAsia="zh-CN" w:bidi="ar-SA"/>
              </w:rPr>
              <w:t>3</w:t>
            </w:r>
            <w:r>
              <w:rPr>
                <w:rFonts w:hint="eastAsia" w:eastAsia="宋体" w:cs="Times New Roman"/>
                <w:color w:val="auto"/>
                <w:kern w:val="2"/>
                <w:sz w:val="24"/>
                <w:szCs w:val="24"/>
                <w:highlight w:val="none"/>
                <w:lang w:val="en-US" w:eastAsia="zh-CN" w:bidi="ar-SA"/>
              </w:rPr>
              <w:t>分，不符合或不提供的不得分。</w:t>
            </w:r>
          </w:p>
        </w:tc>
      </w:tr>
      <w:tr w14:paraId="2D304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4" w:hRule="atLeast"/>
          <w:jc w:val="center"/>
        </w:trPr>
        <w:tc>
          <w:tcPr>
            <w:tcW w:w="986" w:type="dxa"/>
            <w:vMerge w:val="restart"/>
            <w:tcBorders>
              <w:left w:val="single" w:color="auto" w:sz="4" w:space="0"/>
              <w:right w:val="single" w:color="auto" w:sz="4" w:space="0"/>
            </w:tcBorders>
            <w:noWrap w:val="0"/>
            <w:vAlign w:val="center"/>
          </w:tcPr>
          <w:p w14:paraId="6CD802B4">
            <w:pPr>
              <w:ind w:firstLine="0" w:firstLineChars="0"/>
              <w:rPr>
                <w:rFonts w:hint="eastAsia" w:ascii="宋体" w:hAnsi="宋体" w:eastAsia="宋体" w:cs="Times New Roman"/>
                <w:sz w:val="21"/>
                <w:szCs w:val="21"/>
              </w:rPr>
            </w:pPr>
          </w:p>
          <w:p w14:paraId="3588D977">
            <w:pPr>
              <w:ind w:firstLine="0" w:firstLineChars="0"/>
              <w:rPr>
                <w:rFonts w:hint="eastAsia" w:ascii="宋体" w:hAnsi="宋体" w:eastAsia="宋体" w:cs="Times New Roman"/>
                <w:sz w:val="21"/>
                <w:szCs w:val="21"/>
              </w:rPr>
            </w:pPr>
          </w:p>
          <w:p w14:paraId="52E7ABC6">
            <w:pPr>
              <w:ind w:firstLine="0" w:firstLineChars="0"/>
              <w:rPr>
                <w:rFonts w:hint="eastAsia" w:ascii="宋体" w:hAnsi="宋体" w:eastAsia="宋体" w:cs="Times New Roman"/>
                <w:sz w:val="21"/>
                <w:szCs w:val="21"/>
              </w:rPr>
            </w:pPr>
          </w:p>
          <w:p w14:paraId="42B77497">
            <w:pPr>
              <w:ind w:firstLine="0" w:firstLineChars="0"/>
              <w:rPr>
                <w:rFonts w:ascii="宋体" w:hAnsi="宋体" w:eastAsia="宋体" w:cs="Times New Roman"/>
                <w:sz w:val="21"/>
                <w:szCs w:val="21"/>
                <w:shd w:val="pct10" w:color="auto" w:fill="FFFFFF"/>
              </w:rPr>
            </w:pPr>
            <w:r>
              <w:rPr>
                <w:rFonts w:hint="eastAsia" w:ascii="宋体" w:hAnsi="宋体" w:eastAsia="宋体" w:cs="Times New Roman"/>
                <w:sz w:val="21"/>
                <w:szCs w:val="21"/>
              </w:rPr>
              <w:t>履约及售后服务能力</w:t>
            </w:r>
            <w:r>
              <w:rPr>
                <w:rFonts w:hint="eastAsia" w:ascii="宋体" w:hAnsi="宋体" w:cs="Times New Roman"/>
                <w:sz w:val="21"/>
                <w:szCs w:val="21"/>
                <w:lang w:val="en-US" w:eastAsia="zh-CN"/>
              </w:rPr>
              <w:t>13</w:t>
            </w:r>
            <w:r>
              <w:rPr>
                <w:rFonts w:hint="eastAsia" w:ascii="宋体" w:hAnsi="宋体" w:eastAsia="宋体" w:cs="Times New Roman"/>
                <w:sz w:val="21"/>
                <w:szCs w:val="21"/>
              </w:rPr>
              <w:t>分</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417F23A">
            <w:pPr>
              <w:ind w:firstLine="0" w:firstLineChars="0"/>
              <w:rPr>
                <w:rFonts w:hint="eastAsia" w:ascii="宋体" w:hAnsi="宋体" w:eastAsia="宋体" w:cs="Times New Roman"/>
                <w:sz w:val="21"/>
                <w:szCs w:val="21"/>
              </w:rPr>
            </w:pPr>
            <w:r>
              <w:rPr>
                <w:rFonts w:hint="eastAsia" w:ascii="宋体" w:hAnsi="宋体" w:eastAsia="宋体" w:cs="Times New Roman"/>
                <w:sz w:val="21"/>
                <w:szCs w:val="21"/>
              </w:rPr>
              <w:t>类似业绩情况</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26DBC550">
            <w:pPr>
              <w:ind w:firstLine="0" w:firstLineChars="0"/>
              <w:jc w:val="center"/>
              <w:rPr>
                <w:rFonts w:hint="eastAsia" w:ascii="宋体" w:hAnsi="宋体" w:eastAsia="宋体" w:cs="Times New Roman"/>
                <w:sz w:val="21"/>
                <w:szCs w:val="21"/>
                <w:lang w:eastAsia="zh-CN"/>
              </w:rPr>
            </w:pPr>
            <w:r>
              <w:rPr>
                <w:rFonts w:hint="eastAsia" w:ascii="宋体" w:hAnsi="宋体" w:cs="Times New Roman"/>
                <w:sz w:val="21"/>
                <w:szCs w:val="21"/>
                <w:lang w:val="en-US" w:eastAsia="zh-CN"/>
              </w:rPr>
              <w:t>6</w:t>
            </w:r>
          </w:p>
        </w:tc>
        <w:tc>
          <w:tcPr>
            <w:tcW w:w="5985" w:type="dxa"/>
            <w:tcBorders>
              <w:top w:val="single" w:color="auto" w:sz="4" w:space="0"/>
              <w:left w:val="single" w:color="auto" w:sz="4" w:space="0"/>
              <w:bottom w:val="single" w:color="auto" w:sz="4" w:space="0"/>
              <w:right w:val="single" w:color="auto" w:sz="4" w:space="0"/>
            </w:tcBorders>
            <w:noWrap w:val="0"/>
            <w:vAlign w:val="center"/>
          </w:tcPr>
          <w:p w14:paraId="02CAADC0">
            <w:pPr>
              <w:pStyle w:val="18"/>
              <w:ind w:left="0" w:leftChars="0" w:firstLine="0" w:firstLineChars="0"/>
              <w:rPr>
                <w:rFonts w:hAnsi="宋体" w:cs="宋体"/>
                <w:color w:val="auto"/>
                <w:spacing w:val="2"/>
                <w:sz w:val="21"/>
                <w:szCs w:val="21"/>
                <w:highlight w:val="none"/>
                <w:lang w:val="en-US" w:eastAsia="zh-CN"/>
              </w:rPr>
            </w:pPr>
            <w:r>
              <w:rPr>
                <w:rFonts w:hAnsi="宋体" w:cs="宋体"/>
                <w:color w:val="auto"/>
                <w:spacing w:val="-1"/>
                <w:sz w:val="21"/>
                <w:szCs w:val="21"/>
                <w:highlight w:val="none"/>
                <w:lang w:val="en-US" w:eastAsia="zh-CN"/>
              </w:rPr>
              <w:t>提</w:t>
            </w:r>
            <w:r>
              <w:rPr>
                <w:rFonts w:hAnsi="宋体" w:cs="宋体"/>
                <w:color w:val="auto"/>
                <w:sz w:val="21"/>
                <w:szCs w:val="21"/>
                <w:highlight w:val="none"/>
                <w:lang w:val="en-US" w:eastAsia="zh-CN"/>
              </w:rPr>
              <w:t>供</w:t>
            </w:r>
            <w:r>
              <w:rPr>
                <w:rFonts w:hint="eastAsia" w:hAnsi="宋体" w:cs="宋体"/>
                <w:color w:val="auto"/>
                <w:sz w:val="21"/>
                <w:szCs w:val="21"/>
                <w:highlight w:val="none"/>
                <w:lang w:val="en-US" w:eastAsia="zh-CN"/>
              </w:rPr>
              <w:t>2021</w:t>
            </w:r>
            <w:r>
              <w:rPr>
                <w:rFonts w:hAnsi="宋体" w:cs="宋体"/>
                <w:color w:val="auto"/>
                <w:sz w:val="21"/>
                <w:szCs w:val="21"/>
                <w:highlight w:val="none"/>
                <w:lang w:val="en-US" w:eastAsia="zh-CN"/>
              </w:rPr>
              <w:t>年以来的类似服务业绩证明材料。每提</w:t>
            </w:r>
            <w:r>
              <w:rPr>
                <w:rFonts w:hAnsi="宋体" w:cs="宋体"/>
                <w:color w:val="auto"/>
                <w:spacing w:val="4"/>
                <w:sz w:val="21"/>
                <w:szCs w:val="21"/>
                <w:highlight w:val="none"/>
                <w:lang w:val="en-US" w:eastAsia="zh-CN"/>
              </w:rPr>
              <w:t>供</w:t>
            </w:r>
            <w:r>
              <w:rPr>
                <w:rFonts w:hAnsi="宋体" w:cs="宋体"/>
                <w:color w:val="auto"/>
                <w:spacing w:val="2"/>
                <w:sz w:val="21"/>
                <w:szCs w:val="21"/>
                <w:highlight w:val="none"/>
                <w:lang w:val="en-US" w:eastAsia="zh-CN"/>
              </w:rPr>
              <w:t>一项有效证明材料得</w:t>
            </w:r>
            <w:r>
              <w:rPr>
                <w:rFonts w:hint="eastAsia" w:hAnsi="宋体" w:cs="宋体"/>
                <w:color w:val="auto"/>
                <w:spacing w:val="2"/>
                <w:sz w:val="21"/>
                <w:szCs w:val="21"/>
                <w:highlight w:val="none"/>
                <w:lang w:val="en-US" w:eastAsia="zh-CN"/>
              </w:rPr>
              <w:t>1</w:t>
            </w:r>
            <w:r>
              <w:rPr>
                <w:rFonts w:hAnsi="宋体" w:cs="宋体"/>
                <w:color w:val="auto"/>
                <w:spacing w:val="2"/>
                <w:sz w:val="21"/>
                <w:szCs w:val="21"/>
                <w:highlight w:val="none"/>
                <w:lang w:val="en-US" w:eastAsia="zh-CN"/>
              </w:rPr>
              <w:t>分，最高分</w:t>
            </w:r>
            <w:r>
              <w:rPr>
                <w:rFonts w:hint="eastAsia" w:hAnsi="宋体" w:cs="宋体"/>
                <w:b/>
                <w:bCs/>
                <w:color w:val="auto"/>
                <w:spacing w:val="2"/>
                <w:sz w:val="21"/>
                <w:szCs w:val="21"/>
                <w:highlight w:val="none"/>
                <w:lang w:val="en-US" w:eastAsia="zh-CN"/>
              </w:rPr>
              <w:t>6</w:t>
            </w:r>
            <w:r>
              <w:rPr>
                <w:rFonts w:hAnsi="宋体" w:cs="宋体"/>
                <w:b/>
                <w:bCs/>
                <w:color w:val="auto"/>
                <w:spacing w:val="2"/>
                <w:sz w:val="21"/>
                <w:szCs w:val="21"/>
                <w:highlight w:val="none"/>
                <w:lang w:val="en-US" w:eastAsia="zh-CN"/>
              </w:rPr>
              <w:t>分</w:t>
            </w:r>
            <w:r>
              <w:rPr>
                <w:rFonts w:hAnsi="宋体" w:cs="宋体"/>
                <w:color w:val="auto"/>
                <w:spacing w:val="2"/>
                <w:sz w:val="21"/>
                <w:szCs w:val="21"/>
                <w:highlight w:val="none"/>
                <w:lang w:val="en-US" w:eastAsia="zh-CN"/>
              </w:rPr>
              <w:t>；</w:t>
            </w:r>
          </w:p>
          <w:p w14:paraId="5310DECB">
            <w:pPr>
              <w:ind w:firstLine="0" w:firstLineChars="0"/>
              <w:rPr>
                <w:rFonts w:hint="eastAsia" w:ascii="宋体" w:hAnsi="宋体" w:eastAsia="宋体" w:cs="Times New Roman"/>
                <w:sz w:val="21"/>
                <w:szCs w:val="21"/>
              </w:rPr>
            </w:pPr>
            <w:r>
              <w:rPr>
                <w:rFonts w:hAnsi="宋体" w:cs="宋体"/>
                <w:color w:val="auto"/>
                <w:spacing w:val="2"/>
                <w:sz w:val="21"/>
                <w:szCs w:val="21"/>
                <w:highlight w:val="none"/>
                <w:lang w:val="en-US" w:eastAsia="zh-CN"/>
              </w:rPr>
              <w:t>不提供</w:t>
            </w:r>
            <w:r>
              <w:rPr>
                <w:rFonts w:hAnsi="宋体" w:cs="宋体"/>
                <w:color w:val="auto"/>
                <w:spacing w:val="5"/>
                <w:sz w:val="21"/>
                <w:szCs w:val="21"/>
                <w:highlight w:val="none"/>
                <w:lang w:val="en-US" w:eastAsia="zh-CN"/>
              </w:rPr>
              <w:t>不</w:t>
            </w:r>
            <w:r>
              <w:rPr>
                <w:rFonts w:hAnsi="宋体" w:cs="宋体"/>
                <w:color w:val="auto"/>
                <w:spacing w:val="4"/>
                <w:sz w:val="21"/>
                <w:szCs w:val="21"/>
                <w:highlight w:val="none"/>
                <w:lang w:val="en-US" w:eastAsia="zh-CN"/>
              </w:rPr>
              <w:t>得分</w:t>
            </w:r>
            <w:r>
              <w:rPr>
                <w:rFonts w:hint="eastAsia" w:hAnsi="宋体" w:cs="宋体"/>
                <w:color w:val="auto"/>
                <w:spacing w:val="4"/>
                <w:sz w:val="21"/>
                <w:szCs w:val="21"/>
                <w:highlight w:val="none"/>
                <w:lang w:val="en-US" w:eastAsia="zh-CN"/>
              </w:rPr>
              <w:t>（</w:t>
            </w:r>
            <w:r>
              <w:rPr>
                <w:rFonts w:hAnsi="宋体" w:cs="宋体"/>
                <w:color w:val="auto"/>
                <w:spacing w:val="4"/>
                <w:sz w:val="21"/>
                <w:szCs w:val="21"/>
                <w:highlight w:val="none"/>
                <w:lang w:val="en-US" w:eastAsia="zh-CN"/>
              </w:rPr>
              <w:t>需提供包含合同首页、标的及金额所在页、</w:t>
            </w:r>
            <w:r>
              <w:rPr>
                <w:rFonts w:hAnsi="宋体" w:cs="宋体"/>
                <w:color w:val="auto"/>
                <w:spacing w:val="14"/>
                <w:sz w:val="21"/>
                <w:szCs w:val="21"/>
                <w:highlight w:val="none"/>
                <w:lang w:val="en-US" w:eastAsia="zh-CN"/>
              </w:rPr>
              <w:t>供货</w:t>
            </w:r>
            <w:r>
              <w:rPr>
                <w:rFonts w:hAnsi="宋体" w:cs="宋体"/>
                <w:color w:val="auto"/>
                <w:spacing w:val="11"/>
                <w:sz w:val="21"/>
                <w:szCs w:val="21"/>
                <w:highlight w:val="none"/>
                <w:lang w:val="en-US" w:eastAsia="zh-CN"/>
              </w:rPr>
              <w:t>合</w:t>
            </w:r>
            <w:r>
              <w:rPr>
                <w:rFonts w:hAnsi="宋体" w:cs="宋体"/>
                <w:color w:val="auto"/>
                <w:spacing w:val="7"/>
                <w:sz w:val="21"/>
                <w:szCs w:val="21"/>
                <w:highlight w:val="none"/>
                <w:lang w:val="en-US" w:eastAsia="zh-CN"/>
              </w:rPr>
              <w:t>同签字盖章页的扫描</w:t>
            </w:r>
            <w:r>
              <w:rPr>
                <w:rFonts w:hint="eastAsia" w:hAnsi="宋体" w:cs="宋体"/>
                <w:color w:val="auto"/>
                <w:spacing w:val="7"/>
                <w:sz w:val="21"/>
                <w:szCs w:val="21"/>
                <w:highlight w:val="none"/>
                <w:lang w:val="en-US" w:eastAsia="zh-CN"/>
              </w:rPr>
              <w:t>（</w:t>
            </w:r>
            <w:r>
              <w:rPr>
                <w:rFonts w:hAnsi="宋体" w:cs="宋体"/>
                <w:color w:val="auto"/>
                <w:spacing w:val="7"/>
                <w:sz w:val="21"/>
                <w:szCs w:val="21"/>
                <w:highlight w:val="none"/>
                <w:lang w:val="en-US" w:eastAsia="zh-CN"/>
              </w:rPr>
              <w:t>或复印</w:t>
            </w:r>
            <w:r>
              <w:rPr>
                <w:rFonts w:hint="eastAsia" w:hAnsi="宋体" w:cs="宋体"/>
                <w:color w:val="auto"/>
                <w:spacing w:val="7"/>
                <w:sz w:val="21"/>
                <w:szCs w:val="21"/>
                <w:highlight w:val="none"/>
                <w:lang w:val="en-US" w:eastAsia="zh-CN"/>
              </w:rPr>
              <w:t>）</w:t>
            </w:r>
            <w:r>
              <w:rPr>
                <w:rFonts w:hAnsi="宋体" w:cs="宋体"/>
                <w:color w:val="auto"/>
                <w:spacing w:val="7"/>
                <w:sz w:val="21"/>
                <w:szCs w:val="21"/>
                <w:highlight w:val="none"/>
                <w:lang w:val="en-US" w:eastAsia="zh-CN"/>
              </w:rPr>
              <w:t>件或中标通知书</w:t>
            </w:r>
            <w:r>
              <w:rPr>
                <w:rFonts w:hint="eastAsia" w:hAnsi="宋体" w:cs="宋体"/>
                <w:color w:val="auto"/>
                <w:spacing w:val="7"/>
                <w:sz w:val="21"/>
                <w:szCs w:val="21"/>
                <w:highlight w:val="none"/>
                <w:lang w:val="en-US" w:eastAsia="zh-CN"/>
              </w:rPr>
              <w:t>）</w:t>
            </w:r>
            <w:r>
              <w:rPr>
                <w:rFonts w:hAnsi="宋体" w:cs="宋体"/>
                <w:color w:val="auto"/>
                <w:spacing w:val="7"/>
                <w:sz w:val="21"/>
                <w:szCs w:val="21"/>
                <w:highlight w:val="none"/>
                <w:lang w:val="en-US" w:eastAsia="zh-CN"/>
              </w:rPr>
              <w:t>。</w:t>
            </w:r>
          </w:p>
        </w:tc>
      </w:tr>
      <w:tr w14:paraId="42064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1" w:hRule="atLeast"/>
          <w:jc w:val="center"/>
        </w:trPr>
        <w:tc>
          <w:tcPr>
            <w:tcW w:w="986" w:type="dxa"/>
            <w:vMerge w:val="continue"/>
            <w:tcBorders>
              <w:left w:val="single" w:color="auto" w:sz="4" w:space="0"/>
              <w:right w:val="single" w:color="auto" w:sz="4" w:space="0"/>
            </w:tcBorders>
            <w:noWrap w:val="0"/>
            <w:vAlign w:val="center"/>
          </w:tcPr>
          <w:p w14:paraId="3ACB7592">
            <w:pPr>
              <w:ind w:firstLine="0" w:firstLineChars="0"/>
              <w:rPr>
                <w:rFonts w:hint="eastAsia" w:ascii="宋体" w:hAnsi="宋体" w:eastAsia="宋体" w:cs="Times New Roman"/>
                <w:sz w:val="21"/>
                <w:szCs w:val="21"/>
                <w:shd w:val="pct10" w:color="auto" w:fill="FFFFFF"/>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BD17F71">
            <w:pPr>
              <w:ind w:firstLine="0" w:firstLineChars="0"/>
              <w:rPr>
                <w:rFonts w:hint="eastAsia" w:ascii="宋体" w:hAnsi="宋体" w:eastAsia="宋体" w:cs="Times New Roman"/>
                <w:sz w:val="21"/>
                <w:szCs w:val="21"/>
              </w:rPr>
            </w:pPr>
            <w:r>
              <w:rPr>
                <w:rFonts w:hint="eastAsia" w:ascii="宋体" w:hAnsi="宋体" w:eastAsia="宋体" w:cs="Times New Roman"/>
                <w:sz w:val="21"/>
                <w:szCs w:val="21"/>
              </w:rPr>
              <w:t>售后服务及相关承诺</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56D16FED">
            <w:pPr>
              <w:widowControl/>
              <w:ind w:firstLine="0" w:firstLineChars="0"/>
              <w:jc w:val="center"/>
              <w:rPr>
                <w:rFonts w:hint="default" w:ascii="宋体" w:hAnsi="宋体" w:eastAsia="宋体" w:cs="Times New Roman"/>
                <w:sz w:val="21"/>
                <w:szCs w:val="21"/>
                <w:lang w:val="en-US" w:eastAsia="zh-CN"/>
              </w:rPr>
            </w:pPr>
            <w:r>
              <w:rPr>
                <w:rFonts w:hint="eastAsia" w:ascii="宋体" w:hAnsi="宋体" w:cs="Times New Roman"/>
                <w:sz w:val="21"/>
                <w:szCs w:val="21"/>
                <w:lang w:val="en-US" w:eastAsia="zh-CN"/>
              </w:rPr>
              <w:t>7</w:t>
            </w:r>
          </w:p>
        </w:tc>
        <w:tc>
          <w:tcPr>
            <w:tcW w:w="5985" w:type="dxa"/>
            <w:tcBorders>
              <w:top w:val="single" w:color="auto" w:sz="4" w:space="0"/>
              <w:left w:val="single" w:color="auto" w:sz="4" w:space="0"/>
              <w:bottom w:val="single" w:color="auto" w:sz="4" w:space="0"/>
              <w:right w:val="single" w:color="auto" w:sz="4" w:space="0"/>
            </w:tcBorders>
            <w:noWrap w:val="0"/>
            <w:vAlign w:val="center"/>
          </w:tcPr>
          <w:p w14:paraId="32CB48DA">
            <w:pPr>
              <w:ind w:firstLine="0" w:firstLineChars="0"/>
              <w:rPr>
                <w:rFonts w:hint="eastAsia" w:ascii="宋体" w:hAnsi="宋体" w:eastAsia="宋体" w:cs="Times New Roman"/>
                <w:sz w:val="21"/>
                <w:szCs w:val="21"/>
              </w:rPr>
            </w:pPr>
            <w:r>
              <w:rPr>
                <w:rFonts w:hint="eastAsia" w:ascii="宋体" w:hAnsi="宋体" w:eastAsia="宋体" w:cs="Times New Roman"/>
                <w:sz w:val="21"/>
                <w:szCs w:val="21"/>
              </w:rPr>
              <w:t>1、针对该项目须有完善的售后服务体系。包含：①售后服务机构和人员②售后服务内容和流程③售后服务响应时间和质量④售后服务方式和特色。以上因素每实质性响应一项得</w:t>
            </w:r>
            <w:r>
              <w:rPr>
                <w:rFonts w:hint="eastAsia" w:ascii="宋体" w:hAnsi="宋体" w:cs="Times New Roman"/>
                <w:sz w:val="21"/>
                <w:szCs w:val="21"/>
                <w:lang w:val="en-US" w:eastAsia="zh-CN"/>
              </w:rPr>
              <w:t>1.5</w:t>
            </w:r>
            <w:r>
              <w:rPr>
                <w:rFonts w:hint="eastAsia" w:ascii="宋体" w:hAnsi="宋体" w:eastAsia="宋体" w:cs="Times New Roman"/>
                <w:sz w:val="21"/>
                <w:szCs w:val="21"/>
              </w:rPr>
              <w:t>分，满分</w:t>
            </w:r>
            <w:r>
              <w:rPr>
                <w:rFonts w:hint="eastAsia" w:ascii="宋体" w:hAnsi="宋体" w:cs="Times New Roman"/>
                <w:sz w:val="21"/>
                <w:szCs w:val="21"/>
                <w:lang w:val="en-US" w:eastAsia="zh-CN"/>
              </w:rPr>
              <w:t>6</w:t>
            </w:r>
            <w:r>
              <w:rPr>
                <w:rFonts w:hint="eastAsia" w:ascii="宋体" w:hAnsi="宋体" w:eastAsia="宋体" w:cs="Times New Roman"/>
                <w:sz w:val="21"/>
                <w:szCs w:val="21"/>
              </w:rPr>
              <w:t>分，未实质性响应或未提供不得分。</w:t>
            </w:r>
          </w:p>
          <w:p w14:paraId="0DBCF214">
            <w:pPr>
              <w:ind w:firstLine="0" w:firstLineChars="0"/>
              <w:rPr>
                <w:rFonts w:hint="eastAsia" w:ascii="宋体" w:hAnsi="宋体" w:eastAsia="宋体" w:cs="Times New Roman"/>
                <w:sz w:val="21"/>
                <w:szCs w:val="21"/>
              </w:rPr>
            </w:pPr>
            <w:r>
              <w:rPr>
                <w:rFonts w:hint="eastAsia" w:ascii="宋体" w:hAnsi="宋体" w:eastAsia="宋体" w:cs="Times New Roman"/>
                <w:sz w:val="21"/>
                <w:szCs w:val="21"/>
              </w:rPr>
              <w:t>2、提供售后服务相关承诺的，得</w:t>
            </w:r>
            <w:r>
              <w:rPr>
                <w:rFonts w:hint="eastAsia" w:ascii="宋体" w:hAnsi="宋体" w:cs="Times New Roman"/>
                <w:sz w:val="21"/>
                <w:szCs w:val="21"/>
                <w:lang w:val="en-US" w:eastAsia="zh-CN"/>
              </w:rPr>
              <w:t>1</w:t>
            </w:r>
            <w:r>
              <w:rPr>
                <w:rFonts w:hint="eastAsia" w:ascii="宋体" w:hAnsi="宋体" w:eastAsia="宋体" w:cs="Times New Roman"/>
                <w:sz w:val="21"/>
                <w:szCs w:val="21"/>
              </w:rPr>
              <w:t>分；未提供不得分。</w:t>
            </w:r>
          </w:p>
        </w:tc>
      </w:tr>
    </w:tbl>
    <w:p w14:paraId="072B9E0C">
      <w:pPr>
        <w:spacing w:line="360" w:lineRule="auto"/>
        <w:rPr>
          <w:rFonts w:hint="eastAsia" w:ascii="宋体" w:hAnsi="宋体"/>
        </w:rPr>
      </w:pPr>
    </w:p>
    <w:p w14:paraId="4DD7C744">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19.3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E80B684">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19.4 评标结果汇总完成后，除下列情形外，任何人不得修改评标结果：</w:t>
      </w:r>
    </w:p>
    <w:p w14:paraId="52DABEE7">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（1）分值汇总计算错误的；</w:t>
      </w:r>
    </w:p>
    <w:p w14:paraId="00DA99FD">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14:paraId="6C6F6CBA">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14:paraId="1BF02389">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14:paraId="41A6A7FD">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评标报告签署前，经复核发现存在以上情形之一的，评标委员会当场修改评标结果，并在评标报告中记载；评标报告签署后，</w:t>
      </w:r>
      <w:r>
        <w:rPr>
          <w:rFonts w:hint="eastAsia" w:ascii="宋体" w:hAnsi="宋体" w:cs="宋体"/>
          <w:color w:val="000000"/>
          <w:shd w:val="clear" w:color="auto" w:fill="FFFFFF"/>
          <w:lang w:eastAsia="zh-CN"/>
        </w:rPr>
        <w:t>格尔木市政务服务和公共资源交易中心</w:t>
      </w:r>
      <w:r>
        <w:rPr>
          <w:rFonts w:hint="eastAsia" w:ascii="宋体" w:hAnsi="宋体" w:cs="宋体"/>
          <w:color w:val="000000"/>
          <w:shd w:val="clear" w:color="auto" w:fill="FFFFFF"/>
        </w:rPr>
        <w:t>发现存在以上情形之一的，组织原评标委员会进行重新评审，重新评审改变评标结果的，书面报告本级财政部门。</w:t>
      </w:r>
    </w:p>
    <w:p w14:paraId="2813E9A8">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投标人对以上情形提出质疑的，</w:t>
      </w:r>
      <w:r>
        <w:rPr>
          <w:rFonts w:hint="eastAsia" w:ascii="宋体" w:hAnsi="宋体" w:cs="宋体"/>
          <w:color w:val="000000"/>
          <w:shd w:val="clear" w:color="auto" w:fill="FFFFFF"/>
          <w:lang w:eastAsia="zh-CN"/>
        </w:rPr>
        <w:t>格尔木市政务服务和公共资源交易中心</w:t>
      </w:r>
      <w:r>
        <w:rPr>
          <w:rFonts w:hint="eastAsia" w:ascii="宋体" w:hAnsi="宋体" w:cs="宋体"/>
          <w:color w:val="000000"/>
          <w:shd w:val="clear" w:color="auto" w:fill="FFFFFF"/>
        </w:rPr>
        <w:t>可以组织原评标委员会进行重新评审，重新评审改变评标结果的，书面报告本级财政部门。</w:t>
      </w:r>
    </w:p>
    <w:p w14:paraId="5312CD4D">
      <w:pPr>
        <w:pStyle w:val="28"/>
        <w:spacing w:before="0" w:after="0" w:line="360" w:lineRule="auto"/>
        <w:rPr>
          <w:rFonts w:hint="eastAsia" w:ascii="宋体" w:hAnsi="宋体" w:cs="宋体"/>
          <w:color w:val="000000"/>
          <w:lang w:val="zh-CN"/>
        </w:rPr>
      </w:pPr>
      <w:bookmarkStart w:id="36" w:name="_Toc10582"/>
      <w:r>
        <w:rPr>
          <w:rFonts w:hint="eastAsia" w:ascii="宋体" w:hAnsi="宋体" w:cs="宋体"/>
          <w:color w:val="000000"/>
          <w:lang w:val="zh-CN"/>
        </w:rPr>
        <w:t>八、中标</w:t>
      </w:r>
      <w:bookmarkEnd w:id="36"/>
    </w:p>
    <w:p w14:paraId="62AF4DDA">
      <w:pPr>
        <w:pStyle w:val="28"/>
        <w:spacing w:before="0" w:after="0" w:line="360" w:lineRule="auto"/>
        <w:jc w:val="left"/>
        <w:rPr>
          <w:rFonts w:hint="eastAsia" w:ascii="宋体" w:hAnsi="宋体" w:cs="宋体"/>
          <w:color w:val="000000"/>
          <w:lang w:val="zh-CN"/>
        </w:rPr>
      </w:pPr>
      <w:bookmarkStart w:id="37" w:name="_Toc2829"/>
      <w:r>
        <w:rPr>
          <w:rFonts w:hint="eastAsia" w:ascii="宋体" w:hAnsi="宋体" w:cs="宋体"/>
          <w:color w:val="000000"/>
          <w:sz w:val="28"/>
          <w:szCs w:val="28"/>
          <w:lang w:val="zh-CN"/>
        </w:rPr>
        <w:t>2</w:t>
      </w:r>
      <w:r>
        <w:rPr>
          <w:rFonts w:hint="eastAsia" w:ascii="宋体" w:hAnsi="宋体" w:cs="宋体"/>
          <w:color w:val="000000"/>
          <w:sz w:val="28"/>
          <w:szCs w:val="28"/>
        </w:rPr>
        <w:t>0</w:t>
      </w:r>
      <w:r>
        <w:rPr>
          <w:rFonts w:hint="eastAsia" w:ascii="宋体" w:hAnsi="宋体" w:cs="宋体"/>
          <w:color w:val="000000"/>
          <w:sz w:val="28"/>
          <w:szCs w:val="28"/>
          <w:lang w:val="zh-CN"/>
        </w:rPr>
        <w:t>.推荐并确定中标人</w:t>
      </w:r>
      <w:bookmarkEnd w:id="37"/>
    </w:p>
    <w:p w14:paraId="61048A0C">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rPr>
        <w:t>20.1 采购中心在评标结束后2个工作日内将评标报告提交采购人。采购人自收到评标报告之日起5个工作日内，在评标报告确定的中标候选人名单中按顺序确定中标人。</w:t>
      </w:r>
    </w:p>
    <w:p w14:paraId="5E8DFB8B">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rPr>
        <w:t>20.2 采购人在收到评标报告5个工作日内未按评标报告推荐的中标候选人顺序确定中标人，又不能说明合法理由的，视同按评标报告推荐的顺序确定排名第一的中标候选人为中标人。</w:t>
      </w:r>
    </w:p>
    <w:p w14:paraId="084109EF">
      <w:pPr>
        <w:pStyle w:val="28"/>
        <w:spacing w:before="0" w:after="0" w:line="360" w:lineRule="auto"/>
        <w:jc w:val="left"/>
        <w:rPr>
          <w:rFonts w:hint="eastAsia" w:ascii="宋体" w:hAnsi="宋体" w:cs="宋体"/>
          <w:color w:val="000000"/>
          <w:lang w:val="zh-CN"/>
        </w:rPr>
      </w:pPr>
      <w:bookmarkStart w:id="38" w:name="_Toc2263"/>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.中标通知</w:t>
      </w:r>
      <w:bookmarkEnd w:id="38"/>
    </w:p>
    <w:p w14:paraId="7CF8E3CC">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21.1采购中心自中标人确定之日起2个工作日内，在省级以上财政部门指定的媒体上公告中标结果。</w:t>
      </w:r>
    </w:p>
    <w:p w14:paraId="477CC9D0">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21.2 中标结果公告内容包括采购人及其委托的采购中心的名称、地址、联系方式，项目名称和项目编号，中标人名称、地址和中标金额，主要中标标的的名称、数量、单价、服务要求，中标公告期限以及评审专家名单。</w:t>
      </w:r>
    </w:p>
    <w:p w14:paraId="1ECDFBA0">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21.3 中标公告期限为1个工作日。</w:t>
      </w:r>
    </w:p>
    <w:p w14:paraId="37CD29A8">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21.4 在公告中标结果的同时，</w:t>
      </w:r>
      <w:r>
        <w:rPr>
          <w:rFonts w:hint="eastAsia" w:ascii="宋体" w:hAnsi="宋体" w:cs="宋体"/>
          <w:color w:val="000000"/>
          <w:shd w:val="clear" w:color="auto" w:fill="FFFFFF"/>
        </w:rPr>
        <w:t>采购中心</w:t>
      </w:r>
      <w:r>
        <w:rPr>
          <w:rFonts w:hint="eastAsia" w:ascii="宋体" w:hAnsi="宋体" w:cs="宋体"/>
          <w:color w:val="000000"/>
          <w:kern w:val="0"/>
        </w:rPr>
        <w:t>向中标人发出中标通知书；对投标无效的投标人，</w:t>
      </w:r>
      <w:r>
        <w:rPr>
          <w:rFonts w:hint="eastAsia" w:ascii="宋体" w:hAnsi="宋体" w:cs="宋体"/>
          <w:color w:val="000000"/>
          <w:kern w:val="0"/>
          <w:lang w:eastAsia="zh-CN"/>
        </w:rPr>
        <w:t>格尔木市政务服务和公共资源交易中心</w:t>
      </w:r>
      <w:r>
        <w:rPr>
          <w:rFonts w:hint="eastAsia" w:ascii="宋体" w:hAnsi="宋体" w:cs="宋体"/>
          <w:color w:val="000000"/>
          <w:kern w:val="0"/>
        </w:rPr>
        <w:t>告知其投标无效的原因；采用综合评分法评审的，还告知未中标人本人的评审得分与排序。</w:t>
      </w:r>
    </w:p>
    <w:p w14:paraId="3B8D212C">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21.5 中标通知书发出后，采购人不得违法改变中标结果，中标人无正当理由不得放弃中标。</w:t>
      </w:r>
    </w:p>
    <w:p w14:paraId="0D6A9E69">
      <w:pPr>
        <w:pStyle w:val="28"/>
        <w:spacing w:before="0" w:after="0" w:line="360" w:lineRule="auto"/>
        <w:rPr>
          <w:rFonts w:hint="eastAsia" w:ascii="宋体" w:hAnsi="宋体" w:cs="宋体"/>
          <w:color w:val="000000"/>
          <w:lang w:val="zh-CN"/>
        </w:rPr>
      </w:pPr>
      <w:bookmarkStart w:id="39" w:name="_Toc4187"/>
      <w:r>
        <w:rPr>
          <w:rFonts w:hint="eastAsia" w:ascii="宋体" w:hAnsi="宋体" w:cs="宋体"/>
          <w:color w:val="000000"/>
          <w:lang w:val="zh-CN"/>
        </w:rPr>
        <w:t>九、授予合同</w:t>
      </w:r>
      <w:bookmarkEnd w:id="39"/>
    </w:p>
    <w:p w14:paraId="4AED5425">
      <w:pPr>
        <w:pStyle w:val="28"/>
        <w:spacing w:before="0" w:after="0" w:line="360" w:lineRule="auto"/>
        <w:jc w:val="left"/>
        <w:rPr>
          <w:rFonts w:hint="eastAsia" w:ascii="宋体" w:hAnsi="宋体" w:cs="宋体"/>
          <w:color w:val="000000"/>
          <w:kern w:val="0"/>
          <w:sz w:val="24"/>
        </w:rPr>
      </w:pPr>
      <w:bookmarkStart w:id="40" w:name="_Toc31251"/>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.签订合同</w:t>
      </w:r>
      <w:bookmarkEnd w:id="40"/>
    </w:p>
    <w:p w14:paraId="1D3F26C6">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采购人自中标通知书发出之日起30日内，按照招标文件和中标人投标文件的规定，与中标人签订书面合同。所签订的合同不得对招标文件确定的事项和中标人投标文件作实质性修改。</w:t>
      </w:r>
    </w:p>
    <w:p w14:paraId="27481A0B">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采购人不得向中标人提出任何不合理的要求作为签订合同的条件。</w:t>
      </w:r>
    </w:p>
    <w:p w14:paraId="4A6FE532">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2</w:t>
      </w:r>
      <w:r>
        <w:rPr>
          <w:rFonts w:hint="eastAsia" w:ascii="宋体" w:hAnsi="宋体" w:cs="宋体"/>
          <w:color w:val="000000"/>
          <w:kern w:val="0"/>
          <w:lang w:val="zh-CN"/>
        </w:rPr>
        <w:t>.2 签订合同时，可将中标人的投标保证金转为中标人的履约保证金或中标人以支票、汇票、本票等非现金形式向采购人指定的账户缴纳履约保证金。履约保证金的数额由采购人确定，但不得超出采购合同总金额的10%。</w:t>
      </w:r>
    </w:p>
    <w:p w14:paraId="786693B0">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2</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14:paraId="2D28C52B">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2</w:t>
      </w:r>
      <w:r>
        <w:rPr>
          <w:rFonts w:hint="eastAsia" w:ascii="宋体" w:hAnsi="宋体" w:cs="宋体"/>
          <w:color w:val="000000"/>
          <w:kern w:val="0"/>
          <w:lang w:val="zh-CN"/>
        </w:rPr>
        <w:t>.4</w:t>
      </w:r>
      <w:r>
        <w:rPr>
          <w:rFonts w:hint="eastAsia" w:ascii="宋体" w:hAnsi="宋体" w:cs="宋体"/>
          <w:color w:val="000000"/>
          <w:kern w:val="0"/>
          <w:lang w:bidi="ar"/>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14:paraId="64B724FF">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14:paraId="6706DCE0">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22.6 采购人与中标人根据合同的约定依法履行合同义务。政府采购合同的履行、违约责任和解决争议的方法等适用《中华人民共和国民法典》。</w:t>
      </w:r>
    </w:p>
    <w:p w14:paraId="6B553D5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22.7</w:t>
      </w:r>
      <w:r>
        <w:rPr>
          <w:rFonts w:hint="eastAsia"/>
          <w:color w:val="000000"/>
        </w:rPr>
        <w:t>采购中心按照政府采购合同规定的技术、服务、安全标准组织对供应商履约情况进行验收，并出具验收书。验收书包括每一项技术、服务、安全标准的履约情况。</w:t>
      </w:r>
    </w:p>
    <w:p w14:paraId="32AFBDCA">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22.8</w:t>
      </w:r>
      <w:r>
        <w:rPr>
          <w:rFonts w:ascii="宋体" w:hAnsi="宋体" w:cs="宋体"/>
          <w:color w:val="000000"/>
          <w:kern w:val="0"/>
        </w:rPr>
        <w:t xml:space="preserve"> </w:t>
      </w:r>
      <w:r>
        <w:rPr>
          <w:rFonts w:hint="eastAsia" w:ascii="宋体" w:hAnsi="宋体" w:cs="宋体"/>
          <w:color w:val="000000"/>
          <w:kern w:val="0"/>
        </w:rPr>
        <w:t>采购人可以邀请参加本项目的其他投标人或者第三方机构参与验收。参与验收的投标人或者第三方机构的意见作为验收书的参考资料一并存档。</w:t>
      </w:r>
    </w:p>
    <w:p w14:paraId="50FFB6B2">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22.9</w:t>
      </w:r>
      <w:r>
        <w:rPr>
          <w:rFonts w:ascii="宋体" w:hAnsi="宋体" w:cs="宋体"/>
          <w:color w:val="000000"/>
          <w:kern w:val="0"/>
        </w:rPr>
        <w:t xml:space="preserve"> </w:t>
      </w:r>
      <w:r>
        <w:rPr>
          <w:rFonts w:hint="eastAsia" w:ascii="宋体" w:hAnsi="宋体" w:cs="宋体"/>
          <w:color w:val="000000"/>
          <w:kern w:val="0"/>
        </w:rPr>
        <w:t>采购人加强对中标人的履约管理，并按照采购合同约定，及时向中标人支付采购资金。对于中标人违反采购合同约定的行为，采购人及时处理，依法追究其违约责任。</w:t>
      </w:r>
    </w:p>
    <w:p w14:paraId="3BDF7973">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22.10 采购人、采购中心建立真实完整的招标采购档案，妥善保存每项采购活动的采购文件。</w:t>
      </w:r>
    </w:p>
    <w:p w14:paraId="541603A9">
      <w:pPr>
        <w:pStyle w:val="28"/>
        <w:spacing w:before="0" w:after="0" w:line="360" w:lineRule="auto"/>
        <w:rPr>
          <w:rFonts w:hint="eastAsia" w:ascii="宋体" w:hAnsi="宋体" w:cs="宋体"/>
          <w:color w:val="000000"/>
          <w:lang w:val="zh-CN"/>
        </w:rPr>
      </w:pPr>
    </w:p>
    <w:p w14:paraId="5F2B8B2D">
      <w:pPr>
        <w:pStyle w:val="28"/>
        <w:spacing w:before="0" w:after="0" w:line="360" w:lineRule="auto"/>
        <w:rPr>
          <w:rFonts w:hint="eastAsia" w:ascii="宋体" w:hAnsi="宋体" w:cs="宋体"/>
          <w:color w:val="000000"/>
          <w:lang w:val="zh-CN"/>
        </w:rPr>
      </w:pPr>
      <w:bookmarkStart w:id="41" w:name="_Toc29521"/>
      <w:r>
        <w:rPr>
          <w:rFonts w:hint="eastAsia" w:ascii="宋体" w:hAnsi="宋体" w:cs="宋体"/>
          <w:color w:val="000000"/>
          <w:lang w:val="zh-CN"/>
        </w:rPr>
        <w:t>十、其他</w:t>
      </w:r>
      <w:bookmarkEnd w:id="41"/>
    </w:p>
    <w:p w14:paraId="7AD9E3C5">
      <w:pPr>
        <w:pStyle w:val="28"/>
        <w:spacing w:before="0" w:after="0" w:line="360" w:lineRule="auto"/>
        <w:jc w:val="left"/>
        <w:rPr>
          <w:rFonts w:ascii="宋体" w:hAnsi="宋体" w:cs="宋体"/>
          <w:color w:val="000000"/>
          <w:sz w:val="28"/>
          <w:szCs w:val="28"/>
        </w:rPr>
      </w:pPr>
      <w:bookmarkStart w:id="42" w:name="_Toc32474"/>
      <w:r>
        <w:rPr>
          <w:rFonts w:hint="eastAsia" w:ascii="宋体" w:hAnsi="宋体" w:cs="宋体"/>
          <w:color w:val="000000"/>
          <w:sz w:val="28"/>
          <w:szCs w:val="28"/>
        </w:rPr>
        <w:t>23. 串通投标的情形</w:t>
      </w:r>
      <w:bookmarkEnd w:id="42"/>
    </w:p>
    <w:p w14:paraId="463848D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23.1投标人遵循公平竞争的原则，不得恶意串通，不得妨碍其他投标人的竞争行为，不得损害采购人或者其他投标人的合法权益。在评标过程中发现投标人有上述情形的，评标委员会认定其投标无效，并书面报告本级财政部门。</w:t>
      </w:r>
    </w:p>
    <w:p w14:paraId="16F59CE1">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14:paraId="084436F8">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（1）不同投标人的投标文件由同一单位或者个人编制；</w:t>
      </w:r>
    </w:p>
    <w:p w14:paraId="39506669">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（2）不同投标人委托同一单位或者个人办理投标事宜；</w:t>
      </w:r>
    </w:p>
    <w:p w14:paraId="226763A0">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14:paraId="6F5EFA4C">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（4）不同投标人的投标文件异常一致或者投标报价呈规律性差异；</w:t>
      </w:r>
    </w:p>
    <w:p w14:paraId="36D3A92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14:paraId="4C568594">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（6）不同投标人的投标保证金从同一单位或者个人的账户转出。</w:t>
      </w:r>
    </w:p>
    <w:p w14:paraId="54306F7B">
      <w:pPr>
        <w:pStyle w:val="28"/>
        <w:spacing w:before="0" w:after="0" w:line="360" w:lineRule="auto"/>
        <w:jc w:val="left"/>
        <w:rPr>
          <w:rFonts w:ascii="宋体" w:hAnsi="宋体" w:cs="宋体"/>
          <w:color w:val="000000"/>
          <w:sz w:val="28"/>
          <w:szCs w:val="28"/>
        </w:rPr>
      </w:pPr>
      <w:bookmarkStart w:id="43" w:name="_Toc26401"/>
      <w:r>
        <w:rPr>
          <w:rFonts w:hint="eastAsia" w:ascii="宋体" w:hAnsi="宋体" w:cs="宋体"/>
          <w:color w:val="000000"/>
          <w:sz w:val="28"/>
          <w:szCs w:val="28"/>
        </w:rPr>
        <w:t>24. 废标</w:t>
      </w:r>
      <w:bookmarkEnd w:id="43"/>
    </w:p>
    <w:p w14:paraId="3B3C3610">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24.1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14:paraId="5675EED0">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14:paraId="7B1D2A86">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（2）出现影响采购公正的违法、违规行为的。</w:t>
      </w:r>
    </w:p>
    <w:p w14:paraId="7C888597">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（3）投标人的报价均超出采购预算，采购人不能支付的。</w:t>
      </w:r>
    </w:p>
    <w:p w14:paraId="7569A74A">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（4）因重大变故，采购任务取消的。</w:t>
      </w:r>
    </w:p>
    <w:p w14:paraId="7BF0A88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w:t>
      </w:r>
      <w:r>
        <w:rPr>
          <w:rFonts w:hint="eastAsia" w:ascii="宋体" w:hAnsi="宋体" w:cs="宋体"/>
          <w:color w:val="000000"/>
          <w:kern w:val="0"/>
          <w:lang w:eastAsia="zh-CN"/>
        </w:rPr>
        <w:t>格尔木市政务服务和公共资源交易中心</w:t>
      </w:r>
      <w:r>
        <w:rPr>
          <w:rFonts w:hint="eastAsia" w:ascii="宋体" w:hAnsi="宋体" w:cs="宋体"/>
          <w:color w:val="000000"/>
          <w:kern w:val="0"/>
        </w:rPr>
        <w:t>发布废标公告。</w:t>
      </w:r>
    </w:p>
    <w:p w14:paraId="011CFB3A">
      <w:pPr>
        <w:autoSpaceDE w:val="0"/>
        <w:autoSpaceDN w:val="0"/>
        <w:spacing w:line="360" w:lineRule="auto"/>
        <w:ind w:firstLine="480" w:firstLineChars="200"/>
        <w:rPr>
          <w:rFonts w:hint="eastAsia" w:ascii="宋体" w:hAnsi="宋体" w:cs="宋体"/>
          <w:color w:val="000000"/>
          <w:kern w:val="0"/>
        </w:rPr>
      </w:pPr>
      <w:r>
        <w:rPr>
          <w:rFonts w:ascii="宋体" w:hAnsi="宋体" w:cs="宋体"/>
          <w:color w:val="000000"/>
          <w:kern w:val="0"/>
        </w:rPr>
        <w:t>2</w:t>
      </w:r>
      <w:r>
        <w:rPr>
          <w:rFonts w:hint="eastAsia" w:ascii="宋体" w:hAnsi="宋体" w:cs="宋体"/>
          <w:color w:val="000000"/>
          <w:kern w:val="0"/>
        </w:rPr>
        <w:t>4</w:t>
      </w:r>
      <w:r>
        <w:rPr>
          <w:rFonts w:ascii="宋体" w:hAnsi="宋体" w:cs="宋体"/>
          <w:color w:val="000000"/>
          <w:kern w:val="0"/>
        </w:rPr>
        <w:t xml:space="preserve">.2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14:paraId="056160A7">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（1）招标文件存在不合理条款或者招标程序不符合规定的，采购人、采购中心改正后依法重新招标；</w:t>
      </w:r>
    </w:p>
    <w:p w14:paraId="1D846416">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（2）招标文件没有不合理条款、招标程序符合规定，需要采用其他采购方式采购的，采购人依法报财政部门批准。</w:t>
      </w:r>
    </w:p>
    <w:p w14:paraId="3041A3BF">
      <w:pPr>
        <w:autoSpaceDE w:val="0"/>
        <w:autoSpaceDN w:val="0"/>
        <w:spacing w:line="360" w:lineRule="auto"/>
        <w:ind w:firstLine="480" w:firstLineChars="200"/>
        <w:jc w:val="left"/>
        <w:rPr>
          <w:rFonts w:hint="eastAsia" w:ascii="宋体" w:hAnsi="宋体" w:cs="宋体"/>
          <w:color w:val="000000"/>
          <w:kern w:val="0"/>
        </w:rPr>
      </w:pPr>
      <w:r>
        <w:rPr>
          <w:rFonts w:hint="eastAsia" w:ascii="宋体" w:hAnsi="宋体" w:cs="宋体"/>
          <w:color w:val="000000"/>
          <w:kern w:val="0"/>
          <w:lang w:val="zh-CN"/>
        </w:rPr>
        <w:t>其他未尽事宜，按照《中华人民共和国政府采购法》《中华人民共和国政府采购法实施条例》《中华人民共和国</w:t>
      </w:r>
      <w:r>
        <w:rPr>
          <w:rFonts w:hint="eastAsia" w:ascii="宋体" w:hAnsi="宋体" w:cs="宋体"/>
          <w:color w:val="000000"/>
          <w:kern w:val="0"/>
        </w:rPr>
        <w:t>民法典</w:t>
      </w:r>
      <w:r>
        <w:rPr>
          <w:rFonts w:hint="eastAsia" w:ascii="宋体" w:hAnsi="宋体" w:cs="宋体"/>
          <w:color w:val="000000"/>
          <w:kern w:val="0"/>
          <w:lang w:val="zh-CN"/>
        </w:rPr>
        <w:t>》等法律法规的有关条款执行。</w:t>
      </w:r>
    </w:p>
    <w:p w14:paraId="3A2D68D4">
      <w:pPr>
        <w:pStyle w:val="28"/>
        <w:spacing w:before="0" w:after="0" w:line="360" w:lineRule="auto"/>
        <w:rPr>
          <w:color w:val="000000"/>
          <w:sz w:val="32"/>
        </w:rPr>
      </w:pPr>
      <w:r>
        <w:rPr>
          <w:rFonts w:hint="eastAsia" w:ascii="宋体" w:hAnsi="宋体" w:cs="宋体"/>
          <w:color w:val="000000"/>
          <w:szCs w:val="36"/>
          <w:lang w:val="zh-CN"/>
        </w:rPr>
        <w:br w:type="page"/>
      </w:r>
      <w:bookmarkStart w:id="44" w:name="_Toc31638"/>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格尔木市政府采购项目合同书范本</w:t>
      </w:r>
      <w:bookmarkEnd w:id="44"/>
    </w:p>
    <w:p w14:paraId="205B3FC2">
      <w:pPr>
        <w:snapToGrid w:val="0"/>
        <w:spacing w:after="120" w:line="560" w:lineRule="exact"/>
        <w:jc w:val="center"/>
        <w:rPr>
          <w:rFonts w:ascii="宋体" w:hAnsi="宋体"/>
          <w:b/>
          <w:bCs/>
          <w:color w:val="000000"/>
          <w:kern w:val="28"/>
          <w:sz w:val="36"/>
          <w:szCs w:val="36"/>
        </w:rPr>
      </w:pPr>
    </w:p>
    <w:p w14:paraId="443477C7">
      <w:pPr>
        <w:spacing w:line="560" w:lineRule="exact"/>
        <w:rPr>
          <w:rFonts w:ascii="宋体"/>
          <w:color w:val="000000"/>
        </w:rPr>
      </w:pPr>
    </w:p>
    <w:p w14:paraId="4276991E">
      <w:pPr>
        <w:spacing w:line="560" w:lineRule="exact"/>
        <w:rPr>
          <w:rFonts w:ascii="宋体"/>
          <w:color w:val="000000"/>
        </w:rPr>
      </w:pPr>
    </w:p>
    <w:p w14:paraId="40D516D2">
      <w:pPr>
        <w:spacing w:line="560" w:lineRule="exact"/>
        <w:rPr>
          <w:rFonts w:ascii="宋体"/>
          <w:color w:val="000000"/>
        </w:rPr>
      </w:pPr>
    </w:p>
    <w:p w14:paraId="475E2E79">
      <w:pPr>
        <w:autoSpaceDE w:val="0"/>
        <w:autoSpaceDN w:val="0"/>
        <w:spacing w:line="560" w:lineRule="exact"/>
        <w:rPr>
          <w:rFonts w:ascii="宋体" w:hAnsi="宋体"/>
          <w:b/>
          <w:bCs/>
          <w:color w:val="000000"/>
          <w:sz w:val="48"/>
          <w:szCs w:val="48"/>
        </w:rPr>
      </w:pPr>
    </w:p>
    <w:p w14:paraId="3440F1B0">
      <w:pPr>
        <w:pStyle w:val="2"/>
        <w:ind w:firstLine="1446" w:firstLineChars="300"/>
        <w:jc w:val="left"/>
        <w:rPr>
          <w:sz w:val="48"/>
          <w:szCs w:val="48"/>
        </w:rPr>
      </w:pPr>
      <w:bookmarkStart w:id="45" w:name="_Toc19599"/>
      <w:bookmarkStart w:id="46" w:name="_Toc3367909"/>
      <w:bookmarkStart w:id="47" w:name="_Toc3974"/>
      <w:bookmarkStart w:id="48" w:name="_Toc18942"/>
      <w:bookmarkStart w:id="49" w:name="_Toc32247"/>
      <w:bookmarkStart w:id="50" w:name="_Toc23610"/>
      <w:bookmarkStart w:id="51" w:name="_Toc21093"/>
      <w:bookmarkStart w:id="52" w:name="_Toc10434"/>
      <w:r>
        <w:rPr>
          <w:rFonts w:hint="eastAsia"/>
          <w:sz w:val="48"/>
          <w:szCs w:val="48"/>
          <w:lang w:eastAsia="zh-CN"/>
        </w:rPr>
        <w:t>格尔木市政府采购项目</w:t>
      </w:r>
      <w:r>
        <w:rPr>
          <w:rFonts w:hint="eastAsia"/>
          <w:sz w:val="48"/>
          <w:szCs w:val="48"/>
        </w:rPr>
        <w:t>合同书</w:t>
      </w:r>
      <w:bookmarkEnd w:id="45"/>
      <w:bookmarkEnd w:id="46"/>
      <w:bookmarkEnd w:id="47"/>
      <w:bookmarkEnd w:id="48"/>
      <w:bookmarkEnd w:id="49"/>
      <w:bookmarkEnd w:id="50"/>
      <w:bookmarkEnd w:id="51"/>
      <w:bookmarkEnd w:id="52"/>
    </w:p>
    <w:p w14:paraId="08A528FF">
      <w:pPr>
        <w:ind w:firstLine="480"/>
      </w:pPr>
    </w:p>
    <w:p w14:paraId="36AA3DB4">
      <w:pPr>
        <w:ind w:firstLine="480"/>
      </w:pPr>
    </w:p>
    <w:p w14:paraId="3C4C1683">
      <w:pPr>
        <w:ind w:firstLine="480"/>
      </w:pPr>
    </w:p>
    <w:p w14:paraId="504EC96E">
      <w:pPr>
        <w:ind w:firstLine="480"/>
      </w:pPr>
    </w:p>
    <w:p w14:paraId="222CB28E">
      <w:pPr>
        <w:ind w:firstLine="480"/>
      </w:pPr>
    </w:p>
    <w:p w14:paraId="224F401E">
      <w:pPr>
        <w:ind w:firstLine="480"/>
      </w:pPr>
    </w:p>
    <w:p w14:paraId="715411B4">
      <w:pPr>
        <w:ind w:firstLine="480"/>
      </w:pPr>
    </w:p>
    <w:p w14:paraId="73054D99">
      <w:pPr>
        <w:ind w:firstLine="480"/>
      </w:pPr>
    </w:p>
    <w:p w14:paraId="2155C071">
      <w:pPr>
        <w:ind w:firstLine="480"/>
      </w:pPr>
    </w:p>
    <w:p w14:paraId="0368AAC4">
      <w:pPr>
        <w:ind w:firstLine="480"/>
      </w:pPr>
    </w:p>
    <w:p w14:paraId="68E028A6">
      <w:pPr>
        <w:ind w:firstLine="480"/>
      </w:pPr>
    </w:p>
    <w:p w14:paraId="3EC99A22">
      <w:pPr>
        <w:ind w:firstLine="480"/>
      </w:pPr>
    </w:p>
    <w:p w14:paraId="74C15A73">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14:paraId="7A9A0101">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14:paraId="08349E2C">
      <w:pPr>
        <w:spacing w:line="360" w:lineRule="auto"/>
        <w:ind w:firstLine="602"/>
        <w:rPr>
          <w:b/>
          <w:sz w:val="30"/>
          <w:szCs w:val="30"/>
          <w:u w:val="single"/>
        </w:rPr>
      </w:pPr>
      <w:r>
        <w:rPr>
          <w:rFonts w:hint="eastAsia"/>
          <w:b/>
          <w:sz w:val="30"/>
          <w:szCs w:val="30"/>
        </w:rPr>
        <w:t>采购合同编号：</w:t>
      </w:r>
      <w:r>
        <w:rPr>
          <w:rFonts w:hint="eastAsia"/>
          <w:b/>
          <w:sz w:val="30"/>
          <w:szCs w:val="30"/>
          <w:u w:val="single"/>
        </w:rPr>
        <w:t xml:space="preserve">                                 </w:t>
      </w:r>
    </w:p>
    <w:p w14:paraId="5803C862">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14:paraId="36B16358">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14:paraId="33FE8618">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14:paraId="7BFA66BA">
      <w:pPr>
        <w:spacing w:line="360" w:lineRule="auto"/>
        <w:ind w:firstLine="602"/>
        <w:rPr>
          <w:b/>
          <w:sz w:val="30"/>
          <w:szCs w:val="30"/>
        </w:rPr>
      </w:pPr>
      <w:r>
        <w:rPr>
          <w:rFonts w:hint="eastAsia"/>
          <w:b/>
          <w:sz w:val="30"/>
          <w:szCs w:val="30"/>
          <w:lang w:val="en-US" w:eastAsia="zh-CN"/>
        </w:rPr>
        <w:t>采购日期</w:t>
      </w:r>
      <w:r>
        <w:rPr>
          <w:rFonts w:hint="eastAsia"/>
          <w:b/>
          <w:sz w:val="30"/>
          <w:szCs w:val="30"/>
        </w:rPr>
        <w:t>：</w:t>
      </w:r>
      <w:r>
        <w:rPr>
          <w:rFonts w:hint="eastAsia"/>
          <w:b/>
          <w:sz w:val="30"/>
          <w:szCs w:val="30"/>
          <w:u w:val="single"/>
        </w:rPr>
        <w:t xml:space="preserve">                                      </w:t>
      </w:r>
    </w:p>
    <w:p w14:paraId="618EAB35">
      <w:pPr>
        <w:ind w:firstLine="482"/>
        <w:rPr>
          <w:rFonts w:hint="eastAsia" w:ascii="宋体" w:hAnsi="宋体"/>
          <w:b/>
          <w:bCs/>
        </w:rPr>
      </w:pPr>
    </w:p>
    <w:p w14:paraId="666BB0E1">
      <w:pPr>
        <w:ind w:firstLine="482"/>
        <w:rPr>
          <w:rFonts w:hint="eastAsia" w:ascii="宋体" w:hAnsi="宋体"/>
          <w:b/>
          <w:bCs/>
        </w:rPr>
      </w:pPr>
    </w:p>
    <w:p w14:paraId="5FA4ED1F">
      <w:pPr>
        <w:pStyle w:val="77"/>
        <w:rPr>
          <w:rFonts w:hint="eastAsia"/>
        </w:rPr>
      </w:pPr>
    </w:p>
    <w:p w14:paraId="7949966B">
      <w:pPr>
        <w:autoSpaceDE w:val="0"/>
        <w:autoSpaceDN w:val="0"/>
        <w:adjustRightInd w:val="0"/>
        <w:spacing w:line="360" w:lineRule="auto"/>
        <w:jc w:val="left"/>
        <w:rPr>
          <w:rFonts w:ascii="宋体" w:hAnsi="宋体"/>
          <w:b/>
          <w:bCs/>
          <w:kern w:val="0"/>
          <w:sz w:val="28"/>
          <w:szCs w:val="28"/>
        </w:rPr>
      </w:pPr>
      <w:r>
        <w:rPr>
          <w:rFonts w:hint="eastAsia" w:ascii="宋体" w:hAnsi="宋体"/>
          <w:b/>
          <w:bCs/>
          <w:kern w:val="0"/>
          <w:sz w:val="28"/>
          <w:szCs w:val="28"/>
          <w:lang w:val="zh-CN"/>
        </w:rPr>
        <w:t>采</w:t>
      </w:r>
      <w:r>
        <w:rPr>
          <w:rFonts w:hint="eastAsia" w:ascii="宋体" w:hAnsi="宋体"/>
          <w:b/>
          <w:bCs/>
          <w:kern w:val="0"/>
          <w:sz w:val="28"/>
          <w:szCs w:val="28"/>
        </w:rPr>
        <w:t xml:space="preserve"> </w:t>
      </w:r>
      <w:r>
        <w:rPr>
          <w:rFonts w:hint="eastAsia" w:ascii="宋体" w:hAnsi="宋体"/>
          <w:b/>
          <w:bCs/>
          <w:kern w:val="0"/>
          <w:sz w:val="28"/>
          <w:szCs w:val="28"/>
          <w:lang w:val="zh-CN"/>
        </w:rPr>
        <w:t>购</w:t>
      </w:r>
      <w:r>
        <w:rPr>
          <w:rFonts w:hint="eastAsia" w:ascii="宋体" w:hAnsi="宋体"/>
          <w:b/>
          <w:bCs/>
          <w:kern w:val="0"/>
          <w:sz w:val="28"/>
          <w:szCs w:val="28"/>
        </w:rPr>
        <w:t xml:space="preserve"> </w:t>
      </w:r>
      <w:r>
        <w:rPr>
          <w:rFonts w:hint="eastAsia" w:ascii="宋体" w:hAnsi="宋体"/>
          <w:b/>
          <w:bCs/>
          <w:kern w:val="0"/>
          <w:sz w:val="28"/>
          <w:szCs w:val="28"/>
          <w:lang w:val="zh-CN"/>
        </w:rPr>
        <w:t>人（以下简称甲方）：</w:t>
      </w:r>
    </w:p>
    <w:p w14:paraId="5BF607D7">
      <w:pPr>
        <w:autoSpaceDE w:val="0"/>
        <w:autoSpaceDN w:val="0"/>
        <w:adjustRightInd w:val="0"/>
        <w:spacing w:line="360" w:lineRule="auto"/>
        <w:rPr>
          <w:rFonts w:ascii="宋体" w:hAnsi="宋体"/>
          <w:kern w:val="0"/>
          <w:sz w:val="28"/>
          <w:szCs w:val="28"/>
        </w:rPr>
      </w:pPr>
      <w:r>
        <w:rPr>
          <w:rFonts w:hint="eastAsia" w:ascii="宋体" w:hAnsi="宋体"/>
          <w:b/>
          <w:bCs/>
          <w:kern w:val="0"/>
          <w:sz w:val="30"/>
          <w:szCs w:val="30"/>
          <w:lang w:val="zh-CN"/>
        </w:rPr>
        <w:t>中</w:t>
      </w:r>
      <w:r>
        <w:rPr>
          <w:rFonts w:hint="eastAsia" w:ascii="宋体" w:hAnsi="宋体"/>
          <w:b/>
          <w:bCs/>
          <w:kern w:val="0"/>
          <w:sz w:val="30"/>
          <w:szCs w:val="30"/>
        </w:rPr>
        <w:t xml:space="preserve"> </w:t>
      </w:r>
      <w:r>
        <w:rPr>
          <w:rFonts w:hint="eastAsia" w:ascii="宋体" w:hAnsi="宋体"/>
          <w:b/>
          <w:bCs/>
          <w:kern w:val="0"/>
          <w:sz w:val="30"/>
          <w:szCs w:val="30"/>
          <w:lang w:val="zh-CN"/>
        </w:rPr>
        <w:t>标</w:t>
      </w:r>
      <w:r>
        <w:rPr>
          <w:rFonts w:hint="eastAsia" w:ascii="宋体" w:hAnsi="宋体"/>
          <w:b/>
          <w:bCs/>
          <w:kern w:val="0"/>
          <w:sz w:val="30"/>
          <w:szCs w:val="30"/>
        </w:rPr>
        <w:t xml:space="preserve"> </w:t>
      </w:r>
      <w:r>
        <w:rPr>
          <w:rFonts w:hint="eastAsia" w:ascii="宋体" w:hAnsi="宋体"/>
          <w:b/>
          <w:bCs/>
          <w:kern w:val="0"/>
          <w:sz w:val="30"/>
          <w:szCs w:val="30"/>
          <w:lang w:val="zh-CN"/>
        </w:rPr>
        <w:t>人</w:t>
      </w:r>
      <w:r>
        <w:rPr>
          <w:rFonts w:hint="eastAsia" w:ascii="宋体" w:hAnsi="宋体"/>
          <w:b/>
          <w:bCs/>
          <w:kern w:val="0"/>
          <w:sz w:val="28"/>
          <w:szCs w:val="28"/>
          <w:lang w:val="zh-CN"/>
        </w:rPr>
        <w:t>（以下简称乙方）：</w:t>
      </w:r>
    </w:p>
    <w:p w14:paraId="10333663">
      <w:pPr>
        <w:autoSpaceDE w:val="0"/>
        <w:autoSpaceDN w:val="0"/>
        <w:spacing w:line="360" w:lineRule="auto"/>
        <w:ind w:firstLine="480" w:firstLineChars="200"/>
        <w:rPr>
          <w:rFonts w:ascii="宋体" w:hAnsi="宋体"/>
          <w:kern w:val="0"/>
          <w:lang w:val="zh-CN"/>
        </w:rPr>
      </w:pPr>
      <w:r>
        <w:rPr>
          <w:rFonts w:hint="eastAsia" w:ascii="宋体" w:hAnsi="宋体"/>
          <w:kern w:val="0"/>
          <w:lang w:val="zh-CN"/>
        </w:rPr>
        <w:t>甲、乙双方根据</w:t>
      </w:r>
      <w:r>
        <w:rPr>
          <w:rFonts w:hint="eastAsia" w:ascii="宋体" w:hAnsi="宋体"/>
          <w:kern w:val="0"/>
        </w:rPr>
        <w:t>20</w:t>
      </w:r>
      <w:r>
        <w:rPr>
          <w:rFonts w:hint="eastAsia" w:ascii="宋体" w:hAnsi="宋体"/>
          <w:kern w:val="0"/>
          <w:lang w:val="zh-CN"/>
        </w:rPr>
        <w:t>2</w:t>
      </w:r>
      <w:r>
        <w:rPr>
          <w:rFonts w:hint="eastAsia" w:ascii="宋体" w:hAnsi="宋体"/>
          <w:kern w:val="0"/>
          <w:lang w:val="en-US" w:eastAsia="zh-CN"/>
        </w:rPr>
        <w:t>*</w:t>
      </w:r>
      <w:r>
        <w:rPr>
          <w:rFonts w:hint="eastAsia" w:ascii="宋体" w:hAnsi="宋体"/>
          <w:kern w:val="0"/>
          <w:lang w:val="zh-CN"/>
        </w:rPr>
        <w:t>年XX月XX日（采购项目名称）采购项目（采购项目编号）的招标文件要求和采购代理机构出具的《中标通知书》，并经双方协商一致，签订本合同协议书。</w:t>
      </w:r>
    </w:p>
    <w:p w14:paraId="24236C97">
      <w:pPr>
        <w:autoSpaceDE w:val="0"/>
        <w:autoSpaceDN w:val="0"/>
        <w:spacing w:line="360" w:lineRule="auto"/>
        <w:rPr>
          <w:rFonts w:ascii="宋体" w:hAnsi="宋体"/>
          <w:kern w:val="0"/>
          <w:lang w:val="zh-CN"/>
        </w:rPr>
      </w:pPr>
      <w:r>
        <w:rPr>
          <w:rFonts w:hint="eastAsia" w:ascii="宋体" w:hAnsi="宋体"/>
          <w:kern w:val="0"/>
          <w:lang w:val="zh-CN"/>
        </w:rPr>
        <w:t>一、签订本政府采购合同的依据</w:t>
      </w:r>
    </w:p>
    <w:p w14:paraId="29997A29">
      <w:pPr>
        <w:autoSpaceDE w:val="0"/>
        <w:autoSpaceDN w:val="0"/>
        <w:spacing w:line="360" w:lineRule="auto"/>
        <w:ind w:firstLine="480"/>
        <w:rPr>
          <w:rFonts w:ascii="宋体" w:hAnsi="宋体"/>
          <w:kern w:val="0"/>
          <w:lang w:val="zh-CN"/>
        </w:rPr>
      </w:pPr>
      <w:r>
        <w:rPr>
          <w:rFonts w:hint="eastAsia" w:ascii="宋体" w:hAnsi="宋体"/>
          <w:kern w:val="0"/>
          <w:lang w:val="zh-CN"/>
        </w:rPr>
        <w:t>本政府采购合同所附下列文件是构成本政府采购合同不可分割的部分：</w:t>
      </w:r>
    </w:p>
    <w:p w14:paraId="0A89992D">
      <w:pPr>
        <w:autoSpaceDE w:val="0"/>
        <w:autoSpaceDN w:val="0"/>
        <w:spacing w:line="360" w:lineRule="auto"/>
        <w:ind w:firstLine="480"/>
        <w:rPr>
          <w:rFonts w:ascii="宋体" w:hAnsi="宋体"/>
          <w:kern w:val="0"/>
          <w:lang w:val="zh-CN"/>
        </w:rPr>
      </w:pPr>
      <w:r>
        <w:rPr>
          <w:rFonts w:hint="eastAsia" w:ascii="宋体" w:hAnsi="宋体"/>
          <w:kern w:val="0"/>
          <w:lang w:val="zh-CN"/>
        </w:rPr>
        <w:t>1.招标文件；</w:t>
      </w:r>
    </w:p>
    <w:p w14:paraId="534C9E7E">
      <w:pPr>
        <w:autoSpaceDE w:val="0"/>
        <w:autoSpaceDN w:val="0"/>
        <w:spacing w:line="360" w:lineRule="auto"/>
        <w:ind w:firstLine="480"/>
        <w:rPr>
          <w:rFonts w:ascii="宋体" w:hAnsi="宋体"/>
          <w:kern w:val="0"/>
          <w:lang w:val="zh-CN"/>
        </w:rPr>
      </w:pPr>
      <w:r>
        <w:rPr>
          <w:rFonts w:hint="eastAsia" w:ascii="宋体" w:hAnsi="宋体"/>
          <w:kern w:val="0"/>
          <w:lang w:val="zh-CN"/>
        </w:rPr>
        <w:t>2.招标文件的澄清、变更公告；</w:t>
      </w:r>
    </w:p>
    <w:p w14:paraId="2F93B1DD">
      <w:pPr>
        <w:autoSpaceDE w:val="0"/>
        <w:autoSpaceDN w:val="0"/>
        <w:spacing w:line="360" w:lineRule="auto"/>
        <w:ind w:firstLine="480"/>
        <w:rPr>
          <w:rFonts w:ascii="宋体" w:hAnsi="宋体"/>
          <w:kern w:val="0"/>
          <w:lang w:val="zh-CN"/>
        </w:rPr>
      </w:pPr>
      <w:r>
        <w:rPr>
          <w:rFonts w:hint="eastAsia" w:ascii="宋体" w:hAnsi="宋体"/>
          <w:kern w:val="0"/>
          <w:lang w:val="zh-CN"/>
        </w:rPr>
        <w:t>3.中标人提交的投标文件；</w:t>
      </w:r>
    </w:p>
    <w:p w14:paraId="2F14A4BA">
      <w:pPr>
        <w:autoSpaceDE w:val="0"/>
        <w:autoSpaceDN w:val="0"/>
        <w:spacing w:line="360" w:lineRule="auto"/>
        <w:ind w:firstLine="480"/>
        <w:rPr>
          <w:rFonts w:ascii="宋体" w:hAnsi="宋体"/>
          <w:kern w:val="0"/>
          <w:lang w:val="zh-CN"/>
        </w:rPr>
      </w:pPr>
      <w:r>
        <w:rPr>
          <w:rFonts w:hint="eastAsia" w:ascii="宋体" w:hAnsi="宋体"/>
          <w:kern w:val="0"/>
          <w:lang w:val="zh-CN"/>
        </w:rPr>
        <w:t>4.招标文件中规定的政府采购合同通用条款；</w:t>
      </w:r>
    </w:p>
    <w:p w14:paraId="7272B248">
      <w:pPr>
        <w:autoSpaceDE w:val="0"/>
        <w:autoSpaceDN w:val="0"/>
        <w:spacing w:line="360" w:lineRule="auto"/>
        <w:ind w:firstLine="480"/>
        <w:rPr>
          <w:rFonts w:ascii="宋体" w:hAnsi="宋体"/>
          <w:kern w:val="0"/>
          <w:lang w:val="zh-CN"/>
        </w:rPr>
      </w:pPr>
      <w:r>
        <w:rPr>
          <w:rFonts w:hint="eastAsia" w:ascii="宋体" w:hAnsi="宋体"/>
          <w:kern w:val="0"/>
          <w:lang w:val="zh-CN"/>
        </w:rPr>
        <w:t>5.中标通知书；</w:t>
      </w:r>
    </w:p>
    <w:p w14:paraId="239D7A6E">
      <w:pPr>
        <w:autoSpaceDE w:val="0"/>
        <w:autoSpaceDN w:val="0"/>
        <w:spacing w:line="360" w:lineRule="auto"/>
        <w:ind w:firstLine="480"/>
        <w:rPr>
          <w:rFonts w:ascii="宋体" w:hAnsi="宋体"/>
          <w:kern w:val="0"/>
          <w:lang w:val="zh-CN"/>
        </w:rPr>
      </w:pPr>
      <w:r>
        <w:rPr>
          <w:rFonts w:hint="eastAsia" w:ascii="宋体" w:hAnsi="宋体"/>
          <w:kern w:val="0"/>
          <w:lang w:val="zh-CN"/>
        </w:rPr>
        <w:t>6.履约保证金缴费证明。</w:t>
      </w:r>
    </w:p>
    <w:p w14:paraId="1D4F9519">
      <w:pPr>
        <w:autoSpaceDE w:val="0"/>
        <w:autoSpaceDN w:val="0"/>
        <w:spacing w:line="360" w:lineRule="auto"/>
        <w:rPr>
          <w:rFonts w:ascii="宋体" w:hAnsi="宋体"/>
          <w:kern w:val="0"/>
          <w:lang w:val="zh-CN"/>
        </w:rPr>
      </w:pPr>
      <w:r>
        <w:rPr>
          <w:rFonts w:hint="eastAsia" w:ascii="宋体" w:hAnsi="宋体"/>
          <w:kern w:val="0"/>
          <w:lang w:val="zh-CN"/>
        </w:rPr>
        <w:t>二、合同标的及金额                                       单位：元</w:t>
      </w:r>
    </w:p>
    <w:tbl>
      <w:tblPr>
        <w:tblStyle w:val="33"/>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1CE8AEBF">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0709E8AF">
            <w:pPr>
              <w:autoSpaceDE w:val="0"/>
              <w:autoSpaceDN w:val="0"/>
              <w:spacing w:line="360" w:lineRule="auto"/>
              <w:jc w:val="center"/>
              <w:rPr>
                <w:rFonts w:ascii="宋体" w:hAnsi="宋体" w:eastAsia="宋体" w:cs="Times New Roman"/>
                <w:kern w:val="0"/>
                <w:lang w:val="zh-CN"/>
              </w:rPr>
            </w:pPr>
            <w:r>
              <w:rPr>
                <w:rFonts w:hint="eastAsia" w:ascii="宋体" w:hAnsi="宋体" w:eastAsia="宋体" w:cs="Times New Roman"/>
                <w:kern w:val="0"/>
                <w:lang w:val="zh-CN"/>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63E3A2B3">
            <w:pPr>
              <w:autoSpaceDE w:val="0"/>
              <w:autoSpaceDN w:val="0"/>
              <w:spacing w:line="360" w:lineRule="auto"/>
              <w:jc w:val="center"/>
              <w:rPr>
                <w:rFonts w:ascii="宋体" w:hAnsi="宋体" w:eastAsia="宋体" w:cs="Times New Roman"/>
                <w:kern w:val="0"/>
                <w:lang w:val="zh-CN"/>
              </w:rPr>
            </w:pPr>
            <w:r>
              <w:rPr>
                <w:rFonts w:hint="eastAsia" w:ascii="宋体" w:hAnsi="宋体" w:eastAsia="宋体" w:cs="Times New Roman"/>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0DFD2F7">
            <w:pPr>
              <w:autoSpaceDE w:val="0"/>
              <w:autoSpaceDN w:val="0"/>
              <w:spacing w:line="360" w:lineRule="auto"/>
              <w:jc w:val="center"/>
              <w:rPr>
                <w:rFonts w:ascii="宋体" w:hAnsi="宋体" w:eastAsia="宋体" w:cs="Times New Roman"/>
                <w:kern w:val="0"/>
                <w:lang w:val="zh-CN"/>
              </w:rPr>
            </w:pPr>
            <w:r>
              <w:rPr>
                <w:rFonts w:hint="eastAsia" w:ascii="宋体" w:hAnsi="宋体" w:eastAsia="宋体" w:cs="Times New Roman"/>
                <w:kern w:val="0"/>
                <w:lang w:val="zh-CN"/>
              </w:rPr>
              <w:t>规格型号</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075183CD">
            <w:pPr>
              <w:autoSpaceDE w:val="0"/>
              <w:autoSpaceDN w:val="0"/>
              <w:spacing w:line="360" w:lineRule="auto"/>
              <w:jc w:val="center"/>
              <w:rPr>
                <w:rFonts w:ascii="宋体" w:hAnsi="宋体" w:eastAsia="宋体" w:cs="Times New Roman"/>
                <w:kern w:val="0"/>
                <w:lang w:val="zh-CN"/>
              </w:rPr>
            </w:pPr>
            <w:r>
              <w:rPr>
                <w:rFonts w:hint="eastAsia" w:ascii="宋体" w:hAnsi="宋体" w:eastAsia="宋体" w:cs="Times New Roman"/>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6BCD365">
            <w:pPr>
              <w:autoSpaceDE w:val="0"/>
              <w:autoSpaceDN w:val="0"/>
              <w:spacing w:line="360" w:lineRule="auto"/>
              <w:jc w:val="center"/>
              <w:rPr>
                <w:rFonts w:ascii="宋体" w:hAnsi="宋体" w:eastAsia="宋体" w:cs="Times New Roman"/>
                <w:kern w:val="0"/>
                <w:lang w:val="zh-CN"/>
              </w:rPr>
            </w:pPr>
            <w:r>
              <w:rPr>
                <w:rFonts w:hint="eastAsia" w:ascii="宋体" w:hAnsi="宋体" w:eastAsia="宋体" w:cs="Times New Roman"/>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CEDCEDD">
            <w:pPr>
              <w:autoSpaceDE w:val="0"/>
              <w:autoSpaceDN w:val="0"/>
              <w:spacing w:line="360" w:lineRule="auto"/>
              <w:jc w:val="center"/>
              <w:rPr>
                <w:rFonts w:ascii="宋体" w:hAnsi="宋体" w:eastAsia="宋体" w:cs="Times New Roman"/>
                <w:kern w:val="0"/>
                <w:lang w:val="zh-CN"/>
              </w:rPr>
            </w:pPr>
            <w:r>
              <w:rPr>
                <w:rFonts w:hint="eastAsia" w:ascii="宋体" w:hAnsi="宋体" w:eastAsia="宋体" w:cs="Times New Roman"/>
                <w:kern w:val="0"/>
                <w:lang w:val="zh-CN"/>
              </w:rPr>
              <w:t>总价</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60AD9D7">
            <w:pPr>
              <w:autoSpaceDE w:val="0"/>
              <w:autoSpaceDN w:val="0"/>
              <w:spacing w:line="360" w:lineRule="auto"/>
              <w:jc w:val="center"/>
              <w:rPr>
                <w:rFonts w:ascii="宋体" w:hAnsi="宋体" w:eastAsia="宋体" w:cs="Times New Roman"/>
                <w:kern w:val="0"/>
                <w:lang w:val="zh-CN"/>
              </w:rPr>
            </w:pPr>
            <w:r>
              <w:rPr>
                <w:rFonts w:hint="eastAsia" w:ascii="宋体" w:hAnsi="宋体" w:eastAsia="宋体" w:cs="Times New Roman"/>
                <w:kern w:val="0"/>
                <w:lang w:val="zh-CN"/>
              </w:rPr>
              <w:t>备注</w:t>
            </w:r>
          </w:p>
        </w:tc>
      </w:tr>
      <w:tr w14:paraId="25313B38">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005D46AC">
            <w:pPr>
              <w:autoSpaceDE w:val="0"/>
              <w:autoSpaceDN w:val="0"/>
              <w:spacing w:line="360" w:lineRule="auto"/>
              <w:jc w:val="center"/>
              <w:rPr>
                <w:rFonts w:ascii="宋体" w:hAnsi="宋体" w:eastAsia="宋体" w:cs="Times New Roman"/>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5496787A">
            <w:pPr>
              <w:autoSpaceDE w:val="0"/>
              <w:autoSpaceDN w:val="0"/>
              <w:spacing w:line="360" w:lineRule="auto"/>
              <w:jc w:val="center"/>
              <w:rPr>
                <w:rFonts w:ascii="宋体" w:hAnsi="宋体" w:eastAsia="宋体" w:cs="Times New Roman"/>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6DC72AA">
            <w:pPr>
              <w:autoSpaceDE w:val="0"/>
              <w:autoSpaceDN w:val="0"/>
              <w:spacing w:line="360" w:lineRule="auto"/>
              <w:jc w:val="center"/>
              <w:rPr>
                <w:rFonts w:ascii="宋体" w:hAnsi="宋体" w:eastAsia="宋体" w:cs="Times New Roman"/>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03F6617D">
            <w:pPr>
              <w:autoSpaceDE w:val="0"/>
              <w:autoSpaceDN w:val="0"/>
              <w:spacing w:line="360" w:lineRule="auto"/>
              <w:jc w:val="center"/>
              <w:rPr>
                <w:rFonts w:ascii="宋体" w:hAnsi="宋体" w:eastAsia="宋体" w:cs="Times New Roman"/>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C99FC03">
            <w:pPr>
              <w:autoSpaceDE w:val="0"/>
              <w:autoSpaceDN w:val="0"/>
              <w:spacing w:line="360" w:lineRule="auto"/>
              <w:jc w:val="center"/>
              <w:rPr>
                <w:rFonts w:ascii="宋体" w:hAnsi="宋体" w:eastAsia="宋体" w:cs="Times New Roman"/>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20E38C6">
            <w:pPr>
              <w:autoSpaceDE w:val="0"/>
              <w:autoSpaceDN w:val="0"/>
              <w:spacing w:line="360" w:lineRule="auto"/>
              <w:jc w:val="center"/>
              <w:rPr>
                <w:rFonts w:ascii="宋体" w:hAnsi="宋体" w:eastAsia="宋体" w:cs="Times New Roman"/>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29901EE0">
            <w:pPr>
              <w:autoSpaceDE w:val="0"/>
              <w:autoSpaceDN w:val="0"/>
              <w:spacing w:line="360" w:lineRule="auto"/>
              <w:jc w:val="center"/>
              <w:rPr>
                <w:rFonts w:ascii="宋体" w:hAnsi="宋体" w:eastAsia="宋体" w:cs="Times New Roman"/>
                <w:kern w:val="0"/>
                <w:lang w:val="zh-CN"/>
              </w:rPr>
            </w:pPr>
          </w:p>
        </w:tc>
      </w:tr>
      <w:tr w14:paraId="5A396EA9">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1A420C67">
            <w:pPr>
              <w:autoSpaceDE w:val="0"/>
              <w:autoSpaceDN w:val="0"/>
              <w:spacing w:line="360" w:lineRule="auto"/>
              <w:jc w:val="center"/>
              <w:rPr>
                <w:rFonts w:ascii="宋体" w:hAnsi="宋体" w:eastAsia="宋体" w:cs="Times New Roman"/>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343E0F0F">
            <w:pPr>
              <w:autoSpaceDE w:val="0"/>
              <w:autoSpaceDN w:val="0"/>
              <w:spacing w:line="360" w:lineRule="auto"/>
              <w:jc w:val="center"/>
              <w:rPr>
                <w:rFonts w:ascii="宋体" w:hAnsi="宋体" w:eastAsia="宋体" w:cs="Times New Roman"/>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CE84A20">
            <w:pPr>
              <w:autoSpaceDE w:val="0"/>
              <w:autoSpaceDN w:val="0"/>
              <w:spacing w:line="360" w:lineRule="auto"/>
              <w:jc w:val="center"/>
              <w:rPr>
                <w:rFonts w:ascii="宋体" w:hAnsi="宋体" w:eastAsia="宋体" w:cs="Times New Roman"/>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29D34AA">
            <w:pPr>
              <w:autoSpaceDE w:val="0"/>
              <w:autoSpaceDN w:val="0"/>
              <w:spacing w:line="360" w:lineRule="auto"/>
              <w:jc w:val="center"/>
              <w:rPr>
                <w:rFonts w:ascii="宋体" w:hAnsi="宋体" w:eastAsia="宋体" w:cs="Times New Roman"/>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2979469E">
            <w:pPr>
              <w:autoSpaceDE w:val="0"/>
              <w:autoSpaceDN w:val="0"/>
              <w:spacing w:line="360" w:lineRule="auto"/>
              <w:jc w:val="center"/>
              <w:rPr>
                <w:rFonts w:ascii="宋体" w:hAnsi="宋体" w:eastAsia="宋体" w:cs="Times New Roman"/>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1146A7F">
            <w:pPr>
              <w:autoSpaceDE w:val="0"/>
              <w:autoSpaceDN w:val="0"/>
              <w:spacing w:line="360" w:lineRule="auto"/>
              <w:jc w:val="center"/>
              <w:rPr>
                <w:rFonts w:ascii="宋体" w:hAnsi="宋体" w:eastAsia="宋体" w:cs="Times New Roman"/>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1642F44A">
            <w:pPr>
              <w:autoSpaceDE w:val="0"/>
              <w:autoSpaceDN w:val="0"/>
              <w:spacing w:line="360" w:lineRule="auto"/>
              <w:jc w:val="center"/>
              <w:rPr>
                <w:rFonts w:ascii="宋体" w:hAnsi="宋体" w:eastAsia="宋体" w:cs="Times New Roman"/>
                <w:kern w:val="0"/>
                <w:lang w:val="zh-CN"/>
              </w:rPr>
            </w:pPr>
          </w:p>
        </w:tc>
      </w:tr>
    </w:tbl>
    <w:p w14:paraId="2F3EE95B">
      <w:pPr>
        <w:autoSpaceDE w:val="0"/>
        <w:autoSpaceDN w:val="0"/>
        <w:spacing w:line="360" w:lineRule="auto"/>
        <w:jc w:val="left"/>
        <w:rPr>
          <w:rFonts w:ascii="宋体" w:hAnsi="宋体"/>
          <w:kern w:val="0"/>
          <w:u w:val="single"/>
        </w:rPr>
      </w:pPr>
      <w:r>
        <w:rPr>
          <w:rFonts w:hint="eastAsia" w:ascii="宋体" w:hAnsi="宋体"/>
          <w:kern w:val="0"/>
          <w:lang w:val="zh-CN"/>
        </w:rPr>
        <w:t>根据上述政府采购合同文件要求，本政府采购合同的总金额为人民币</w:t>
      </w:r>
      <w:r>
        <w:rPr>
          <w:rFonts w:hint="eastAsia" w:ascii="宋体" w:hAnsi="宋体"/>
          <w:kern w:val="0"/>
          <w:u w:val="single"/>
        </w:rPr>
        <w:t xml:space="preserve">           </w:t>
      </w:r>
    </w:p>
    <w:p w14:paraId="116C2D59">
      <w:pPr>
        <w:autoSpaceDE w:val="0"/>
        <w:autoSpaceDN w:val="0"/>
        <w:spacing w:line="360" w:lineRule="auto"/>
        <w:jc w:val="left"/>
        <w:rPr>
          <w:rFonts w:ascii="宋体" w:hAnsi="宋体"/>
          <w:kern w:val="0"/>
          <w:lang w:val="zh-CN"/>
        </w:rPr>
      </w:pPr>
      <w:r>
        <w:rPr>
          <w:rFonts w:hint="eastAsia" w:ascii="宋体" w:hAnsi="宋体"/>
          <w:kern w:val="0"/>
          <w:lang w:val="zh-CN"/>
        </w:rPr>
        <w:t>（大写）</w:t>
      </w:r>
      <w:r>
        <w:rPr>
          <w:rFonts w:hint="eastAsia" w:ascii="宋体" w:hAnsi="宋体"/>
          <w:kern w:val="0"/>
          <w:u w:val="single"/>
          <w:lang w:val="zh-CN"/>
        </w:rPr>
        <w:t xml:space="preserve">                 </w:t>
      </w:r>
      <w:r>
        <w:rPr>
          <w:rFonts w:hint="eastAsia" w:ascii="宋体" w:hAnsi="宋体"/>
          <w:kern w:val="0"/>
          <w:lang w:val="zh-CN"/>
        </w:rPr>
        <w:t>元。</w:t>
      </w:r>
    </w:p>
    <w:p w14:paraId="173F29C9">
      <w:pPr>
        <w:autoSpaceDE w:val="0"/>
        <w:autoSpaceDN w:val="0"/>
        <w:spacing w:line="360" w:lineRule="auto"/>
        <w:ind w:firstLine="360"/>
        <w:rPr>
          <w:rFonts w:ascii="宋体" w:hAnsi="宋体"/>
          <w:kern w:val="0"/>
        </w:rPr>
      </w:pPr>
      <w:r>
        <w:rPr>
          <w:rFonts w:hint="eastAsia" w:ascii="宋体" w:hAnsi="宋体"/>
          <w:kern w:val="0"/>
          <w:lang w:val="zh-CN"/>
        </w:rPr>
        <w:t>本合同以人民币进行结算，合同总价包括：</w:t>
      </w:r>
      <w:r>
        <w:rPr>
          <w:rStyle w:val="126"/>
          <w:rFonts w:ascii="宋体" w:hAnsi="宋体" w:eastAsia="宋体" w:cs="Times New Roman"/>
          <w:color w:val="auto"/>
          <w:kern w:val="0"/>
          <w:highlight w:val="none"/>
          <w:lang w:val="zh-CN"/>
        </w:rPr>
        <w:t>产品费、验收费、手续费、包装费、运输费、保险费、培训费、售前、售中、售后服务费</w:t>
      </w:r>
      <w:r>
        <w:rPr>
          <w:rStyle w:val="126"/>
          <w:rFonts w:hint="eastAsia" w:ascii="宋体" w:hAnsi="宋体" w:eastAsia="宋体" w:cs="Times New Roman"/>
          <w:color w:val="auto"/>
          <w:kern w:val="0"/>
          <w:highlight w:val="none"/>
          <w:lang w:val="zh-CN"/>
        </w:rPr>
        <w:t>、检测与试验、装卸、</w:t>
      </w:r>
      <w:r>
        <w:rPr>
          <w:rStyle w:val="126"/>
          <w:rFonts w:hint="eastAsia" w:ascii="宋体" w:hAnsi="宋体" w:cs="Times New Roman"/>
          <w:color w:val="auto"/>
          <w:kern w:val="0"/>
          <w:highlight w:val="none"/>
          <w:lang w:val="zh-CN"/>
        </w:rPr>
        <w:t>联机调试</w:t>
      </w:r>
      <w:r>
        <w:rPr>
          <w:rStyle w:val="126"/>
          <w:rFonts w:hint="eastAsia" w:ascii="宋体" w:hAnsi="宋体" w:eastAsia="宋体" w:cs="Times New Roman"/>
          <w:color w:val="auto"/>
          <w:kern w:val="0"/>
          <w:highlight w:val="none"/>
          <w:lang w:val="zh-CN"/>
        </w:rPr>
        <w:t>、安装调试指导、技术资料、人员、差旅、质量保证期服务费、其他管理费用、所有的检验、测试、调试、验收、试运行费用</w:t>
      </w:r>
      <w:r>
        <w:rPr>
          <w:rStyle w:val="126"/>
          <w:rFonts w:ascii="宋体" w:hAnsi="宋体" w:eastAsia="宋体" w:cs="Times New Roman"/>
          <w:color w:val="auto"/>
          <w:kern w:val="0"/>
          <w:highlight w:val="none"/>
          <w:lang w:val="zh-CN"/>
        </w:rPr>
        <w:t>、税金及不可预见费等全部费用。</w:t>
      </w:r>
    </w:p>
    <w:p w14:paraId="21588BA5">
      <w:pPr>
        <w:numPr>
          <w:ilvl w:val="0"/>
          <w:numId w:val="7"/>
        </w:numPr>
        <w:autoSpaceDE w:val="0"/>
        <w:autoSpaceDN w:val="0"/>
        <w:spacing w:line="360" w:lineRule="auto"/>
        <w:rPr>
          <w:rFonts w:hint="eastAsia" w:ascii="宋体" w:hAnsi="宋体"/>
          <w:kern w:val="0"/>
          <w:lang w:val="zh-CN"/>
        </w:rPr>
      </w:pPr>
      <w:r>
        <w:rPr>
          <w:rFonts w:hint="eastAsia" w:ascii="宋体" w:hAnsi="宋体"/>
          <w:kern w:val="0"/>
          <w:lang w:val="zh-CN"/>
        </w:rPr>
        <w:t>交付时间、地点和要求</w:t>
      </w:r>
    </w:p>
    <w:p w14:paraId="5BBB4A9E">
      <w:pPr>
        <w:numPr>
          <w:ilvl w:val="0"/>
          <w:numId w:val="0"/>
        </w:numPr>
        <w:autoSpaceDE w:val="0"/>
        <w:autoSpaceDN w:val="0"/>
        <w:spacing w:line="360" w:lineRule="auto"/>
        <w:rPr>
          <w:rFonts w:hint="eastAsia" w:ascii="宋体" w:hAnsi="宋体"/>
          <w:kern w:val="0"/>
          <w:lang w:val="en-US" w:eastAsia="zh-CN"/>
        </w:rPr>
      </w:pPr>
      <w:r>
        <w:rPr>
          <w:rFonts w:hint="eastAsia" w:ascii="宋体" w:hAnsi="宋体"/>
          <w:kern w:val="0"/>
          <w:lang w:val="en-US" w:eastAsia="zh-CN"/>
        </w:rPr>
        <w:t>交付时间：</w:t>
      </w:r>
    </w:p>
    <w:p w14:paraId="64617066">
      <w:pPr>
        <w:numPr>
          <w:ilvl w:val="0"/>
          <w:numId w:val="0"/>
        </w:numPr>
        <w:autoSpaceDE w:val="0"/>
        <w:autoSpaceDN w:val="0"/>
        <w:spacing w:line="360" w:lineRule="auto"/>
        <w:rPr>
          <w:rFonts w:hint="eastAsia" w:ascii="宋体" w:hAnsi="宋体"/>
          <w:kern w:val="0"/>
          <w:lang w:val="en-US" w:eastAsia="zh-CN"/>
        </w:rPr>
      </w:pPr>
      <w:r>
        <w:rPr>
          <w:rFonts w:hint="eastAsia" w:ascii="宋体" w:hAnsi="宋体"/>
          <w:kern w:val="0"/>
          <w:lang w:val="en-US" w:eastAsia="zh-CN"/>
        </w:rPr>
        <w:t>交付地点：</w:t>
      </w:r>
    </w:p>
    <w:p w14:paraId="7F33CDF0">
      <w:pPr>
        <w:numPr>
          <w:ilvl w:val="0"/>
          <w:numId w:val="0"/>
        </w:numPr>
        <w:autoSpaceDE w:val="0"/>
        <w:autoSpaceDN w:val="0"/>
        <w:spacing w:line="360" w:lineRule="auto"/>
        <w:rPr>
          <w:rFonts w:hint="default" w:ascii="宋体" w:hAnsi="宋体"/>
          <w:kern w:val="0"/>
          <w:lang w:val="en-US" w:eastAsia="zh-CN"/>
        </w:rPr>
      </w:pPr>
      <w:r>
        <w:rPr>
          <w:rFonts w:hint="eastAsia" w:ascii="宋体" w:hAnsi="宋体"/>
          <w:kern w:val="0"/>
          <w:lang w:val="en-US" w:eastAsia="zh-CN"/>
        </w:rPr>
        <w:t>要求：</w:t>
      </w:r>
    </w:p>
    <w:p w14:paraId="44D6BD8A">
      <w:pPr>
        <w:pStyle w:val="14"/>
        <w:tabs>
          <w:tab w:val="left" w:pos="360"/>
        </w:tabs>
        <w:rPr>
          <w:rFonts w:hint="eastAsia" w:ascii="宋体" w:hAnsi="宋体" w:cs="宋体"/>
          <w:kern w:val="0"/>
          <w:lang w:val="zh-CN" w:eastAsia="zh-CN"/>
        </w:rPr>
      </w:pPr>
      <w:r>
        <w:rPr>
          <w:rFonts w:hint="eastAsia" w:ascii="宋体" w:hAnsi="宋体" w:cs="宋体"/>
          <w:kern w:val="0"/>
          <w:lang w:val="zh-CN" w:eastAsia="zh-CN"/>
        </w:rPr>
        <w:t>五、质量保修范围和保修期</w:t>
      </w:r>
    </w:p>
    <w:p w14:paraId="019EC5CD">
      <w:pPr>
        <w:pStyle w:val="14"/>
        <w:tabs>
          <w:tab w:val="left" w:pos="360"/>
        </w:tabs>
        <w:spacing w:line="360" w:lineRule="auto"/>
        <w:ind w:firstLine="480" w:firstLineChars="200"/>
        <w:rPr>
          <w:rFonts w:hint="eastAsia" w:ascii="宋体" w:hAnsi="宋体" w:cs="宋体"/>
          <w:kern w:val="0"/>
          <w:lang w:val="zh-CN" w:eastAsia="zh-CN"/>
        </w:rPr>
      </w:pPr>
      <w:r>
        <w:rPr>
          <w:rFonts w:hint="eastAsia" w:ascii="宋体" w:hAnsi="宋体" w:cs="宋体"/>
          <w:kern w:val="0"/>
          <w:lang w:val="zh-CN" w:eastAsia="zh-CN"/>
        </w:rPr>
        <w:t>自验收合格之日起</w:t>
      </w:r>
      <w:r>
        <w:rPr>
          <w:rFonts w:hint="eastAsia" w:ascii="宋体" w:hAnsi="宋体" w:cs="宋体"/>
          <w:kern w:val="0"/>
          <w:u w:val="single"/>
          <w:lang w:val="en-US" w:eastAsia="zh-CN"/>
        </w:rPr>
        <w:t xml:space="preserve">   </w:t>
      </w:r>
      <w:r>
        <w:rPr>
          <w:rFonts w:hint="eastAsia" w:ascii="宋体" w:hAnsi="宋体" w:cs="宋体"/>
          <w:kern w:val="0"/>
          <w:lang w:val="zh-CN" w:eastAsia="zh-CN"/>
        </w:rPr>
        <w:t>，提供免费维护及保养服务，终身维修。在保修期内，设备质量问题免费维修；在保修期外，非正常使用造成的设备故障，只收取维修成本费。</w:t>
      </w:r>
    </w:p>
    <w:p w14:paraId="3A2B20EC">
      <w:pPr>
        <w:autoSpaceDE w:val="0"/>
        <w:autoSpaceDN w:val="0"/>
        <w:spacing w:line="360" w:lineRule="auto"/>
        <w:rPr>
          <w:rFonts w:hint="eastAsia" w:ascii="宋体" w:hAnsi="宋体" w:cs="宋体"/>
          <w:kern w:val="0"/>
          <w:lang w:val="zh-CN"/>
        </w:rPr>
      </w:pPr>
      <w:r>
        <w:rPr>
          <w:rFonts w:hint="eastAsia" w:ascii="宋体" w:hAnsi="宋体" w:cs="宋体"/>
          <w:kern w:val="0"/>
          <w:lang w:val="zh-CN"/>
        </w:rPr>
        <w:t>六、合同的变更、终止与转让</w:t>
      </w:r>
    </w:p>
    <w:p w14:paraId="5DEE00FB">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1.除《中华人民共和国政府采购法》第五十条规定的情形外，本合同一经签订，甲乙双方不得擅自变更、中止或终止。</w:t>
      </w:r>
    </w:p>
    <w:p w14:paraId="06DE31F6">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2.乙方不得擅自转让其应履行的合同义务。</w:t>
      </w:r>
    </w:p>
    <w:p w14:paraId="1C57E27A">
      <w:pPr>
        <w:autoSpaceDE w:val="0"/>
        <w:autoSpaceDN w:val="0"/>
        <w:spacing w:line="360" w:lineRule="auto"/>
        <w:rPr>
          <w:rFonts w:hint="eastAsia" w:ascii="宋体" w:hAnsi="宋体" w:cs="宋体"/>
          <w:kern w:val="0"/>
          <w:lang w:val="zh-CN"/>
        </w:rPr>
      </w:pPr>
      <w:r>
        <w:rPr>
          <w:rFonts w:hint="eastAsia" w:ascii="宋体" w:hAnsi="宋体" w:cs="宋体"/>
          <w:kern w:val="0"/>
          <w:lang w:val="zh-CN"/>
        </w:rPr>
        <w:t>七、违约责任</w:t>
      </w:r>
    </w:p>
    <w:p w14:paraId="3A6E7385">
      <w:pPr>
        <w:autoSpaceDE w:val="0"/>
        <w:autoSpaceDN w:val="0"/>
        <w:spacing w:line="360" w:lineRule="auto"/>
        <w:rPr>
          <w:rFonts w:hint="eastAsia" w:ascii="宋体" w:hAnsi="宋体" w:cs="宋体"/>
          <w:kern w:val="0"/>
          <w:lang w:val="zh-CN"/>
        </w:rPr>
      </w:pPr>
      <w:r>
        <w:rPr>
          <w:rFonts w:hint="eastAsia" w:ascii="宋体" w:hAnsi="宋体" w:cs="宋体"/>
          <w:kern w:val="0"/>
          <w:lang w:val="zh-CN"/>
        </w:rPr>
        <w:t>①乙方所提供的产品规格、技术标准、材料等质量不合格的，应及时更换；更换不及时的，按逾期交货处罚；因质量问题甲方不同意接收的，质保金全额扣除，并由乙方赔偿由此引起的甲方的一切经济损失。</w:t>
      </w:r>
    </w:p>
    <w:p w14:paraId="25EBFE03">
      <w:pPr>
        <w:autoSpaceDE w:val="0"/>
        <w:autoSpaceDN w:val="0"/>
        <w:spacing w:line="360" w:lineRule="auto"/>
        <w:rPr>
          <w:rFonts w:hint="eastAsia" w:ascii="宋体" w:hAnsi="宋体" w:cs="宋体"/>
          <w:kern w:val="0"/>
          <w:lang w:val="zh-CN"/>
        </w:rPr>
      </w:pPr>
      <w:r>
        <w:rPr>
          <w:rFonts w:hint="eastAsia" w:ascii="宋体" w:hAnsi="宋体" w:cs="宋体"/>
          <w:kern w:val="0"/>
          <w:lang w:val="zh-CN"/>
        </w:rPr>
        <w:t>②乙方提供的货物如侵犯了第三方权益而引发纠纷或诉讼的，均由乙方负责交涉并承担全部责任。</w:t>
      </w:r>
    </w:p>
    <w:p w14:paraId="3994343E">
      <w:pPr>
        <w:autoSpaceDE w:val="0"/>
        <w:autoSpaceDN w:val="0"/>
        <w:spacing w:line="360" w:lineRule="auto"/>
        <w:rPr>
          <w:rFonts w:hint="eastAsia" w:ascii="宋体" w:hAnsi="宋体" w:cs="宋体"/>
          <w:kern w:val="0"/>
          <w:lang w:val="zh-CN"/>
        </w:rPr>
      </w:pPr>
      <w:r>
        <w:rPr>
          <w:rFonts w:hint="eastAsia" w:ascii="宋体" w:hAnsi="宋体" w:cs="宋体"/>
          <w:kern w:val="0"/>
          <w:lang w:val="zh-CN"/>
        </w:rPr>
        <w:t>③因包装、运输引起的货物损坏，按质量不合格处罚。</w:t>
      </w:r>
    </w:p>
    <w:p w14:paraId="022C6CE6">
      <w:pPr>
        <w:autoSpaceDE w:val="0"/>
        <w:autoSpaceDN w:val="0"/>
        <w:spacing w:line="360" w:lineRule="auto"/>
        <w:rPr>
          <w:rFonts w:hint="eastAsia" w:ascii="宋体" w:hAnsi="宋体" w:cs="宋体"/>
          <w:kern w:val="0"/>
          <w:lang w:val="zh-CN"/>
        </w:rPr>
      </w:pPr>
      <w:r>
        <w:rPr>
          <w:rFonts w:hint="eastAsia" w:ascii="宋体" w:hAnsi="宋体" w:cs="宋体"/>
          <w:kern w:val="0"/>
          <w:lang w:val="zh-CN"/>
        </w:rPr>
        <w:t>④甲方无故延期接收货物和乙方逾期交货的，每天应向对方偿付未交货物的货款3‰的违约金，但违约金累计不得超过违约货款的5%，超过30天对方有权解除合同，违约方承担因此给对方造成的经济损失。</w:t>
      </w:r>
    </w:p>
    <w:p w14:paraId="669D6222">
      <w:pPr>
        <w:autoSpaceDE w:val="0"/>
        <w:autoSpaceDN w:val="0"/>
        <w:spacing w:line="360" w:lineRule="auto"/>
        <w:rPr>
          <w:rFonts w:hint="eastAsia" w:ascii="宋体" w:hAnsi="宋体" w:cs="宋体"/>
          <w:kern w:val="0"/>
          <w:lang w:val="zh-CN"/>
        </w:rPr>
      </w:pPr>
      <w:r>
        <w:rPr>
          <w:rFonts w:hint="eastAsia" w:ascii="宋体" w:hAnsi="宋体" w:cs="宋体"/>
          <w:kern w:val="0"/>
          <w:lang w:val="zh-CN"/>
        </w:rPr>
        <w:t>⑤乙方未按本合同和响应文件中规定的服务承诺提供售后服务的，乙方应按本合同合计金额的5%向甲方支付违约金。</w:t>
      </w:r>
    </w:p>
    <w:p w14:paraId="5504EEFA">
      <w:pPr>
        <w:autoSpaceDE w:val="0"/>
        <w:autoSpaceDN w:val="0"/>
        <w:spacing w:line="360" w:lineRule="auto"/>
        <w:rPr>
          <w:rFonts w:hint="eastAsia" w:ascii="宋体" w:hAnsi="宋体" w:cs="宋体"/>
          <w:kern w:val="0"/>
          <w:lang w:val="zh-CN"/>
        </w:rPr>
      </w:pPr>
      <w:r>
        <w:rPr>
          <w:rFonts w:hint="eastAsia" w:ascii="宋体" w:hAnsi="宋体" w:cs="宋体"/>
          <w:kern w:val="0"/>
          <w:lang w:val="zh-CN"/>
        </w:rPr>
        <w:t>⑥乙方提供的货物在质量保证期内，因设计、工艺或材料的缺陷和其他质量原因造成的问题，由乙方负责，费用从合同款中扣除，不足另补。</w:t>
      </w:r>
    </w:p>
    <w:p w14:paraId="31884E13">
      <w:pPr>
        <w:autoSpaceDE w:val="0"/>
        <w:autoSpaceDN w:val="0"/>
        <w:spacing w:line="360" w:lineRule="auto"/>
        <w:rPr>
          <w:rFonts w:hint="eastAsia" w:ascii="宋体" w:hAnsi="宋体" w:cs="宋体"/>
          <w:kern w:val="0"/>
          <w:lang w:val="zh-CN"/>
        </w:rPr>
      </w:pPr>
      <w:r>
        <w:rPr>
          <w:rFonts w:hint="eastAsia" w:ascii="宋体" w:hAnsi="宋体" w:cs="宋体"/>
          <w:kern w:val="0"/>
          <w:lang w:val="zh-CN"/>
        </w:rPr>
        <w:t>⑦其他违约行为按违约货款额5%收取违约金并赔偿经济损失。</w:t>
      </w:r>
    </w:p>
    <w:p w14:paraId="4BD994AD">
      <w:pPr>
        <w:autoSpaceDE w:val="0"/>
        <w:autoSpaceDN w:val="0"/>
        <w:spacing w:line="360" w:lineRule="auto"/>
        <w:rPr>
          <w:rFonts w:hint="eastAsia" w:ascii="宋体" w:hAnsi="宋体" w:cs="宋体"/>
          <w:kern w:val="0"/>
          <w:lang w:val="zh-CN"/>
        </w:rPr>
      </w:pPr>
      <w:r>
        <w:rPr>
          <w:rFonts w:hint="eastAsia" w:ascii="宋体" w:hAnsi="宋体" w:cs="宋体"/>
          <w:kern w:val="0"/>
          <w:lang w:val="zh-CN"/>
        </w:rPr>
        <w:t>八、不可抗力</w:t>
      </w:r>
    </w:p>
    <w:p w14:paraId="2F19F540">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不可抗力使合同的某些内容有变更必要的，双方应通过协商在10天内达成进一步履行合同的协议，因不可抗力致使合同不能履行的，合同终止。除法律法规规定的不可抗力情形外，双方约定出现无情况亦视为不可抗力。</w:t>
      </w:r>
    </w:p>
    <w:p w14:paraId="69F16E5F">
      <w:pPr>
        <w:autoSpaceDE w:val="0"/>
        <w:autoSpaceDN w:val="0"/>
        <w:spacing w:line="360" w:lineRule="auto"/>
        <w:rPr>
          <w:rFonts w:hint="eastAsia" w:ascii="宋体" w:hAnsi="宋体" w:cs="宋体"/>
          <w:kern w:val="0"/>
          <w:lang w:val="zh-CN"/>
        </w:rPr>
      </w:pPr>
      <w:r>
        <w:rPr>
          <w:rFonts w:hint="eastAsia" w:ascii="宋体" w:hAnsi="宋体" w:cs="宋体"/>
          <w:kern w:val="0"/>
          <w:lang w:val="zh-CN"/>
        </w:rPr>
        <w:t>九、知识产权：乙方承诺所提供产品在中国境内不受任何第三方对甲方的知识产权追索。其他详见合同通用条款。</w:t>
      </w:r>
    </w:p>
    <w:p w14:paraId="6BF43F42">
      <w:pPr>
        <w:autoSpaceDE w:val="0"/>
        <w:autoSpaceDN w:val="0"/>
        <w:spacing w:line="360" w:lineRule="auto"/>
        <w:rPr>
          <w:rFonts w:hint="eastAsia" w:ascii="宋体" w:hAnsi="宋体" w:cs="宋体"/>
          <w:kern w:val="0"/>
          <w:lang w:val="zh-CN"/>
        </w:rPr>
      </w:pPr>
      <w:r>
        <w:rPr>
          <w:rFonts w:hint="eastAsia" w:ascii="宋体" w:hAnsi="宋体" w:cs="宋体"/>
          <w:kern w:val="0"/>
          <w:lang w:val="zh-CN"/>
        </w:rPr>
        <w:t>十、其他约定：</w:t>
      </w:r>
    </w:p>
    <w:p w14:paraId="52E66AB6">
      <w:pPr>
        <w:autoSpaceDE w:val="0"/>
        <w:autoSpaceDN w:val="0"/>
        <w:spacing w:line="360" w:lineRule="auto"/>
        <w:rPr>
          <w:rFonts w:hint="eastAsia" w:ascii="宋体" w:hAnsi="宋体" w:cs="宋体"/>
          <w:kern w:val="0"/>
          <w:lang w:val="zh-CN"/>
        </w:rPr>
      </w:pPr>
      <w:r>
        <w:rPr>
          <w:rFonts w:hint="eastAsia" w:ascii="宋体" w:hAnsi="宋体" w:cs="宋体"/>
          <w:kern w:val="0"/>
          <w:lang w:val="zh-CN"/>
        </w:rPr>
        <w:t>十、合同争议解决</w:t>
      </w:r>
    </w:p>
    <w:p w14:paraId="3DCEF94E">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1.因产品质量问题发生争议的，应邀请国家认可的质量检测机构进行鉴定。产品符合标准的，鉴定费由甲方承担；产品不符合标准的，鉴定费由乙方承担。</w:t>
      </w:r>
    </w:p>
    <w:p w14:paraId="443A69AA">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2.因履行本合同引起的或与本合同有关的争议，甲乙双方应首先通过友好协商解决，如果协商不能解决，可向甲方所在地人民法院提起诉讼。</w:t>
      </w:r>
    </w:p>
    <w:p w14:paraId="216D98E6">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3.诉讼期间，本合同继续履行。</w:t>
      </w:r>
    </w:p>
    <w:p w14:paraId="0C65208A">
      <w:pPr>
        <w:autoSpaceDE w:val="0"/>
        <w:autoSpaceDN w:val="0"/>
        <w:spacing w:line="360" w:lineRule="auto"/>
        <w:rPr>
          <w:rFonts w:hint="eastAsia" w:ascii="宋体" w:hAnsi="宋体" w:cs="宋体"/>
          <w:kern w:val="0"/>
          <w:lang w:val="zh-CN"/>
        </w:rPr>
      </w:pPr>
      <w:r>
        <w:rPr>
          <w:rFonts w:hint="eastAsia" w:ascii="宋体" w:hAnsi="宋体" w:cs="宋体"/>
          <w:kern w:val="0"/>
          <w:lang w:val="zh-CN"/>
        </w:rPr>
        <w:t>十一、合同生效及其他：</w:t>
      </w:r>
    </w:p>
    <w:p w14:paraId="7429A51A">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1.本合同一式十份，经双方签字，并加盖公章即为生效。</w:t>
      </w:r>
    </w:p>
    <w:p w14:paraId="672C45D4">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2.本合同未尽事宜，按</w:t>
      </w:r>
      <w:r>
        <w:rPr>
          <w:rFonts w:hint="eastAsia" w:cs="宋体"/>
          <w:sz w:val="21"/>
          <w:szCs w:val="21"/>
          <w:highlight w:val="none"/>
          <w:lang w:val="en-US" w:eastAsia="zh-CN"/>
        </w:rPr>
        <w:t>《中华人民共和国民法典》</w:t>
      </w:r>
      <w:r>
        <w:rPr>
          <w:rFonts w:hint="eastAsia" w:ascii="宋体" w:hAnsi="宋体" w:cs="宋体"/>
          <w:kern w:val="0"/>
          <w:lang w:val="zh-CN"/>
        </w:rPr>
        <w:t>有关规定处理。</w:t>
      </w:r>
    </w:p>
    <w:p w14:paraId="21146C8B">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3.本合同的组成包含《合同通用条款》。</w:t>
      </w:r>
    </w:p>
    <w:p w14:paraId="0AC10C82">
      <w:pPr>
        <w:autoSpaceDE w:val="0"/>
        <w:autoSpaceDN w:val="0"/>
        <w:spacing w:line="360" w:lineRule="auto"/>
        <w:rPr>
          <w:rFonts w:hint="eastAsia" w:ascii="宋体" w:hAnsi="宋体" w:cs="宋体"/>
          <w:kern w:val="0"/>
          <w:lang w:val="zh-CN"/>
        </w:rPr>
      </w:pPr>
      <w:r>
        <w:rPr>
          <w:rFonts w:hint="eastAsia" w:ascii="宋体" w:hAnsi="宋体" w:cs="宋体"/>
          <w:kern w:val="0"/>
          <w:lang w:val="zh-CN"/>
        </w:rPr>
        <w:t>甲方（盖章）：                         乙方（盖章）：</w:t>
      </w:r>
    </w:p>
    <w:p w14:paraId="72278ED4">
      <w:pPr>
        <w:autoSpaceDE w:val="0"/>
        <w:autoSpaceDN w:val="0"/>
        <w:spacing w:line="360" w:lineRule="auto"/>
        <w:rPr>
          <w:rFonts w:hint="eastAsia" w:ascii="宋体" w:hAnsi="宋体" w:cs="宋体"/>
          <w:kern w:val="0"/>
          <w:lang w:val="zh-CN"/>
        </w:rPr>
      </w:pPr>
      <w:r>
        <w:rPr>
          <w:rFonts w:hint="eastAsia" w:ascii="宋体" w:hAnsi="宋体" w:cs="宋体"/>
          <w:kern w:val="0"/>
          <w:lang w:val="zh-CN"/>
        </w:rPr>
        <w:t>法定代表人或委托代理人：               法定代表人或委托代理人：</w:t>
      </w:r>
    </w:p>
    <w:p w14:paraId="57E648EE">
      <w:pPr>
        <w:autoSpaceDE w:val="0"/>
        <w:autoSpaceDN w:val="0"/>
        <w:spacing w:line="360" w:lineRule="auto"/>
        <w:rPr>
          <w:rFonts w:hint="eastAsia" w:ascii="宋体" w:hAnsi="宋体" w:cs="宋体"/>
          <w:kern w:val="0"/>
          <w:lang w:val="zh-CN"/>
        </w:rPr>
      </w:pPr>
      <w:r>
        <w:rPr>
          <w:rFonts w:hint="eastAsia" w:ascii="宋体" w:hAnsi="宋体" w:cs="宋体"/>
          <w:kern w:val="0"/>
          <w:lang w:val="zh-CN"/>
        </w:rPr>
        <w:t xml:space="preserve">                                       开户银行：</w:t>
      </w:r>
    </w:p>
    <w:p w14:paraId="04B4C41F">
      <w:pPr>
        <w:autoSpaceDE w:val="0"/>
        <w:autoSpaceDN w:val="0"/>
        <w:spacing w:line="360" w:lineRule="auto"/>
        <w:rPr>
          <w:rFonts w:hint="eastAsia" w:ascii="宋体" w:hAnsi="宋体" w:cs="宋体"/>
          <w:kern w:val="0"/>
          <w:lang w:val="zh-CN"/>
        </w:rPr>
      </w:pPr>
      <w:r>
        <w:rPr>
          <w:rFonts w:hint="eastAsia" w:ascii="宋体" w:hAnsi="宋体" w:cs="宋体"/>
          <w:kern w:val="0"/>
          <w:lang w:val="zh-CN"/>
        </w:rPr>
        <w:t xml:space="preserve">                                       账号：</w:t>
      </w:r>
    </w:p>
    <w:p w14:paraId="33F3B86F">
      <w:pPr>
        <w:autoSpaceDE w:val="0"/>
        <w:autoSpaceDN w:val="0"/>
        <w:spacing w:line="360" w:lineRule="auto"/>
        <w:rPr>
          <w:rFonts w:hint="eastAsia" w:ascii="宋体" w:hAnsi="宋体" w:cs="宋体"/>
          <w:kern w:val="0"/>
          <w:lang w:val="zh-CN"/>
        </w:rPr>
      </w:pPr>
      <w:r>
        <w:rPr>
          <w:rFonts w:hint="eastAsia" w:ascii="宋体" w:hAnsi="宋体" w:cs="宋体"/>
          <w:kern w:val="0"/>
          <w:lang w:val="zh-CN"/>
        </w:rPr>
        <w:t>地址：                                 地址：</w:t>
      </w:r>
    </w:p>
    <w:p w14:paraId="05B0B2CD">
      <w:pPr>
        <w:autoSpaceDE w:val="0"/>
        <w:autoSpaceDN w:val="0"/>
        <w:spacing w:line="360" w:lineRule="auto"/>
        <w:rPr>
          <w:rFonts w:hint="eastAsia" w:ascii="宋体" w:hAnsi="宋体" w:cs="宋体"/>
          <w:kern w:val="0"/>
          <w:lang w:val="zh-CN"/>
        </w:rPr>
      </w:pPr>
      <w:r>
        <w:rPr>
          <w:rFonts w:hint="eastAsia" w:ascii="宋体" w:hAnsi="宋体" w:cs="宋体"/>
          <w:kern w:val="0"/>
          <w:lang w:val="zh-CN"/>
        </w:rPr>
        <w:t>联系电话：                             联系电话：</w:t>
      </w:r>
    </w:p>
    <w:p w14:paraId="3D303DFF">
      <w:pPr>
        <w:autoSpaceDE w:val="0"/>
        <w:autoSpaceDN w:val="0"/>
        <w:spacing w:line="360" w:lineRule="auto"/>
        <w:ind w:firstLine="1320" w:firstLineChars="550"/>
        <w:rPr>
          <w:rFonts w:hint="eastAsia" w:ascii="宋体" w:hAnsi="宋体" w:cs="宋体"/>
          <w:kern w:val="0"/>
          <w:lang w:val="zh-CN"/>
        </w:rPr>
      </w:pPr>
      <w:r>
        <w:rPr>
          <w:rFonts w:hint="eastAsia" w:ascii="宋体" w:hAnsi="宋体" w:cs="宋体"/>
          <w:kern w:val="0"/>
          <w:lang w:val="zh-CN"/>
        </w:rPr>
        <w:t>签约时间：    年    月    日</w:t>
      </w:r>
    </w:p>
    <w:p w14:paraId="289A5EBE">
      <w:pPr>
        <w:autoSpaceDE w:val="0"/>
        <w:autoSpaceDN w:val="0"/>
        <w:spacing w:after="156" w:afterLines="50" w:line="360" w:lineRule="auto"/>
        <w:jc w:val="center"/>
        <w:rPr>
          <w:rFonts w:hint="eastAsia" w:ascii="宋体" w:hAnsi="宋体" w:cs="Arial"/>
          <w:bCs/>
          <w:color w:val="000000"/>
        </w:rPr>
      </w:pPr>
    </w:p>
    <w:p w14:paraId="59EA0438">
      <w:pPr>
        <w:autoSpaceDE w:val="0"/>
        <w:autoSpaceDN w:val="0"/>
        <w:spacing w:after="156" w:afterLines="50" w:line="360" w:lineRule="auto"/>
        <w:jc w:val="center"/>
        <w:rPr>
          <w:rFonts w:hint="eastAsia" w:ascii="宋体" w:hAnsi="宋体" w:cs="Arial"/>
          <w:bCs/>
          <w:color w:val="000000"/>
          <w:lang w:val="zh-CN"/>
        </w:rPr>
      </w:pPr>
    </w:p>
    <w:p w14:paraId="7EEF2E3C">
      <w:pPr>
        <w:autoSpaceDE w:val="0"/>
        <w:autoSpaceDN w:val="0"/>
        <w:spacing w:after="156" w:afterLines="50" w:line="360" w:lineRule="auto"/>
        <w:jc w:val="center"/>
        <w:rPr>
          <w:rFonts w:hint="eastAsia" w:ascii="宋体" w:hAnsi="宋体" w:cs="Arial"/>
          <w:bCs/>
          <w:color w:val="000000"/>
          <w:lang w:val="zh-CN"/>
        </w:rPr>
      </w:pPr>
    </w:p>
    <w:p w14:paraId="24A8E528">
      <w:pPr>
        <w:autoSpaceDE w:val="0"/>
        <w:autoSpaceDN w:val="0"/>
        <w:spacing w:after="156" w:afterLines="50" w:line="360" w:lineRule="auto"/>
        <w:jc w:val="center"/>
        <w:rPr>
          <w:rFonts w:hint="eastAsia" w:ascii="宋体" w:hAnsi="宋体" w:cs="Arial"/>
          <w:bCs/>
          <w:color w:val="000000"/>
          <w:lang w:val="zh-CN"/>
        </w:rPr>
      </w:pPr>
    </w:p>
    <w:p w14:paraId="2368EA97">
      <w:pPr>
        <w:autoSpaceDE w:val="0"/>
        <w:autoSpaceDN w:val="0"/>
        <w:spacing w:after="156" w:afterLines="50" w:line="360" w:lineRule="auto"/>
        <w:jc w:val="center"/>
        <w:rPr>
          <w:rFonts w:hint="eastAsia" w:ascii="宋体" w:hAnsi="宋体" w:cs="Arial"/>
          <w:bCs/>
          <w:color w:val="000000"/>
          <w:lang w:val="zh-CN"/>
        </w:rPr>
      </w:pPr>
    </w:p>
    <w:p w14:paraId="01609027">
      <w:pPr>
        <w:autoSpaceDE w:val="0"/>
        <w:autoSpaceDN w:val="0"/>
        <w:spacing w:after="156" w:afterLines="50" w:line="360" w:lineRule="auto"/>
        <w:jc w:val="center"/>
        <w:rPr>
          <w:rFonts w:hint="eastAsia" w:ascii="宋体" w:hAnsi="宋体" w:cs="Arial"/>
          <w:bCs/>
          <w:color w:val="000000"/>
          <w:lang w:val="zh-CN"/>
        </w:rPr>
      </w:pPr>
    </w:p>
    <w:p w14:paraId="0FA60829">
      <w:pPr>
        <w:autoSpaceDE w:val="0"/>
        <w:autoSpaceDN w:val="0"/>
        <w:spacing w:after="156" w:afterLines="50" w:line="360" w:lineRule="auto"/>
        <w:jc w:val="center"/>
        <w:rPr>
          <w:rFonts w:hint="eastAsia" w:ascii="宋体" w:hAnsi="宋体" w:cs="Arial"/>
          <w:bCs/>
          <w:color w:val="000000"/>
          <w:lang w:val="zh-CN"/>
        </w:rPr>
      </w:pPr>
    </w:p>
    <w:p w14:paraId="4CDFC7BB">
      <w:pPr>
        <w:autoSpaceDE w:val="0"/>
        <w:autoSpaceDN w:val="0"/>
        <w:spacing w:after="156" w:afterLines="50" w:line="360" w:lineRule="auto"/>
        <w:jc w:val="center"/>
        <w:rPr>
          <w:rFonts w:hint="eastAsia" w:ascii="宋体" w:hAnsi="宋体" w:cs="Arial"/>
          <w:bCs/>
          <w:color w:val="000000"/>
          <w:lang w:val="zh-CN"/>
        </w:rPr>
      </w:pPr>
    </w:p>
    <w:p w14:paraId="01BAC7C2">
      <w:pPr>
        <w:autoSpaceDE w:val="0"/>
        <w:autoSpaceDN w:val="0"/>
        <w:spacing w:after="156" w:afterLines="50" w:line="360" w:lineRule="auto"/>
        <w:jc w:val="center"/>
        <w:rPr>
          <w:rFonts w:hint="eastAsia" w:ascii="宋体" w:hAnsi="宋体" w:cs="Arial"/>
          <w:bCs/>
          <w:color w:val="000000"/>
          <w:lang w:val="zh-CN"/>
        </w:rPr>
      </w:pPr>
    </w:p>
    <w:p w14:paraId="64448F31">
      <w:pPr>
        <w:autoSpaceDE w:val="0"/>
        <w:autoSpaceDN w:val="0"/>
        <w:spacing w:after="156" w:afterLines="50" w:line="360" w:lineRule="auto"/>
        <w:jc w:val="center"/>
        <w:rPr>
          <w:rFonts w:hint="eastAsia" w:ascii="宋体" w:hAnsi="宋体" w:cs="Arial"/>
          <w:bCs/>
          <w:color w:val="000000"/>
          <w:lang w:val="zh-CN"/>
        </w:rPr>
      </w:pPr>
    </w:p>
    <w:p w14:paraId="67878D66">
      <w:pPr>
        <w:autoSpaceDE w:val="0"/>
        <w:autoSpaceDN w:val="0"/>
        <w:spacing w:after="156" w:afterLines="50" w:line="360" w:lineRule="auto"/>
        <w:jc w:val="center"/>
        <w:rPr>
          <w:rFonts w:hint="eastAsia" w:ascii="宋体" w:hAnsi="宋体" w:cs="Arial"/>
          <w:bCs/>
          <w:color w:val="000000"/>
          <w:lang w:val="zh-CN"/>
        </w:rPr>
      </w:pPr>
    </w:p>
    <w:p w14:paraId="47199078">
      <w:pPr>
        <w:autoSpaceDE w:val="0"/>
        <w:autoSpaceDN w:val="0"/>
        <w:spacing w:after="156" w:afterLines="50" w:line="360" w:lineRule="auto"/>
        <w:jc w:val="center"/>
        <w:rPr>
          <w:rFonts w:hint="eastAsia" w:ascii="宋体" w:hAnsi="宋体" w:cs="Arial"/>
          <w:bCs/>
          <w:color w:val="000000"/>
          <w:lang w:val="zh-CN"/>
        </w:rPr>
      </w:pPr>
    </w:p>
    <w:p w14:paraId="6452875A">
      <w:pPr>
        <w:autoSpaceDE w:val="0"/>
        <w:autoSpaceDN w:val="0"/>
        <w:spacing w:after="156" w:afterLines="50" w:line="360" w:lineRule="auto"/>
        <w:jc w:val="center"/>
        <w:rPr>
          <w:rFonts w:hint="eastAsia" w:ascii="宋体" w:hAnsi="宋体" w:cs="Arial"/>
          <w:bCs/>
          <w:color w:val="000000"/>
          <w:lang w:val="zh-CN"/>
        </w:rPr>
      </w:pPr>
    </w:p>
    <w:p w14:paraId="597B2C15">
      <w:pPr>
        <w:autoSpaceDE w:val="0"/>
        <w:autoSpaceDN w:val="0"/>
        <w:spacing w:after="156" w:afterLines="50" w:line="360" w:lineRule="auto"/>
        <w:jc w:val="center"/>
        <w:rPr>
          <w:rFonts w:hint="eastAsia" w:ascii="宋体" w:hAnsi="宋体" w:cs="Arial"/>
          <w:bCs/>
          <w:color w:val="000000"/>
          <w:lang w:val="zh-CN"/>
        </w:rPr>
      </w:pPr>
    </w:p>
    <w:p w14:paraId="596CBBF5">
      <w:pPr>
        <w:autoSpaceDE w:val="0"/>
        <w:autoSpaceDN w:val="0"/>
        <w:spacing w:after="156" w:afterLines="50" w:line="360" w:lineRule="auto"/>
        <w:jc w:val="center"/>
        <w:rPr>
          <w:rFonts w:hint="eastAsia" w:ascii="宋体" w:hAnsi="宋体" w:cs="Arial"/>
          <w:bCs/>
          <w:color w:val="000000"/>
          <w:lang w:val="zh-CN"/>
        </w:rPr>
      </w:pPr>
    </w:p>
    <w:p w14:paraId="4EBB3CE9">
      <w:pPr>
        <w:autoSpaceDE w:val="0"/>
        <w:autoSpaceDN w:val="0"/>
        <w:spacing w:after="156" w:afterLines="50" w:line="360" w:lineRule="auto"/>
        <w:jc w:val="center"/>
        <w:rPr>
          <w:rFonts w:hint="eastAsia" w:ascii="宋体" w:hAnsi="宋体" w:cs="Arial"/>
          <w:bCs/>
          <w:color w:val="000000"/>
          <w:lang w:val="zh-CN"/>
        </w:rPr>
      </w:pPr>
    </w:p>
    <w:p w14:paraId="0667C9CC">
      <w:pPr>
        <w:autoSpaceDE w:val="0"/>
        <w:autoSpaceDN w:val="0"/>
        <w:spacing w:after="156" w:afterLines="50" w:line="360" w:lineRule="auto"/>
        <w:jc w:val="center"/>
        <w:rPr>
          <w:rFonts w:ascii="宋体" w:hAnsi="宋体" w:cs="Arial"/>
          <w:b/>
          <w:bCs w:val="0"/>
          <w:color w:val="000000"/>
          <w:sz w:val="36"/>
          <w:szCs w:val="36"/>
        </w:rPr>
      </w:pPr>
      <w:r>
        <w:rPr>
          <w:rFonts w:hint="eastAsia" w:ascii="宋体" w:hAnsi="宋体" w:cs="Arial"/>
          <w:b/>
          <w:bCs w:val="0"/>
          <w:color w:val="000000"/>
          <w:sz w:val="36"/>
          <w:szCs w:val="36"/>
          <w:lang w:val="zh-CN"/>
        </w:rPr>
        <w:t>合同通用条款</w:t>
      </w:r>
    </w:p>
    <w:p w14:paraId="5FD6AED4">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根据《中华人民共和国民法典》《中华人民共和国政府采购法》的规定，合同双方经协商达成一致，自愿订立本合同，遵循公平原则明确双方的权利、义务，确保双方诚实守信地履行合同。</w:t>
      </w:r>
    </w:p>
    <w:p w14:paraId="51C9DE02">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一、</w:t>
      </w:r>
      <w:r>
        <w:rPr>
          <w:rFonts w:hint="eastAsia" w:ascii="宋体" w:hAnsi="宋体" w:cs="Arial"/>
          <w:b/>
          <w:bCs/>
          <w:color w:val="000000"/>
          <w:lang w:val="zh-CN"/>
        </w:rPr>
        <w:t>定义</w:t>
      </w:r>
    </w:p>
    <w:p w14:paraId="6754988D">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本合同中的下列术语应解释为：</w:t>
      </w:r>
    </w:p>
    <w:p w14:paraId="45240E6A">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“合同”指甲乙双方签署的、载明的甲乙双方权利义务的协议，包括所有的附件、附录和上述文件所提到的构成合同的所有文件。</w:t>
      </w:r>
    </w:p>
    <w:p w14:paraId="6A8095F1">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“合同金额”指根据合同规定，乙方在正确地完全履行合同义务后甲方应付给乙方的价款。</w:t>
      </w:r>
    </w:p>
    <w:p w14:paraId="5CA04884">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“合同条款”指本合同条款。</w:t>
      </w:r>
    </w:p>
    <w:p w14:paraId="1EED9861">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“货物”指乙方根据合同约定须向甲方提供的一切产品、设备、机械、仪表、备件等，包括辅助工具、使用手册等相关资料。</w:t>
      </w:r>
    </w:p>
    <w:p w14:paraId="1BCC0308">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“服务”指根据本合同规定乙方承担与供货有关的辅助服务，如运输、保险及安装、调试、提供技术援助、培训和合同中规定乙方应承担的其他义务。</w:t>
      </w:r>
    </w:p>
    <w:p w14:paraId="6F6AD8EE">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6、</w:t>
      </w:r>
      <w:r>
        <w:rPr>
          <w:rFonts w:hint="eastAsia" w:ascii="宋体" w:hAnsi="宋体" w:cs="Arial"/>
          <w:color w:val="000000"/>
          <w:lang w:val="zh-CN"/>
        </w:rPr>
        <w:t>“甲方”指购买货物和服务的单位。</w:t>
      </w:r>
    </w:p>
    <w:p w14:paraId="361F6540">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7、</w:t>
      </w:r>
      <w:r>
        <w:rPr>
          <w:rFonts w:hint="eastAsia" w:ascii="宋体" w:hAnsi="宋体" w:cs="Arial"/>
          <w:color w:val="000000"/>
          <w:lang w:val="zh-CN"/>
        </w:rPr>
        <w:t>“乙方”指提供本合同条款下货物和服务的公司或其他实体。</w:t>
      </w:r>
    </w:p>
    <w:p w14:paraId="7CA182DF">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8、</w:t>
      </w:r>
      <w:r>
        <w:rPr>
          <w:rFonts w:hint="eastAsia" w:ascii="宋体" w:hAnsi="宋体" w:cs="Arial"/>
          <w:color w:val="000000"/>
          <w:lang w:val="zh-CN"/>
        </w:rPr>
        <w:t>“现场”指合同规定货物将要运至和安装的地点。</w:t>
      </w:r>
    </w:p>
    <w:p w14:paraId="05FC9CEC">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9、</w:t>
      </w:r>
      <w:r>
        <w:rPr>
          <w:rFonts w:hint="eastAsia" w:ascii="宋体" w:hAnsi="宋体" w:cs="Arial"/>
          <w:color w:val="000000"/>
          <w:lang w:val="zh-CN"/>
        </w:rPr>
        <w:t>“验收”指合同双方依据强制性的国家技术质量规范和合同约定，确认合同条款下的货物符合合同规定的活动。</w:t>
      </w:r>
    </w:p>
    <w:p w14:paraId="2C3C56B7">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10、</w:t>
      </w:r>
      <w:r>
        <w:rPr>
          <w:rFonts w:hint="eastAsia" w:ascii="宋体" w:hAnsi="宋体" w:cs="Arial"/>
          <w:color w:val="000000"/>
          <w:lang w:val="zh-CN"/>
        </w:rPr>
        <w:t>原厂商：产品制造商或其在中国境内设立的办事或技术服务机构。除另有说明外，本合同文件所述的制造商、产品制造商、制造厂家、产品制造厂家均为原厂商。</w:t>
      </w:r>
    </w:p>
    <w:p w14:paraId="272628A2">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11、</w:t>
      </w:r>
      <w:r>
        <w:rPr>
          <w:rFonts w:hint="eastAsia" w:ascii="宋体" w:hAnsi="宋体" w:cs="Arial"/>
          <w:color w:val="000000"/>
          <w:lang w:val="zh-CN"/>
        </w:rPr>
        <w:t>原产地：指产品的生产地，或提供服务的来源地。</w:t>
      </w:r>
    </w:p>
    <w:p w14:paraId="271831F6">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12、</w:t>
      </w:r>
      <w:r>
        <w:rPr>
          <w:rFonts w:hint="eastAsia" w:ascii="宋体" w:hAnsi="宋体" w:cs="Arial"/>
          <w:color w:val="000000"/>
          <w:lang w:val="zh-CN"/>
        </w:rPr>
        <w:t>“工作日”指国家法定工作日，“天”指日历天数。</w:t>
      </w:r>
    </w:p>
    <w:p w14:paraId="27F28558">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二、</w:t>
      </w:r>
      <w:r>
        <w:rPr>
          <w:rFonts w:hint="eastAsia" w:ascii="宋体" w:hAnsi="宋体" w:cs="Arial"/>
          <w:b/>
          <w:bCs/>
          <w:color w:val="000000"/>
          <w:lang w:val="zh-CN"/>
        </w:rPr>
        <w:t>技术规格要求</w:t>
      </w:r>
    </w:p>
    <w:p w14:paraId="27A08A10">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本合同条款下提交货物的技术规格要求应等于或优于招标文件/招标响应文件技术规格要求。若技术规格要求中无相应规定，则应符合相应的国家有关部门最新颁布的相应正式标准。</w:t>
      </w:r>
    </w:p>
    <w:p w14:paraId="2A8CF005">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乙方应向甲方提供货物及服务有关的标准的中文文本。</w:t>
      </w:r>
    </w:p>
    <w:p w14:paraId="071D74BF">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除非技术规范中另有规定，计量单位均采用中华人民共和国法定计量单位。</w:t>
      </w:r>
    </w:p>
    <w:p w14:paraId="1C62AA7B">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三、</w:t>
      </w:r>
      <w:r>
        <w:rPr>
          <w:rFonts w:hint="eastAsia" w:ascii="宋体" w:hAnsi="宋体" w:cs="Arial"/>
          <w:b/>
          <w:bCs/>
          <w:color w:val="000000"/>
          <w:lang w:val="zh-CN"/>
        </w:rPr>
        <w:t>合同范围</w:t>
      </w:r>
    </w:p>
    <w:p w14:paraId="3A45D613">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222124D">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乙方应负责培训甲方的技术人员。</w:t>
      </w:r>
    </w:p>
    <w:p w14:paraId="047FADDB">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765621E4">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四、</w:t>
      </w:r>
      <w:r>
        <w:rPr>
          <w:rFonts w:hint="eastAsia" w:ascii="宋体" w:hAnsi="宋体" w:cs="Arial"/>
          <w:b/>
          <w:bCs/>
          <w:color w:val="000000"/>
          <w:lang w:val="zh-CN"/>
        </w:rPr>
        <w:t>合同文件和资料</w:t>
      </w:r>
    </w:p>
    <w:p w14:paraId="7DBA1EA4">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乙方在提供仪器设备时应同时提供中文版相关的技术资料，如目录索引、图纸、操作手册、使用指南、维修指南、服务手册等。</w:t>
      </w:r>
    </w:p>
    <w:p w14:paraId="54759369">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未经甲方事先的书面同意，乙方不得将由甲方或代表甲方提供的有关合同或任何合同条文、规格、计划或资料提供给予履行本合同无关的任何其他人，如向与履行本合同有关的人员提供，则应严格保密并限于履行本合同所必须的范围。</w:t>
      </w:r>
    </w:p>
    <w:p w14:paraId="515242B3">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五、</w:t>
      </w:r>
      <w:r>
        <w:rPr>
          <w:rFonts w:hint="eastAsia" w:ascii="宋体" w:hAnsi="宋体" w:cs="Arial"/>
          <w:b/>
          <w:bCs/>
          <w:color w:val="000000"/>
          <w:lang w:val="zh-CN"/>
        </w:rPr>
        <w:t>知识产权</w:t>
      </w:r>
    </w:p>
    <w:p w14:paraId="7F0B6485">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乙方应保证甲方在使用该货物或其任何一部分时不受第三方提出的侵犯专利权、</w:t>
      </w:r>
      <w:r>
        <w:rPr>
          <w:rFonts w:hint="eastAsia" w:ascii="宋体" w:hAnsi="宋体" w:cs="Arial"/>
          <w:color w:val="000000"/>
        </w:rPr>
        <w:t xml:space="preserve"> </w:t>
      </w:r>
      <w:r>
        <w:rPr>
          <w:rFonts w:hint="eastAsia" w:ascii="宋体" w:hAnsi="宋体" w:cs="Arial"/>
          <w:color w:val="000000"/>
          <w:lang w:val="zh-CN"/>
        </w:rPr>
        <w:t>著作权、商标权和工业设计权等的起诉。</w:t>
      </w:r>
    </w:p>
    <w:p w14:paraId="3EC21B68">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任何第三方提出侵权指控，乙方须与第三方交涉并承担由此产生的一切责任、费用和经济赔偿。</w:t>
      </w:r>
    </w:p>
    <w:p w14:paraId="5247B12E">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双方应共同遵守国家有关版权、专利、商标等知识产权方面的法律规定，相互尊重对方的知识产权，对本合同内容、对方的技术秘密和商业秘密负有保密责任。如有违反，违约方负相关法律责任。</w:t>
      </w:r>
    </w:p>
    <w:p w14:paraId="4AE06934">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在本合同生效时已经存在并为各方合法拥有或使用的所有技术、资料和信息的知识产权，仍应属于其各自的原权利人所有或享有，另有约定的除外。</w:t>
      </w:r>
    </w:p>
    <w:p w14:paraId="23330197">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他的许可使用费，以非独家的、永久的、全球的、不可撤销的方式使用本合同条款下软件产品。</w:t>
      </w:r>
    </w:p>
    <w:p w14:paraId="5D53B103">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六、</w:t>
      </w:r>
      <w:r>
        <w:rPr>
          <w:rFonts w:hint="eastAsia" w:ascii="宋体" w:hAnsi="宋体" w:cs="Arial"/>
          <w:b/>
          <w:bCs/>
          <w:color w:val="000000"/>
          <w:lang w:val="zh-CN"/>
        </w:rPr>
        <w:t>保密</w:t>
      </w:r>
    </w:p>
    <w:p w14:paraId="74EF7786">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D85C68C">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保密信息指任何一方因履行本合同所知悉的任何以口头、书面、图表或电子形式存在的对方信息，具体包括：</w:t>
      </w:r>
    </w:p>
    <w:p w14:paraId="35288A20">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任何涉及对方过去、现在或将来的商业计划、规章制度、操作规程、处理手段、财务信息；</w:t>
      </w:r>
    </w:p>
    <w:p w14:paraId="00E44B70">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任何对方的技术措施、技术方案、软件应用及开发，硬件设备的品种、质量、数量、品牌等；</w:t>
      </w:r>
    </w:p>
    <w:p w14:paraId="0BE0CF66">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任何对方的技术秘密或专有知识、文件、报告、数据、客户软件、流程图、数据库、发明、知识、贸易秘密。</w:t>
      </w:r>
    </w:p>
    <w:p w14:paraId="1B5B4F51">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乙方应根据甲方的要求签署相应的保密协议，保密协议与本条款存在不一致的，以保密协议为准。</w:t>
      </w:r>
    </w:p>
    <w:p w14:paraId="253EE36F">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七、</w:t>
      </w:r>
      <w:r>
        <w:rPr>
          <w:rFonts w:hint="eastAsia" w:ascii="宋体" w:hAnsi="宋体" w:cs="Arial"/>
          <w:b/>
          <w:bCs/>
          <w:color w:val="000000"/>
          <w:lang w:val="zh-CN"/>
        </w:rPr>
        <w:t>质量保证</w:t>
      </w:r>
    </w:p>
    <w:p w14:paraId="6589AE7B">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货物质量保证</w:t>
      </w:r>
    </w:p>
    <w:p w14:paraId="490128C9">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乙方必须保证货物是全新、未使用过的，并完全符合强制性的国家技术质量规范和合同规定的质量、规格、性能和技术规范等的要求。</w:t>
      </w:r>
    </w:p>
    <w:p w14:paraId="04E1747B">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3F5119EA">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DFABE11">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乙方在收到通知后虽答复，但没有弥补缺陷，甲方可采取必要的补救措施，但由此引发的风险和费用将由乙方承担。甲方可从合同款或乙方提交的保证金中扣款，不足部分，甲方有权要求乙方赔偿。甲方根据合同规定对卖方行使的其他权力不受影响。</w:t>
      </w:r>
    </w:p>
    <w:p w14:paraId="74F8C02F">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合同条款下货物的质量保证期自货物通过最终验收起算，合同另行规定除外。</w:t>
      </w:r>
    </w:p>
    <w:p w14:paraId="45FB0B5E">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辅助服务质量保证</w:t>
      </w:r>
    </w:p>
    <w:p w14:paraId="2F38BF2F">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0F0D5DFB">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乙方应保证合同条款下所提供的服务包括培训、安装指导、单机调试、系统联调和试验等，按合同规定方式进行，并保证不存在因乙方工作人员的过失、错误或疏忽而产生的缺陷。</w:t>
      </w:r>
    </w:p>
    <w:p w14:paraId="270F032F">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lang w:val="zh-CN"/>
        </w:rPr>
        <w:t>八、包装要求</w:t>
      </w:r>
    </w:p>
    <w:p w14:paraId="0510D21E">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除合同另有约定外，乙方提供的全部货物，均应采用本行业通用的方式进行包装，且该包装应符合国家有关包装的法律法规的规定。</w:t>
      </w:r>
    </w:p>
    <w:p w14:paraId="341751B0">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包装应适应于远距离运输，并有良好的防潮、防震、防锈和防粗暴装卸等保护措施，以确保货物安全运抵现场。由于包装不善所引起的货物锈蚀、损坏和损失均由乙方承担。</w:t>
      </w:r>
    </w:p>
    <w:p w14:paraId="2EAF601E">
      <w:pPr>
        <w:autoSpaceDE w:val="0"/>
        <w:autoSpaceDN w:val="0"/>
        <w:spacing w:line="360" w:lineRule="auto"/>
        <w:ind w:firstLine="480" w:firstLineChars="200"/>
        <w:rPr>
          <w:rFonts w:ascii="宋体" w:hAnsi="宋体" w:cs="Arial"/>
          <w:color w:val="000000"/>
          <w:lang w:val="zh-CN"/>
        </w:rPr>
      </w:pPr>
      <w:r>
        <w:rPr>
          <w:rFonts w:hint="eastAsia" w:ascii="宋体" w:hAnsi="宋体" w:cs="Arial"/>
          <w:color w:val="000000"/>
          <w:lang w:val="zh-CN"/>
        </w:rPr>
        <w:t>乙方应提供货物运至合同规定的最终目的地所需要的包装，以防止货物在转运中损坏或变质。</w:t>
      </w:r>
    </w:p>
    <w:p w14:paraId="5AC49535">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乙方所提供的货物包装均为出厂时原包装。</w:t>
      </w:r>
    </w:p>
    <w:p w14:paraId="7107D516">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乙方所提供货物必须附有质量合格证，装箱清单，主机、附件、各种零部件和消耗品，有清楚的与装箱单相对应的名称和编号。</w:t>
      </w:r>
    </w:p>
    <w:p w14:paraId="69A84BDC">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货物运输中的运输费用和保险费用均由乙方承担。运输过程中的一切损失、损坏均由乙方负责。</w:t>
      </w:r>
    </w:p>
    <w:p w14:paraId="6CD6625F">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rPr>
        <w:t xml:space="preserve">九、 </w:t>
      </w:r>
      <w:r>
        <w:rPr>
          <w:rFonts w:hint="eastAsia" w:ascii="宋体" w:hAnsi="宋体" w:cs="Arial"/>
          <w:b/>
          <w:bCs/>
          <w:color w:val="000000"/>
          <w:lang w:val="zh-CN"/>
        </w:rPr>
        <w:t>价格</w:t>
      </w:r>
    </w:p>
    <w:p w14:paraId="543B3D33">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履行合同所必需的所有费用，包括但不限于货物及部件的设计、检测与试验、制造、运输、装卸、保险、联机调试、安装调试指导、技术资料、培训、交通、人员、差旅、质量保证期服务费、其他管理费用、所有的检验、测试、调试、验收、试运行费用等均已包括在合同价格中。</w:t>
      </w:r>
    </w:p>
    <w:p w14:paraId="2D087829">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本合同价格为固定价格，包括乙方履行合同全过程产生的所有成本和费用以及乙方应承担的一切税费。</w:t>
      </w:r>
    </w:p>
    <w:p w14:paraId="79C59715">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检验费用</w:t>
      </w:r>
    </w:p>
    <w:p w14:paraId="6B275B4C">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乙方必须负担本条款下属于乙方负责的检验、测试、调试、试运行和验收的所有费用，并负责乙方派往买方组织的检验、测试和验收人员的所有费用。</w:t>
      </w:r>
    </w:p>
    <w:p w14:paraId="593FEC9F">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甲方按合同计划参加在乙方工厂所在地检验、测试和验收的费用全部由乙方负责并已包含在合同总价中。</w:t>
      </w:r>
    </w:p>
    <w:p w14:paraId="19BC9B86">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甲方检验人员已到卖方所在地，测试无法依照合同进行，</w:t>
      </w:r>
      <w:r>
        <w:rPr>
          <w:rFonts w:hint="eastAsia" w:ascii="宋体" w:hAnsi="宋体" w:cs="Arial"/>
          <w:color w:val="000000"/>
        </w:rPr>
        <w:t xml:space="preserve"> </w:t>
      </w:r>
      <w:r>
        <w:rPr>
          <w:rFonts w:hint="eastAsia" w:ascii="宋体" w:hAnsi="宋体" w:cs="Arial"/>
          <w:color w:val="000000"/>
          <w:lang w:val="zh-CN"/>
        </w:rPr>
        <w:t>而引起甲方人员延长逗留时间，所有由此产生的包括甲方人员在内的直接费用及成本由乙方承担。</w:t>
      </w:r>
    </w:p>
    <w:p w14:paraId="399B418F">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rPr>
        <w:t>十、</w:t>
      </w:r>
      <w:r>
        <w:rPr>
          <w:rFonts w:hint="eastAsia" w:ascii="宋体" w:hAnsi="宋体" w:cs="Arial"/>
          <w:b/>
          <w:bCs/>
          <w:color w:val="000000"/>
          <w:lang w:val="zh-CN"/>
        </w:rPr>
        <w:t>交货方式及交货日期</w:t>
      </w:r>
    </w:p>
    <w:p w14:paraId="0E3D2CE3">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交货方式：现场交货，乙方负责办理运输和保险，将货物运抵现场。</w:t>
      </w:r>
    </w:p>
    <w:p w14:paraId="37C54A06">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交货期应根据产品的特点实事求是填写，进口产品90个工作日内，国产产品60个工作日内。特殊产品交货期需说明。（实际交货期以采购人要求为准）</w:t>
      </w:r>
    </w:p>
    <w:p w14:paraId="3EC03885">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交货日期：所有货物运抵现场并经双方开箱验收合格之日。</w:t>
      </w:r>
    </w:p>
    <w:p w14:paraId="52C53387">
      <w:pPr>
        <w:autoSpaceDE w:val="0"/>
        <w:autoSpaceDN w:val="0"/>
        <w:spacing w:line="360" w:lineRule="auto"/>
        <w:ind w:firstLine="482" w:firstLineChars="200"/>
        <w:rPr>
          <w:rFonts w:ascii="宋体" w:hAnsi="宋体" w:cs="Arial"/>
          <w:color w:val="000000"/>
        </w:rPr>
      </w:pPr>
      <w:r>
        <w:rPr>
          <w:rFonts w:hint="eastAsia" w:ascii="宋体" w:hAnsi="宋体" w:cs="Arial"/>
          <w:b/>
          <w:color w:val="000000"/>
          <w:lang w:val="zh-CN"/>
        </w:rPr>
        <w:t>十一。检验和验收</w:t>
      </w:r>
    </w:p>
    <w:p w14:paraId="21E5F3B7">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开箱验收</w:t>
      </w:r>
    </w:p>
    <w:p w14:paraId="096C675D">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货物运抵现场后，双方应及时开箱验收，并制作验收记录，以确认与本合同约定的数量、型号等是否一致。</w:t>
      </w:r>
    </w:p>
    <w:p w14:paraId="1957E07E">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618FB24">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开箱验收中如发现货物的数量、规格与合同约定不符，甲方有权拒收货物，乙方应及时按甲方要求免费对拒收货物采取更换或其他必要的补救措施，直至开箱验收合格，方视为乙方完中标货。</w:t>
      </w:r>
    </w:p>
    <w:p w14:paraId="58F6845A">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检验验收</w:t>
      </w:r>
    </w:p>
    <w:p w14:paraId="4071DE02">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交货完成后，乙方应及时组装、调试、试运行，按照合同专用条款规定的试运行完成后，双方及时组织对货物检验验收。合同双方均须派人参加合同要求双方参加的试验、检验。</w:t>
      </w:r>
    </w:p>
    <w:p w14:paraId="3A4E2697">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在具体实施合同规定的检验验收之前，乙方需提前提交相应的测试计划（包括测试程序、测试内容和检验标准、试验时间安排等）供甲方确认。</w:t>
      </w:r>
    </w:p>
    <w:p w14:paraId="2169092D">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除需甲方确认的试验验收外，乙方还应对所有检验验收测试的结果、步骤、原始数据等做妥善记录。如甲方要求，乙方应提供这些记录给买方。</w:t>
      </w:r>
    </w:p>
    <w:p w14:paraId="0B189A8D">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检验测试出现全部或部分未达到本合同所约定的技术指标，甲方有权选择下列任一处理方式：</w:t>
      </w:r>
    </w:p>
    <w:p w14:paraId="457F6893">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a.</w:t>
      </w:r>
      <w:r>
        <w:rPr>
          <w:rFonts w:hint="eastAsia" w:ascii="宋体" w:hAnsi="宋体" w:cs="Arial"/>
          <w:color w:val="000000"/>
          <w:lang w:val="zh-CN"/>
        </w:rPr>
        <w:t>重新测试直至合格为止；</w:t>
      </w:r>
    </w:p>
    <w:p w14:paraId="7E1DC16A">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b.</w:t>
      </w:r>
      <w:r>
        <w:rPr>
          <w:rFonts w:hint="eastAsia" w:ascii="宋体" w:hAnsi="宋体" w:cs="Arial"/>
          <w:color w:val="000000"/>
          <w:lang w:val="zh-CN"/>
        </w:rPr>
        <w:t>要求乙方对货物进行免费更换，然后重新测试直至合格为止；</w:t>
      </w:r>
    </w:p>
    <w:p w14:paraId="63D5FED0">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无论选择何种方式，甲方因此而发生的因卖方原因引起的所有费用均由乙方负担。</w:t>
      </w:r>
    </w:p>
    <w:p w14:paraId="245BEA0D">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使用过程检验</w:t>
      </w:r>
    </w:p>
    <w:p w14:paraId="18BDD9EC">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合同规定的质量保证期内，发现货物的质量或规格与合同规定不符，或证明货物有缺陷，包括潜在的缺陷或使用不合适的原材料等，由甲方组织质检（相关检测费用由卖方承担），根据质检报告及质量保证条款向卖方提出索赔，此索赔并不免除乙方应承担的合同义务。</w:t>
      </w:r>
    </w:p>
    <w:p w14:paraId="18652EC5">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如果合同双方对乙方提供的上述试验结果报告的解释有分歧，双方须于出现分歧后</w:t>
      </w:r>
      <w:r>
        <w:rPr>
          <w:rFonts w:hint="eastAsia" w:ascii="宋体" w:hAnsi="宋体" w:cs="Arial"/>
          <w:color w:val="000000"/>
        </w:rPr>
        <w:t>10</w:t>
      </w:r>
      <w:r>
        <w:rPr>
          <w:rFonts w:hint="eastAsia" w:ascii="宋体" w:hAnsi="宋体" w:cs="Arial"/>
          <w:color w:val="000000"/>
          <w:lang w:val="zh-CN"/>
        </w:rPr>
        <w:t>天内给对方声明，以陈述己方的观点。声明须附有关证据。分歧应通过协商解决。</w:t>
      </w:r>
    </w:p>
    <w:p w14:paraId="6F3EA4BA">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rPr>
        <w:t>十二、</w:t>
      </w:r>
      <w:r>
        <w:rPr>
          <w:rFonts w:hint="eastAsia" w:ascii="宋体" w:hAnsi="宋体" w:cs="Arial"/>
          <w:b/>
          <w:bCs/>
          <w:color w:val="000000"/>
          <w:lang w:val="zh-CN"/>
        </w:rPr>
        <w:t>付款条件</w:t>
      </w:r>
    </w:p>
    <w:p w14:paraId="58EEFB7A">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本合同条款下的付款方法和条件在“青海省政府采购项目合同书”中具体规定。</w:t>
      </w:r>
    </w:p>
    <w:p w14:paraId="68C4902C">
      <w:pPr>
        <w:autoSpaceDE w:val="0"/>
        <w:autoSpaceDN w:val="0"/>
        <w:spacing w:line="360" w:lineRule="auto"/>
        <w:ind w:firstLine="482" w:firstLineChars="200"/>
        <w:rPr>
          <w:rFonts w:ascii="宋体" w:hAnsi="宋体" w:cs="Arial"/>
          <w:color w:val="000000"/>
        </w:rPr>
      </w:pPr>
      <w:r>
        <w:rPr>
          <w:rFonts w:hint="eastAsia" w:ascii="宋体" w:hAnsi="宋体" w:cs="宋体"/>
          <w:b/>
          <w:bCs/>
          <w:color w:val="000000"/>
          <w:lang w:val="zh-CN"/>
        </w:rPr>
        <w:t>十三、履约保证金</w:t>
      </w:r>
    </w:p>
    <w:p w14:paraId="623345E9">
      <w:pPr>
        <w:autoSpaceDE w:val="0"/>
        <w:autoSpaceDN w:val="0"/>
        <w:spacing w:line="360" w:lineRule="auto"/>
        <w:ind w:firstLine="480" w:firstLineChars="200"/>
        <w:rPr>
          <w:rFonts w:ascii="宋体" w:hAnsi="宋体" w:cs="Arial"/>
          <w:color w:val="000000"/>
        </w:rPr>
      </w:pPr>
      <w:r>
        <w:rPr>
          <w:rFonts w:hint="eastAsia" w:ascii="宋体" w:hAnsi="宋体" w:cs="宋体"/>
          <w:color w:val="000000"/>
          <w:lang w:val="zh-CN"/>
        </w:rPr>
        <w:t>1、乙方应在合同签订前，按约定提交履约保证金。</w:t>
      </w:r>
    </w:p>
    <w:p w14:paraId="61C765A9">
      <w:pPr>
        <w:autoSpaceDE w:val="0"/>
        <w:autoSpaceDN w:val="0"/>
        <w:spacing w:line="360" w:lineRule="auto"/>
        <w:ind w:firstLine="480" w:firstLineChars="200"/>
        <w:rPr>
          <w:rFonts w:ascii="宋体" w:hAnsi="宋体" w:cs="Arial"/>
          <w:color w:val="000000"/>
        </w:rPr>
      </w:pPr>
      <w:r>
        <w:rPr>
          <w:rFonts w:hint="eastAsia" w:ascii="宋体" w:hAnsi="宋体" w:cs="宋体"/>
          <w:color w:val="000000"/>
          <w:lang w:val="zh-CN"/>
        </w:rPr>
        <w:t>2、履约保证金用于补偿甲方因乙方不能履行其合同义务而蒙受的损失。</w:t>
      </w:r>
    </w:p>
    <w:p w14:paraId="34E86D78">
      <w:pPr>
        <w:autoSpaceDE w:val="0"/>
        <w:autoSpaceDN w:val="0"/>
        <w:spacing w:line="360" w:lineRule="auto"/>
        <w:ind w:firstLine="480" w:firstLineChars="200"/>
        <w:rPr>
          <w:rFonts w:ascii="宋体" w:hAnsi="宋体" w:cs="Arial"/>
          <w:color w:val="000000"/>
        </w:rPr>
      </w:pPr>
      <w:r>
        <w:rPr>
          <w:rFonts w:hint="eastAsia" w:ascii="宋体" w:hAnsi="宋体" w:cs="宋体"/>
          <w:color w:val="000000"/>
          <w:lang w:val="zh-CN"/>
        </w:rPr>
        <w:t>3、履约保证金应使用本合同货币，按下述方式之一提交（招标文件中另有约定的除外）：</w:t>
      </w:r>
    </w:p>
    <w:p w14:paraId="1C9FACB0">
      <w:pPr>
        <w:autoSpaceDE w:val="0"/>
        <w:autoSpaceDN w:val="0"/>
        <w:spacing w:line="360" w:lineRule="auto"/>
        <w:ind w:firstLine="480" w:firstLineChars="200"/>
        <w:rPr>
          <w:rFonts w:ascii="宋体" w:hAnsi="宋体" w:cs="Arial"/>
          <w:color w:val="000000"/>
        </w:rPr>
      </w:pPr>
      <w:r>
        <w:rPr>
          <w:rFonts w:hint="eastAsia" w:ascii="宋体" w:hAnsi="宋体" w:cs="宋体"/>
          <w:color w:val="000000"/>
          <w:lang w:val="zh-CN"/>
        </w:rPr>
        <w:t>4、甲方可接受的在中华人民共和国注册和营业的银行出具的履约保函；</w:t>
      </w:r>
    </w:p>
    <w:p w14:paraId="227C8308">
      <w:pPr>
        <w:autoSpaceDE w:val="0"/>
        <w:autoSpaceDN w:val="0"/>
        <w:spacing w:line="360" w:lineRule="auto"/>
        <w:ind w:firstLine="480" w:firstLineChars="200"/>
        <w:rPr>
          <w:rFonts w:ascii="宋体" w:hAnsi="宋体" w:cs="Arial"/>
          <w:color w:val="000000"/>
        </w:rPr>
      </w:pPr>
      <w:r>
        <w:rPr>
          <w:rFonts w:hint="eastAsia" w:ascii="宋体" w:hAnsi="宋体" w:cs="宋体"/>
          <w:color w:val="000000"/>
          <w:lang w:val="zh-CN"/>
        </w:rPr>
        <w:t>5、支票或汇票。</w:t>
      </w:r>
    </w:p>
    <w:p w14:paraId="5B49DEA0">
      <w:pPr>
        <w:autoSpaceDE w:val="0"/>
        <w:autoSpaceDN w:val="0"/>
        <w:spacing w:line="360" w:lineRule="auto"/>
        <w:ind w:firstLine="480" w:firstLineChars="200"/>
        <w:rPr>
          <w:rFonts w:ascii="宋体" w:hAnsi="宋体" w:cs="Arial"/>
          <w:color w:val="000000"/>
        </w:rPr>
      </w:pPr>
      <w:r>
        <w:rPr>
          <w:rFonts w:hint="eastAsia" w:ascii="宋体" w:hAnsi="宋体" w:cs="宋体"/>
          <w:color w:val="000000"/>
          <w:lang w:val="zh-CN"/>
        </w:rPr>
        <w:t>6、乙方未能按合同规定履行其义务，甲方有权从履约保证金中取得补偿。货物验收合格后，甲方将履约保证金退还乙方或转为质量保证金。</w:t>
      </w:r>
    </w:p>
    <w:p w14:paraId="3DF234B1">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rPr>
        <w:t>十四、</w:t>
      </w:r>
      <w:r>
        <w:rPr>
          <w:rFonts w:hint="eastAsia" w:ascii="宋体" w:hAnsi="宋体" w:cs="Arial"/>
          <w:b/>
          <w:bCs/>
          <w:color w:val="000000"/>
          <w:lang w:val="zh-CN"/>
        </w:rPr>
        <w:t>索赔</w:t>
      </w:r>
    </w:p>
    <w:p w14:paraId="7BC333D2">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B24B19B">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在履约保证期和检验期内，乙方对甲方提出的索赔负有责任，乙方应按照甲方同意的下列一种或多种方式解决索赔事宜：</w:t>
      </w:r>
    </w:p>
    <w:p w14:paraId="16E15B00">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法定的退货期内，乙方应按合同规定将货款退还给甲方，并承担由此发生的一切损失和费用，包括利息、银行手续费、运费、保险费、检验费、仓储费、装卸费以及为保护退回货物所需的其他必要费用。如已超过退货期，但乙方同意退货，可比照上述办法办理，或由双方协商处理。</w:t>
      </w:r>
    </w:p>
    <w:p w14:paraId="4E7D5790">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根据货物低劣程度、损坏程度以及甲方所遭受损失的数额，经甲乙双方商定降低货物的价格，或由有资质的中介机构评估，以降低后的价格或评估价格为准。</w:t>
      </w:r>
    </w:p>
    <w:p w14:paraId="1FFECA78">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0CA6239">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乙方收到甲方发出的索赔通知之日起</w:t>
      </w:r>
      <w:r>
        <w:rPr>
          <w:rFonts w:hint="eastAsia" w:ascii="宋体" w:hAnsi="宋体" w:cs="Arial"/>
          <w:color w:val="000000"/>
        </w:rPr>
        <w:t>5</w:t>
      </w:r>
      <w:r>
        <w:rPr>
          <w:rFonts w:hint="eastAsia" w:ascii="宋体" w:hAnsi="宋体" w:cs="Arial"/>
          <w:color w:val="000000"/>
          <w:lang w:val="zh-CN"/>
        </w:rPr>
        <w:t>个工作日内未作答复的，甲方可从合同款或履约保证金中扣回索赔金额，如金额不足以补偿索赔金额，乙方应补足差额部分。</w:t>
      </w:r>
    </w:p>
    <w:p w14:paraId="32055BD6">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rPr>
        <w:t>十五、</w:t>
      </w:r>
      <w:r>
        <w:rPr>
          <w:rFonts w:hint="eastAsia" w:ascii="宋体" w:hAnsi="宋体" w:cs="Arial"/>
          <w:b/>
          <w:bCs/>
          <w:color w:val="000000"/>
          <w:lang w:val="zh-CN"/>
        </w:rPr>
        <w:t>迟延交货</w:t>
      </w:r>
    </w:p>
    <w:p w14:paraId="25A6B23E">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乙方应按照合同约定的时间交货和提供服务。</w:t>
      </w:r>
    </w:p>
    <w:p w14:paraId="5F5A2429">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除不可抗力因素外，乙方迟延交货，甲方有权提出违约损失赔偿或解除合同。</w:t>
      </w:r>
    </w:p>
    <w:p w14:paraId="0B9F938E">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527B3581">
      <w:pPr>
        <w:autoSpaceDE w:val="0"/>
        <w:autoSpaceDN w:val="0"/>
        <w:spacing w:before="156" w:beforeLines="50" w:line="360" w:lineRule="auto"/>
        <w:ind w:firstLine="482" w:firstLineChars="200"/>
        <w:rPr>
          <w:rFonts w:ascii="宋体" w:hAnsi="宋体" w:cs="Arial"/>
          <w:color w:val="000000"/>
        </w:rPr>
      </w:pPr>
      <w:r>
        <w:rPr>
          <w:rFonts w:hint="eastAsia" w:ascii="宋体" w:hAnsi="宋体" w:cs="Arial"/>
          <w:b/>
          <w:bCs/>
          <w:color w:val="000000"/>
        </w:rPr>
        <w:t>十六、</w:t>
      </w:r>
      <w:r>
        <w:rPr>
          <w:rFonts w:hint="eastAsia" w:ascii="宋体" w:hAnsi="宋体" w:cs="Arial"/>
          <w:b/>
          <w:bCs/>
          <w:color w:val="000000"/>
          <w:lang w:val="zh-CN"/>
        </w:rPr>
        <w:t>违约赔偿</w:t>
      </w:r>
    </w:p>
    <w:p w14:paraId="06CA996E">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除不可抗力因素外，乙方没有按照合同规定的时间交货和提供服务，甲方可要求乙方支付违约金。违约金每日按合同总价款的千分之五计收。</w:t>
      </w:r>
    </w:p>
    <w:p w14:paraId="0A2AB36F">
      <w:pPr>
        <w:autoSpaceDE w:val="0"/>
        <w:autoSpaceDN w:val="0"/>
        <w:spacing w:before="156" w:beforeLines="50" w:line="360" w:lineRule="auto"/>
        <w:ind w:firstLine="482" w:firstLineChars="200"/>
        <w:rPr>
          <w:rFonts w:ascii="宋体" w:hAnsi="宋体" w:cs="Arial"/>
          <w:color w:val="000000"/>
        </w:rPr>
      </w:pPr>
      <w:r>
        <w:rPr>
          <w:rFonts w:hint="eastAsia" w:ascii="宋体" w:hAnsi="宋体" w:cs="Arial"/>
          <w:b/>
          <w:bCs/>
          <w:color w:val="000000"/>
        </w:rPr>
        <w:t>十七、</w:t>
      </w:r>
      <w:r>
        <w:rPr>
          <w:rFonts w:hint="eastAsia" w:ascii="宋体" w:hAnsi="宋体" w:cs="Arial"/>
          <w:b/>
          <w:bCs/>
          <w:color w:val="000000"/>
          <w:lang w:val="zh-CN"/>
        </w:rPr>
        <w:t>不可抗力</w:t>
      </w:r>
    </w:p>
    <w:p w14:paraId="1CC989AE">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双方中任何一方遭遇法律规定的不可抗力，致使合同履行受阻时，履行合同的期限应予延长，延长的期限应相当于不可抗力所影响的时间。</w:t>
      </w:r>
    </w:p>
    <w:p w14:paraId="2C42B9CE">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受事故影响的一方应在不可抗力的事故发生后以书面形式通知另一方。</w:t>
      </w:r>
    </w:p>
    <w:p w14:paraId="22C63A13">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不可抗力使合同的某些内容有变更必要的，</w:t>
      </w:r>
      <w:r>
        <w:rPr>
          <w:rFonts w:hint="eastAsia" w:ascii="宋体" w:hAnsi="宋体" w:cs="Arial"/>
          <w:color w:val="000000"/>
        </w:rPr>
        <w:t xml:space="preserve"> </w:t>
      </w:r>
      <w:r>
        <w:rPr>
          <w:rFonts w:hint="eastAsia" w:ascii="宋体" w:hAnsi="宋体" w:cs="Arial"/>
          <w:color w:val="000000"/>
          <w:lang w:val="zh-CN"/>
        </w:rPr>
        <w:t>双方应通过协商达成进一步履行合同的协议，因不可抗力致使合同不能履行的，合同终止。</w:t>
      </w:r>
    </w:p>
    <w:p w14:paraId="5CBFECE9">
      <w:pPr>
        <w:autoSpaceDE w:val="0"/>
        <w:autoSpaceDN w:val="0"/>
        <w:spacing w:before="156" w:beforeLines="50" w:line="360" w:lineRule="auto"/>
        <w:ind w:firstLine="482" w:firstLineChars="200"/>
        <w:rPr>
          <w:rFonts w:ascii="宋体" w:hAnsi="宋体" w:cs="Arial"/>
          <w:color w:val="000000"/>
        </w:rPr>
      </w:pPr>
      <w:r>
        <w:rPr>
          <w:rFonts w:hint="eastAsia" w:ascii="宋体" w:hAnsi="宋体" w:cs="Arial"/>
          <w:b/>
          <w:bCs/>
          <w:color w:val="000000"/>
        </w:rPr>
        <w:t>十八、</w:t>
      </w:r>
      <w:r>
        <w:rPr>
          <w:rFonts w:hint="eastAsia" w:ascii="宋体" w:hAnsi="宋体" w:cs="Arial"/>
          <w:b/>
          <w:bCs/>
          <w:color w:val="000000"/>
          <w:lang w:val="zh-CN"/>
        </w:rPr>
        <w:t>税费</w:t>
      </w:r>
    </w:p>
    <w:p w14:paraId="019E1CE4">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与本合同有关的一切税费均由乙方承担。</w:t>
      </w:r>
    </w:p>
    <w:p w14:paraId="71420E38">
      <w:pPr>
        <w:autoSpaceDE w:val="0"/>
        <w:autoSpaceDN w:val="0"/>
        <w:spacing w:before="156" w:beforeLines="50" w:line="360" w:lineRule="auto"/>
        <w:ind w:firstLine="482" w:firstLineChars="200"/>
        <w:rPr>
          <w:rFonts w:ascii="宋体" w:hAnsi="宋体" w:cs="Arial"/>
          <w:color w:val="000000"/>
        </w:rPr>
      </w:pPr>
      <w:r>
        <w:rPr>
          <w:rFonts w:hint="eastAsia" w:ascii="宋体" w:hAnsi="宋体" w:cs="Arial"/>
          <w:b/>
          <w:bCs/>
          <w:color w:val="000000"/>
        </w:rPr>
        <w:t>十九、</w:t>
      </w:r>
      <w:r>
        <w:rPr>
          <w:rFonts w:hint="eastAsia" w:ascii="宋体" w:hAnsi="宋体" w:cs="Arial"/>
          <w:b/>
          <w:bCs/>
          <w:color w:val="000000"/>
          <w:lang w:val="zh-CN"/>
        </w:rPr>
        <w:t>合同争议的解决</w:t>
      </w:r>
    </w:p>
    <w:p w14:paraId="30D5A36B">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甲方和乙方由于本合同的履行而发生任何争议时，双方可先通过协商解决。</w:t>
      </w:r>
    </w:p>
    <w:p w14:paraId="7A848F03">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任何一方不愿通过协商或通过协商仍不能解决争议，则双方中任何一方均应向甲方所在地人民法院起诉。</w:t>
      </w:r>
    </w:p>
    <w:p w14:paraId="2BCF53C4">
      <w:pPr>
        <w:autoSpaceDE w:val="0"/>
        <w:autoSpaceDN w:val="0"/>
        <w:spacing w:before="156" w:beforeLines="50" w:line="360" w:lineRule="auto"/>
        <w:ind w:firstLine="482" w:firstLineChars="200"/>
        <w:rPr>
          <w:rFonts w:ascii="宋体" w:hAnsi="宋体" w:cs="Arial"/>
          <w:color w:val="000000"/>
        </w:rPr>
      </w:pPr>
      <w:r>
        <w:rPr>
          <w:rFonts w:hint="eastAsia" w:ascii="宋体" w:hAnsi="宋体" w:cs="Arial"/>
          <w:b/>
          <w:bCs/>
          <w:color w:val="000000"/>
        </w:rPr>
        <w:t>二十、</w:t>
      </w:r>
      <w:r>
        <w:rPr>
          <w:rFonts w:hint="eastAsia" w:ascii="宋体" w:hAnsi="宋体" w:cs="Arial"/>
          <w:b/>
          <w:bCs/>
          <w:color w:val="000000"/>
          <w:lang w:val="zh-CN"/>
        </w:rPr>
        <w:t>违约解除合同</w:t>
      </w:r>
    </w:p>
    <w:p w14:paraId="0778D970">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出现下列情形之一的，视为乙方违约。甲方可向乙方发出书面通知，部分或全部终止合同，同时保留向乙方索赔的权利。</w:t>
      </w:r>
    </w:p>
    <w:p w14:paraId="050B1DED">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乙方未能在合同规定的限期或甲方同意延长的限期内，提供全部或部分货物的；</w:t>
      </w:r>
    </w:p>
    <w:p w14:paraId="31A21808">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乙方未能履行合同规定的其他主要义务的；</w:t>
      </w:r>
    </w:p>
    <w:p w14:paraId="4F8EC863">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乙方在本合同履行过程中有欺诈行为的。</w:t>
      </w:r>
    </w:p>
    <w:p w14:paraId="72D1D2C3">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90461F7">
      <w:pPr>
        <w:autoSpaceDE w:val="0"/>
        <w:autoSpaceDN w:val="0"/>
        <w:spacing w:before="156" w:beforeLines="50" w:line="360" w:lineRule="auto"/>
        <w:ind w:firstLine="482" w:firstLineChars="200"/>
        <w:rPr>
          <w:rFonts w:ascii="宋体" w:hAnsi="宋体" w:cs="Arial"/>
          <w:color w:val="000000"/>
        </w:rPr>
      </w:pPr>
      <w:r>
        <w:rPr>
          <w:rFonts w:hint="eastAsia" w:ascii="宋体" w:hAnsi="宋体" w:cs="Arial"/>
          <w:b/>
          <w:bCs/>
          <w:color w:val="000000"/>
        </w:rPr>
        <w:t>二十一、</w:t>
      </w:r>
      <w:r>
        <w:rPr>
          <w:rFonts w:hint="eastAsia" w:ascii="宋体" w:hAnsi="宋体" w:cs="Arial"/>
          <w:b/>
          <w:bCs/>
          <w:color w:val="000000"/>
          <w:lang w:val="zh-CN"/>
        </w:rPr>
        <w:t>破产终止合同</w:t>
      </w:r>
    </w:p>
    <w:p w14:paraId="13B4EB0B">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乙方破产而无法完全履行本合同义务时，甲方可以书面方式通知乙方终止合同而不给予乙方补偿。该合同的终止将不损害或不影响甲方已经采取或将要采取任何行动或补救措施的权利。</w:t>
      </w:r>
    </w:p>
    <w:p w14:paraId="393B1E9C">
      <w:pPr>
        <w:autoSpaceDE w:val="0"/>
        <w:autoSpaceDN w:val="0"/>
        <w:spacing w:before="156" w:beforeLines="50" w:line="360" w:lineRule="auto"/>
        <w:ind w:firstLine="482" w:firstLineChars="200"/>
        <w:rPr>
          <w:rFonts w:ascii="宋体" w:hAnsi="宋体" w:cs="Arial"/>
          <w:color w:val="000000"/>
        </w:rPr>
      </w:pPr>
      <w:r>
        <w:rPr>
          <w:rFonts w:hint="eastAsia" w:ascii="宋体" w:hAnsi="宋体" w:cs="Arial"/>
          <w:b/>
          <w:bCs/>
          <w:color w:val="000000"/>
        </w:rPr>
        <w:t>二十二、</w:t>
      </w:r>
      <w:r>
        <w:rPr>
          <w:rFonts w:hint="eastAsia" w:ascii="宋体" w:hAnsi="宋体" w:cs="Arial"/>
          <w:b/>
          <w:bCs/>
          <w:color w:val="000000"/>
          <w:lang w:val="zh-CN"/>
        </w:rPr>
        <w:t>转让和分包</w:t>
      </w:r>
    </w:p>
    <w:p w14:paraId="775A9A68">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政府采购合同不能转让。</w:t>
      </w:r>
    </w:p>
    <w:p w14:paraId="7D813534">
      <w:pPr>
        <w:autoSpaceDE w:val="0"/>
        <w:autoSpaceDN w:val="0"/>
        <w:spacing w:before="156" w:beforeLines="50"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D24DCDD">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rPr>
        <w:t>二十三、</w:t>
      </w:r>
      <w:r>
        <w:rPr>
          <w:rFonts w:hint="eastAsia" w:ascii="宋体" w:hAnsi="宋体" w:cs="Arial"/>
          <w:b/>
          <w:bCs/>
          <w:color w:val="000000"/>
          <w:lang w:val="zh-CN"/>
        </w:rPr>
        <w:t>合同修改</w:t>
      </w:r>
    </w:p>
    <w:p w14:paraId="34FE8C49">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甲方和乙方都不得擅自变更本合同，但合同继续履行将损害国家和社会公共利益的除外。如必须对合同条款进行改动时，当事人双方须共同签署书面文件，作为合同的补充。</w:t>
      </w:r>
    </w:p>
    <w:p w14:paraId="250DAEF6">
      <w:pPr>
        <w:autoSpaceDE w:val="0"/>
        <w:autoSpaceDN w:val="0"/>
        <w:spacing w:before="156" w:beforeLines="50" w:line="360" w:lineRule="auto"/>
        <w:ind w:firstLine="482" w:firstLineChars="200"/>
        <w:rPr>
          <w:rFonts w:ascii="宋体" w:hAnsi="宋体" w:cs="Arial"/>
          <w:color w:val="000000"/>
        </w:rPr>
      </w:pPr>
      <w:r>
        <w:rPr>
          <w:rFonts w:hint="eastAsia" w:ascii="宋体" w:hAnsi="宋体" w:cs="Arial"/>
          <w:b/>
          <w:bCs/>
          <w:color w:val="000000"/>
        </w:rPr>
        <w:t>二十四、</w:t>
      </w:r>
      <w:r>
        <w:rPr>
          <w:rFonts w:hint="eastAsia" w:ascii="宋体" w:hAnsi="宋体" w:cs="Arial"/>
          <w:b/>
          <w:bCs/>
          <w:color w:val="000000"/>
          <w:lang w:val="zh-CN"/>
        </w:rPr>
        <w:t>通知</w:t>
      </w:r>
    </w:p>
    <w:p w14:paraId="461DD535">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本合同任何一方给另一方的通知，都应以书面形式发送，而另一方也应以书面形式确认并发送到对方明确的地址。</w:t>
      </w:r>
    </w:p>
    <w:p w14:paraId="55ABFD3E">
      <w:pPr>
        <w:autoSpaceDE w:val="0"/>
        <w:autoSpaceDN w:val="0"/>
        <w:spacing w:before="156" w:beforeLines="50" w:line="360" w:lineRule="auto"/>
        <w:ind w:firstLine="472" w:firstLineChars="196"/>
        <w:rPr>
          <w:rFonts w:ascii="宋体" w:hAnsi="宋体" w:cs="Arial"/>
          <w:b/>
          <w:bCs/>
          <w:color w:val="000000"/>
        </w:rPr>
      </w:pPr>
      <w:r>
        <w:rPr>
          <w:rFonts w:hint="eastAsia" w:ascii="宋体" w:hAnsi="宋体" w:cs="Arial"/>
          <w:b/>
          <w:bCs/>
          <w:color w:val="000000"/>
        </w:rPr>
        <w:t>二十五、</w:t>
      </w:r>
      <w:r>
        <w:rPr>
          <w:rFonts w:hint="eastAsia" w:ascii="宋体" w:hAnsi="宋体" w:cs="Arial"/>
          <w:b/>
          <w:bCs/>
          <w:color w:val="000000"/>
          <w:lang w:val="zh-CN"/>
        </w:rPr>
        <w:t>计量单位</w:t>
      </w:r>
    </w:p>
    <w:p w14:paraId="5F415FA6">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ascii="宋体" w:hAnsi="宋体" w:cs="Arial"/>
          <w:color w:val="000000"/>
        </w:rPr>
      </w:pPr>
      <w:r>
        <w:rPr>
          <w:rFonts w:hint="eastAsia" w:ascii="宋体" w:hAnsi="宋体" w:cs="Arial"/>
          <w:color w:val="000000"/>
          <w:lang w:val="zh-CN"/>
        </w:rPr>
        <w:t>除技术规范中另有规定外，计量单位均使用国家法定计量单位。</w:t>
      </w:r>
    </w:p>
    <w:p w14:paraId="53BC3FEB">
      <w:pPr>
        <w:keepNext w:val="0"/>
        <w:keepLines w:val="0"/>
        <w:pageBreakBefore w:val="0"/>
        <w:widowControl w:val="0"/>
        <w:kinsoku/>
        <w:wordWrap/>
        <w:overflowPunct/>
        <w:topLinePunct w:val="0"/>
        <w:autoSpaceDE w:val="0"/>
        <w:autoSpaceDN w:val="0"/>
        <w:bidi w:val="0"/>
        <w:adjustRightInd/>
        <w:snapToGrid/>
        <w:spacing w:before="156" w:beforeLines="50" w:line="400" w:lineRule="exact"/>
        <w:ind w:firstLine="472" w:firstLineChars="196"/>
        <w:textAlignment w:val="auto"/>
        <w:rPr>
          <w:rFonts w:ascii="宋体" w:hAnsi="宋体" w:cs="Arial"/>
          <w:b/>
          <w:bCs/>
          <w:color w:val="000000"/>
        </w:rPr>
      </w:pPr>
      <w:r>
        <w:rPr>
          <w:rFonts w:hint="eastAsia" w:ascii="宋体" w:hAnsi="宋体" w:cs="Arial"/>
          <w:b/>
          <w:bCs/>
          <w:color w:val="000000"/>
        </w:rPr>
        <w:t>二十六、</w:t>
      </w:r>
      <w:r>
        <w:rPr>
          <w:rFonts w:hint="eastAsia" w:ascii="宋体" w:hAnsi="宋体" w:cs="Arial"/>
          <w:b/>
          <w:bCs/>
          <w:color w:val="000000"/>
          <w:lang w:val="zh-CN"/>
        </w:rPr>
        <w:t>适用法律</w:t>
      </w:r>
    </w:p>
    <w:p w14:paraId="5884B159">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cs="Arial"/>
          <w:color w:val="000000"/>
          <w:lang w:val="zh-CN"/>
        </w:rPr>
      </w:pPr>
      <w:r>
        <w:rPr>
          <w:rFonts w:hint="eastAsia" w:ascii="宋体" w:hAnsi="宋体" w:cs="Arial"/>
          <w:color w:val="000000"/>
          <w:lang w:val="zh-CN"/>
        </w:rPr>
        <w:t>本合同按照中华人民共和国的相关法律进行解释</w:t>
      </w:r>
    </w:p>
    <w:p w14:paraId="6FF754BD">
      <w:pPr>
        <w:pStyle w:val="28"/>
        <w:numPr>
          <w:ilvl w:val="0"/>
          <w:numId w:val="0"/>
        </w:numPr>
        <w:spacing w:before="0" w:after="0" w:line="360" w:lineRule="auto"/>
        <w:jc w:val="center"/>
        <w:rPr>
          <w:rFonts w:hint="eastAsia" w:ascii="宋体" w:hAnsi="宋体" w:cs="宋体"/>
          <w:color w:val="000000"/>
          <w:szCs w:val="36"/>
          <w:lang w:val="zh-CN"/>
        </w:rPr>
      </w:pPr>
      <w:bookmarkStart w:id="53" w:name="_Toc3082"/>
    </w:p>
    <w:p w14:paraId="27D83FA3">
      <w:pPr>
        <w:pStyle w:val="28"/>
        <w:numPr>
          <w:ilvl w:val="0"/>
          <w:numId w:val="0"/>
        </w:numPr>
        <w:spacing w:before="0" w:after="0" w:line="360" w:lineRule="auto"/>
        <w:jc w:val="center"/>
        <w:rPr>
          <w:rFonts w:hint="eastAsia" w:ascii="宋体" w:hAnsi="宋体" w:cs="宋体"/>
          <w:color w:val="000000"/>
          <w:szCs w:val="36"/>
          <w:lang w:val="zh-CN"/>
        </w:rPr>
      </w:pPr>
    </w:p>
    <w:p w14:paraId="6EEF9529">
      <w:pPr>
        <w:pStyle w:val="28"/>
        <w:numPr>
          <w:ilvl w:val="0"/>
          <w:numId w:val="0"/>
        </w:numPr>
        <w:spacing w:before="0" w:after="0" w:line="360" w:lineRule="auto"/>
        <w:jc w:val="center"/>
        <w:rPr>
          <w:rFonts w:hint="eastAsia" w:ascii="宋体" w:hAnsi="宋体" w:cs="宋体"/>
          <w:color w:val="000000"/>
          <w:szCs w:val="36"/>
          <w:lang w:val="zh-CN"/>
        </w:rPr>
      </w:pPr>
    </w:p>
    <w:p w14:paraId="5C7FFC35">
      <w:pPr>
        <w:pStyle w:val="28"/>
        <w:numPr>
          <w:ilvl w:val="0"/>
          <w:numId w:val="0"/>
        </w:numPr>
        <w:spacing w:before="0" w:after="0" w:line="360" w:lineRule="auto"/>
        <w:jc w:val="center"/>
        <w:rPr>
          <w:rFonts w:hint="eastAsia" w:ascii="宋体" w:hAnsi="宋体" w:cs="宋体"/>
          <w:color w:val="000000"/>
          <w:szCs w:val="36"/>
          <w:lang w:val="zh-CN"/>
        </w:rPr>
      </w:pPr>
    </w:p>
    <w:p w14:paraId="7133C826">
      <w:pPr>
        <w:pStyle w:val="28"/>
        <w:numPr>
          <w:ilvl w:val="0"/>
          <w:numId w:val="0"/>
        </w:numPr>
        <w:spacing w:before="0" w:after="0" w:line="360" w:lineRule="auto"/>
        <w:jc w:val="center"/>
        <w:rPr>
          <w:rFonts w:hint="eastAsia" w:ascii="宋体" w:hAnsi="宋体" w:cs="宋体"/>
          <w:color w:val="000000"/>
          <w:szCs w:val="36"/>
          <w:lang w:val="zh-CN"/>
        </w:rPr>
      </w:pPr>
    </w:p>
    <w:p w14:paraId="3A76A864">
      <w:pPr>
        <w:pStyle w:val="28"/>
        <w:numPr>
          <w:ilvl w:val="0"/>
          <w:numId w:val="0"/>
        </w:numPr>
        <w:spacing w:before="0" w:after="0" w:line="360" w:lineRule="auto"/>
        <w:jc w:val="center"/>
        <w:rPr>
          <w:rFonts w:hint="eastAsia" w:ascii="宋体" w:hAnsi="宋体" w:cs="宋体"/>
          <w:color w:val="000000"/>
          <w:szCs w:val="36"/>
          <w:lang w:val="zh-CN"/>
        </w:rPr>
      </w:pPr>
    </w:p>
    <w:p w14:paraId="79907066">
      <w:pPr>
        <w:pStyle w:val="28"/>
        <w:numPr>
          <w:ilvl w:val="0"/>
          <w:numId w:val="0"/>
        </w:numPr>
        <w:spacing w:before="0" w:after="0" w:line="360" w:lineRule="auto"/>
        <w:jc w:val="center"/>
        <w:rPr>
          <w:rFonts w:hint="eastAsia" w:ascii="宋体" w:hAnsi="宋体" w:cs="宋体"/>
          <w:color w:val="000000"/>
          <w:szCs w:val="36"/>
          <w:lang w:val="zh-CN"/>
        </w:rPr>
      </w:pPr>
      <w:r>
        <w:rPr>
          <w:rFonts w:hint="eastAsia" w:ascii="宋体" w:hAnsi="宋体" w:cs="宋体"/>
          <w:color w:val="000000"/>
          <w:szCs w:val="36"/>
          <w:lang w:val="zh-CN"/>
        </w:rPr>
        <w:t>投标文件格式</w:t>
      </w:r>
      <w:bookmarkEnd w:id="53"/>
    </w:p>
    <w:p w14:paraId="3F85ED69">
      <w:pPr>
        <w:autoSpaceDE w:val="0"/>
        <w:autoSpaceDN w:val="0"/>
        <w:adjustRightInd w:val="0"/>
        <w:ind w:firstLine="482" w:firstLineChars="200"/>
        <w:jc w:val="left"/>
        <w:rPr>
          <w:rFonts w:hint="eastAsia" w:ascii="宋体" w:cs="宋体"/>
          <w:b/>
          <w:bCs/>
          <w:kern w:val="0"/>
          <w:lang w:val="zh-CN"/>
        </w:rPr>
      </w:pPr>
    </w:p>
    <w:p w14:paraId="4C516B56">
      <w:pPr>
        <w:rPr>
          <w:rFonts w:hint="eastAsia"/>
          <w:lang w:val="zh-CN"/>
        </w:rPr>
      </w:pPr>
    </w:p>
    <w:p w14:paraId="3CA4D769">
      <w:pPr>
        <w:pStyle w:val="28"/>
        <w:spacing w:before="0" w:after="0" w:line="360" w:lineRule="auto"/>
        <w:jc w:val="left"/>
        <w:outlineLvl w:val="1"/>
        <w:rPr>
          <w:rFonts w:hint="eastAsia" w:ascii="宋体" w:hAnsi="宋体" w:cs="宋体"/>
          <w:color w:val="000000"/>
        </w:rPr>
      </w:pPr>
      <w:bookmarkStart w:id="54" w:name="_Toc11851"/>
      <w:bookmarkStart w:id="55" w:name="_Toc24087"/>
      <w:r>
        <w:rPr>
          <w:rFonts w:hint="eastAsia" w:ascii="宋体" w:hAnsi="宋体" w:cs="宋体"/>
          <w:color w:val="000000"/>
          <w:sz w:val="30"/>
          <w:szCs w:val="30"/>
          <w:lang w:val="zh-CN"/>
        </w:rPr>
        <w:t>封面</w:t>
      </w:r>
      <w:bookmarkEnd w:id="54"/>
      <w:r>
        <w:rPr>
          <w:rFonts w:hint="eastAsia" w:ascii="宋体" w:hAnsi="宋体" w:cs="宋体"/>
          <w:color w:val="000000"/>
          <w:sz w:val="30"/>
          <w:szCs w:val="30"/>
          <w:lang w:val="zh-CN"/>
        </w:rPr>
        <w:t>（上册）</w:t>
      </w:r>
      <w:bookmarkEnd w:id="55"/>
    </w:p>
    <w:p w14:paraId="1A47C28C">
      <w:pPr>
        <w:autoSpaceDE w:val="0"/>
        <w:autoSpaceDN w:val="0"/>
        <w:spacing w:line="360" w:lineRule="auto"/>
        <w:jc w:val="center"/>
        <w:rPr>
          <w:rFonts w:hint="eastAsia" w:ascii="宋体" w:hAnsi="宋体" w:cs="宋体"/>
          <w:b/>
          <w:bCs/>
          <w:color w:val="000000"/>
          <w:kern w:val="0"/>
          <w:sz w:val="36"/>
          <w:szCs w:val="36"/>
        </w:rPr>
      </w:pPr>
    </w:p>
    <w:p w14:paraId="77CD220E">
      <w:pPr>
        <w:autoSpaceDE w:val="0"/>
        <w:autoSpaceDN w:val="0"/>
        <w:spacing w:line="360" w:lineRule="auto"/>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格尔木市政府采购项目</w:t>
      </w:r>
    </w:p>
    <w:p w14:paraId="142FF448">
      <w:pPr>
        <w:autoSpaceDE w:val="0"/>
        <w:autoSpaceDN w:val="0"/>
        <w:spacing w:line="360" w:lineRule="auto"/>
        <w:rPr>
          <w:rFonts w:hint="eastAsia" w:ascii="宋体" w:hAnsi="宋体" w:cs="宋体"/>
          <w:color w:val="000000"/>
          <w:kern w:val="0"/>
          <w:sz w:val="36"/>
          <w:szCs w:val="36"/>
        </w:rPr>
      </w:pPr>
    </w:p>
    <w:p w14:paraId="098050A7">
      <w:pPr>
        <w:autoSpaceDE w:val="0"/>
        <w:autoSpaceDN w:val="0"/>
        <w:spacing w:line="360" w:lineRule="auto"/>
        <w:jc w:val="center"/>
        <w:rPr>
          <w:rFonts w:hint="eastAsia"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14:paraId="5ED2B5E3">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14:paraId="4B900576">
      <w:pPr>
        <w:autoSpaceDE w:val="0"/>
        <w:autoSpaceDN w:val="0"/>
        <w:spacing w:line="360" w:lineRule="auto"/>
        <w:jc w:val="center"/>
        <w:rPr>
          <w:rFonts w:hint="eastAsia" w:ascii="宋体" w:hAnsi="宋体" w:cs="宋体"/>
          <w:color w:val="000000"/>
          <w:sz w:val="36"/>
          <w:szCs w:val="36"/>
          <w:lang w:val="zh-CN"/>
        </w:rPr>
      </w:pPr>
      <w:r>
        <w:rPr>
          <w:rFonts w:hint="eastAsia" w:ascii="宋体" w:hAnsi="宋体" w:cs="宋体"/>
          <w:b/>
          <w:bCs/>
          <w:color w:val="000000"/>
          <w:sz w:val="36"/>
          <w:szCs w:val="36"/>
          <w:lang w:val="zh-CN"/>
        </w:rPr>
        <w:t>（资格审查文件）</w:t>
      </w:r>
    </w:p>
    <w:p w14:paraId="09FBDF5B">
      <w:pPr>
        <w:autoSpaceDE w:val="0"/>
        <w:autoSpaceDN w:val="0"/>
        <w:spacing w:line="360" w:lineRule="auto"/>
        <w:rPr>
          <w:rFonts w:hint="eastAsia" w:ascii="宋体" w:hAnsi="宋体" w:cs="宋体"/>
          <w:color w:val="000000"/>
          <w:kern w:val="0"/>
          <w:sz w:val="36"/>
          <w:szCs w:val="36"/>
        </w:rPr>
      </w:pPr>
    </w:p>
    <w:p w14:paraId="0BEEB2AF">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14:paraId="7EAB4F8C">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14:paraId="2171B1ED">
      <w:pPr>
        <w:autoSpaceDE w:val="0"/>
        <w:autoSpaceDN w:val="0"/>
        <w:spacing w:line="360" w:lineRule="auto"/>
        <w:rPr>
          <w:rFonts w:hint="eastAsia" w:ascii="宋体" w:hAnsi="宋体" w:cs="宋体"/>
          <w:b/>
          <w:bCs/>
          <w:color w:val="000000"/>
          <w:kern w:val="0"/>
          <w:sz w:val="36"/>
          <w:szCs w:val="36"/>
        </w:rPr>
      </w:pPr>
    </w:p>
    <w:p w14:paraId="4FB6EC91">
      <w:pPr>
        <w:autoSpaceDE w:val="0"/>
        <w:autoSpaceDN w:val="0"/>
        <w:spacing w:line="360" w:lineRule="auto"/>
        <w:rPr>
          <w:rFonts w:hint="eastAsia" w:ascii="宋体" w:hAnsi="宋体" w:cs="宋体"/>
          <w:b/>
          <w:bCs/>
          <w:color w:val="000000"/>
          <w:kern w:val="0"/>
          <w:sz w:val="36"/>
          <w:szCs w:val="36"/>
        </w:rPr>
      </w:pPr>
    </w:p>
    <w:p w14:paraId="3F4E463B">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14:paraId="553A4846">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14:paraId="48DA8986">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14:paraId="3B72E853">
      <w:pPr>
        <w:pStyle w:val="28"/>
        <w:spacing w:before="0" w:after="0" w:line="360" w:lineRule="auto"/>
        <w:jc w:val="left"/>
        <w:outlineLvl w:val="1"/>
        <w:rPr>
          <w:rFonts w:hint="eastAsia" w:ascii="宋体" w:hAnsi="宋体" w:cs="宋体"/>
          <w:color w:val="000000"/>
          <w:lang w:val="zh-CN"/>
        </w:rPr>
      </w:pPr>
      <w:r>
        <w:rPr>
          <w:rFonts w:hint="eastAsia" w:ascii="宋体" w:hAnsi="宋体" w:cs="宋体"/>
          <w:b w:val="0"/>
          <w:bCs w:val="0"/>
          <w:color w:val="000000"/>
          <w:kern w:val="0"/>
          <w:lang w:val="zh-CN"/>
        </w:rPr>
        <w:br w:type="page"/>
      </w:r>
      <w:bookmarkStart w:id="56" w:name="_Toc32614"/>
      <w:bookmarkStart w:id="57" w:name="_Toc8514"/>
      <w:bookmarkStart w:id="58" w:name="_Toc29902"/>
      <w:r>
        <w:rPr>
          <w:rFonts w:hint="eastAsia" w:ascii="宋体" w:hAnsi="宋体" w:cs="宋体"/>
          <w:color w:val="000000"/>
          <w:sz w:val="30"/>
          <w:szCs w:val="30"/>
          <w:lang w:val="zh-CN"/>
        </w:rPr>
        <w:t>目录（上册）</w:t>
      </w:r>
      <w:bookmarkEnd w:id="56"/>
    </w:p>
    <w:p w14:paraId="04283559">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投标函……………………………………………………………所在页码</w:t>
      </w:r>
    </w:p>
    <w:p w14:paraId="761391B7">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法定代表人证明书………………………………………………所在页码</w:t>
      </w:r>
    </w:p>
    <w:p w14:paraId="4B9FD0F7">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法定代表人授权书………………………………………………所在页码</w:t>
      </w:r>
    </w:p>
    <w:p w14:paraId="0D2209ED">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投标人承诺函……………………………………………………所在页码</w:t>
      </w:r>
    </w:p>
    <w:p w14:paraId="2960B460">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投标人诚信承诺书………………………………………………所在页码</w:t>
      </w:r>
    </w:p>
    <w:p w14:paraId="287185B3">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资格证明材料……………………………………………………所在页码</w:t>
      </w:r>
    </w:p>
    <w:p w14:paraId="04812BEF">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14:paraId="57EBEF5C">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14:paraId="6FF941CD">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无重大违法记录声明……………………………………………所在页码</w:t>
      </w:r>
    </w:p>
    <w:p w14:paraId="7F3EA3AF">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en-US" w:eastAsia="zh-CN"/>
        </w:rPr>
        <w:t>投标保证金证明....................................所在页码</w:t>
      </w:r>
    </w:p>
    <w:bookmarkEnd w:id="57"/>
    <w:bookmarkEnd w:id="58"/>
    <w:p w14:paraId="377B2B03">
      <w:pPr>
        <w:pStyle w:val="28"/>
        <w:spacing w:before="0" w:after="0" w:line="360" w:lineRule="auto"/>
        <w:jc w:val="left"/>
        <w:outlineLvl w:val="1"/>
        <w:rPr>
          <w:rFonts w:hint="eastAsia" w:ascii="宋体" w:hAnsi="宋体" w:cs="宋体"/>
          <w:color w:val="000000"/>
          <w:lang w:val="zh-CN"/>
        </w:rPr>
      </w:pPr>
      <w:bookmarkStart w:id="59" w:name="_Toc19582"/>
      <w:r>
        <w:rPr>
          <w:rFonts w:hint="eastAsia" w:ascii="宋体" w:hAnsi="宋体" w:cs="宋体"/>
          <w:color w:val="000000"/>
          <w:sz w:val="30"/>
          <w:szCs w:val="30"/>
          <w:lang w:val="zh-CN"/>
        </w:rPr>
        <w:br w:type="page"/>
      </w:r>
      <w:bookmarkStart w:id="60" w:name="_Toc14914"/>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59"/>
      <w:bookmarkEnd w:id="60"/>
    </w:p>
    <w:p w14:paraId="59579560">
      <w:pPr>
        <w:autoSpaceDE w:val="0"/>
        <w:autoSpaceDN w:val="0"/>
        <w:spacing w:line="360" w:lineRule="auto"/>
        <w:rPr>
          <w:rFonts w:hint="eastAsia" w:ascii="宋体" w:hAnsi="宋体" w:cs="宋体"/>
          <w:b/>
          <w:bCs/>
          <w:color w:val="000000"/>
          <w:kern w:val="0"/>
          <w:sz w:val="28"/>
          <w:szCs w:val="28"/>
          <w:lang w:val="zh-CN"/>
        </w:rPr>
      </w:pPr>
    </w:p>
    <w:p w14:paraId="0FAA57F4">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14:paraId="5315F5A1">
      <w:pPr>
        <w:autoSpaceDE w:val="0"/>
        <w:autoSpaceDN w:val="0"/>
        <w:spacing w:line="360" w:lineRule="auto"/>
        <w:rPr>
          <w:rFonts w:hint="eastAsia" w:ascii="宋体" w:hAnsi="宋体" w:cs="宋体"/>
          <w:b/>
          <w:bCs/>
          <w:color w:val="000000"/>
          <w:kern w:val="0"/>
          <w:sz w:val="28"/>
          <w:szCs w:val="28"/>
          <w:lang w:val="zh-CN"/>
        </w:rPr>
      </w:pPr>
    </w:p>
    <w:p w14:paraId="5757D20D">
      <w:pPr>
        <w:autoSpaceDE w:val="0"/>
        <w:autoSpaceDN w:val="0"/>
        <w:spacing w:line="360" w:lineRule="auto"/>
        <w:rPr>
          <w:rFonts w:hint="default" w:ascii="宋体" w:hAnsi="宋体" w:eastAsia="宋体" w:cs="宋体"/>
          <w:color w:val="000000"/>
          <w:kern w:val="0"/>
          <w:lang w:val="en-US" w:eastAsia="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en-US" w:eastAsia="zh-CN"/>
        </w:rPr>
        <w:t>格尔木市政务服务和公共资源交易中心</w:t>
      </w:r>
    </w:p>
    <w:p w14:paraId="5E14AF45">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招标文件，经研究，法定代表人（姓名、职务）正式授权（委托代理人姓名、职务）代表投标人（投标人名称、地址）提交投标文件。</w:t>
      </w:r>
    </w:p>
    <w:p w14:paraId="590B4BB1">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据此函，签字代表宣布同意如下：</w:t>
      </w:r>
    </w:p>
    <w:p w14:paraId="697C0065">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14:paraId="779EE7FE">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60  </w:t>
      </w:r>
      <w:r>
        <w:rPr>
          <w:rFonts w:hint="eastAsia" w:ascii="宋体" w:hAnsi="宋体" w:cs="宋体"/>
          <w:color w:val="000000"/>
          <w:kern w:val="0"/>
          <w:lang w:val="zh-CN"/>
        </w:rPr>
        <w:t>日历日内有效。如果我方在投标有效期内撤回投标或中标后不签约的，投标保证金将被贵方没收。</w:t>
      </w:r>
    </w:p>
    <w:p w14:paraId="3919E089">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14:paraId="2D72178A">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4.与本投标有关的一切正式往来通讯请寄：</w:t>
      </w:r>
    </w:p>
    <w:p w14:paraId="7A3D2023">
      <w:pPr>
        <w:autoSpaceDE w:val="0"/>
        <w:autoSpaceDN w:val="0"/>
        <w:spacing w:line="360" w:lineRule="auto"/>
        <w:rPr>
          <w:rFonts w:hint="eastAsia" w:ascii="宋体" w:hAnsi="宋体" w:cs="宋体"/>
          <w:color w:val="000000"/>
          <w:kern w:val="0"/>
          <w:lang w:val="zh-CN"/>
        </w:rPr>
      </w:pPr>
    </w:p>
    <w:p w14:paraId="3B81F12A">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地址：_______________          邮编：______________</w:t>
      </w:r>
    </w:p>
    <w:p w14:paraId="4920807E">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电话：_______________          传真：______________</w:t>
      </w:r>
    </w:p>
    <w:p w14:paraId="6AFCB1BC">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法定代表人姓名： ___________   职务：____________</w:t>
      </w:r>
    </w:p>
    <w:p w14:paraId="7D8EC1EC">
      <w:pPr>
        <w:autoSpaceDE w:val="0"/>
        <w:autoSpaceDN w:val="0"/>
        <w:spacing w:line="360" w:lineRule="auto"/>
        <w:rPr>
          <w:rFonts w:hint="eastAsia" w:ascii="宋体" w:hAnsi="宋体" w:cs="宋体"/>
          <w:color w:val="000000"/>
          <w:kern w:val="0"/>
          <w:lang w:val="zh-CN"/>
        </w:rPr>
      </w:pPr>
    </w:p>
    <w:p w14:paraId="1B5B56AE">
      <w:pPr>
        <w:autoSpaceDE w:val="0"/>
        <w:autoSpaceDN w:val="0"/>
        <w:spacing w:line="360" w:lineRule="auto"/>
        <w:rPr>
          <w:rFonts w:hint="eastAsia" w:ascii="宋体" w:hAnsi="宋体" w:cs="宋体"/>
          <w:color w:val="000000"/>
          <w:kern w:val="0"/>
          <w:lang w:val="zh-CN"/>
        </w:rPr>
      </w:pPr>
    </w:p>
    <w:p w14:paraId="19C51E19">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0869014D">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64FE2282">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8DFDAC6">
      <w:pPr>
        <w:pStyle w:val="28"/>
        <w:spacing w:before="0" w:after="0" w:line="360" w:lineRule="auto"/>
        <w:jc w:val="left"/>
        <w:outlineLvl w:val="1"/>
        <w:rPr>
          <w:rFonts w:hint="eastAsia" w:ascii="宋体" w:hAnsi="宋体" w:cs="宋体"/>
          <w:color w:val="000000"/>
        </w:rPr>
      </w:pPr>
      <w:r>
        <w:rPr>
          <w:rFonts w:hint="eastAsia" w:ascii="宋体" w:hAnsi="宋体" w:cs="宋体"/>
          <w:b w:val="0"/>
          <w:bCs w:val="0"/>
          <w:color w:val="000000"/>
          <w:kern w:val="0"/>
          <w:sz w:val="24"/>
          <w:lang w:val="zh-CN"/>
        </w:rPr>
        <w:br w:type="page"/>
      </w:r>
      <w:bookmarkStart w:id="61" w:name="_Toc15810"/>
      <w:bookmarkStart w:id="62"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61"/>
    </w:p>
    <w:p w14:paraId="0097D806">
      <w:pPr>
        <w:autoSpaceDE w:val="0"/>
        <w:autoSpaceDN w:val="0"/>
        <w:spacing w:line="360" w:lineRule="auto"/>
        <w:rPr>
          <w:rFonts w:hint="eastAsia" w:ascii="宋体" w:hAnsi="宋体" w:cs="宋体"/>
          <w:color w:val="000000"/>
          <w:kern w:val="0"/>
          <w:sz w:val="28"/>
          <w:szCs w:val="28"/>
          <w:lang w:val="zh-CN"/>
        </w:rPr>
      </w:pPr>
    </w:p>
    <w:p w14:paraId="7CDF2DBC">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14:paraId="49DE751D">
      <w:pPr>
        <w:autoSpaceDE w:val="0"/>
        <w:autoSpaceDN w:val="0"/>
        <w:spacing w:line="360" w:lineRule="auto"/>
        <w:rPr>
          <w:rFonts w:hint="eastAsia" w:ascii="宋体" w:hAnsi="宋体" w:cs="宋体"/>
          <w:b/>
          <w:bCs/>
          <w:color w:val="000000"/>
          <w:kern w:val="0"/>
          <w:sz w:val="28"/>
          <w:szCs w:val="28"/>
          <w:lang w:val="zh-CN"/>
        </w:rPr>
      </w:pPr>
    </w:p>
    <w:p w14:paraId="2D54CCF8">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格尔木市政务服务和公共资源交易中心</w:t>
      </w:r>
    </w:p>
    <w:p w14:paraId="2A388CA3">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14:paraId="38F962BA">
      <w:pPr>
        <w:autoSpaceDE w:val="0"/>
        <w:autoSpaceDN w:val="0"/>
        <w:spacing w:line="360" w:lineRule="auto"/>
        <w:rPr>
          <w:rFonts w:hint="eastAsia" w:ascii="宋体" w:hAnsi="宋体" w:cs="宋体"/>
          <w:color w:val="000000"/>
          <w:kern w:val="0"/>
          <w:lang w:val="zh-CN"/>
        </w:rPr>
      </w:pPr>
    </w:p>
    <w:p w14:paraId="69EB6C3D">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法定代表人基本情况：</w:t>
      </w:r>
    </w:p>
    <w:p w14:paraId="397BE574">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14:paraId="7152A1D3">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14:paraId="64E49650">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14:paraId="5D7057D8">
      <w:pPr>
        <w:autoSpaceDE w:val="0"/>
        <w:autoSpaceDN w:val="0"/>
        <w:spacing w:line="360" w:lineRule="auto"/>
        <w:rPr>
          <w:rFonts w:hint="eastAsia" w:ascii="宋体" w:hAnsi="宋体" w:cs="宋体"/>
          <w:color w:val="000000"/>
          <w:kern w:val="0"/>
          <w:lang w:val="zh-CN"/>
        </w:rPr>
      </w:pPr>
    </w:p>
    <w:p w14:paraId="7F1AF716">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14:paraId="5809CC84">
      <w:pPr>
        <w:autoSpaceDE w:val="0"/>
        <w:autoSpaceDN w:val="0"/>
        <w:spacing w:line="360" w:lineRule="auto"/>
        <w:rPr>
          <w:rFonts w:hint="eastAsia" w:ascii="宋体" w:hAnsi="宋体" w:cs="宋体"/>
          <w:color w:val="000000"/>
          <w:kern w:val="0"/>
          <w:lang w:val="zh-CN"/>
        </w:rPr>
      </w:pPr>
    </w:p>
    <w:p w14:paraId="18CC0A22">
      <w:pPr>
        <w:autoSpaceDE w:val="0"/>
        <w:autoSpaceDN w:val="0"/>
        <w:spacing w:line="360" w:lineRule="auto"/>
        <w:rPr>
          <w:rFonts w:hint="eastAsia" w:ascii="宋体" w:hAnsi="宋体" w:cs="宋体"/>
          <w:color w:val="000000"/>
          <w:kern w:val="0"/>
          <w:lang w:val="zh-CN"/>
        </w:rPr>
      </w:pPr>
    </w:p>
    <w:p w14:paraId="446B2011">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790F7E7B">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E5FA208">
      <w:pPr>
        <w:pStyle w:val="28"/>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End w:id="62"/>
      <w:bookmarkStart w:id="63" w:name="_Toc9656"/>
      <w:bookmarkStart w:id="64"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63"/>
    </w:p>
    <w:p w14:paraId="2142F4D4">
      <w:pPr>
        <w:spacing w:line="360" w:lineRule="auto"/>
        <w:rPr>
          <w:rFonts w:hint="eastAsia" w:ascii="宋体" w:hAnsi="宋体" w:cs="宋体"/>
          <w:color w:val="000000"/>
          <w:sz w:val="28"/>
          <w:szCs w:val="28"/>
          <w:lang w:val="zh-CN"/>
        </w:rPr>
      </w:pPr>
    </w:p>
    <w:p w14:paraId="2F25FC60">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14:paraId="0070572A">
      <w:pPr>
        <w:autoSpaceDE w:val="0"/>
        <w:autoSpaceDN w:val="0"/>
        <w:spacing w:line="360" w:lineRule="auto"/>
        <w:rPr>
          <w:rFonts w:hint="eastAsia" w:ascii="宋体" w:hAnsi="宋体" w:cs="宋体"/>
          <w:b/>
          <w:bCs/>
          <w:color w:val="000000"/>
          <w:kern w:val="0"/>
          <w:sz w:val="28"/>
          <w:szCs w:val="28"/>
          <w:lang w:val="zh-CN"/>
        </w:rPr>
      </w:pPr>
    </w:p>
    <w:p w14:paraId="088A73A5">
      <w:pPr>
        <w:autoSpaceDE w:val="0"/>
        <w:autoSpaceDN w:val="0"/>
        <w:spacing w:line="360" w:lineRule="auto"/>
        <w:rPr>
          <w:rFonts w:hint="eastAsia" w:ascii="宋体" w:hAnsi="宋体" w:cs="宋体"/>
          <w:b/>
          <w:bCs/>
          <w:color w:val="000000"/>
          <w:kern w:val="0"/>
          <w:u w:val="single"/>
          <w:lang w:val="zh-CN"/>
        </w:rPr>
      </w:pPr>
      <w:r>
        <w:rPr>
          <w:rFonts w:hint="eastAsia" w:ascii="宋体" w:hAnsi="宋体" w:cs="宋体"/>
          <w:b/>
          <w:bCs/>
          <w:color w:val="000000"/>
          <w:kern w:val="0"/>
          <w:lang w:val="zh-CN"/>
        </w:rPr>
        <w:t>致：</w:t>
      </w:r>
      <w:r>
        <w:rPr>
          <w:rFonts w:hint="eastAsia" w:ascii="宋体" w:hAnsi="宋体" w:cs="宋体"/>
          <w:b/>
          <w:bCs/>
          <w:color w:val="000000"/>
          <w:kern w:val="0"/>
          <w:u w:val="single"/>
          <w:lang w:val="zh-CN"/>
        </w:rPr>
        <w:t>格尔木市政务服务和公共资源交易中心</w:t>
      </w:r>
    </w:p>
    <w:p w14:paraId="2D562DE8">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14:paraId="170E0066">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14:paraId="7820104B">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14:paraId="255D9632">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我单位对被授权人的签名负全部责任。</w:t>
      </w:r>
    </w:p>
    <w:p w14:paraId="48FBB94A">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被授权人联系电话：</w:t>
      </w:r>
    </w:p>
    <w:p w14:paraId="037619EC">
      <w:pPr>
        <w:autoSpaceDE w:val="0"/>
        <w:autoSpaceDN w:val="0"/>
        <w:spacing w:line="360" w:lineRule="auto"/>
        <w:rPr>
          <w:rFonts w:hint="eastAsia" w:ascii="宋体" w:hAnsi="宋体" w:cs="宋体"/>
          <w:color w:val="000000"/>
          <w:kern w:val="0"/>
          <w:lang w:val="zh-CN"/>
        </w:rPr>
      </w:pPr>
    </w:p>
    <w:p w14:paraId="0F8967E0">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被授权人（委托代理人）签字或盖章：</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       </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w:t>
      </w:r>
    </w:p>
    <w:p w14:paraId="622AB49D">
      <w:pPr>
        <w:autoSpaceDE w:val="0"/>
        <w:autoSpaceDN w:val="0"/>
        <w:spacing w:line="360" w:lineRule="auto"/>
        <w:rPr>
          <w:rFonts w:ascii="宋体" w:hAnsi="宋体" w:cs="宋体"/>
          <w:color w:val="000000"/>
          <w:kern w:val="0"/>
          <w:lang w:val="zh-CN"/>
        </w:rPr>
      </w:pPr>
    </w:p>
    <w:p w14:paraId="5BBF7670">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授权人（法定代表人）签字或盖章：</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                    </w:t>
      </w:r>
    </w:p>
    <w:p w14:paraId="54E0FD90">
      <w:pPr>
        <w:autoSpaceDE w:val="0"/>
        <w:autoSpaceDN w:val="0"/>
        <w:spacing w:line="360" w:lineRule="auto"/>
        <w:rPr>
          <w:rFonts w:hint="eastAsia" w:ascii="宋体" w:hAnsi="宋体" w:cs="宋体"/>
          <w:color w:val="000000"/>
          <w:kern w:val="0"/>
          <w:lang w:val="zh-CN"/>
        </w:rPr>
      </w:pPr>
    </w:p>
    <w:p w14:paraId="31E0AAB5">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14:paraId="4C12E1A2">
      <w:pPr>
        <w:autoSpaceDE w:val="0"/>
        <w:autoSpaceDN w:val="0"/>
        <w:spacing w:line="360" w:lineRule="auto"/>
        <w:rPr>
          <w:rFonts w:hint="eastAsia" w:ascii="宋体" w:hAnsi="宋体" w:cs="宋体"/>
          <w:color w:val="000000"/>
          <w:kern w:val="0"/>
          <w:lang w:val="zh-CN"/>
        </w:rPr>
      </w:pPr>
    </w:p>
    <w:p w14:paraId="68E84A25">
      <w:pPr>
        <w:autoSpaceDE w:val="0"/>
        <w:autoSpaceDN w:val="0"/>
        <w:spacing w:line="360" w:lineRule="auto"/>
        <w:rPr>
          <w:rFonts w:hint="eastAsia" w:ascii="宋体" w:hAnsi="宋体" w:cs="宋体"/>
          <w:color w:val="000000"/>
          <w:kern w:val="0"/>
          <w:lang w:val="zh-CN"/>
        </w:rPr>
      </w:pPr>
    </w:p>
    <w:p w14:paraId="7DC7093A">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6F97B182">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2187DC2A">
      <w:pPr>
        <w:autoSpaceDE w:val="0"/>
        <w:autoSpaceDN w:val="0"/>
        <w:spacing w:line="360" w:lineRule="auto"/>
        <w:rPr>
          <w:rFonts w:hint="eastAsia" w:ascii="宋体" w:hAnsi="宋体" w:cs="宋体"/>
          <w:color w:val="000000"/>
          <w:kern w:val="0"/>
          <w:lang w:val="zh-CN"/>
        </w:rPr>
      </w:pPr>
    </w:p>
    <w:p w14:paraId="49B0EDF3">
      <w:pPr>
        <w:pStyle w:val="28"/>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65" w:name="_Toc10856"/>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65"/>
    </w:p>
    <w:p w14:paraId="6AD3D7CD">
      <w:pPr>
        <w:autoSpaceDE w:val="0"/>
        <w:autoSpaceDN w:val="0"/>
        <w:spacing w:line="360" w:lineRule="auto"/>
        <w:rPr>
          <w:rFonts w:hint="eastAsia" w:ascii="宋体" w:hAnsi="宋体" w:cs="宋体"/>
          <w:color w:val="000000"/>
          <w:kern w:val="0"/>
          <w:sz w:val="28"/>
          <w:szCs w:val="28"/>
          <w:lang w:val="zh-CN"/>
        </w:rPr>
      </w:pPr>
    </w:p>
    <w:p w14:paraId="421F9F67">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14:paraId="513E589B">
      <w:pPr>
        <w:autoSpaceDE w:val="0"/>
        <w:autoSpaceDN w:val="0"/>
        <w:spacing w:line="360" w:lineRule="auto"/>
        <w:rPr>
          <w:rFonts w:hint="eastAsia" w:ascii="宋体" w:hAnsi="宋体" w:cs="宋体"/>
          <w:b/>
          <w:bCs/>
          <w:color w:val="000000"/>
          <w:kern w:val="0"/>
          <w:sz w:val="28"/>
          <w:szCs w:val="28"/>
          <w:lang w:val="zh-CN"/>
        </w:rPr>
      </w:pPr>
    </w:p>
    <w:p w14:paraId="1F9858B1">
      <w:pPr>
        <w:autoSpaceDE w:val="0"/>
        <w:autoSpaceDN w:val="0"/>
        <w:spacing w:line="360" w:lineRule="auto"/>
        <w:rPr>
          <w:rFonts w:hint="eastAsia" w:ascii="宋体" w:hAnsi="宋体" w:cs="宋体"/>
          <w:b/>
          <w:bCs/>
          <w:color w:val="000000"/>
          <w:kern w:val="0"/>
          <w:u w:val="single"/>
          <w:lang w:val="zh-CN"/>
        </w:rPr>
      </w:pPr>
      <w:r>
        <w:rPr>
          <w:rFonts w:hint="eastAsia" w:ascii="宋体" w:hAnsi="宋体" w:cs="宋体"/>
          <w:b/>
          <w:bCs/>
          <w:color w:val="000000"/>
          <w:kern w:val="0"/>
          <w:lang w:val="zh-CN"/>
        </w:rPr>
        <w:t>致：</w:t>
      </w:r>
      <w:r>
        <w:rPr>
          <w:rFonts w:hint="eastAsia" w:ascii="宋体" w:hAnsi="宋体" w:cs="宋体"/>
          <w:b/>
          <w:bCs/>
          <w:color w:val="000000"/>
          <w:kern w:val="0"/>
          <w:u w:val="single"/>
          <w:lang w:val="zh-CN"/>
        </w:rPr>
        <w:t>格尔木市政务服务和公共资源交易中心</w:t>
      </w:r>
    </w:p>
    <w:p w14:paraId="603C807C">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关于贵方20</w:t>
      </w:r>
      <w:r>
        <w:rPr>
          <w:rFonts w:hint="eastAsia" w:ascii="宋体" w:hAnsi="宋体" w:cs="宋体"/>
          <w:color w:val="000000"/>
          <w:kern w:val="0"/>
        </w:rPr>
        <w:t>XX</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采购项目，本签字人愿意参加投标，提供采购一览表中要求的所有产品，并证实提交的所有资料是准确的和真实的。同时，我代表（投标人名称），在此做如下承诺：</w:t>
      </w:r>
    </w:p>
    <w:p w14:paraId="670D7BBE">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14:paraId="4C4E683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1C23519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3、我方保证甲方在使用该产品或其任何一部分时，不受第三方提出的侵犯专利权、著作权、商标权和工业设计权等知识产权的起诉，若有违反，愿承担相应的一切责任。</w:t>
      </w:r>
    </w:p>
    <w:p w14:paraId="6B84E72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14:paraId="6C60C68E">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14:paraId="6E2FE61F">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14:paraId="2A6CCC31">
      <w:pPr>
        <w:autoSpaceDE w:val="0"/>
        <w:autoSpaceDN w:val="0"/>
        <w:spacing w:line="360" w:lineRule="auto"/>
        <w:rPr>
          <w:rFonts w:hint="eastAsia" w:ascii="宋体" w:hAnsi="宋体" w:cs="宋体"/>
          <w:color w:val="000000"/>
          <w:kern w:val="0"/>
          <w:lang w:val="zh-CN"/>
        </w:rPr>
      </w:pPr>
    </w:p>
    <w:p w14:paraId="61AED0FE">
      <w:pPr>
        <w:autoSpaceDE w:val="0"/>
        <w:autoSpaceDN w:val="0"/>
        <w:spacing w:line="360" w:lineRule="auto"/>
        <w:rPr>
          <w:rFonts w:hint="eastAsia" w:ascii="宋体" w:hAnsi="宋体" w:cs="宋体"/>
          <w:color w:val="000000"/>
          <w:kern w:val="0"/>
          <w:lang w:val="zh-CN"/>
        </w:rPr>
      </w:pPr>
    </w:p>
    <w:p w14:paraId="5C449D4F">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4DF805DF">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64B0D94B">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5A646013">
      <w:pPr>
        <w:pStyle w:val="28"/>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66" w:name="_Toc27343"/>
      <w:r>
        <w:rPr>
          <w:rFonts w:hint="eastAsia" w:ascii="宋体" w:hAnsi="宋体" w:cs="宋体"/>
          <w:color w:val="000000"/>
          <w:sz w:val="30"/>
          <w:szCs w:val="30"/>
        </w:rPr>
        <w:t>（5）</w:t>
      </w:r>
      <w:r>
        <w:rPr>
          <w:rFonts w:hint="eastAsia" w:ascii="宋体" w:hAnsi="宋体" w:cs="宋体"/>
          <w:color w:val="000000"/>
          <w:sz w:val="30"/>
          <w:szCs w:val="30"/>
          <w:lang w:val="zh-CN"/>
        </w:rPr>
        <w:t>投标人诚信承诺书</w:t>
      </w:r>
      <w:bookmarkEnd w:id="66"/>
    </w:p>
    <w:p w14:paraId="3621C8A5">
      <w:pPr>
        <w:spacing w:line="360" w:lineRule="auto"/>
        <w:rPr>
          <w:rFonts w:hint="eastAsia" w:ascii="宋体" w:hAnsi="宋体" w:cs="宋体"/>
          <w:color w:val="000000"/>
          <w:sz w:val="28"/>
          <w:szCs w:val="28"/>
          <w:lang w:val="zh-CN"/>
        </w:rPr>
      </w:pPr>
    </w:p>
    <w:p w14:paraId="46EA819A">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14:paraId="0882E9BB">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single"/>
          <w:lang w:val="zh-CN"/>
        </w:rPr>
        <w:t>格尔木市政务服务和公共资源交易中心</w:t>
      </w:r>
    </w:p>
    <w:p w14:paraId="389640DA">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为了诚实、客观、有序地参与西宁市政府采购活动，愿就以下内容作出承诺：</w:t>
      </w:r>
    </w:p>
    <w:p w14:paraId="2A2358D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14:paraId="45893631">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二、参加采购中心组织的政府采购活动时，严格按照招标文件的规定和要求提供所需的相关材料，并对所提供的各类资料的真实性负责，不虚假应标，不虚列业绩。</w:t>
      </w:r>
    </w:p>
    <w:p w14:paraId="06DB474F">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14:paraId="472F780E">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14:paraId="66ECBE3E">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14:paraId="49D8D7AE">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14:paraId="767EC6D3">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若本企业（单位）发生有悖于上述承诺的行为，愿意接受《中华人民共和国政府采购法》和《中华人民共和国政府采购法实施条例》中对投标人的相关处理。</w:t>
      </w:r>
    </w:p>
    <w:p w14:paraId="4495CC80">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本承诺是采购项目投标文件的组成部分。</w:t>
      </w:r>
    </w:p>
    <w:p w14:paraId="39FC7612">
      <w:pPr>
        <w:autoSpaceDE w:val="0"/>
        <w:autoSpaceDN w:val="0"/>
        <w:spacing w:line="360" w:lineRule="auto"/>
        <w:rPr>
          <w:rFonts w:hint="eastAsia" w:ascii="宋体" w:hAnsi="宋体" w:cs="宋体"/>
          <w:color w:val="000000"/>
          <w:kern w:val="0"/>
          <w:lang w:val="zh-CN"/>
        </w:rPr>
      </w:pPr>
    </w:p>
    <w:p w14:paraId="61103F45">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6F3508CB">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715AD2CE">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72DDFE09">
      <w:pPr>
        <w:pStyle w:val="28"/>
        <w:spacing w:before="0" w:after="0" w:line="360" w:lineRule="auto"/>
        <w:jc w:val="left"/>
        <w:outlineLvl w:val="1"/>
        <w:rPr>
          <w:rFonts w:hint="eastAsia" w:ascii="宋体" w:hAnsi="宋体" w:cs="宋体"/>
          <w:color w:val="000000"/>
          <w:lang w:val="zh-CN"/>
        </w:rPr>
      </w:pPr>
      <w:r>
        <w:rPr>
          <w:rFonts w:hint="eastAsia" w:ascii="宋体" w:hAnsi="宋体" w:cs="宋体"/>
          <w:color w:val="000000"/>
          <w:kern w:val="0"/>
          <w:sz w:val="24"/>
          <w:lang w:val="zh-CN"/>
        </w:rPr>
        <w:br w:type="page"/>
      </w:r>
      <w:bookmarkEnd w:id="64"/>
      <w:bookmarkStart w:id="67" w:name="_Toc29095"/>
      <w:bookmarkStart w:id="68"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67"/>
    </w:p>
    <w:p w14:paraId="38513367">
      <w:pPr>
        <w:spacing w:line="360" w:lineRule="auto"/>
        <w:rPr>
          <w:rFonts w:hint="eastAsia" w:ascii="宋体" w:hAnsi="宋体" w:cs="宋体"/>
          <w:color w:val="000000"/>
          <w:sz w:val="28"/>
          <w:szCs w:val="28"/>
          <w:lang w:val="zh-CN"/>
        </w:rPr>
      </w:pPr>
    </w:p>
    <w:p w14:paraId="51309C1D">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14:paraId="3465F0DE">
      <w:pPr>
        <w:autoSpaceDE w:val="0"/>
        <w:autoSpaceDN w:val="0"/>
        <w:spacing w:line="360" w:lineRule="auto"/>
        <w:rPr>
          <w:rFonts w:hint="eastAsia" w:ascii="宋体" w:hAnsi="宋体" w:cs="宋体"/>
          <w:color w:val="000000"/>
          <w:kern w:val="0"/>
          <w:sz w:val="28"/>
          <w:szCs w:val="28"/>
          <w:lang w:val="zh-CN"/>
        </w:rPr>
      </w:pPr>
    </w:p>
    <w:p w14:paraId="0B548E46">
      <w:pPr>
        <w:spacing w:line="360" w:lineRule="auto"/>
        <w:ind w:firstLine="480" w:firstLineChars="200"/>
        <w:rPr>
          <w:rFonts w:hint="eastAsia" w:ascii="宋体" w:hAnsi="宋体" w:cs="宋体"/>
          <w:color w:val="000000"/>
        </w:rPr>
      </w:pPr>
      <w:r>
        <w:rPr>
          <w:rFonts w:hint="eastAsia" w:ascii="宋体" w:hAnsi="宋体" w:cs="宋体"/>
          <w:color w:val="000000"/>
        </w:rPr>
        <w:t>资格证明材料包括：</w:t>
      </w:r>
    </w:p>
    <w:p w14:paraId="0CB66243">
      <w:pPr>
        <w:numPr>
          <w:ilvl w:val="0"/>
          <w:numId w:val="9"/>
        </w:numPr>
        <w:spacing w:line="360" w:lineRule="auto"/>
        <w:ind w:firstLine="480"/>
        <w:rPr>
          <w:rFonts w:ascii="宋体" w:hAnsi="宋体" w:cs="宋体"/>
          <w:color w:val="000000"/>
        </w:rPr>
      </w:pPr>
      <w:r>
        <w:rPr>
          <w:rFonts w:hint="eastAsia" w:ascii="宋体" w:hAnsi="宋体" w:cs="宋体"/>
          <w:color w:val="000000"/>
        </w:rPr>
        <w:t>提供有效的营业执照三证（五证）合一统一社会代码证及其他资格证明文件（扫描或复印件）；</w:t>
      </w:r>
    </w:p>
    <w:p w14:paraId="53DAD2EC">
      <w:pPr>
        <w:spacing w:line="360" w:lineRule="auto"/>
        <w:ind w:firstLine="480" w:firstLineChars="200"/>
        <w:rPr>
          <w:rFonts w:hint="eastAsia" w:ascii="宋体" w:hAnsi="宋体" w:cs="宋体"/>
          <w:color w:val="000000"/>
        </w:rPr>
      </w:pPr>
      <w:r>
        <w:rPr>
          <w:rFonts w:hint="eastAsia" w:ascii="宋体" w:hAnsi="宋体"/>
        </w:rPr>
        <w:t>企业法人需提交“统一社会信用代码的营业执照；事业法人需提交 “统一社会信用代码的事业单位法人证书”；其他组织需提交“统一社会信用代码的社会团体法人登记证书”或“统一社会信用代码的民办非企业单位登记证书”或“统一社会信用代码的基金会法人登记证书”；个体工商户需提交“统一社会信用代码的营业执照”或“营业执照、税务登记证”；自然人需提交身份证明。</w:t>
      </w:r>
    </w:p>
    <w:p w14:paraId="436DEF47">
      <w:pPr>
        <w:spacing w:line="360" w:lineRule="auto"/>
        <w:ind w:firstLine="480" w:firstLineChars="200"/>
        <w:rPr>
          <w:rFonts w:hint="eastAsia" w:ascii="宋体" w:hAnsi="宋体" w:cs="宋体"/>
          <w:color w:val="000000"/>
        </w:rPr>
      </w:pPr>
      <w:r>
        <w:rPr>
          <w:rFonts w:hint="eastAsia" w:ascii="宋体" w:hAnsi="宋体" w:cs="宋体"/>
          <w:color w:val="000000"/>
        </w:rPr>
        <w:t>（2）招标文件规定的有关资格证书、许可证书、认证等；</w:t>
      </w:r>
    </w:p>
    <w:p w14:paraId="7EB4FC9F">
      <w:pPr>
        <w:spacing w:line="360" w:lineRule="auto"/>
        <w:ind w:firstLine="480" w:firstLineChars="200"/>
        <w:rPr>
          <w:rFonts w:hint="eastAsia" w:ascii="宋体" w:hAnsi="宋体" w:cs="宋体"/>
          <w:color w:val="000000"/>
        </w:rPr>
      </w:pPr>
      <w:r>
        <w:rPr>
          <w:rFonts w:hint="eastAsia" w:ascii="宋体" w:hAnsi="宋体" w:cs="宋体"/>
          <w:color w:val="000000"/>
        </w:rPr>
        <w:t>（3）投标人认为有必要提供的其他资格证明文件。</w:t>
      </w:r>
    </w:p>
    <w:p w14:paraId="3F705ABC">
      <w:pPr>
        <w:pStyle w:val="28"/>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lang w:val="zh-CN"/>
        </w:rPr>
        <w:br w:type="page"/>
      </w:r>
      <w:bookmarkStart w:id="69" w:name="_Toc10919"/>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69"/>
    </w:p>
    <w:p w14:paraId="40FCB14D">
      <w:pPr>
        <w:autoSpaceDE w:val="0"/>
        <w:autoSpaceDN w:val="0"/>
        <w:spacing w:line="360" w:lineRule="auto"/>
        <w:rPr>
          <w:rFonts w:hint="eastAsia" w:ascii="宋体" w:hAnsi="宋体" w:cs="宋体"/>
          <w:color w:val="000000"/>
          <w:kern w:val="0"/>
          <w:sz w:val="28"/>
          <w:szCs w:val="28"/>
          <w:lang w:val="zh-CN"/>
        </w:rPr>
      </w:pPr>
    </w:p>
    <w:p w14:paraId="06AA2CCA">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14:paraId="12520E78">
      <w:pPr>
        <w:autoSpaceDE w:val="0"/>
        <w:autoSpaceDN w:val="0"/>
        <w:spacing w:line="360" w:lineRule="auto"/>
        <w:rPr>
          <w:rFonts w:hint="eastAsia" w:ascii="宋体" w:hAnsi="宋体" w:cs="宋体"/>
          <w:color w:val="000000"/>
          <w:kern w:val="0"/>
          <w:sz w:val="28"/>
          <w:szCs w:val="28"/>
          <w:lang w:val="zh-CN"/>
        </w:rPr>
      </w:pPr>
    </w:p>
    <w:p w14:paraId="126C607B">
      <w:pPr>
        <w:keepNext w:val="0"/>
        <w:keepLines w:val="0"/>
        <w:pageBreakBefore w:val="0"/>
        <w:widowControl w:val="0"/>
        <w:kinsoku/>
        <w:wordWrap/>
        <w:overflowPunct/>
        <w:topLinePunct w:val="0"/>
        <w:autoSpaceDE w:val="0"/>
        <w:autoSpaceDN w:val="0"/>
        <w:bidi w:val="0"/>
        <w:adjustRightInd w:val="0"/>
        <w:snapToGrid/>
        <w:spacing w:line="500" w:lineRule="exact"/>
        <w:ind w:firstLine="600" w:firstLineChars="250"/>
        <w:jc w:val="left"/>
        <w:rPr>
          <w:rFonts w:hint="eastAsia" w:ascii="宋体" w:hAnsi="宋体"/>
          <w:sz w:val="24"/>
          <w:szCs w:val="24"/>
        </w:rPr>
      </w:pPr>
      <w:r>
        <w:rPr>
          <w:rFonts w:hint="eastAsia" w:ascii="宋体" w:hAnsi="宋体"/>
          <w:sz w:val="24"/>
          <w:szCs w:val="24"/>
        </w:rPr>
        <w:t>按照《</w:t>
      </w:r>
      <w:r>
        <w:rPr>
          <w:rFonts w:hint="eastAsia" w:ascii="宋体" w:hAnsi="宋体"/>
          <w:sz w:val="24"/>
          <w:szCs w:val="24"/>
          <w:lang w:eastAsia="zh-CN"/>
        </w:rPr>
        <w:t>中华人民共和国政府采购法》第二十二条</w:t>
      </w:r>
      <w:r>
        <w:rPr>
          <w:rFonts w:hint="eastAsia" w:ascii="宋体" w:hAnsi="宋体"/>
          <w:sz w:val="24"/>
          <w:szCs w:val="24"/>
        </w:rPr>
        <w:t>规定提供以下相关材料：</w:t>
      </w:r>
    </w:p>
    <w:p w14:paraId="0DF003DC">
      <w:pPr>
        <w:keepNext w:val="0"/>
        <w:keepLines w:val="0"/>
        <w:pageBreakBefore w:val="0"/>
        <w:widowControl w:val="0"/>
        <w:kinsoku/>
        <w:wordWrap/>
        <w:overflowPunct/>
        <w:topLinePunct w:val="0"/>
        <w:autoSpaceDE w:val="0"/>
        <w:autoSpaceDN w:val="0"/>
        <w:bidi w:val="0"/>
        <w:adjustRightInd w:val="0"/>
        <w:snapToGrid/>
        <w:spacing w:line="500" w:lineRule="exact"/>
        <w:ind w:firstLine="600" w:firstLineChars="250"/>
        <w:jc w:val="left"/>
        <w:rPr>
          <w:rFonts w:hint="eastAsia" w:ascii="宋体" w:hAnsi="宋体"/>
          <w:sz w:val="24"/>
          <w:szCs w:val="24"/>
        </w:rPr>
      </w:pPr>
      <w:r>
        <w:rPr>
          <w:rFonts w:hint="eastAsia" w:ascii="宋体" w:hAnsi="宋体"/>
          <w:sz w:val="24"/>
          <w:szCs w:val="24"/>
        </w:rPr>
        <w:t>1、供应商是法人的，提供</w:t>
      </w:r>
      <w:r>
        <w:rPr>
          <w:rFonts w:hint="eastAsia" w:ascii="宋体" w:hAnsi="宋体"/>
          <w:sz w:val="24"/>
          <w:szCs w:val="24"/>
          <w:lang w:val="en-US" w:eastAsia="zh-CN"/>
        </w:rPr>
        <w:t>2023或2022年度</w:t>
      </w:r>
      <w:r>
        <w:rPr>
          <w:rFonts w:hint="eastAsia" w:ascii="宋体" w:hAnsi="宋体"/>
          <w:sz w:val="24"/>
          <w:szCs w:val="24"/>
        </w:rPr>
        <w:t>经审计的财务状况报告，包括资产负债表、利润表、现金流量表及其附注，或</w:t>
      </w:r>
      <w:r>
        <w:rPr>
          <w:rFonts w:hint="eastAsia" w:ascii="宋体" w:hAnsi="宋体"/>
          <w:sz w:val="24"/>
          <w:szCs w:val="24"/>
          <w:lang w:eastAsia="zh-CN"/>
        </w:rPr>
        <w:t>提供开标前三个月内由</w:t>
      </w:r>
      <w:r>
        <w:rPr>
          <w:rFonts w:hint="eastAsia" w:ascii="宋体" w:hAnsi="宋体"/>
          <w:sz w:val="24"/>
          <w:szCs w:val="24"/>
        </w:rPr>
        <w:t>基本开户银行出具的资信证明（同时提供基本存款账户开户许可证）；供应商是其他组织和自然人，没有经审计的财务报告，可以提供基本开户银行出具的资信证明（同时提供基本存款账户开户许可证）。</w:t>
      </w:r>
    </w:p>
    <w:p w14:paraId="71E22FA6">
      <w:pPr>
        <w:keepNext w:val="0"/>
        <w:keepLines w:val="0"/>
        <w:pageBreakBefore w:val="0"/>
        <w:widowControl w:val="0"/>
        <w:tabs>
          <w:tab w:val="left" w:pos="168"/>
        </w:tabs>
        <w:kinsoku/>
        <w:wordWrap/>
        <w:overflowPunct/>
        <w:topLinePunct w:val="0"/>
        <w:bidi w:val="0"/>
        <w:adjustRightInd w:val="0"/>
        <w:snapToGrid/>
        <w:spacing w:line="500" w:lineRule="exact"/>
        <w:ind w:firstLine="480"/>
        <w:textAlignment w:val="baseline"/>
        <w:rPr>
          <w:rFonts w:hint="eastAsia" w:ascii="宋体" w:hAnsi="宋体" w:cs="Times New Roman"/>
          <w:sz w:val="24"/>
          <w:szCs w:val="24"/>
        </w:rPr>
      </w:pPr>
      <w:r>
        <w:rPr>
          <w:rFonts w:hint="eastAsia" w:ascii="宋体" w:hAnsi="宋体"/>
          <w:sz w:val="24"/>
          <w:szCs w:val="24"/>
        </w:rPr>
        <w:t>2、</w:t>
      </w:r>
      <w:r>
        <w:rPr>
          <w:rFonts w:hint="eastAsia" w:ascii="宋体" w:hAnsi="宋体"/>
          <w:sz w:val="24"/>
          <w:szCs w:val="24"/>
          <w:lang w:val="en-US" w:eastAsia="zh-CN"/>
        </w:rPr>
        <w:t>近半年内任意三个月</w:t>
      </w:r>
      <w:r>
        <w:rPr>
          <w:rFonts w:hint="eastAsia" w:ascii="宋体" w:hAnsi="宋体"/>
          <w:sz w:val="24"/>
          <w:szCs w:val="24"/>
        </w:rPr>
        <w:t>依法缴纳税收和社会保障资金记录的证明材料</w:t>
      </w:r>
      <w:r>
        <w:rPr>
          <w:rFonts w:hint="eastAsia" w:ascii="宋体" w:hAnsi="宋体" w:cs="Times New Roman"/>
          <w:sz w:val="24"/>
          <w:szCs w:val="24"/>
        </w:rPr>
        <w:t>。依法免税或不需要缴纳社会保障资金的供应商，应提供相应文件证明其依法免税或不需要缴纳社会保障资金。</w:t>
      </w:r>
    </w:p>
    <w:p w14:paraId="194A8AC9">
      <w:pPr>
        <w:pStyle w:val="28"/>
        <w:spacing w:before="0" w:after="0" w:line="360" w:lineRule="auto"/>
        <w:jc w:val="left"/>
        <w:outlineLvl w:val="1"/>
        <w:rPr>
          <w:rFonts w:hint="eastAsia" w:ascii="宋体" w:hAnsi="宋体" w:cs="宋体"/>
        </w:rPr>
      </w:pPr>
      <w:r>
        <w:rPr>
          <w:rFonts w:hint="eastAsia" w:ascii="宋体" w:hAnsi="宋体" w:cs="宋体"/>
          <w:color w:val="000000"/>
          <w:kern w:val="0"/>
          <w:sz w:val="24"/>
          <w:lang w:val="zh-CN"/>
        </w:rPr>
        <w:br w:type="page"/>
      </w:r>
      <w:bookmarkEnd w:id="68"/>
      <w:bookmarkStart w:id="70" w:name="_Toc26112"/>
      <w:bookmarkStart w:id="71" w:name="_Toc21530"/>
      <w:r>
        <w:rPr>
          <w:rFonts w:hint="eastAsia" w:ascii="宋体" w:hAnsi="宋体" w:cs="宋体"/>
          <w:sz w:val="30"/>
          <w:szCs w:val="30"/>
        </w:rPr>
        <w:t>（8）</w:t>
      </w:r>
      <w:r>
        <w:rPr>
          <w:rFonts w:hint="eastAsia" w:ascii="宋体" w:hAnsi="宋体" w:cs="宋体"/>
          <w:sz w:val="30"/>
          <w:szCs w:val="30"/>
          <w:lang w:val="zh-CN"/>
        </w:rPr>
        <w:t>具备履行合同所必需的设备和专业技术能力的证明材料</w:t>
      </w:r>
      <w:bookmarkEnd w:id="70"/>
    </w:p>
    <w:p w14:paraId="1B2C2F2A">
      <w:pPr>
        <w:autoSpaceDE w:val="0"/>
        <w:autoSpaceDN w:val="0"/>
        <w:spacing w:line="360" w:lineRule="auto"/>
        <w:rPr>
          <w:rFonts w:hint="eastAsia" w:ascii="宋体" w:hAnsi="宋体" w:cs="宋体"/>
          <w:kern w:val="0"/>
          <w:sz w:val="28"/>
          <w:szCs w:val="28"/>
          <w:lang w:val="zh-CN"/>
        </w:rPr>
      </w:pPr>
    </w:p>
    <w:p w14:paraId="438EB0C4">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14:paraId="7696454F">
      <w:pPr>
        <w:autoSpaceDE w:val="0"/>
        <w:autoSpaceDN w:val="0"/>
        <w:spacing w:line="360" w:lineRule="auto"/>
        <w:ind w:firstLine="480"/>
        <w:rPr>
          <w:rFonts w:ascii="宋体" w:hAnsi="宋体" w:cs="宋体"/>
          <w:kern w:val="0"/>
          <w:lang w:val="zh-CN"/>
        </w:rPr>
      </w:pPr>
    </w:p>
    <w:p w14:paraId="0BEEB909">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为保证本项目合同的顺利履行，投标人必须具备履行合同的设备和专业技术能力，须提供具备履行合同的设备和专业技术能力的承诺函（格式自拟）</w:t>
      </w:r>
      <w:r>
        <w:rPr>
          <w:rFonts w:hint="eastAsia" w:ascii="宋体" w:hAnsi="宋体" w:cs="宋体"/>
          <w:kern w:val="0"/>
          <w:lang w:val="zh-CN" w:eastAsia="zh-CN"/>
        </w:rPr>
        <w:t>。</w:t>
      </w:r>
    </w:p>
    <w:p w14:paraId="38BDA1EF">
      <w:pPr>
        <w:pStyle w:val="28"/>
        <w:spacing w:before="0" w:after="0" w:line="360" w:lineRule="auto"/>
        <w:jc w:val="left"/>
        <w:outlineLvl w:val="1"/>
        <w:rPr>
          <w:rFonts w:hint="eastAsia" w:ascii="宋体" w:hAnsi="宋体" w:cs="宋体"/>
          <w:color w:val="000000"/>
          <w:sz w:val="30"/>
          <w:szCs w:val="30"/>
        </w:rPr>
      </w:pPr>
    </w:p>
    <w:p w14:paraId="150EAFD7">
      <w:pPr>
        <w:pStyle w:val="28"/>
        <w:spacing w:before="0" w:after="0" w:line="360" w:lineRule="auto"/>
        <w:jc w:val="left"/>
        <w:outlineLvl w:val="1"/>
        <w:rPr>
          <w:rFonts w:hint="eastAsia" w:ascii="宋体" w:hAnsi="宋体" w:cs="宋体"/>
          <w:color w:val="000000"/>
          <w:sz w:val="30"/>
          <w:szCs w:val="30"/>
        </w:rPr>
      </w:pPr>
    </w:p>
    <w:p w14:paraId="79E0C39A">
      <w:pPr>
        <w:pStyle w:val="28"/>
        <w:spacing w:before="0" w:after="0" w:line="360" w:lineRule="auto"/>
        <w:jc w:val="left"/>
        <w:outlineLvl w:val="1"/>
        <w:rPr>
          <w:rFonts w:hint="eastAsia" w:ascii="宋体" w:hAnsi="宋体" w:cs="宋体"/>
          <w:color w:val="000000"/>
          <w:sz w:val="30"/>
          <w:szCs w:val="30"/>
        </w:rPr>
      </w:pPr>
    </w:p>
    <w:p w14:paraId="17E26EBC">
      <w:pPr>
        <w:pStyle w:val="28"/>
        <w:spacing w:before="0" w:after="0" w:line="360" w:lineRule="auto"/>
        <w:jc w:val="left"/>
        <w:outlineLvl w:val="1"/>
        <w:rPr>
          <w:rFonts w:hint="eastAsia" w:ascii="宋体" w:hAnsi="宋体" w:cs="宋体"/>
          <w:color w:val="000000"/>
          <w:sz w:val="30"/>
          <w:szCs w:val="30"/>
        </w:rPr>
      </w:pPr>
    </w:p>
    <w:p w14:paraId="133E6A6E">
      <w:pPr>
        <w:pStyle w:val="28"/>
        <w:spacing w:before="0" w:after="0" w:line="360" w:lineRule="auto"/>
        <w:jc w:val="left"/>
        <w:outlineLvl w:val="1"/>
        <w:rPr>
          <w:rFonts w:hint="eastAsia" w:ascii="宋体" w:hAnsi="宋体" w:cs="宋体"/>
          <w:color w:val="000000"/>
          <w:sz w:val="30"/>
          <w:szCs w:val="30"/>
        </w:rPr>
      </w:pPr>
    </w:p>
    <w:p w14:paraId="35E34EEC">
      <w:pPr>
        <w:pStyle w:val="28"/>
        <w:spacing w:before="0" w:after="0" w:line="360" w:lineRule="auto"/>
        <w:jc w:val="left"/>
        <w:outlineLvl w:val="1"/>
        <w:rPr>
          <w:rFonts w:hint="eastAsia" w:ascii="宋体" w:hAnsi="宋体" w:cs="宋体"/>
          <w:color w:val="000000"/>
          <w:sz w:val="30"/>
          <w:szCs w:val="30"/>
        </w:rPr>
      </w:pPr>
    </w:p>
    <w:p w14:paraId="71F8C952">
      <w:pPr>
        <w:pStyle w:val="28"/>
        <w:spacing w:before="0" w:after="0" w:line="360" w:lineRule="auto"/>
        <w:jc w:val="left"/>
        <w:outlineLvl w:val="1"/>
        <w:rPr>
          <w:rFonts w:hint="eastAsia" w:ascii="宋体" w:hAnsi="宋体" w:cs="宋体"/>
          <w:color w:val="000000"/>
          <w:sz w:val="30"/>
          <w:szCs w:val="30"/>
        </w:rPr>
      </w:pPr>
    </w:p>
    <w:p w14:paraId="7AF5CFEF">
      <w:pPr>
        <w:pStyle w:val="28"/>
        <w:spacing w:before="0" w:after="0" w:line="360" w:lineRule="auto"/>
        <w:jc w:val="left"/>
        <w:outlineLvl w:val="1"/>
        <w:rPr>
          <w:rFonts w:hint="eastAsia" w:ascii="宋体" w:hAnsi="宋体" w:cs="宋体"/>
          <w:color w:val="000000"/>
          <w:sz w:val="30"/>
          <w:szCs w:val="30"/>
        </w:rPr>
      </w:pPr>
    </w:p>
    <w:p w14:paraId="31B56C40">
      <w:pPr>
        <w:pStyle w:val="28"/>
        <w:spacing w:before="0" w:after="0" w:line="360" w:lineRule="auto"/>
        <w:jc w:val="left"/>
        <w:outlineLvl w:val="1"/>
        <w:rPr>
          <w:rFonts w:hint="eastAsia" w:ascii="宋体" w:hAnsi="宋体" w:cs="宋体"/>
          <w:color w:val="000000"/>
          <w:sz w:val="30"/>
          <w:szCs w:val="30"/>
        </w:rPr>
      </w:pPr>
    </w:p>
    <w:p w14:paraId="70C06D3A">
      <w:pPr>
        <w:pStyle w:val="28"/>
        <w:spacing w:before="0" w:after="0" w:line="360" w:lineRule="auto"/>
        <w:jc w:val="left"/>
        <w:outlineLvl w:val="1"/>
        <w:rPr>
          <w:rFonts w:hint="eastAsia" w:ascii="宋体" w:hAnsi="宋体" w:cs="宋体"/>
          <w:color w:val="000000"/>
          <w:sz w:val="30"/>
          <w:szCs w:val="30"/>
        </w:rPr>
      </w:pPr>
    </w:p>
    <w:p w14:paraId="510983A5">
      <w:pPr>
        <w:pStyle w:val="28"/>
        <w:spacing w:before="0" w:after="0" w:line="360" w:lineRule="auto"/>
        <w:jc w:val="left"/>
        <w:outlineLvl w:val="1"/>
        <w:rPr>
          <w:rFonts w:hint="eastAsia" w:ascii="宋体" w:hAnsi="宋体" w:cs="宋体"/>
          <w:color w:val="000000"/>
          <w:sz w:val="30"/>
          <w:szCs w:val="30"/>
        </w:rPr>
      </w:pPr>
    </w:p>
    <w:p w14:paraId="71718629">
      <w:pPr>
        <w:pStyle w:val="28"/>
        <w:spacing w:before="0" w:after="0" w:line="360" w:lineRule="auto"/>
        <w:jc w:val="left"/>
        <w:outlineLvl w:val="1"/>
        <w:rPr>
          <w:rFonts w:hint="eastAsia" w:ascii="宋体" w:hAnsi="宋体" w:cs="宋体"/>
          <w:color w:val="000000"/>
          <w:sz w:val="30"/>
          <w:szCs w:val="30"/>
        </w:rPr>
      </w:pPr>
    </w:p>
    <w:p w14:paraId="427D64EC">
      <w:pPr>
        <w:pStyle w:val="28"/>
        <w:spacing w:before="0" w:after="0" w:line="360" w:lineRule="auto"/>
        <w:jc w:val="left"/>
        <w:outlineLvl w:val="1"/>
        <w:rPr>
          <w:rFonts w:hint="eastAsia" w:ascii="宋体" w:hAnsi="宋体" w:cs="宋体"/>
          <w:color w:val="000000"/>
          <w:sz w:val="30"/>
          <w:szCs w:val="30"/>
        </w:rPr>
      </w:pPr>
    </w:p>
    <w:p w14:paraId="1200A4C8">
      <w:pPr>
        <w:pStyle w:val="28"/>
        <w:spacing w:before="0" w:after="0" w:line="360" w:lineRule="auto"/>
        <w:jc w:val="left"/>
        <w:outlineLvl w:val="1"/>
        <w:rPr>
          <w:rFonts w:hint="eastAsia" w:ascii="宋体" w:hAnsi="宋体" w:cs="宋体"/>
          <w:color w:val="000000"/>
          <w:sz w:val="30"/>
          <w:szCs w:val="30"/>
        </w:rPr>
      </w:pPr>
    </w:p>
    <w:p w14:paraId="2291D6CA">
      <w:pPr>
        <w:pStyle w:val="28"/>
        <w:spacing w:before="0" w:after="0" w:line="360" w:lineRule="auto"/>
        <w:jc w:val="left"/>
        <w:outlineLvl w:val="1"/>
        <w:rPr>
          <w:rFonts w:hint="eastAsia" w:ascii="宋体" w:hAnsi="宋体" w:cs="宋体"/>
          <w:color w:val="000000"/>
          <w:sz w:val="30"/>
          <w:szCs w:val="30"/>
        </w:rPr>
      </w:pPr>
    </w:p>
    <w:p w14:paraId="757360F2">
      <w:pPr>
        <w:pStyle w:val="28"/>
        <w:spacing w:before="0" w:after="0" w:line="360" w:lineRule="auto"/>
        <w:jc w:val="left"/>
        <w:outlineLvl w:val="1"/>
        <w:rPr>
          <w:rFonts w:hint="eastAsia" w:ascii="宋体" w:hAnsi="宋体" w:cs="宋体"/>
          <w:color w:val="000000"/>
          <w:sz w:val="30"/>
          <w:szCs w:val="30"/>
        </w:rPr>
      </w:pPr>
    </w:p>
    <w:p w14:paraId="27DA4EFB">
      <w:pPr>
        <w:rPr>
          <w:rFonts w:hint="eastAsia" w:ascii="宋体" w:hAnsi="宋体" w:cs="宋体"/>
          <w:color w:val="000000"/>
          <w:sz w:val="30"/>
          <w:szCs w:val="30"/>
        </w:rPr>
      </w:pPr>
    </w:p>
    <w:p w14:paraId="7A694CA1">
      <w:pPr>
        <w:rPr>
          <w:rFonts w:hint="eastAsia" w:ascii="宋体" w:hAnsi="宋体" w:cs="宋体"/>
          <w:color w:val="000000"/>
          <w:sz w:val="30"/>
          <w:szCs w:val="30"/>
        </w:rPr>
      </w:pPr>
    </w:p>
    <w:p w14:paraId="5EEC3D31">
      <w:pPr>
        <w:rPr>
          <w:rFonts w:hint="eastAsia" w:ascii="宋体" w:hAnsi="宋体" w:cs="宋体"/>
          <w:color w:val="000000"/>
          <w:sz w:val="30"/>
          <w:szCs w:val="30"/>
        </w:rPr>
      </w:pPr>
    </w:p>
    <w:p w14:paraId="1D445BFE">
      <w:pPr>
        <w:pStyle w:val="28"/>
        <w:spacing w:before="0" w:after="0" w:line="360" w:lineRule="auto"/>
        <w:jc w:val="left"/>
        <w:outlineLvl w:val="1"/>
        <w:rPr>
          <w:rFonts w:hint="eastAsia" w:ascii="宋体" w:hAnsi="宋体" w:cs="宋体"/>
          <w:color w:val="000000"/>
          <w:sz w:val="30"/>
          <w:szCs w:val="30"/>
        </w:rPr>
      </w:pPr>
    </w:p>
    <w:p w14:paraId="61548EAE">
      <w:pPr>
        <w:pStyle w:val="28"/>
        <w:spacing w:before="0" w:after="0" w:line="360" w:lineRule="auto"/>
        <w:jc w:val="left"/>
        <w:outlineLvl w:val="1"/>
        <w:rPr>
          <w:rFonts w:hint="eastAsia" w:ascii="宋体" w:hAnsi="宋体" w:cs="宋体"/>
          <w:color w:val="000000"/>
        </w:rPr>
      </w:pPr>
      <w:bookmarkStart w:id="72" w:name="_Toc21526"/>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72"/>
    </w:p>
    <w:p w14:paraId="2AD60C12">
      <w:pPr>
        <w:autoSpaceDE w:val="0"/>
        <w:autoSpaceDN w:val="0"/>
        <w:spacing w:line="360" w:lineRule="auto"/>
        <w:rPr>
          <w:rFonts w:hint="eastAsia" w:ascii="宋体" w:hAnsi="宋体" w:cs="宋体"/>
          <w:color w:val="000000"/>
          <w:kern w:val="0"/>
          <w:sz w:val="28"/>
          <w:szCs w:val="28"/>
          <w:lang w:val="zh-CN"/>
        </w:rPr>
      </w:pPr>
    </w:p>
    <w:p w14:paraId="01176B2B">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14:paraId="6CD8449F">
      <w:pPr>
        <w:spacing w:line="360" w:lineRule="auto"/>
        <w:rPr>
          <w:rFonts w:hint="eastAsia" w:ascii="宋体" w:hAnsi="宋体" w:cs="宋体"/>
          <w:b/>
          <w:bCs/>
          <w:color w:val="000000"/>
          <w:sz w:val="28"/>
          <w:szCs w:val="28"/>
        </w:rPr>
      </w:pPr>
    </w:p>
    <w:p w14:paraId="01B74BCD">
      <w:pPr>
        <w:spacing w:line="360" w:lineRule="auto"/>
        <w:rPr>
          <w:rFonts w:hint="eastAsia" w:ascii="宋体" w:hAnsi="宋体" w:cs="宋体"/>
          <w:b/>
          <w:bCs/>
          <w:color w:val="000000"/>
          <w:u w:val="single"/>
        </w:rPr>
      </w:pPr>
      <w:r>
        <w:rPr>
          <w:rFonts w:hint="eastAsia" w:ascii="宋体" w:hAnsi="宋体" w:cs="宋体"/>
          <w:b/>
          <w:bCs/>
          <w:color w:val="000000"/>
        </w:rPr>
        <w:t>致：</w:t>
      </w:r>
      <w:r>
        <w:rPr>
          <w:rFonts w:hint="eastAsia" w:ascii="宋体" w:hAnsi="宋体" w:cs="宋体"/>
          <w:b/>
          <w:bCs/>
          <w:color w:val="000000"/>
          <w:kern w:val="0"/>
          <w:u w:val="single"/>
          <w:lang w:val="zh-CN"/>
        </w:rPr>
        <w:t>格尔木市政务服务和公共资源交易中心</w:t>
      </w:r>
    </w:p>
    <w:p w14:paraId="42213327">
      <w:pPr>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w:t>
      </w:r>
      <w:r>
        <w:rPr>
          <w:rFonts w:hint="eastAsia" w:ascii="宋体" w:hAnsi="宋体" w:cs="宋体"/>
          <w:color w:val="000000"/>
          <w:lang w:eastAsia="zh-CN"/>
        </w:rPr>
        <w:t>中华人民共和国政府采购法</w:t>
      </w:r>
      <w:r>
        <w:rPr>
          <w:rFonts w:hint="eastAsia" w:ascii="宋体" w:hAnsi="宋体" w:cs="宋体"/>
          <w:color w:val="000000"/>
        </w:rPr>
        <w:t>》规定的供应商资格条</w:t>
      </w:r>
      <w:r>
        <w:rPr>
          <w:rFonts w:hint="eastAsia" w:ascii="宋体" w:hAnsi="宋体" w:cs="宋体"/>
          <w:color w:val="000000"/>
          <w:shd w:val="clear" w:color="auto" w:fill="FFFFFF"/>
        </w:rPr>
        <w:t>件。我方对此声明负全部法律责任。</w:t>
      </w:r>
    </w:p>
    <w:p w14:paraId="520B0F6A">
      <w:pPr>
        <w:spacing w:line="360" w:lineRule="auto"/>
        <w:ind w:firstLine="480" w:firstLineChars="200"/>
        <w:rPr>
          <w:rFonts w:hint="eastAsia" w:ascii="宋体" w:hAnsi="宋体" w:cs="宋体"/>
          <w:color w:val="000000"/>
        </w:rPr>
      </w:pPr>
      <w:r>
        <w:rPr>
          <w:rFonts w:hint="eastAsia" w:ascii="宋体" w:hAnsi="宋体" w:cs="宋体"/>
          <w:color w:val="000000"/>
        </w:rPr>
        <w:t>特此声明。</w:t>
      </w:r>
    </w:p>
    <w:p w14:paraId="4216DDC1">
      <w:pPr>
        <w:autoSpaceDE w:val="0"/>
        <w:autoSpaceDN w:val="0"/>
        <w:spacing w:line="360" w:lineRule="auto"/>
        <w:jc w:val="left"/>
        <w:rPr>
          <w:rFonts w:hint="eastAsia" w:ascii="宋体" w:hAnsi="宋体" w:cs="宋体"/>
          <w:color w:val="000000"/>
          <w:kern w:val="0"/>
        </w:rPr>
      </w:pPr>
    </w:p>
    <w:p w14:paraId="6BF943C8">
      <w:pPr>
        <w:autoSpaceDE w:val="0"/>
        <w:autoSpaceDN w:val="0"/>
        <w:spacing w:line="360" w:lineRule="auto"/>
        <w:jc w:val="left"/>
        <w:rPr>
          <w:rFonts w:hint="eastAsia" w:ascii="宋体" w:hAnsi="宋体" w:cs="宋体"/>
          <w:color w:val="000000"/>
          <w:kern w:val="0"/>
        </w:rPr>
      </w:pPr>
    </w:p>
    <w:p w14:paraId="075D7B57">
      <w:pPr>
        <w:autoSpaceDE w:val="0"/>
        <w:autoSpaceDN w:val="0"/>
        <w:spacing w:line="360" w:lineRule="auto"/>
        <w:jc w:val="left"/>
        <w:rPr>
          <w:rFonts w:hint="eastAsia" w:ascii="宋体" w:hAnsi="宋体" w:cs="宋体"/>
          <w:color w:val="000000"/>
          <w:kern w:val="0"/>
        </w:rPr>
      </w:pPr>
    </w:p>
    <w:p w14:paraId="435DACBC">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5AE51B34">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7EDD9939">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10FE2510">
      <w:pPr>
        <w:autoSpaceDE w:val="0"/>
        <w:autoSpaceDN w:val="0"/>
        <w:adjustRightInd w:val="0"/>
        <w:jc w:val="left"/>
        <w:rPr>
          <w:rFonts w:hint="eastAsia" w:ascii="宋体" w:hAnsi="宋体" w:cs="宋体"/>
          <w:color w:val="000000"/>
          <w:lang w:val="zh-CN"/>
        </w:rPr>
      </w:pPr>
      <w:r>
        <w:rPr>
          <w:rFonts w:hint="eastAsia" w:ascii="宋体" w:hAnsi="宋体" w:cs="宋体"/>
          <w:color w:val="000000"/>
          <w:lang w:val="zh-CN"/>
        </w:rPr>
        <w:br w:type="page"/>
      </w:r>
      <w:bookmarkEnd w:id="71"/>
    </w:p>
    <w:p w14:paraId="5BC6C01E">
      <w:pPr>
        <w:autoSpaceDE w:val="0"/>
        <w:autoSpaceDN w:val="0"/>
        <w:adjustRightInd w:val="0"/>
        <w:jc w:val="left"/>
        <w:rPr>
          <w:rFonts w:hint="default"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（10）投标保证金证明</w:t>
      </w:r>
    </w:p>
    <w:p w14:paraId="33431DD8">
      <w:pPr>
        <w:spacing w:before="91" w:line="222" w:lineRule="auto"/>
        <w:ind w:left="3834"/>
        <w:rPr>
          <w:rFonts w:ascii="仿宋" w:hAnsi="仿宋" w:eastAsia="仿宋" w:cs="仿宋"/>
          <w:b/>
          <w:bCs/>
          <w:spacing w:val="-5"/>
          <w:sz w:val="28"/>
          <w:szCs w:val="28"/>
        </w:rPr>
      </w:pPr>
    </w:p>
    <w:p w14:paraId="75C177D1">
      <w:pPr>
        <w:spacing w:before="91" w:line="222" w:lineRule="auto"/>
        <w:ind w:left="3834"/>
        <w:rPr>
          <w:rFonts w:ascii="仿宋" w:hAnsi="仿宋" w:eastAsia="仿宋" w:cs="仿宋"/>
          <w:b/>
          <w:bCs/>
          <w:spacing w:val="-5"/>
          <w:sz w:val="28"/>
          <w:szCs w:val="28"/>
        </w:rPr>
      </w:pPr>
    </w:p>
    <w:p w14:paraId="696205FA">
      <w:pPr>
        <w:spacing w:line="360" w:lineRule="auto"/>
        <w:ind w:firstLine="723" w:firstLineChars="200"/>
        <w:jc w:val="center"/>
        <w:rPr>
          <w:rFonts w:hint="eastAsia" w:ascii="宋体" w:hAnsi="宋体" w:eastAsia="宋体" w:cs="宋体"/>
          <w:color w:val="000000"/>
          <w:shd w:val="clear" w:color="auto" w:fill="FFFFFF"/>
          <w:lang w:val="en-US" w:eastAsia="zh-CN"/>
        </w:rPr>
      </w:pPr>
      <w:r>
        <w:rPr>
          <w:rFonts w:hint="eastAsia" w:ascii="宋体" w:hAnsi="宋体" w:cs="宋体"/>
          <w:b/>
          <w:bCs/>
          <w:color w:val="000000"/>
          <w:sz w:val="36"/>
          <w:szCs w:val="36"/>
          <w:shd w:val="clear" w:color="auto" w:fill="FFFFFF"/>
        </w:rPr>
        <w:t>投标保证金证</w:t>
      </w:r>
      <w:r>
        <w:rPr>
          <w:rFonts w:hint="eastAsia" w:ascii="宋体" w:hAnsi="宋体" w:cs="宋体"/>
          <w:b/>
          <w:bCs/>
          <w:color w:val="000000"/>
          <w:sz w:val="36"/>
          <w:szCs w:val="36"/>
          <w:shd w:val="clear" w:color="auto" w:fill="FFFFFF"/>
          <w:lang w:val="en-US" w:eastAsia="zh-CN"/>
        </w:rPr>
        <w:t>明</w:t>
      </w:r>
    </w:p>
    <w:p w14:paraId="00125959">
      <w:pPr>
        <w:spacing w:line="360" w:lineRule="auto"/>
        <w:ind w:firstLine="480" w:firstLineChars="200"/>
        <w:rPr>
          <w:rFonts w:hint="eastAsia" w:ascii="宋体" w:hAnsi="宋体" w:cs="宋体"/>
          <w:color w:val="000000"/>
          <w:shd w:val="clear" w:color="auto" w:fill="FFFFFF"/>
        </w:rPr>
      </w:pPr>
    </w:p>
    <w:p w14:paraId="246B25AA">
      <w:pPr>
        <w:spacing w:line="360" w:lineRule="auto"/>
        <w:ind w:firstLine="482" w:firstLineChars="200"/>
        <w:rPr>
          <w:rFonts w:hint="eastAsia" w:ascii="宋体" w:hAnsi="宋体" w:cs="宋体"/>
          <w:color w:val="000000"/>
          <w:shd w:val="clear" w:color="auto" w:fill="FFFFFF"/>
        </w:rPr>
      </w:pPr>
      <w:r>
        <w:rPr>
          <w:rFonts w:hint="eastAsia" w:ascii="宋体" w:hAnsi="宋体" w:cs="宋体"/>
          <w:b/>
          <w:bCs/>
          <w:color w:val="000000"/>
          <w:shd w:val="clear" w:color="auto" w:fill="FFFFFF"/>
        </w:rPr>
        <w:t>致：</w:t>
      </w:r>
      <w:r>
        <w:rPr>
          <w:rFonts w:hint="eastAsia" w:ascii="宋体" w:hAnsi="宋体" w:cs="宋体"/>
          <w:b/>
          <w:bCs/>
          <w:color w:val="000000"/>
          <w:shd w:val="clear" w:color="auto" w:fill="FFFFFF"/>
          <w:lang w:val="en-US" w:eastAsia="zh-CN"/>
        </w:rPr>
        <w:t>格尔木市政务服务和公共资源交易中心</w:t>
      </w:r>
    </w:p>
    <w:p w14:paraId="4B9A5BBC">
      <w:pPr>
        <w:spacing w:line="360" w:lineRule="auto"/>
        <w:ind w:firstLine="960" w:firstLineChars="400"/>
        <w:rPr>
          <w:rFonts w:hint="eastAsia" w:ascii="宋体" w:hAnsi="宋体" w:cs="宋体"/>
          <w:color w:val="000000"/>
          <w:shd w:val="clear" w:color="auto" w:fill="FFFFFF"/>
        </w:rPr>
      </w:pPr>
      <w:r>
        <w:rPr>
          <w:rFonts w:hint="eastAsia" w:ascii="宋体" w:hAnsi="宋体" w:cs="宋体"/>
          <w:color w:val="000000"/>
          <w:shd w:val="clear" w:color="auto" w:fill="FFFFFF"/>
        </w:rPr>
        <w:t>我方为（采购项目名称）项目（采购项目编号为：       ）递交保证金人民币      （大写：人民币        元）已于     年    月     日以基本户转账方式汇入你方账户。</w:t>
      </w:r>
    </w:p>
    <w:p w14:paraId="7E18EFA4">
      <w:pPr>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附件：保证金</w:t>
      </w:r>
      <w:r>
        <w:rPr>
          <w:rFonts w:hint="eastAsia" w:ascii="宋体" w:hAnsi="宋体" w:cs="宋体"/>
          <w:color w:val="000000"/>
          <w:shd w:val="clear" w:color="auto" w:fill="FFFFFF"/>
          <w:lang w:eastAsia="zh-CN"/>
        </w:rPr>
        <w:t>缴</w:t>
      </w:r>
      <w:r>
        <w:rPr>
          <w:rFonts w:hint="eastAsia" w:ascii="宋体" w:hAnsi="宋体" w:cs="宋体"/>
          <w:color w:val="000000"/>
          <w:shd w:val="clear" w:color="auto" w:fill="FFFFFF"/>
        </w:rPr>
        <w:t>款证明复印件（加盖公章）</w:t>
      </w:r>
    </w:p>
    <w:p w14:paraId="540F22C0">
      <w:pPr>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退还保证金时请按以下内容汇入至我方账户（同递交保证金账户）。若因提供内容不全、 错误等原因导致该项目保证金未能及时退还或退还过程中发生错误，我方将承担全部责任和 损失。</w:t>
      </w:r>
    </w:p>
    <w:p w14:paraId="0312DB96">
      <w:pPr>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 xml:space="preserve">户    名： </w:t>
      </w:r>
    </w:p>
    <w:p w14:paraId="2BA1ACF0">
      <w:pPr>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开户银行：</w:t>
      </w:r>
    </w:p>
    <w:p w14:paraId="75A0F823">
      <w:pPr>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lang w:eastAsia="zh-CN"/>
        </w:rPr>
        <w:t>开户账号</w:t>
      </w:r>
      <w:r>
        <w:rPr>
          <w:rFonts w:hint="eastAsia" w:ascii="宋体" w:hAnsi="宋体" w:cs="宋体"/>
          <w:color w:val="000000"/>
          <w:shd w:val="clear" w:color="auto" w:fill="FFFFFF"/>
        </w:rPr>
        <w:t>：</w:t>
      </w:r>
    </w:p>
    <w:p w14:paraId="51E252DF">
      <w:pPr>
        <w:spacing w:line="360" w:lineRule="auto"/>
        <w:ind w:firstLine="480" w:firstLineChars="200"/>
        <w:rPr>
          <w:rFonts w:hint="eastAsia" w:ascii="宋体" w:hAnsi="宋体" w:cs="宋体"/>
          <w:color w:val="000000"/>
          <w:shd w:val="clear" w:color="auto" w:fill="FFFFFF"/>
        </w:rPr>
      </w:pPr>
    </w:p>
    <w:p w14:paraId="518D1BA9">
      <w:pPr>
        <w:spacing w:line="360" w:lineRule="auto"/>
        <w:ind w:firstLine="480" w:firstLineChars="200"/>
        <w:rPr>
          <w:rFonts w:hint="eastAsia" w:ascii="宋体" w:hAnsi="宋体" w:cs="宋体"/>
          <w:color w:val="000000"/>
          <w:shd w:val="clear" w:color="auto" w:fill="FFFFFF"/>
        </w:rPr>
      </w:pPr>
    </w:p>
    <w:p w14:paraId="65C3FF3F">
      <w:pPr>
        <w:spacing w:line="360" w:lineRule="auto"/>
        <w:ind w:firstLine="480" w:firstLineChars="200"/>
        <w:rPr>
          <w:rFonts w:hint="eastAsia" w:ascii="宋体" w:hAnsi="宋体" w:cs="宋体"/>
          <w:color w:val="000000"/>
          <w:shd w:val="clear" w:color="auto" w:fill="FFFFFF"/>
        </w:rPr>
      </w:pPr>
    </w:p>
    <w:p w14:paraId="6DCB8ABE">
      <w:pPr>
        <w:spacing w:line="360" w:lineRule="auto"/>
        <w:ind w:firstLine="480" w:firstLineChars="200"/>
        <w:rPr>
          <w:rFonts w:hint="eastAsia" w:ascii="宋体" w:hAnsi="宋体" w:cs="宋体"/>
          <w:color w:val="000000"/>
          <w:shd w:val="clear" w:color="auto" w:fill="FFFFFF"/>
        </w:rPr>
      </w:pPr>
    </w:p>
    <w:p w14:paraId="51C6A200">
      <w:pPr>
        <w:spacing w:line="360" w:lineRule="auto"/>
        <w:ind w:firstLine="480" w:firstLineChars="200"/>
        <w:rPr>
          <w:rFonts w:hint="eastAsia" w:ascii="宋体" w:hAnsi="宋体" w:cs="宋体"/>
          <w:color w:val="000000"/>
          <w:shd w:val="clear" w:color="auto" w:fill="FFFFFF"/>
        </w:rPr>
      </w:pPr>
    </w:p>
    <w:p w14:paraId="5FA95B61">
      <w:pPr>
        <w:spacing w:line="360" w:lineRule="auto"/>
        <w:ind w:firstLine="2168" w:firstLineChars="900"/>
        <w:rPr>
          <w:rFonts w:hint="eastAsia" w:ascii="宋体" w:hAnsi="宋体" w:cs="宋体"/>
          <w:b/>
          <w:bCs/>
          <w:color w:val="000000"/>
          <w:shd w:val="clear" w:color="auto" w:fill="FFFFFF"/>
        </w:rPr>
      </w:pPr>
      <w:r>
        <w:rPr>
          <w:rFonts w:hint="eastAsia" w:ascii="宋体" w:hAnsi="宋体" w:cs="宋体"/>
          <w:b/>
          <w:bCs/>
          <w:color w:val="000000"/>
          <w:shd w:val="clear" w:color="auto" w:fill="FFFFFF"/>
        </w:rPr>
        <w:t>投标人：                        （公章）</w:t>
      </w:r>
    </w:p>
    <w:p w14:paraId="5984C464">
      <w:pPr>
        <w:spacing w:line="360" w:lineRule="auto"/>
        <w:ind w:firstLine="2168" w:firstLineChars="900"/>
        <w:rPr>
          <w:rFonts w:hint="eastAsia" w:ascii="宋体" w:hAnsi="宋体" w:cs="宋体"/>
          <w:b/>
          <w:bCs/>
          <w:color w:val="000000"/>
          <w:shd w:val="clear" w:color="auto" w:fill="FFFFFF"/>
        </w:rPr>
      </w:pPr>
      <w:r>
        <w:rPr>
          <w:rFonts w:hint="eastAsia" w:ascii="宋体" w:hAnsi="宋体" w:cs="宋体"/>
          <w:b/>
          <w:bCs/>
          <w:color w:val="000000"/>
          <w:shd w:val="clear" w:color="auto" w:fill="FFFFFF"/>
        </w:rPr>
        <w:t>法定代表人或委托代理人：        （签字或盖章）</w:t>
      </w:r>
    </w:p>
    <w:p w14:paraId="18A02F06">
      <w:pPr>
        <w:spacing w:line="360" w:lineRule="auto"/>
        <w:ind w:firstLine="3614" w:firstLineChars="1500"/>
        <w:rPr>
          <w:rFonts w:hint="eastAsia" w:ascii="宋体" w:hAnsi="宋体" w:cs="宋体"/>
          <w:b/>
          <w:bCs/>
          <w:color w:val="000000"/>
          <w:shd w:val="clear" w:color="auto" w:fill="FFFFFF"/>
        </w:rPr>
      </w:pPr>
      <w:r>
        <w:rPr>
          <w:rFonts w:hint="eastAsia" w:ascii="宋体" w:hAnsi="宋体" w:cs="宋体"/>
          <w:b/>
          <w:bCs/>
          <w:color w:val="000000"/>
          <w:shd w:val="clear" w:color="auto" w:fill="FFFFFF"/>
        </w:rPr>
        <w:t>年    月    日</w:t>
      </w:r>
    </w:p>
    <w:p w14:paraId="45E381A3">
      <w:pPr>
        <w:spacing w:line="222" w:lineRule="auto"/>
        <w:rPr>
          <w:rFonts w:ascii="仿宋" w:hAnsi="仿宋" w:eastAsia="仿宋" w:cs="仿宋"/>
          <w:sz w:val="28"/>
          <w:szCs w:val="28"/>
        </w:rPr>
        <w:sectPr>
          <w:footerReference r:id="rId3" w:type="default"/>
          <w:pgSz w:w="11906" w:h="16840"/>
          <w:pgMar w:top="1220" w:right="1089" w:bottom="1215" w:left="1155" w:header="0" w:footer="1052" w:gutter="0"/>
          <w:pgNumType w:fmt="decimal" w:start="1"/>
          <w:cols w:space="720" w:num="1"/>
        </w:sectPr>
      </w:pPr>
    </w:p>
    <w:p w14:paraId="10C422DF">
      <w:pPr>
        <w:autoSpaceDE w:val="0"/>
        <w:autoSpaceDN w:val="0"/>
        <w:adjustRightInd w:val="0"/>
        <w:jc w:val="left"/>
        <w:rPr>
          <w:rFonts w:hint="eastAsia" w:ascii="宋体" w:hAnsi="宋体" w:cs="宋体"/>
          <w:color w:val="000000"/>
          <w:lang w:val="zh-CN"/>
        </w:rPr>
      </w:pPr>
    </w:p>
    <w:p w14:paraId="1F052A77">
      <w:pPr>
        <w:rPr>
          <w:rFonts w:hint="eastAsia"/>
          <w:b/>
          <w:sz w:val="36"/>
          <w:szCs w:val="36"/>
        </w:rPr>
      </w:pPr>
      <w:r>
        <w:rPr>
          <w:rFonts w:hint="eastAsia"/>
          <w:b/>
          <w:sz w:val="36"/>
          <w:szCs w:val="36"/>
          <w:lang w:val="zh-CN"/>
        </w:rPr>
        <w:t>（下册）</w:t>
      </w:r>
    </w:p>
    <w:p w14:paraId="3E5D807A">
      <w:pPr>
        <w:wordWrap w:val="0"/>
        <w:autoSpaceDE w:val="0"/>
        <w:autoSpaceDN w:val="0"/>
        <w:spacing w:line="360" w:lineRule="auto"/>
        <w:jc w:val="right"/>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p>
    <w:p w14:paraId="4A07479A">
      <w:pPr>
        <w:autoSpaceDE w:val="0"/>
        <w:autoSpaceDN w:val="0"/>
        <w:spacing w:line="360" w:lineRule="auto"/>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格尔木市政府采购项目</w:t>
      </w:r>
    </w:p>
    <w:p w14:paraId="114F1F83">
      <w:pPr>
        <w:autoSpaceDE w:val="0"/>
        <w:autoSpaceDN w:val="0"/>
        <w:spacing w:line="360" w:lineRule="auto"/>
        <w:rPr>
          <w:rFonts w:hint="eastAsia" w:ascii="宋体" w:hAnsi="宋体" w:cs="宋体"/>
          <w:color w:val="000000"/>
          <w:kern w:val="0"/>
          <w:sz w:val="36"/>
          <w:szCs w:val="36"/>
        </w:rPr>
      </w:pPr>
    </w:p>
    <w:p w14:paraId="1096124C">
      <w:pPr>
        <w:autoSpaceDE w:val="0"/>
        <w:autoSpaceDN w:val="0"/>
        <w:spacing w:line="360" w:lineRule="auto"/>
        <w:jc w:val="center"/>
        <w:rPr>
          <w:rFonts w:hint="eastAsia"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14:paraId="2EE238A2">
      <w:pPr>
        <w:autoSpaceDE w:val="0"/>
        <w:autoSpaceDN w:val="0"/>
        <w:spacing w:line="360" w:lineRule="auto"/>
        <w:jc w:val="center"/>
        <w:rPr>
          <w:rFonts w:hint="eastAsia" w:ascii="宋体" w:hAnsi="宋体" w:cs="宋体"/>
          <w:b/>
          <w:bCs/>
          <w:color w:val="000000"/>
          <w:sz w:val="44"/>
          <w:szCs w:val="44"/>
          <w:lang w:val="zh-CN"/>
        </w:rPr>
      </w:pPr>
      <w:r>
        <w:rPr>
          <w:rFonts w:hint="eastAsia" w:ascii="宋体" w:hAnsi="宋体" w:cs="宋体"/>
          <w:b/>
          <w:bCs/>
          <w:color w:val="000000"/>
          <w:sz w:val="44"/>
          <w:szCs w:val="44"/>
          <w:lang w:val="zh-CN"/>
        </w:rPr>
        <w:t>（下册）</w:t>
      </w:r>
    </w:p>
    <w:p w14:paraId="3F5C7FE0">
      <w:pPr>
        <w:autoSpaceDE w:val="0"/>
        <w:autoSpaceDN w:val="0"/>
        <w:adjustRightInd w:val="0"/>
        <w:jc w:val="center"/>
        <w:rPr>
          <w:rFonts w:cs="Calibri"/>
          <w:kern w:val="0"/>
          <w:sz w:val="28"/>
          <w:szCs w:val="28"/>
        </w:rPr>
      </w:pPr>
      <w:r>
        <w:rPr>
          <w:rFonts w:hint="eastAsia" w:ascii="宋体" w:hAnsi="宋体"/>
          <w:b/>
          <w:bCs/>
          <w:sz w:val="36"/>
          <w:szCs w:val="36"/>
        </w:rPr>
        <w:t>（符合性审查文件）</w:t>
      </w:r>
    </w:p>
    <w:p w14:paraId="079210F0">
      <w:pPr>
        <w:pStyle w:val="77"/>
        <w:rPr>
          <w:rFonts w:hint="eastAsia"/>
        </w:rPr>
      </w:pPr>
    </w:p>
    <w:p w14:paraId="72E11045">
      <w:pPr>
        <w:autoSpaceDE w:val="0"/>
        <w:autoSpaceDN w:val="0"/>
        <w:spacing w:line="360" w:lineRule="auto"/>
        <w:rPr>
          <w:rFonts w:hint="eastAsia" w:ascii="宋体" w:hAnsi="宋体" w:cs="宋体"/>
          <w:color w:val="000000"/>
          <w:kern w:val="0"/>
          <w:sz w:val="36"/>
          <w:szCs w:val="36"/>
        </w:rPr>
      </w:pPr>
    </w:p>
    <w:p w14:paraId="15A56264">
      <w:pPr>
        <w:autoSpaceDE w:val="0"/>
        <w:autoSpaceDN w:val="0"/>
        <w:spacing w:line="360" w:lineRule="auto"/>
        <w:rPr>
          <w:rFonts w:hint="eastAsia" w:ascii="宋体" w:hAnsi="宋体" w:cs="宋体"/>
          <w:color w:val="000000"/>
          <w:kern w:val="0"/>
          <w:sz w:val="36"/>
          <w:szCs w:val="36"/>
        </w:rPr>
      </w:pPr>
    </w:p>
    <w:p w14:paraId="14AD6F63">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14:paraId="34FE91C1">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14:paraId="247EE44F">
      <w:pPr>
        <w:autoSpaceDE w:val="0"/>
        <w:autoSpaceDN w:val="0"/>
        <w:spacing w:line="360" w:lineRule="auto"/>
        <w:rPr>
          <w:rFonts w:hint="eastAsia" w:ascii="宋体" w:hAnsi="宋体" w:cs="宋体"/>
          <w:b/>
          <w:bCs/>
          <w:color w:val="000000"/>
          <w:kern w:val="0"/>
          <w:sz w:val="36"/>
          <w:szCs w:val="36"/>
        </w:rPr>
      </w:pPr>
    </w:p>
    <w:p w14:paraId="510CFC18">
      <w:pPr>
        <w:autoSpaceDE w:val="0"/>
        <w:autoSpaceDN w:val="0"/>
        <w:spacing w:line="360" w:lineRule="auto"/>
        <w:rPr>
          <w:rFonts w:hint="eastAsia" w:ascii="宋体" w:hAnsi="宋体" w:cs="宋体"/>
          <w:b/>
          <w:bCs/>
          <w:color w:val="000000"/>
          <w:kern w:val="0"/>
          <w:sz w:val="36"/>
          <w:szCs w:val="36"/>
        </w:rPr>
      </w:pPr>
    </w:p>
    <w:p w14:paraId="3470CC57">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14:paraId="05AF4FD7">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14:paraId="01219A29">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14:paraId="1666EBDB">
      <w:pPr>
        <w:pStyle w:val="28"/>
        <w:spacing w:before="0" w:after="0" w:line="360" w:lineRule="auto"/>
        <w:jc w:val="left"/>
        <w:rPr>
          <w:rFonts w:hint="eastAsia" w:ascii="宋体" w:hAnsi="宋体" w:cs="宋体"/>
          <w:color w:val="000000"/>
          <w:lang w:val="zh-CN"/>
        </w:rPr>
      </w:pPr>
      <w:r>
        <w:rPr>
          <w:rFonts w:hint="eastAsia" w:ascii="宋体" w:hAnsi="宋体" w:cs="宋体"/>
          <w:b w:val="0"/>
          <w:bCs w:val="0"/>
          <w:color w:val="000000"/>
          <w:kern w:val="0"/>
          <w:lang w:val="zh-CN"/>
        </w:rPr>
        <w:br w:type="page"/>
      </w:r>
      <w:bookmarkStart w:id="73" w:name="_Toc28648"/>
      <w:r>
        <w:rPr>
          <w:rFonts w:hint="eastAsia" w:ascii="宋体" w:hAnsi="宋体" w:cs="宋体"/>
          <w:color w:val="000000"/>
          <w:sz w:val="30"/>
          <w:szCs w:val="30"/>
          <w:lang w:val="zh-CN"/>
        </w:rPr>
        <w:t>目录（下册）</w:t>
      </w:r>
      <w:bookmarkEnd w:id="73"/>
    </w:p>
    <w:p w14:paraId="563AC6FD">
      <w:pPr>
        <w:autoSpaceDE w:val="0"/>
        <w:autoSpaceDN w:val="0"/>
        <w:spacing w:line="360" w:lineRule="auto"/>
        <w:rPr>
          <w:rFonts w:hint="eastAsia" w:ascii="宋体" w:hAnsi="宋体" w:cs="宋体"/>
          <w:color w:val="000000"/>
          <w:kern w:val="0"/>
          <w:lang w:val="zh-CN"/>
        </w:rPr>
      </w:pPr>
      <w:r>
        <w:rPr>
          <w:rFonts w:hint="eastAsia" w:ascii="宋体" w:hAnsi="宋体" w:cs="宋体"/>
          <w:color w:val="000000"/>
          <w:lang w:eastAsia="zh-CN"/>
        </w:rPr>
        <w:t>（</w:t>
      </w:r>
      <w:r>
        <w:rPr>
          <w:rFonts w:hint="eastAsia" w:ascii="宋体" w:hAnsi="宋体" w:cs="宋体"/>
          <w:color w:val="000000"/>
        </w:rPr>
        <w:t>1</w:t>
      </w:r>
      <w:r>
        <w:rPr>
          <w:rFonts w:hint="eastAsia" w:ascii="宋体" w:hAnsi="宋体" w:cs="宋体"/>
          <w:color w:val="000000"/>
          <w:lang w:val="en-US" w:eastAsia="zh-CN"/>
        </w:rPr>
        <w:t>1）</w:t>
      </w:r>
      <w:r>
        <w:rPr>
          <w:rFonts w:hint="eastAsia" w:ascii="宋体" w:hAnsi="宋体" w:cs="宋体"/>
          <w:color w:val="000000"/>
        </w:rPr>
        <w:t>评分对照表</w:t>
      </w:r>
      <w:r>
        <w:rPr>
          <w:rFonts w:hint="eastAsia" w:ascii="宋体" w:hAnsi="宋体" w:cs="宋体"/>
          <w:color w:val="000000"/>
          <w:kern w:val="0"/>
          <w:lang w:val="zh-CN"/>
        </w:rPr>
        <w:t>………………………………………………………所在页码</w:t>
      </w:r>
    </w:p>
    <w:p w14:paraId="1EFADB1E">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eastAsia="zh-CN"/>
        </w:rPr>
        <w:t>（</w:t>
      </w:r>
      <w:r>
        <w:rPr>
          <w:rFonts w:hint="eastAsia" w:ascii="宋体" w:hAnsi="宋体" w:cs="宋体"/>
          <w:color w:val="000000"/>
          <w:kern w:val="0"/>
        </w:rPr>
        <w:t>1</w:t>
      </w:r>
      <w:r>
        <w:rPr>
          <w:rFonts w:hint="eastAsia" w:ascii="宋体" w:hAnsi="宋体" w:cs="宋体"/>
          <w:color w:val="000000"/>
          <w:kern w:val="0"/>
          <w:lang w:val="en-US" w:eastAsia="zh-CN"/>
        </w:rPr>
        <w:t>2）</w:t>
      </w:r>
      <w:r>
        <w:rPr>
          <w:rFonts w:hint="eastAsia" w:ascii="宋体" w:hAnsi="宋体" w:cs="宋体"/>
          <w:color w:val="000000"/>
          <w:kern w:val="0"/>
          <w:lang w:val="zh-CN"/>
        </w:rPr>
        <w:t>开标一览表（报价表）…………………………………………所在页码</w:t>
      </w:r>
    </w:p>
    <w:p w14:paraId="3C5A15E8">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eastAsia="zh-CN"/>
        </w:rPr>
        <w:t>（</w:t>
      </w:r>
      <w:r>
        <w:rPr>
          <w:rFonts w:hint="eastAsia" w:ascii="宋体" w:hAnsi="宋体" w:cs="宋体"/>
          <w:color w:val="000000"/>
          <w:kern w:val="0"/>
        </w:rPr>
        <w:t>1</w:t>
      </w:r>
      <w:r>
        <w:rPr>
          <w:rFonts w:hint="eastAsia" w:ascii="宋体" w:hAnsi="宋体" w:cs="宋体"/>
          <w:color w:val="000000"/>
          <w:kern w:val="0"/>
          <w:lang w:val="en-US" w:eastAsia="zh-CN"/>
        </w:rPr>
        <w:t>3）</w:t>
      </w:r>
      <w:r>
        <w:rPr>
          <w:rFonts w:hint="eastAsia" w:ascii="宋体" w:hAnsi="宋体" w:cs="宋体"/>
          <w:color w:val="000000"/>
          <w:kern w:val="0"/>
          <w:lang w:val="zh-CN"/>
        </w:rPr>
        <w:t>分项报价表………………………………………………………所在页码</w:t>
      </w:r>
    </w:p>
    <w:p w14:paraId="38E1D9A4">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eastAsia="zh-CN"/>
        </w:rPr>
        <w:t>（</w:t>
      </w:r>
      <w:r>
        <w:rPr>
          <w:rFonts w:hint="eastAsia" w:ascii="宋体" w:hAnsi="宋体" w:cs="宋体"/>
          <w:color w:val="000000"/>
          <w:kern w:val="0"/>
        </w:rPr>
        <w:t>1</w:t>
      </w:r>
      <w:r>
        <w:rPr>
          <w:rFonts w:hint="eastAsia" w:ascii="宋体" w:hAnsi="宋体" w:cs="宋体"/>
          <w:color w:val="000000"/>
          <w:kern w:val="0"/>
          <w:lang w:val="en-US" w:eastAsia="zh-CN"/>
        </w:rPr>
        <w:t>4）</w:t>
      </w:r>
      <w:r>
        <w:rPr>
          <w:rFonts w:hint="eastAsia" w:ascii="宋体" w:hAnsi="宋体" w:cs="宋体"/>
          <w:color w:val="000000"/>
          <w:kern w:val="0"/>
          <w:lang w:val="zh-CN"/>
        </w:rPr>
        <w:t>技术规格响应表…………………………………………………所在页码</w:t>
      </w:r>
    </w:p>
    <w:p w14:paraId="0A37FD39">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eastAsia="zh-CN"/>
        </w:rPr>
        <w:t>（</w:t>
      </w:r>
      <w:r>
        <w:rPr>
          <w:rFonts w:hint="eastAsia" w:ascii="宋体" w:hAnsi="宋体" w:cs="宋体"/>
          <w:color w:val="000000"/>
          <w:kern w:val="0"/>
        </w:rPr>
        <w:t>1</w:t>
      </w:r>
      <w:r>
        <w:rPr>
          <w:rFonts w:hint="eastAsia" w:ascii="宋体" w:hAnsi="宋体" w:cs="宋体"/>
          <w:color w:val="000000"/>
          <w:kern w:val="0"/>
          <w:lang w:val="en-US" w:eastAsia="zh-CN"/>
        </w:rPr>
        <w:t>5）</w:t>
      </w:r>
      <w:r>
        <w:rPr>
          <w:rFonts w:hint="eastAsia" w:ascii="宋体" w:hAnsi="宋体" w:cs="宋体"/>
          <w:color w:val="000000"/>
          <w:kern w:val="0"/>
          <w:lang w:val="zh-CN"/>
        </w:rPr>
        <w:t>投标产品相关资料………………………………………………所在页码</w:t>
      </w:r>
    </w:p>
    <w:p w14:paraId="18A0D407">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eastAsia="zh-CN"/>
        </w:rPr>
        <w:t>（</w:t>
      </w:r>
      <w:r>
        <w:rPr>
          <w:rFonts w:hint="eastAsia" w:ascii="宋体" w:hAnsi="宋体" w:cs="宋体"/>
          <w:color w:val="000000"/>
          <w:kern w:val="0"/>
        </w:rPr>
        <w:t>1</w:t>
      </w:r>
      <w:r>
        <w:rPr>
          <w:rFonts w:hint="eastAsia" w:ascii="宋体" w:hAnsi="宋体" w:cs="宋体"/>
          <w:color w:val="000000"/>
          <w:kern w:val="0"/>
          <w:lang w:val="en-US" w:eastAsia="zh-CN"/>
        </w:rPr>
        <w:t>6）</w:t>
      </w:r>
      <w:r>
        <w:rPr>
          <w:rFonts w:hint="eastAsia" w:ascii="宋体" w:hAnsi="宋体" w:cs="宋体"/>
          <w:color w:val="000000"/>
          <w:kern w:val="0"/>
          <w:lang w:val="zh-CN"/>
        </w:rPr>
        <w:t>投标人的类似业绩证明材料……………………………………所在页码</w:t>
      </w:r>
    </w:p>
    <w:p w14:paraId="18733A16">
      <w:pPr>
        <w:autoSpaceDE w:val="0"/>
        <w:autoSpaceDN w:val="0"/>
        <w:spacing w:line="360" w:lineRule="auto"/>
        <w:rPr>
          <w:rFonts w:hint="eastAsia" w:ascii="宋体" w:hAnsi="宋体" w:cs="宋体"/>
          <w:color w:val="000000"/>
          <w:lang w:val="zh-CN"/>
        </w:rPr>
      </w:pPr>
      <w:r>
        <w:rPr>
          <w:rFonts w:hint="eastAsia" w:ascii="宋体" w:hAnsi="宋体" w:cs="宋体"/>
          <w:color w:val="000000"/>
          <w:kern w:val="0"/>
          <w:lang w:eastAsia="zh-CN"/>
        </w:rPr>
        <w:t>（</w:t>
      </w:r>
      <w:r>
        <w:rPr>
          <w:rFonts w:hint="eastAsia" w:ascii="宋体" w:hAnsi="宋体" w:cs="宋体"/>
          <w:color w:val="000000"/>
          <w:kern w:val="0"/>
        </w:rPr>
        <w:t>1</w:t>
      </w:r>
      <w:r>
        <w:rPr>
          <w:rFonts w:hint="eastAsia" w:ascii="宋体" w:hAnsi="宋体" w:cs="宋体"/>
          <w:color w:val="000000"/>
          <w:kern w:val="0"/>
          <w:lang w:val="en-US" w:eastAsia="zh-CN"/>
        </w:rPr>
        <w:t>7）</w:t>
      </w:r>
      <w:r>
        <w:rPr>
          <w:rFonts w:hint="eastAsia" w:ascii="宋体" w:hAnsi="宋体" w:cs="宋体"/>
          <w:color w:val="000000"/>
          <w:kern w:val="0"/>
          <w:lang w:val="zh-CN"/>
        </w:rPr>
        <w:t>制造（生产）企业小型微型企业声明函、从业人员声明函…所在页码</w:t>
      </w:r>
    </w:p>
    <w:p w14:paraId="3D8B53D9">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eastAsia="zh-CN"/>
        </w:rPr>
        <w:t>（</w:t>
      </w:r>
      <w:r>
        <w:rPr>
          <w:rFonts w:hint="eastAsia" w:ascii="宋体" w:hAnsi="宋体" w:cs="宋体"/>
          <w:color w:val="000000"/>
          <w:kern w:val="0"/>
        </w:rPr>
        <w:t>1</w:t>
      </w:r>
      <w:r>
        <w:rPr>
          <w:rFonts w:hint="eastAsia" w:ascii="宋体" w:hAnsi="宋体" w:cs="宋体"/>
          <w:color w:val="000000"/>
          <w:kern w:val="0"/>
          <w:lang w:val="en-US" w:eastAsia="zh-CN"/>
        </w:rPr>
        <w:t>8）</w:t>
      </w:r>
      <w:r>
        <w:rPr>
          <w:rFonts w:hint="eastAsia" w:ascii="宋体" w:hAnsi="宋体" w:cs="宋体"/>
          <w:color w:val="000000"/>
          <w:kern w:val="0"/>
          <w:lang w:val="zh-CN"/>
        </w:rPr>
        <w:t>残疾人福利性单位声明函………………………………………所在页码</w:t>
      </w:r>
    </w:p>
    <w:p w14:paraId="110CCE88">
      <w:pPr>
        <w:autoSpaceDE w:val="0"/>
        <w:autoSpaceDN w:val="0"/>
        <w:spacing w:line="360" w:lineRule="auto"/>
        <w:rPr>
          <w:rFonts w:hint="eastAsia" w:ascii="宋体" w:hAnsi="宋体" w:cs="宋体"/>
          <w:color w:val="000000"/>
          <w:lang w:val="zh-CN"/>
        </w:rPr>
      </w:pPr>
      <w:r>
        <w:rPr>
          <w:rFonts w:hint="eastAsia" w:ascii="宋体" w:hAnsi="宋体" w:cs="宋体"/>
          <w:color w:val="000000"/>
          <w:kern w:val="0"/>
          <w:lang w:eastAsia="zh-CN"/>
        </w:rPr>
        <w:t>（</w:t>
      </w:r>
      <w:r>
        <w:rPr>
          <w:rFonts w:hint="eastAsia" w:ascii="宋体" w:hAnsi="宋体" w:cs="宋体"/>
          <w:color w:val="000000"/>
          <w:kern w:val="0"/>
        </w:rPr>
        <w:t>1</w:t>
      </w:r>
      <w:r>
        <w:rPr>
          <w:rFonts w:hint="eastAsia" w:ascii="宋体" w:hAnsi="宋体" w:cs="宋体"/>
          <w:color w:val="000000"/>
          <w:kern w:val="0"/>
          <w:lang w:val="en-US" w:eastAsia="zh-CN"/>
        </w:rPr>
        <w:t>9）</w:t>
      </w:r>
      <w:r>
        <w:rPr>
          <w:rFonts w:hint="eastAsia" w:ascii="宋体" w:hAnsi="宋体" w:cs="宋体"/>
          <w:color w:val="000000"/>
          <w:kern w:val="0"/>
          <w:lang w:val="zh-CN"/>
        </w:rPr>
        <w:t>投标人认为在其他方面有必要说明的事项……………………所在页码</w:t>
      </w:r>
    </w:p>
    <w:p w14:paraId="0768BA26">
      <w:pPr>
        <w:pStyle w:val="28"/>
        <w:spacing w:before="0" w:after="0" w:line="360" w:lineRule="auto"/>
        <w:jc w:val="left"/>
        <w:outlineLvl w:val="1"/>
        <w:rPr>
          <w:rFonts w:hint="eastAsia" w:ascii="宋体" w:hAnsi="宋体" w:cs="宋体"/>
          <w:color w:val="000000"/>
          <w:sz w:val="30"/>
          <w:szCs w:val="30"/>
          <w:lang w:val="zh-CN"/>
        </w:rPr>
      </w:pPr>
      <w:r>
        <w:rPr>
          <w:rFonts w:hint="eastAsia" w:ascii="宋体" w:hAnsi="宋体" w:cs="宋体"/>
          <w:color w:val="000000"/>
          <w:lang w:val="zh-CN"/>
        </w:rPr>
        <w:br w:type="page"/>
      </w:r>
      <w:bookmarkStart w:id="74" w:name="_Toc22247"/>
      <w:r>
        <w:rPr>
          <w:rFonts w:hint="eastAsia" w:ascii="宋体" w:hAnsi="宋体" w:cs="宋体"/>
          <w:color w:val="000000"/>
          <w:sz w:val="30"/>
          <w:szCs w:val="30"/>
        </w:rPr>
        <w:t>（10）</w:t>
      </w:r>
      <w:r>
        <w:rPr>
          <w:rFonts w:hint="eastAsia" w:ascii="宋体" w:hAnsi="宋体" w:cs="宋体"/>
          <w:color w:val="000000"/>
          <w:sz w:val="30"/>
          <w:szCs w:val="30"/>
          <w:lang w:val="zh-CN"/>
        </w:rPr>
        <w:t>评分对照表</w:t>
      </w:r>
      <w:bookmarkEnd w:id="74"/>
    </w:p>
    <w:p w14:paraId="6999E35F">
      <w:pPr>
        <w:spacing w:line="360" w:lineRule="auto"/>
        <w:rPr>
          <w:rFonts w:hint="eastAsia" w:ascii="宋体" w:hAnsi="宋体" w:cs="宋体"/>
          <w:color w:val="000000"/>
          <w:sz w:val="28"/>
          <w:szCs w:val="28"/>
        </w:rPr>
      </w:pPr>
    </w:p>
    <w:p w14:paraId="33B4EA5A">
      <w:pPr>
        <w:spacing w:line="360" w:lineRule="auto"/>
        <w:jc w:val="center"/>
        <w:rPr>
          <w:rFonts w:hint="eastAsia" w:ascii="宋体" w:hAnsi="宋体" w:cs="宋体"/>
          <w:color w:val="000000"/>
        </w:rPr>
      </w:pPr>
      <w:r>
        <w:rPr>
          <w:rFonts w:hint="eastAsia" w:ascii="宋体" w:hAnsi="宋体" w:cs="宋体"/>
          <w:b/>
          <w:bCs/>
          <w:color w:val="000000"/>
          <w:sz w:val="28"/>
          <w:szCs w:val="28"/>
        </w:rPr>
        <w:t>评分对照表</w:t>
      </w:r>
    </w:p>
    <w:p w14:paraId="42E68E29">
      <w:pPr>
        <w:spacing w:line="360" w:lineRule="auto"/>
        <w:rPr>
          <w:rFonts w:hint="eastAsia" w:ascii="宋体" w:hAnsi="宋体" w:cs="宋体"/>
          <w:color w:val="000000"/>
          <w:sz w:val="28"/>
          <w:szCs w:val="28"/>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5498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6D6F10B5">
            <w:pPr>
              <w:pStyle w:val="11"/>
              <w:spacing w:line="360" w:lineRule="auto"/>
              <w:ind w:firstLine="0"/>
              <w:jc w:val="center"/>
              <w:rPr>
                <w:rFonts w:hint="eastAsia" w:ascii="宋体" w:hAnsi="宋体" w:cs="宋体"/>
                <w:color w:val="000000"/>
                <w:szCs w:val="24"/>
              </w:rPr>
            </w:pPr>
            <w:r>
              <w:rPr>
                <w:rFonts w:hint="eastAsia" w:ascii="宋体" w:hAnsi="宋体" w:cs="宋体"/>
                <w:color w:val="000000"/>
                <w:szCs w:val="24"/>
              </w:rPr>
              <w:t>序号</w:t>
            </w:r>
          </w:p>
        </w:tc>
        <w:tc>
          <w:tcPr>
            <w:tcW w:w="2514" w:type="dxa"/>
            <w:noWrap w:val="0"/>
            <w:vAlign w:val="center"/>
          </w:tcPr>
          <w:p w14:paraId="51C0C1E1">
            <w:pPr>
              <w:pStyle w:val="11"/>
              <w:spacing w:line="360" w:lineRule="auto"/>
              <w:ind w:firstLine="0"/>
              <w:jc w:val="center"/>
              <w:rPr>
                <w:rFonts w:hint="eastAsia" w:ascii="宋体" w:hAnsi="宋体" w:cs="宋体"/>
                <w:color w:val="000000"/>
                <w:szCs w:val="24"/>
              </w:rPr>
            </w:pPr>
            <w:r>
              <w:rPr>
                <w:rFonts w:hint="eastAsia" w:ascii="宋体" w:hAnsi="宋体" w:cs="宋体"/>
                <w:color w:val="000000"/>
                <w:szCs w:val="24"/>
              </w:rPr>
              <w:t>招标文件评分标准</w:t>
            </w:r>
          </w:p>
        </w:tc>
        <w:tc>
          <w:tcPr>
            <w:tcW w:w="2266" w:type="dxa"/>
            <w:noWrap w:val="0"/>
            <w:vAlign w:val="center"/>
          </w:tcPr>
          <w:p w14:paraId="0CBC9C82">
            <w:pPr>
              <w:pStyle w:val="11"/>
              <w:spacing w:line="360" w:lineRule="auto"/>
              <w:ind w:firstLine="0"/>
              <w:jc w:val="center"/>
              <w:rPr>
                <w:rFonts w:hint="eastAsia" w:ascii="宋体" w:hAnsi="宋体" w:cs="宋体"/>
                <w:color w:val="000000"/>
                <w:szCs w:val="24"/>
              </w:rPr>
            </w:pPr>
            <w:r>
              <w:rPr>
                <w:rFonts w:hint="eastAsia" w:ascii="宋体" w:hAnsi="宋体" w:cs="宋体"/>
                <w:color w:val="000000"/>
                <w:szCs w:val="24"/>
              </w:rPr>
              <w:t>投标响应部分</w:t>
            </w:r>
          </w:p>
        </w:tc>
        <w:tc>
          <w:tcPr>
            <w:tcW w:w="2966" w:type="dxa"/>
            <w:noWrap w:val="0"/>
            <w:vAlign w:val="center"/>
          </w:tcPr>
          <w:p w14:paraId="5C825C1C">
            <w:pPr>
              <w:pStyle w:val="11"/>
              <w:spacing w:line="360" w:lineRule="auto"/>
              <w:ind w:firstLine="0"/>
              <w:jc w:val="center"/>
              <w:rPr>
                <w:rFonts w:hint="eastAsia" w:ascii="宋体" w:hAnsi="宋体" w:cs="宋体"/>
                <w:color w:val="000000"/>
                <w:szCs w:val="24"/>
              </w:rPr>
            </w:pPr>
            <w:r>
              <w:rPr>
                <w:rFonts w:hint="eastAsia" w:ascii="宋体" w:hAnsi="宋体" w:cs="宋体"/>
                <w:color w:val="000000"/>
                <w:szCs w:val="24"/>
              </w:rPr>
              <w:t>投标文件中对应页码</w:t>
            </w:r>
          </w:p>
        </w:tc>
      </w:tr>
      <w:tr w14:paraId="024E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61A3D18A">
            <w:pPr>
              <w:pStyle w:val="11"/>
              <w:spacing w:line="360" w:lineRule="auto"/>
              <w:ind w:firstLine="0"/>
              <w:jc w:val="center"/>
              <w:rPr>
                <w:rFonts w:hint="eastAsia" w:ascii="宋体" w:hAnsi="宋体" w:cs="宋体"/>
                <w:color w:val="000000"/>
                <w:szCs w:val="24"/>
              </w:rPr>
            </w:pPr>
          </w:p>
        </w:tc>
        <w:tc>
          <w:tcPr>
            <w:tcW w:w="2514" w:type="dxa"/>
            <w:noWrap w:val="0"/>
            <w:vAlign w:val="center"/>
          </w:tcPr>
          <w:p w14:paraId="13680DE2">
            <w:pPr>
              <w:pStyle w:val="11"/>
              <w:spacing w:line="360" w:lineRule="auto"/>
              <w:ind w:firstLine="0"/>
              <w:jc w:val="center"/>
              <w:rPr>
                <w:rFonts w:hint="eastAsia" w:ascii="宋体" w:hAnsi="宋体" w:cs="宋体"/>
                <w:color w:val="000000"/>
                <w:szCs w:val="24"/>
              </w:rPr>
            </w:pPr>
          </w:p>
        </w:tc>
        <w:tc>
          <w:tcPr>
            <w:tcW w:w="2266" w:type="dxa"/>
            <w:noWrap w:val="0"/>
            <w:vAlign w:val="center"/>
          </w:tcPr>
          <w:p w14:paraId="670DAB81">
            <w:pPr>
              <w:pStyle w:val="11"/>
              <w:spacing w:line="360" w:lineRule="auto"/>
              <w:ind w:firstLine="0"/>
              <w:jc w:val="center"/>
              <w:rPr>
                <w:rFonts w:hint="eastAsia" w:ascii="宋体" w:hAnsi="宋体" w:cs="宋体"/>
                <w:color w:val="000000"/>
                <w:szCs w:val="24"/>
              </w:rPr>
            </w:pPr>
          </w:p>
        </w:tc>
        <w:tc>
          <w:tcPr>
            <w:tcW w:w="2966" w:type="dxa"/>
            <w:noWrap w:val="0"/>
            <w:vAlign w:val="center"/>
          </w:tcPr>
          <w:p w14:paraId="7D12672A">
            <w:pPr>
              <w:pStyle w:val="11"/>
              <w:spacing w:line="360" w:lineRule="auto"/>
              <w:ind w:firstLine="0"/>
              <w:jc w:val="center"/>
              <w:rPr>
                <w:rFonts w:hint="eastAsia" w:ascii="宋体" w:hAnsi="宋体" w:cs="宋体"/>
                <w:color w:val="000000"/>
                <w:szCs w:val="24"/>
              </w:rPr>
            </w:pPr>
          </w:p>
        </w:tc>
      </w:tr>
      <w:tr w14:paraId="298A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3CF75D34">
            <w:pPr>
              <w:pStyle w:val="11"/>
              <w:spacing w:line="360" w:lineRule="auto"/>
              <w:ind w:firstLine="0"/>
              <w:jc w:val="center"/>
              <w:rPr>
                <w:rFonts w:hint="eastAsia" w:ascii="宋体" w:hAnsi="宋体" w:cs="宋体"/>
                <w:color w:val="000000"/>
                <w:szCs w:val="24"/>
              </w:rPr>
            </w:pPr>
          </w:p>
        </w:tc>
        <w:tc>
          <w:tcPr>
            <w:tcW w:w="2514" w:type="dxa"/>
            <w:noWrap w:val="0"/>
            <w:vAlign w:val="center"/>
          </w:tcPr>
          <w:p w14:paraId="5DB05AA3">
            <w:pPr>
              <w:pStyle w:val="11"/>
              <w:spacing w:line="360" w:lineRule="auto"/>
              <w:ind w:firstLine="0"/>
              <w:jc w:val="center"/>
              <w:rPr>
                <w:rFonts w:hint="eastAsia" w:ascii="宋体" w:hAnsi="宋体" w:cs="宋体"/>
                <w:color w:val="000000"/>
                <w:szCs w:val="24"/>
              </w:rPr>
            </w:pPr>
          </w:p>
        </w:tc>
        <w:tc>
          <w:tcPr>
            <w:tcW w:w="2266" w:type="dxa"/>
            <w:noWrap w:val="0"/>
            <w:vAlign w:val="center"/>
          </w:tcPr>
          <w:p w14:paraId="7FF8F03A">
            <w:pPr>
              <w:pStyle w:val="11"/>
              <w:spacing w:line="360" w:lineRule="auto"/>
              <w:ind w:firstLine="0"/>
              <w:jc w:val="center"/>
              <w:rPr>
                <w:rFonts w:hint="eastAsia" w:ascii="宋体" w:hAnsi="宋体" w:cs="宋体"/>
                <w:color w:val="000000"/>
                <w:szCs w:val="24"/>
              </w:rPr>
            </w:pPr>
          </w:p>
        </w:tc>
        <w:tc>
          <w:tcPr>
            <w:tcW w:w="2966" w:type="dxa"/>
            <w:noWrap w:val="0"/>
            <w:vAlign w:val="center"/>
          </w:tcPr>
          <w:p w14:paraId="401A3B6C">
            <w:pPr>
              <w:pStyle w:val="11"/>
              <w:spacing w:line="360" w:lineRule="auto"/>
              <w:ind w:firstLine="0"/>
              <w:jc w:val="center"/>
              <w:rPr>
                <w:rFonts w:hint="eastAsia" w:ascii="宋体" w:hAnsi="宋体" w:cs="宋体"/>
                <w:color w:val="000000"/>
                <w:szCs w:val="24"/>
              </w:rPr>
            </w:pPr>
          </w:p>
        </w:tc>
      </w:tr>
      <w:tr w14:paraId="6871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399BAA26">
            <w:pPr>
              <w:pStyle w:val="11"/>
              <w:spacing w:line="360" w:lineRule="auto"/>
              <w:ind w:firstLine="0"/>
              <w:jc w:val="center"/>
              <w:rPr>
                <w:rFonts w:hint="eastAsia" w:ascii="宋体" w:hAnsi="宋体" w:cs="宋体"/>
                <w:color w:val="000000"/>
                <w:szCs w:val="24"/>
              </w:rPr>
            </w:pPr>
          </w:p>
        </w:tc>
        <w:tc>
          <w:tcPr>
            <w:tcW w:w="2514" w:type="dxa"/>
            <w:noWrap w:val="0"/>
            <w:vAlign w:val="center"/>
          </w:tcPr>
          <w:p w14:paraId="02B8CCDD">
            <w:pPr>
              <w:pStyle w:val="11"/>
              <w:spacing w:line="360" w:lineRule="auto"/>
              <w:ind w:firstLine="0"/>
              <w:jc w:val="center"/>
              <w:rPr>
                <w:rFonts w:hint="eastAsia" w:ascii="宋体" w:hAnsi="宋体" w:cs="宋体"/>
                <w:color w:val="000000"/>
                <w:szCs w:val="24"/>
              </w:rPr>
            </w:pPr>
          </w:p>
        </w:tc>
        <w:tc>
          <w:tcPr>
            <w:tcW w:w="2266" w:type="dxa"/>
            <w:noWrap w:val="0"/>
            <w:vAlign w:val="center"/>
          </w:tcPr>
          <w:p w14:paraId="0DDC73E2">
            <w:pPr>
              <w:pStyle w:val="11"/>
              <w:spacing w:line="360" w:lineRule="auto"/>
              <w:ind w:firstLine="0"/>
              <w:jc w:val="center"/>
              <w:rPr>
                <w:rFonts w:hint="eastAsia" w:ascii="宋体" w:hAnsi="宋体" w:cs="宋体"/>
                <w:color w:val="000000"/>
                <w:szCs w:val="24"/>
              </w:rPr>
            </w:pPr>
          </w:p>
        </w:tc>
        <w:tc>
          <w:tcPr>
            <w:tcW w:w="2966" w:type="dxa"/>
            <w:noWrap w:val="0"/>
            <w:vAlign w:val="center"/>
          </w:tcPr>
          <w:p w14:paraId="7FCA9D02">
            <w:pPr>
              <w:pStyle w:val="11"/>
              <w:spacing w:line="360" w:lineRule="auto"/>
              <w:ind w:firstLine="0"/>
              <w:jc w:val="center"/>
              <w:rPr>
                <w:rFonts w:hint="eastAsia" w:ascii="宋体" w:hAnsi="宋体" w:cs="宋体"/>
                <w:color w:val="000000"/>
                <w:szCs w:val="24"/>
              </w:rPr>
            </w:pPr>
          </w:p>
        </w:tc>
      </w:tr>
      <w:tr w14:paraId="19E2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08818AAD">
            <w:pPr>
              <w:pStyle w:val="11"/>
              <w:spacing w:line="360" w:lineRule="auto"/>
              <w:ind w:firstLine="0"/>
              <w:jc w:val="center"/>
              <w:rPr>
                <w:rFonts w:hint="eastAsia" w:ascii="宋体" w:hAnsi="宋体" w:cs="宋体"/>
                <w:color w:val="000000"/>
                <w:szCs w:val="24"/>
              </w:rPr>
            </w:pPr>
          </w:p>
        </w:tc>
        <w:tc>
          <w:tcPr>
            <w:tcW w:w="2514" w:type="dxa"/>
            <w:noWrap w:val="0"/>
            <w:vAlign w:val="center"/>
          </w:tcPr>
          <w:p w14:paraId="4E5923D7">
            <w:pPr>
              <w:pStyle w:val="11"/>
              <w:spacing w:line="360" w:lineRule="auto"/>
              <w:ind w:firstLine="0"/>
              <w:jc w:val="center"/>
              <w:rPr>
                <w:rFonts w:hint="eastAsia" w:ascii="宋体" w:hAnsi="宋体" w:cs="宋体"/>
                <w:color w:val="000000"/>
                <w:szCs w:val="24"/>
              </w:rPr>
            </w:pPr>
          </w:p>
        </w:tc>
        <w:tc>
          <w:tcPr>
            <w:tcW w:w="2266" w:type="dxa"/>
            <w:noWrap w:val="0"/>
            <w:vAlign w:val="center"/>
          </w:tcPr>
          <w:p w14:paraId="495A7D4D">
            <w:pPr>
              <w:pStyle w:val="11"/>
              <w:spacing w:line="360" w:lineRule="auto"/>
              <w:ind w:firstLine="0"/>
              <w:jc w:val="center"/>
              <w:rPr>
                <w:rFonts w:hint="eastAsia" w:ascii="宋体" w:hAnsi="宋体" w:cs="宋体"/>
                <w:color w:val="000000"/>
                <w:szCs w:val="24"/>
              </w:rPr>
            </w:pPr>
          </w:p>
        </w:tc>
        <w:tc>
          <w:tcPr>
            <w:tcW w:w="2966" w:type="dxa"/>
            <w:noWrap w:val="0"/>
            <w:vAlign w:val="center"/>
          </w:tcPr>
          <w:p w14:paraId="199B5709">
            <w:pPr>
              <w:pStyle w:val="11"/>
              <w:spacing w:line="360" w:lineRule="auto"/>
              <w:ind w:firstLine="0"/>
              <w:jc w:val="center"/>
              <w:rPr>
                <w:rFonts w:hint="eastAsia" w:ascii="宋体" w:hAnsi="宋体" w:cs="宋体"/>
                <w:color w:val="000000"/>
                <w:szCs w:val="24"/>
              </w:rPr>
            </w:pPr>
          </w:p>
        </w:tc>
      </w:tr>
      <w:tr w14:paraId="5B44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335FD905">
            <w:pPr>
              <w:pStyle w:val="11"/>
              <w:spacing w:line="360" w:lineRule="auto"/>
              <w:ind w:firstLine="0"/>
              <w:jc w:val="center"/>
              <w:rPr>
                <w:rFonts w:hint="eastAsia" w:ascii="宋体" w:hAnsi="宋体" w:cs="宋体"/>
                <w:color w:val="000000"/>
                <w:szCs w:val="24"/>
              </w:rPr>
            </w:pPr>
          </w:p>
        </w:tc>
        <w:tc>
          <w:tcPr>
            <w:tcW w:w="2514" w:type="dxa"/>
            <w:noWrap w:val="0"/>
            <w:vAlign w:val="center"/>
          </w:tcPr>
          <w:p w14:paraId="53EEAE71">
            <w:pPr>
              <w:pStyle w:val="11"/>
              <w:spacing w:line="360" w:lineRule="auto"/>
              <w:ind w:firstLine="0"/>
              <w:jc w:val="center"/>
              <w:rPr>
                <w:rFonts w:hint="eastAsia" w:ascii="宋体" w:hAnsi="宋体" w:cs="宋体"/>
                <w:color w:val="000000"/>
                <w:szCs w:val="24"/>
              </w:rPr>
            </w:pPr>
          </w:p>
        </w:tc>
        <w:tc>
          <w:tcPr>
            <w:tcW w:w="2266" w:type="dxa"/>
            <w:noWrap w:val="0"/>
            <w:vAlign w:val="center"/>
          </w:tcPr>
          <w:p w14:paraId="43D47E40">
            <w:pPr>
              <w:pStyle w:val="11"/>
              <w:spacing w:line="360" w:lineRule="auto"/>
              <w:ind w:firstLine="0"/>
              <w:jc w:val="center"/>
              <w:rPr>
                <w:rFonts w:hint="eastAsia" w:ascii="宋体" w:hAnsi="宋体" w:cs="宋体"/>
                <w:color w:val="000000"/>
                <w:szCs w:val="24"/>
              </w:rPr>
            </w:pPr>
          </w:p>
        </w:tc>
        <w:tc>
          <w:tcPr>
            <w:tcW w:w="2966" w:type="dxa"/>
            <w:noWrap w:val="0"/>
            <w:vAlign w:val="center"/>
          </w:tcPr>
          <w:p w14:paraId="656DBEEF">
            <w:pPr>
              <w:pStyle w:val="11"/>
              <w:spacing w:line="360" w:lineRule="auto"/>
              <w:ind w:firstLine="0"/>
              <w:jc w:val="center"/>
              <w:rPr>
                <w:rFonts w:hint="eastAsia" w:ascii="宋体" w:hAnsi="宋体" w:cs="宋体"/>
                <w:color w:val="000000"/>
                <w:szCs w:val="24"/>
              </w:rPr>
            </w:pPr>
          </w:p>
        </w:tc>
      </w:tr>
      <w:tr w14:paraId="7528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2CF0AB6F">
            <w:pPr>
              <w:pStyle w:val="11"/>
              <w:spacing w:line="360" w:lineRule="auto"/>
              <w:ind w:firstLine="0"/>
              <w:jc w:val="center"/>
              <w:rPr>
                <w:rFonts w:hint="eastAsia" w:ascii="宋体" w:hAnsi="宋体" w:cs="宋体"/>
                <w:color w:val="000000"/>
                <w:szCs w:val="24"/>
              </w:rPr>
            </w:pPr>
          </w:p>
        </w:tc>
        <w:tc>
          <w:tcPr>
            <w:tcW w:w="2514" w:type="dxa"/>
            <w:noWrap w:val="0"/>
            <w:vAlign w:val="center"/>
          </w:tcPr>
          <w:p w14:paraId="79D2EAD3">
            <w:pPr>
              <w:pStyle w:val="11"/>
              <w:spacing w:line="360" w:lineRule="auto"/>
              <w:ind w:firstLine="0"/>
              <w:jc w:val="center"/>
              <w:rPr>
                <w:rFonts w:hint="eastAsia" w:ascii="宋体" w:hAnsi="宋体" w:cs="宋体"/>
                <w:color w:val="000000"/>
                <w:szCs w:val="24"/>
              </w:rPr>
            </w:pPr>
          </w:p>
        </w:tc>
        <w:tc>
          <w:tcPr>
            <w:tcW w:w="2266" w:type="dxa"/>
            <w:noWrap w:val="0"/>
            <w:vAlign w:val="center"/>
          </w:tcPr>
          <w:p w14:paraId="377DDDF3">
            <w:pPr>
              <w:pStyle w:val="11"/>
              <w:spacing w:line="360" w:lineRule="auto"/>
              <w:ind w:firstLine="0"/>
              <w:jc w:val="center"/>
              <w:rPr>
                <w:rFonts w:hint="eastAsia" w:ascii="宋体" w:hAnsi="宋体" w:cs="宋体"/>
                <w:color w:val="000000"/>
                <w:szCs w:val="24"/>
              </w:rPr>
            </w:pPr>
          </w:p>
        </w:tc>
        <w:tc>
          <w:tcPr>
            <w:tcW w:w="2966" w:type="dxa"/>
            <w:noWrap w:val="0"/>
            <w:vAlign w:val="center"/>
          </w:tcPr>
          <w:p w14:paraId="55BD1704">
            <w:pPr>
              <w:pStyle w:val="11"/>
              <w:spacing w:line="360" w:lineRule="auto"/>
              <w:ind w:firstLine="0"/>
              <w:jc w:val="center"/>
              <w:rPr>
                <w:rFonts w:hint="eastAsia" w:ascii="宋体" w:hAnsi="宋体" w:cs="宋体"/>
                <w:color w:val="000000"/>
                <w:szCs w:val="24"/>
              </w:rPr>
            </w:pPr>
          </w:p>
        </w:tc>
      </w:tr>
    </w:tbl>
    <w:p w14:paraId="171A63CE">
      <w:pPr>
        <w:spacing w:line="360" w:lineRule="auto"/>
        <w:rPr>
          <w:rFonts w:hint="eastAsia" w:ascii="宋体" w:hAnsi="宋体" w:cs="宋体"/>
          <w:color w:val="000000"/>
          <w:lang w:val="zh-CN"/>
        </w:rPr>
      </w:pPr>
    </w:p>
    <w:p w14:paraId="500F04BD">
      <w:pPr>
        <w:pStyle w:val="28"/>
        <w:spacing w:before="0" w:after="0" w:line="360" w:lineRule="auto"/>
        <w:jc w:val="left"/>
        <w:outlineLvl w:val="1"/>
        <w:rPr>
          <w:rFonts w:hint="eastAsia" w:ascii="宋体" w:hAnsi="宋体" w:cs="宋体"/>
          <w:color w:val="000000"/>
          <w:lang w:val="zh-CN"/>
        </w:rPr>
      </w:pPr>
      <w:bookmarkStart w:id="75" w:name="_Toc27769"/>
      <w:bookmarkStart w:id="76" w:name="_Toc16004"/>
      <w:bookmarkStart w:id="77" w:name="_Toc28963"/>
      <w:r>
        <w:rPr>
          <w:rFonts w:hint="eastAsia" w:ascii="宋体" w:hAnsi="宋体" w:cs="宋体"/>
          <w:color w:val="000000"/>
          <w:sz w:val="30"/>
          <w:szCs w:val="30"/>
          <w:lang w:val="zh-CN"/>
        </w:rPr>
        <w:t>行数不够可自行添加</w:t>
      </w:r>
      <w:r>
        <w:rPr>
          <w:rFonts w:hint="eastAsia" w:ascii="宋体" w:hAnsi="宋体" w:cs="宋体"/>
          <w:color w:val="000000"/>
          <w:sz w:val="30"/>
          <w:szCs w:val="30"/>
          <w:lang w:val="zh-CN"/>
        </w:rPr>
        <w:br w:type="page"/>
      </w:r>
      <w:bookmarkStart w:id="78" w:name="_Toc26451"/>
      <w:r>
        <w:rPr>
          <w:rFonts w:hint="eastAsia" w:ascii="宋体" w:hAnsi="宋体" w:cs="宋体"/>
          <w:color w:val="000000"/>
          <w:sz w:val="30"/>
          <w:szCs w:val="30"/>
        </w:rPr>
        <w:t>（11）</w:t>
      </w:r>
      <w:r>
        <w:rPr>
          <w:rFonts w:hint="eastAsia" w:ascii="宋体" w:hAnsi="宋体" w:cs="宋体"/>
          <w:color w:val="000000"/>
          <w:sz w:val="30"/>
          <w:szCs w:val="30"/>
          <w:lang w:val="zh-CN"/>
        </w:rPr>
        <w:t>开标一览表（报价表）</w:t>
      </w:r>
      <w:bookmarkEnd w:id="75"/>
      <w:bookmarkEnd w:id="76"/>
      <w:bookmarkEnd w:id="78"/>
    </w:p>
    <w:p w14:paraId="5827B82E">
      <w:pPr>
        <w:autoSpaceDE w:val="0"/>
        <w:autoSpaceDN w:val="0"/>
        <w:spacing w:line="360" w:lineRule="auto"/>
        <w:rPr>
          <w:rFonts w:hint="eastAsia" w:ascii="宋体" w:hAnsi="宋体" w:cs="宋体"/>
          <w:b/>
          <w:bCs/>
          <w:color w:val="000000"/>
          <w:kern w:val="0"/>
          <w:sz w:val="28"/>
          <w:szCs w:val="28"/>
          <w:lang w:val="zh-CN"/>
        </w:rPr>
      </w:pPr>
    </w:p>
    <w:bookmarkEnd w:id="77"/>
    <w:p w14:paraId="689FD94E">
      <w:pPr>
        <w:autoSpaceDE w:val="0"/>
        <w:autoSpaceDN w:val="0"/>
        <w:spacing w:line="360" w:lineRule="auto"/>
        <w:jc w:val="center"/>
        <w:rPr>
          <w:rFonts w:hint="eastAsia" w:ascii="宋体" w:hAnsi="宋体" w:cs="宋体"/>
          <w:b/>
          <w:bCs/>
          <w:color w:val="000000"/>
          <w:kern w:val="0"/>
          <w:sz w:val="36"/>
          <w:szCs w:val="36"/>
          <w:lang w:val="zh-CN"/>
        </w:rPr>
      </w:pPr>
      <w:bookmarkStart w:id="79" w:name="_Toc515908222"/>
      <w:bookmarkStart w:id="80" w:name="_Toc14290"/>
      <w:r>
        <w:rPr>
          <w:rFonts w:hint="eastAsia" w:ascii="宋体" w:hAnsi="宋体" w:cs="宋体"/>
          <w:b/>
          <w:bCs/>
          <w:color w:val="000000"/>
          <w:kern w:val="0"/>
          <w:sz w:val="28"/>
          <w:szCs w:val="28"/>
          <w:lang w:val="zh-CN"/>
        </w:rPr>
        <w:t>开标一览表（报价表）</w:t>
      </w:r>
    </w:p>
    <w:p w14:paraId="2131C14A">
      <w:pPr>
        <w:autoSpaceDE w:val="0"/>
        <w:autoSpaceDN w:val="0"/>
        <w:spacing w:line="360" w:lineRule="auto"/>
        <w:rPr>
          <w:rFonts w:hint="eastAsia" w:ascii="宋体" w:hAnsi="宋体" w:cs="宋体"/>
          <w:b/>
          <w:bCs/>
          <w:color w:val="000000"/>
          <w:kern w:val="0"/>
          <w:sz w:val="28"/>
          <w:szCs w:val="28"/>
          <w:lang w:val="zh-CN"/>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0D9E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632" w:type="dxa"/>
            <w:noWrap w:val="0"/>
            <w:vAlign w:val="center"/>
          </w:tcPr>
          <w:p w14:paraId="486A19FA">
            <w:pPr>
              <w:pStyle w:val="11"/>
              <w:spacing w:line="360" w:lineRule="auto"/>
              <w:ind w:firstLine="0"/>
              <w:jc w:val="center"/>
              <w:rPr>
                <w:rFonts w:hint="eastAsia" w:ascii="宋体" w:hAnsi="宋体" w:cs="宋体"/>
                <w:color w:val="000000"/>
                <w:szCs w:val="24"/>
              </w:rPr>
            </w:pPr>
            <w:r>
              <w:rPr>
                <w:rFonts w:hint="eastAsia" w:ascii="宋体" w:hAnsi="宋体" w:cs="宋体"/>
                <w:color w:val="000000"/>
                <w:szCs w:val="24"/>
              </w:rPr>
              <w:t>投标人名称</w:t>
            </w:r>
          </w:p>
        </w:tc>
        <w:tc>
          <w:tcPr>
            <w:tcW w:w="5985" w:type="dxa"/>
            <w:noWrap w:val="0"/>
            <w:vAlign w:val="center"/>
          </w:tcPr>
          <w:p w14:paraId="17D3B780">
            <w:pPr>
              <w:pStyle w:val="11"/>
              <w:spacing w:line="360" w:lineRule="auto"/>
              <w:ind w:firstLine="0"/>
              <w:rPr>
                <w:rFonts w:hint="eastAsia" w:ascii="宋体" w:hAnsi="宋体" w:cs="宋体"/>
                <w:color w:val="000000"/>
                <w:szCs w:val="24"/>
              </w:rPr>
            </w:pPr>
          </w:p>
        </w:tc>
      </w:tr>
      <w:tr w14:paraId="4D25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526673B9">
            <w:pPr>
              <w:pStyle w:val="11"/>
              <w:spacing w:line="360" w:lineRule="auto"/>
              <w:ind w:firstLine="0"/>
              <w:jc w:val="center"/>
              <w:rPr>
                <w:rFonts w:hint="default" w:ascii="宋体" w:hAnsi="宋体" w:eastAsia="宋体" w:cs="宋体"/>
                <w:color w:val="000000"/>
                <w:szCs w:val="24"/>
                <w:lang w:val="en-US" w:eastAsia="zh-CN"/>
              </w:rPr>
            </w:pPr>
            <w:r>
              <w:rPr>
                <w:rFonts w:hint="eastAsia" w:ascii="宋体" w:hAnsi="宋体" w:cs="宋体"/>
                <w:color w:val="000000"/>
                <w:szCs w:val="24"/>
                <w:lang w:val="en-US" w:eastAsia="zh-CN"/>
              </w:rPr>
              <w:t>项目名称</w:t>
            </w:r>
          </w:p>
        </w:tc>
        <w:tc>
          <w:tcPr>
            <w:tcW w:w="5985" w:type="dxa"/>
            <w:noWrap w:val="0"/>
            <w:vAlign w:val="center"/>
          </w:tcPr>
          <w:p w14:paraId="0C12CC61">
            <w:pPr>
              <w:pStyle w:val="11"/>
              <w:spacing w:line="360" w:lineRule="auto"/>
              <w:ind w:firstLine="0"/>
              <w:rPr>
                <w:rFonts w:hint="eastAsia" w:ascii="宋体" w:hAnsi="宋体" w:cs="宋体"/>
                <w:color w:val="000000"/>
                <w:szCs w:val="24"/>
              </w:rPr>
            </w:pPr>
          </w:p>
        </w:tc>
      </w:tr>
      <w:tr w14:paraId="6529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2ED5E46F">
            <w:pPr>
              <w:pStyle w:val="11"/>
              <w:spacing w:line="360" w:lineRule="auto"/>
              <w:ind w:firstLine="0"/>
              <w:jc w:val="center"/>
              <w:rPr>
                <w:rFonts w:hint="eastAsia" w:ascii="宋体" w:hAnsi="宋体" w:eastAsia="宋体" w:cs="宋体"/>
                <w:color w:val="000000"/>
                <w:szCs w:val="24"/>
                <w:lang w:eastAsia="zh-CN"/>
              </w:rPr>
            </w:pPr>
            <w:r>
              <w:rPr>
                <w:rFonts w:hint="eastAsia" w:ascii="宋体" w:hAnsi="宋体" w:cs="宋体"/>
                <w:color w:val="000000"/>
                <w:szCs w:val="24"/>
              </w:rPr>
              <w:t>投标报价</w:t>
            </w:r>
            <w:r>
              <w:rPr>
                <w:rFonts w:hint="eastAsia" w:ascii="宋体" w:hAnsi="宋体" w:cs="宋体"/>
                <w:color w:val="000000"/>
                <w:szCs w:val="24"/>
                <w:lang w:eastAsia="zh-CN"/>
              </w:rPr>
              <w:t>（</w:t>
            </w:r>
            <w:r>
              <w:rPr>
                <w:rFonts w:hint="eastAsia" w:ascii="宋体" w:hAnsi="宋体" w:cs="宋体"/>
                <w:color w:val="000000"/>
                <w:szCs w:val="24"/>
                <w:lang w:val="en-US" w:eastAsia="zh-CN"/>
              </w:rPr>
              <w:t>元</w:t>
            </w:r>
            <w:r>
              <w:rPr>
                <w:rFonts w:hint="eastAsia" w:ascii="宋体" w:hAnsi="宋体" w:cs="宋体"/>
                <w:color w:val="000000"/>
                <w:szCs w:val="24"/>
                <w:lang w:eastAsia="zh-CN"/>
              </w:rPr>
              <w:t>）</w:t>
            </w:r>
          </w:p>
        </w:tc>
        <w:tc>
          <w:tcPr>
            <w:tcW w:w="5985" w:type="dxa"/>
            <w:noWrap w:val="0"/>
            <w:vAlign w:val="center"/>
          </w:tcPr>
          <w:p w14:paraId="3F39AA72">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大写：</w:t>
            </w:r>
          </w:p>
          <w:p w14:paraId="73EF7489">
            <w:pPr>
              <w:pStyle w:val="11"/>
              <w:spacing w:line="360" w:lineRule="auto"/>
              <w:ind w:firstLine="0"/>
              <w:rPr>
                <w:rFonts w:hint="eastAsia" w:ascii="宋体" w:hAnsi="宋体" w:cs="宋体"/>
                <w:color w:val="000000"/>
                <w:szCs w:val="24"/>
              </w:rPr>
            </w:pPr>
            <w:r>
              <w:rPr>
                <w:rFonts w:hint="eastAsia" w:ascii="宋体" w:hAnsi="宋体" w:cs="宋体"/>
                <w:color w:val="000000"/>
                <w:kern w:val="0"/>
                <w:szCs w:val="24"/>
                <w:lang w:val="zh-CN"/>
              </w:rPr>
              <w:t>小写：</w:t>
            </w:r>
          </w:p>
        </w:tc>
      </w:tr>
      <w:tr w14:paraId="17F5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240FC31E">
            <w:pPr>
              <w:pStyle w:val="11"/>
              <w:spacing w:line="360" w:lineRule="auto"/>
              <w:ind w:firstLine="0"/>
              <w:jc w:val="center"/>
              <w:rPr>
                <w:rFonts w:hint="eastAsia" w:ascii="宋体" w:hAnsi="宋体" w:cs="宋体"/>
                <w:color w:val="000000"/>
                <w:szCs w:val="24"/>
              </w:rPr>
            </w:pPr>
            <w:r>
              <w:rPr>
                <w:rFonts w:hint="eastAsia" w:ascii="宋体" w:hAnsi="宋体" w:cs="宋体"/>
                <w:color w:val="000000"/>
                <w:szCs w:val="24"/>
              </w:rPr>
              <w:t>交货时间</w:t>
            </w:r>
          </w:p>
        </w:tc>
        <w:tc>
          <w:tcPr>
            <w:tcW w:w="5985" w:type="dxa"/>
            <w:noWrap w:val="0"/>
            <w:vAlign w:val="center"/>
          </w:tcPr>
          <w:p w14:paraId="2DC3E62D">
            <w:pPr>
              <w:pStyle w:val="11"/>
              <w:spacing w:line="360" w:lineRule="auto"/>
              <w:ind w:firstLine="0"/>
              <w:rPr>
                <w:rFonts w:hint="eastAsia" w:ascii="宋体" w:hAnsi="宋体" w:cs="宋体"/>
                <w:color w:val="000000"/>
                <w:szCs w:val="24"/>
              </w:rPr>
            </w:pPr>
          </w:p>
        </w:tc>
      </w:tr>
    </w:tbl>
    <w:p w14:paraId="3329F88F">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14:paraId="0903F45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2.“投标报价”为投标总价。投标报价必须包括：保险费、培训费、税金及不可预见费等全部费用。</w:t>
      </w:r>
    </w:p>
    <w:p w14:paraId="3FFCD245">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en-US" w:eastAsia="zh-CN"/>
        </w:rPr>
        <w:t>3</w:t>
      </w:r>
      <w:r>
        <w:rPr>
          <w:rFonts w:hint="eastAsia" w:ascii="宋体" w:hAnsi="宋体" w:cs="宋体"/>
          <w:color w:val="000000"/>
          <w:kern w:val="0"/>
          <w:lang w:val="zh-CN"/>
        </w:rPr>
        <w:t>.投标报价不能有两个或两个以上的报价方案，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14:paraId="57154983">
      <w:pPr>
        <w:autoSpaceDE w:val="0"/>
        <w:autoSpaceDN w:val="0"/>
        <w:spacing w:line="360" w:lineRule="auto"/>
        <w:rPr>
          <w:rFonts w:hint="eastAsia" w:ascii="宋体" w:hAnsi="宋体" w:cs="宋体"/>
          <w:color w:val="000000"/>
          <w:kern w:val="0"/>
          <w:lang w:val="zh-CN"/>
        </w:rPr>
      </w:pPr>
    </w:p>
    <w:p w14:paraId="6A7BCFF6">
      <w:pPr>
        <w:autoSpaceDE w:val="0"/>
        <w:autoSpaceDN w:val="0"/>
        <w:spacing w:line="360" w:lineRule="auto"/>
        <w:rPr>
          <w:rFonts w:hint="eastAsia" w:ascii="宋体" w:hAnsi="宋体" w:cs="宋体"/>
          <w:color w:val="000000"/>
          <w:kern w:val="0"/>
          <w:lang w:val="zh-CN"/>
        </w:rPr>
      </w:pPr>
    </w:p>
    <w:p w14:paraId="090250A0">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25DAA8F8">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11F688DB">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42542581">
      <w:pPr>
        <w:autoSpaceDE w:val="0"/>
        <w:autoSpaceDN w:val="0"/>
        <w:spacing w:line="360" w:lineRule="auto"/>
        <w:rPr>
          <w:rFonts w:hint="eastAsia" w:ascii="宋体" w:hAnsi="宋体" w:cs="宋体"/>
          <w:color w:val="000000"/>
          <w:kern w:val="0"/>
          <w:lang w:val="zh-CN"/>
        </w:rPr>
      </w:pPr>
    </w:p>
    <w:p w14:paraId="33C83F4D">
      <w:pPr>
        <w:pStyle w:val="28"/>
        <w:spacing w:before="0" w:after="0" w:line="360" w:lineRule="auto"/>
        <w:jc w:val="left"/>
        <w:outlineLvl w:val="1"/>
        <w:rPr>
          <w:rFonts w:hint="eastAsia" w:ascii="宋体" w:hAnsi="宋体" w:cs="宋体"/>
          <w:color w:val="000000"/>
          <w:kern w:val="0"/>
          <w:lang w:val="zh-CN"/>
        </w:rPr>
      </w:pPr>
    </w:p>
    <w:p w14:paraId="77F0FC42">
      <w:pPr>
        <w:rPr>
          <w:rFonts w:hint="eastAsia" w:ascii="宋体" w:hAnsi="宋体" w:cs="宋体"/>
          <w:color w:val="000000"/>
          <w:lang w:val="zh-CN"/>
        </w:rPr>
      </w:pPr>
    </w:p>
    <w:p w14:paraId="35878588">
      <w:pPr>
        <w:pStyle w:val="28"/>
        <w:spacing w:before="0" w:after="0" w:line="360" w:lineRule="auto"/>
        <w:jc w:val="left"/>
        <w:outlineLvl w:val="1"/>
        <w:rPr>
          <w:rFonts w:hint="eastAsia" w:ascii="宋体" w:hAnsi="宋体" w:cs="宋体"/>
          <w:color w:val="000000"/>
          <w:sz w:val="30"/>
          <w:szCs w:val="30"/>
        </w:rPr>
      </w:pPr>
    </w:p>
    <w:p w14:paraId="37CA7370">
      <w:pPr>
        <w:pStyle w:val="28"/>
        <w:spacing w:before="0" w:after="0" w:line="360" w:lineRule="auto"/>
        <w:jc w:val="left"/>
        <w:outlineLvl w:val="1"/>
        <w:rPr>
          <w:rFonts w:hint="eastAsia" w:ascii="宋体" w:hAnsi="宋体" w:cs="宋体"/>
          <w:color w:val="000000"/>
          <w:sz w:val="30"/>
          <w:szCs w:val="30"/>
        </w:rPr>
      </w:pPr>
    </w:p>
    <w:p w14:paraId="614DBA9E">
      <w:pPr>
        <w:pStyle w:val="28"/>
        <w:spacing w:before="0" w:after="0" w:line="360" w:lineRule="auto"/>
        <w:jc w:val="left"/>
        <w:outlineLvl w:val="1"/>
        <w:rPr>
          <w:rFonts w:hint="eastAsia" w:ascii="宋体" w:hAnsi="宋体" w:cs="宋体"/>
          <w:color w:val="000000"/>
          <w:sz w:val="30"/>
          <w:szCs w:val="30"/>
        </w:rPr>
      </w:pPr>
    </w:p>
    <w:p w14:paraId="20617E70">
      <w:pPr>
        <w:rPr>
          <w:rFonts w:hint="eastAsia" w:ascii="宋体" w:hAnsi="宋体" w:cs="宋体"/>
          <w:color w:val="000000"/>
          <w:sz w:val="30"/>
          <w:szCs w:val="30"/>
        </w:rPr>
      </w:pPr>
    </w:p>
    <w:p w14:paraId="39AA8F20">
      <w:pPr>
        <w:rPr>
          <w:rFonts w:hint="eastAsia" w:ascii="宋体" w:hAnsi="宋体" w:cs="宋体"/>
          <w:color w:val="000000"/>
          <w:sz w:val="30"/>
          <w:szCs w:val="30"/>
        </w:rPr>
      </w:pPr>
    </w:p>
    <w:p w14:paraId="1EE91611">
      <w:pPr>
        <w:autoSpaceDE w:val="0"/>
        <w:autoSpaceDN w:val="0"/>
        <w:spacing w:line="360" w:lineRule="auto"/>
        <w:rPr>
          <w:rFonts w:hint="eastAsia" w:ascii="宋体" w:hAnsi="宋体" w:cs="宋体"/>
          <w:color w:val="000000"/>
          <w:sz w:val="30"/>
          <w:szCs w:val="30"/>
        </w:rPr>
      </w:pPr>
    </w:p>
    <w:p w14:paraId="5BF400BA">
      <w:pPr>
        <w:autoSpaceDE w:val="0"/>
        <w:autoSpaceDN w:val="0"/>
        <w:spacing w:line="360" w:lineRule="auto"/>
        <w:rPr>
          <w:rFonts w:hint="eastAsia" w:ascii="宋体" w:hAnsi="宋体" w:cs="宋体"/>
          <w:b/>
          <w:bCs/>
          <w:color w:val="000000"/>
          <w:kern w:val="0"/>
          <w:sz w:val="28"/>
          <w:szCs w:val="28"/>
          <w:lang w:val="zh-CN"/>
        </w:rPr>
      </w:pPr>
      <w:r>
        <w:rPr>
          <w:rFonts w:hint="eastAsia" w:ascii="宋体" w:hAnsi="宋体" w:cs="宋体"/>
          <w:color w:val="000000"/>
          <w:sz w:val="30"/>
          <w:szCs w:val="30"/>
          <w:lang w:eastAsia="zh-CN"/>
        </w:rPr>
        <w:t>（</w:t>
      </w:r>
      <w:r>
        <w:rPr>
          <w:rFonts w:hint="eastAsia" w:ascii="宋体" w:hAnsi="宋体" w:cs="宋体"/>
          <w:color w:val="000000"/>
          <w:sz w:val="30"/>
          <w:szCs w:val="30"/>
        </w:rPr>
        <w:t>12）</w:t>
      </w:r>
      <w:r>
        <w:rPr>
          <w:rFonts w:hint="eastAsia" w:ascii="宋体" w:hAnsi="宋体" w:cs="宋体"/>
          <w:color w:val="000000"/>
          <w:sz w:val="30"/>
          <w:szCs w:val="30"/>
          <w:lang w:val="zh-CN"/>
        </w:rPr>
        <w:t>分项报价表</w:t>
      </w:r>
      <w:bookmarkEnd w:id="79"/>
    </w:p>
    <w:p w14:paraId="46BCC6D9">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14:paraId="7D2EF4D4">
      <w:pPr>
        <w:autoSpaceDE w:val="0"/>
        <w:autoSpaceDN w:val="0"/>
        <w:spacing w:line="360" w:lineRule="auto"/>
        <w:rPr>
          <w:rFonts w:hint="eastAsia" w:ascii="宋体" w:hAnsi="宋体" w:cs="宋体"/>
          <w:b/>
          <w:bCs/>
          <w:color w:val="000000"/>
          <w:kern w:val="0"/>
          <w:sz w:val="28"/>
          <w:szCs w:val="28"/>
          <w:lang w:val="zh-CN"/>
        </w:rPr>
      </w:pPr>
    </w:p>
    <w:p w14:paraId="56666742">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p>
    <w:tbl>
      <w:tblPr>
        <w:tblStyle w:val="33"/>
        <w:tblW w:w="8551" w:type="dxa"/>
        <w:jc w:val="center"/>
        <w:tblLayout w:type="fixed"/>
        <w:tblCellMar>
          <w:top w:w="0" w:type="dxa"/>
          <w:left w:w="28" w:type="dxa"/>
          <w:bottom w:w="0" w:type="dxa"/>
          <w:right w:w="28" w:type="dxa"/>
        </w:tblCellMar>
      </w:tblPr>
      <w:tblGrid>
        <w:gridCol w:w="628"/>
        <w:gridCol w:w="1563"/>
        <w:gridCol w:w="1065"/>
        <w:gridCol w:w="906"/>
        <w:gridCol w:w="954"/>
        <w:gridCol w:w="992"/>
        <w:gridCol w:w="850"/>
        <w:gridCol w:w="1593"/>
      </w:tblGrid>
      <w:tr w14:paraId="38D6DD23">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14:paraId="789D2AAC">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0"/>
            <w:vAlign w:val="center"/>
          </w:tcPr>
          <w:p w14:paraId="22D1F4FB">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noWrap w:val="0"/>
            <w:vAlign w:val="center"/>
          </w:tcPr>
          <w:p w14:paraId="0C9D9C40">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品牌</w:t>
            </w:r>
          </w:p>
        </w:tc>
        <w:tc>
          <w:tcPr>
            <w:tcW w:w="906" w:type="dxa"/>
            <w:tcBorders>
              <w:top w:val="single" w:color="000000" w:sz="8" w:space="0"/>
              <w:left w:val="single" w:color="000000" w:sz="6" w:space="0"/>
              <w:bottom w:val="single" w:color="000000" w:sz="6" w:space="0"/>
              <w:right w:val="single" w:color="000000" w:sz="6" w:space="0"/>
            </w:tcBorders>
            <w:noWrap w:val="0"/>
            <w:vAlign w:val="center"/>
          </w:tcPr>
          <w:p w14:paraId="613436E9">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规格或型号</w:t>
            </w:r>
          </w:p>
        </w:tc>
        <w:tc>
          <w:tcPr>
            <w:tcW w:w="954" w:type="dxa"/>
            <w:tcBorders>
              <w:top w:val="single" w:color="000000" w:sz="8" w:space="0"/>
              <w:left w:val="single" w:color="000000" w:sz="6" w:space="0"/>
              <w:bottom w:val="single" w:color="000000" w:sz="6" w:space="0"/>
              <w:right w:val="single" w:color="000000" w:sz="6" w:space="0"/>
            </w:tcBorders>
            <w:noWrap w:val="0"/>
            <w:vAlign w:val="center"/>
          </w:tcPr>
          <w:p w14:paraId="1A935713">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数量及单位</w:t>
            </w:r>
          </w:p>
        </w:tc>
        <w:tc>
          <w:tcPr>
            <w:tcW w:w="992" w:type="dxa"/>
            <w:tcBorders>
              <w:top w:val="single" w:color="000000" w:sz="8" w:space="0"/>
              <w:left w:val="single" w:color="000000" w:sz="6" w:space="0"/>
              <w:bottom w:val="single" w:color="000000" w:sz="6" w:space="0"/>
              <w:right w:val="single" w:color="000000" w:sz="6" w:space="0"/>
            </w:tcBorders>
            <w:noWrap w:val="0"/>
            <w:vAlign w:val="center"/>
          </w:tcPr>
          <w:p w14:paraId="08907696">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单价</w:t>
            </w:r>
          </w:p>
        </w:tc>
        <w:tc>
          <w:tcPr>
            <w:tcW w:w="850" w:type="dxa"/>
            <w:tcBorders>
              <w:top w:val="single" w:color="000000" w:sz="8" w:space="0"/>
              <w:left w:val="single" w:color="000000" w:sz="6" w:space="0"/>
              <w:bottom w:val="single" w:color="000000" w:sz="6" w:space="0"/>
              <w:right w:val="single" w:color="000000" w:sz="6" w:space="0"/>
            </w:tcBorders>
            <w:noWrap w:val="0"/>
            <w:vAlign w:val="center"/>
          </w:tcPr>
          <w:p w14:paraId="69128834">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合计</w:t>
            </w:r>
          </w:p>
        </w:tc>
        <w:tc>
          <w:tcPr>
            <w:tcW w:w="1593" w:type="dxa"/>
            <w:tcBorders>
              <w:top w:val="single" w:color="000000" w:sz="8" w:space="0"/>
              <w:left w:val="single" w:color="000000" w:sz="6" w:space="0"/>
              <w:bottom w:val="single" w:color="000000" w:sz="6" w:space="0"/>
              <w:right w:val="single" w:color="000000" w:sz="8" w:space="0"/>
            </w:tcBorders>
            <w:noWrap w:val="0"/>
            <w:vAlign w:val="center"/>
          </w:tcPr>
          <w:p w14:paraId="2C2691C3">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rPr>
              <w:t>免费质保期</w:t>
            </w:r>
          </w:p>
        </w:tc>
      </w:tr>
      <w:tr w14:paraId="1BF7E374">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00D3AD66">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572F577D">
            <w:pPr>
              <w:autoSpaceDE w:val="0"/>
              <w:autoSpaceDN w:val="0"/>
              <w:spacing w:line="360" w:lineRule="auto"/>
              <w:jc w:val="center"/>
              <w:rPr>
                <w:rFonts w:hint="eastAsia" w:ascii="宋体" w:hAnsi="宋体" w:eastAsia="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48F7F810">
            <w:pPr>
              <w:autoSpaceDE w:val="0"/>
              <w:autoSpaceDN w:val="0"/>
              <w:spacing w:line="360" w:lineRule="auto"/>
              <w:jc w:val="center"/>
              <w:rPr>
                <w:rFonts w:hint="eastAsia" w:ascii="宋体" w:hAnsi="宋体" w:eastAsia="宋体" w:cs="宋体"/>
                <w:color w:val="000000"/>
                <w:kern w:val="0"/>
                <w:lang w:val="zh-CN"/>
              </w:rPr>
            </w:pPr>
          </w:p>
        </w:tc>
        <w:tc>
          <w:tcPr>
            <w:tcW w:w="906" w:type="dxa"/>
            <w:tcBorders>
              <w:top w:val="single" w:color="000000" w:sz="6" w:space="0"/>
              <w:left w:val="single" w:color="000000" w:sz="6" w:space="0"/>
              <w:bottom w:val="single" w:color="000000" w:sz="6" w:space="0"/>
              <w:right w:val="single" w:color="000000" w:sz="6" w:space="0"/>
            </w:tcBorders>
            <w:noWrap w:val="0"/>
            <w:vAlign w:val="center"/>
          </w:tcPr>
          <w:p w14:paraId="5204C117">
            <w:pPr>
              <w:autoSpaceDE w:val="0"/>
              <w:autoSpaceDN w:val="0"/>
              <w:spacing w:line="360" w:lineRule="auto"/>
              <w:jc w:val="center"/>
              <w:rPr>
                <w:rFonts w:hint="eastAsia" w:ascii="宋体" w:hAnsi="宋体" w:eastAsia="宋体" w:cs="宋体"/>
                <w:color w:val="000000"/>
                <w:kern w:val="0"/>
                <w:lang w:val="zh-CN"/>
              </w:rPr>
            </w:pPr>
          </w:p>
        </w:tc>
        <w:tc>
          <w:tcPr>
            <w:tcW w:w="954" w:type="dxa"/>
            <w:tcBorders>
              <w:top w:val="single" w:color="000000" w:sz="6" w:space="0"/>
              <w:left w:val="single" w:color="000000" w:sz="6" w:space="0"/>
              <w:bottom w:val="single" w:color="000000" w:sz="6" w:space="0"/>
              <w:right w:val="single" w:color="000000" w:sz="6" w:space="0"/>
            </w:tcBorders>
            <w:noWrap w:val="0"/>
            <w:vAlign w:val="center"/>
          </w:tcPr>
          <w:p w14:paraId="4E6689D0">
            <w:pPr>
              <w:autoSpaceDE w:val="0"/>
              <w:autoSpaceDN w:val="0"/>
              <w:spacing w:line="360" w:lineRule="auto"/>
              <w:jc w:val="center"/>
              <w:rPr>
                <w:rFonts w:hint="eastAsia" w:ascii="宋体" w:hAnsi="宋体" w:eastAsia="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7B2C3959">
            <w:pPr>
              <w:autoSpaceDE w:val="0"/>
              <w:autoSpaceDN w:val="0"/>
              <w:spacing w:line="360" w:lineRule="auto"/>
              <w:jc w:val="center"/>
              <w:rPr>
                <w:rFonts w:hint="eastAsia" w:ascii="宋体" w:hAnsi="宋体" w:eastAsia="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4408D62">
            <w:pPr>
              <w:autoSpaceDE w:val="0"/>
              <w:autoSpaceDN w:val="0"/>
              <w:spacing w:line="360" w:lineRule="auto"/>
              <w:jc w:val="center"/>
              <w:rPr>
                <w:rFonts w:hint="eastAsia" w:ascii="宋体" w:hAnsi="宋体" w:eastAsia="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noWrap w:val="0"/>
            <w:vAlign w:val="center"/>
          </w:tcPr>
          <w:p w14:paraId="3DF047D2">
            <w:pPr>
              <w:autoSpaceDE w:val="0"/>
              <w:autoSpaceDN w:val="0"/>
              <w:spacing w:line="360" w:lineRule="auto"/>
              <w:jc w:val="center"/>
              <w:rPr>
                <w:rFonts w:hint="eastAsia" w:ascii="宋体" w:hAnsi="宋体" w:eastAsia="宋体" w:cs="宋体"/>
                <w:color w:val="000000"/>
                <w:kern w:val="0"/>
                <w:lang w:val="zh-CN"/>
              </w:rPr>
            </w:pPr>
          </w:p>
        </w:tc>
      </w:tr>
      <w:tr w14:paraId="17580086">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6E042FA0">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584CF66C">
            <w:pPr>
              <w:autoSpaceDE w:val="0"/>
              <w:autoSpaceDN w:val="0"/>
              <w:spacing w:line="360" w:lineRule="auto"/>
              <w:jc w:val="center"/>
              <w:rPr>
                <w:rFonts w:hint="eastAsia" w:ascii="宋体" w:hAnsi="宋体" w:eastAsia="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34993F8A">
            <w:pPr>
              <w:autoSpaceDE w:val="0"/>
              <w:autoSpaceDN w:val="0"/>
              <w:spacing w:line="360" w:lineRule="auto"/>
              <w:jc w:val="center"/>
              <w:rPr>
                <w:rFonts w:hint="eastAsia" w:ascii="宋体" w:hAnsi="宋体" w:eastAsia="宋体" w:cs="宋体"/>
                <w:color w:val="000000"/>
                <w:kern w:val="0"/>
                <w:lang w:val="zh-CN"/>
              </w:rPr>
            </w:pPr>
          </w:p>
        </w:tc>
        <w:tc>
          <w:tcPr>
            <w:tcW w:w="906" w:type="dxa"/>
            <w:tcBorders>
              <w:top w:val="single" w:color="000000" w:sz="6" w:space="0"/>
              <w:left w:val="single" w:color="000000" w:sz="6" w:space="0"/>
              <w:bottom w:val="single" w:color="000000" w:sz="6" w:space="0"/>
              <w:right w:val="single" w:color="000000" w:sz="6" w:space="0"/>
            </w:tcBorders>
            <w:noWrap w:val="0"/>
            <w:vAlign w:val="center"/>
          </w:tcPr>
          <w:p w14:paraId="7673D35E">
            <w:pPr>
              <w:autoSpaceDE w:val="0"/>
              <w:autoSpaceDN w:val="0"/>
              <w:spacing w:line="360" w:lineRule="auto"/>
              <w:jc w:val="center"/>
              <w:rPr>
                <w:rFonts w:hint="eastAsia" w:ascii="宋体" w:hAnsi="宋体" w:eastAsia="宋体" w:cs="宋体"/>
                <w:color w:val="000000"/>
                <w:kern w:val="0"/>
                <w:lang w:val="zh-CN"/>
              </w:rPr>
            </w:pPr>
          </w:p>
        </w:tc>
        <w:tc>
          <w:tcPr>
            <w:tcW w:w="954" w:type="dxa"/>
            <w:tcBorders>
              <w:top w:val="single" w:color="000000" w:sz="6" w:space="0"/>
              <w:left w:val="single" w:color="000000" w:sz="6" w:space="0"/>
              <w:bottom w:val="single" w:color="000000" w:sz="6" w:space="0"/>
              <w:right w:val="single" w:color="000000" w:sz="6" w:space="0"/>
            </w:tcBorders>
            <w:noWrap w:val="0"/>
            <w:vAlign w:val="center"/>
          </w:tcPr>
          <w:p w14:paraId="3EA4D638">
            <w:pPr>
              <w:autoSpaceDE w:val="0"/>
              <w:autoSpaceDN w:val="0"/>
              <w:spacing w:line="360" w:lineRule="auto"/>
              <w:jc w:val="center"/>
              <w:rPr>
                <w:rFonts w:hint="eastAsia" w:ascii="宋体" w:hAnsi="宋体" w:eastAsia="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6D1EF13A">
            <w:pPr>
              <w:autoSpaceDE w:val="0"/>
              <w:autoSpaceDN w:val="0"/>
              <w:spacing w:line="360" w:lineRule="auto"/>
              <w:jc w:val="center"/>
              <w:rPr>
                <w:rFonts w:hint="eastAsia" w:ascii="宋体" w:hAnsi="宋体" w:eastAsia="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90036C9">
            <w:pPr>
              <w:autoSpaceDE w:val="0"/>
              <w:autoSpaceDN w:val="0"/>
              <w:spacing w:line="360" w:lineRule="auto"/>
              <w:jc w:val="center"/>
              <w:rPr>
                <w:rFonts w:hint="eastAsia" w:ascii="宋体" w:hAnsi="宋体" w:eastAsia="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noWrap w:val="0"/>
            <w:vAlign w:val="center"/>
          </w:tcPr>
          <w:p w14:paraId="48E404E2">
            <w:pPr>
              <w:autoSpaceDE w:val="0"/>
              <w:autoSpaceDN w:val="0"/>
              <w:spacing w:line="360" w:lineRule="auto"/>
              <w:jc w:val="center"/>
              <w:rPr>
                <w:rFonts w:hint="eastAsia" w:ascii="宋体" w:hAnsi="宋体" w:eastAsia="宋体" w:cs="宋体"/>
                <w:color w:val="000000"/>
                <w:kern w:val="0"/>
                <w:lang w:val="zh-CN"/>
              </w:rPr>
            </w:pPr>
          </w:p>
        </w:tc>
      </w:tr>
      <w:tr w14:paraId="58534ED1">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6AD0CF7E">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67C6C167">
            <w:pPr>
              <w:autoSpaceDE w:val="0"/>
              <w:autoSpaceDN w:val="0"/>
              <w:spacing w:line="360" w:lineRule="auto"/>
              <w:jc w:val="center"/>
              <w:rPr>
                <w:rFonts w:hint="eastAsia" w:ascii="宋体" w:hAnsi="宋体" w:eastAsia="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5B17A89C">
            <w:pPr>
              <w:autoSpaceDE w:val="0"/>
              <w:autoSpaceDN w:val="0"/>
              <w:spacing w:line="360" w:lineRule="auto"/>
              <w:jc w:val="center"/>
              <w:rPr>
                <w:rFonts w:hint="eastAsia" w:ascii="宋体" w:hAnsi="宋体" w:eastAsia="宋体" w:cs="宋体"/>
                <w:color w:val="000000"/>
                <w:kern w:val="0"/>
                <w:lang w:val="zh-CN"/>
              </w:rPr>
            </w:pPr>
          </w:p>
        </w:tc>
        <w:tc>
          <w:tcPr>
            <w:tcW w:w="906" w:type="dxa"/>
            <w:tcBorders>
              <w:top w:val="single" w:color="000000" w:sz="6" w:space="0"/>
              <w:left w:val="single" w:color="000000" w:sz="6" w:space="0"/>
              <w:bottom w:val="single" w:color="000000" w:sz="6" w:space="0"/>
              <w:right w:val="single" w:color="000000" w:sz="6" w:space="0"/>
            </w:tcBorders>
            <w:noWrap w:val="0"/>
            <w:vAlign w:val="center"/>
          </w:tcPr>
          <w:p w14:paraId="0C1A3C40">
            <w:pPr>
              <w:autoSpaceDE w:val="0"/>
              <w:autoSpaceDN w:val="0"/>
              <w:spacing w:line="360" w:lineRule="auto"/>
              <w:jc w:val="center"/>
              <w:rPr>
                <w:rFonts w:hint="eastAsia" w:ascii="宋体" w:hAnsi="宋体" w:eastAsia="宋体" w:cs="宋体"/>
                <w:color w:val="000000"/>
                <w:kern w:val="0"/>
                <w:lang w:val="zh-CN"/>
              </w:rPr>
            </w:pPr>
          </w:p>
        </w:tc>
        <w:tc>
          <w:tcPr>
            <w:tcW w:w="954" w:type="dxa"/>
            <w:tcBorders>
              <w:top w:val="single" w:color="000000" w:sz="6" w:space="0"/>
              <w:left w:val="single" w:color="000000" w:sz="6" w:space="0"/>
              <w:bottom w:val="single" w:color="000000" w:sz="6" w:space="0"/>
              <w:right w:val="single" w:color="000000" w:sz="6" w:space="0"/>
            </w:tcBorders>
            <w:noWrap w:val="0"/>
            <w:vAlign w:val="center"/>
          </w:tcPr>
          <w:p w14:paraId="319D878D">
            <w:pPr>
              <w:autoSpaceDE w:val="0"/>
              <w:autoSpaceDN w:val="0"/>
              <w:spacing w:line="360" w:lineRule="auto"/>
              <w:jc w:val="center"/>
              <w:rPr>
                <w:rFonts w:hint="eastAsia" w:ascii="宋体" w:hAnsi="宋体" w:eastAsia="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2D4F57DF">
            <w:pPr>
              <w:autoSpaceDE w:val="0"/>
              <w:autoSpaceDN w:val="0"/>
              <w:spacing w:line="360" w:lineRule="auto"/>
              <w:jc w:val="center"/>
              <w:rPr>
                <w:rFonts w:hint="eastAsia" w:ascii="宋体" w:hAnsi="宋体" w:eastAsia="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A41A834">
            <w:pPr>
              <w:autoSpaceDE w:val="0"/>
              <w:autoSpaceDN w:val="0"/>
              <w:spacing w:line="360" w:lineRule="auto"/>
              <w:jc w:val="center"/>
              <w:rPr>
                <w:rFonts w:hint="eastAsia" w:ascii="宋体" w:hAnsi="宋体" w:eastAsia="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noWrap w:val="0"/>
            <w:vAlign w:val="center"/>
          </w:tcPr>
          <w:p w14:paraId="48422AF8">
            <w:pPr>
              <w:autoSpaceDE w:val="0"/>
              <w:autoSpaceDN w:val="0"/>
              <w:spacing w:line="360" w:lineRule="auto"/>
              <w:jc w:val="center"/>
              <w:rPr>
                <w:rFonts w:hint="eastAsia" w:ascii="宋体" w:hAnsi="宋体" w:eastAsia="宋体" w:cs="宋体"/>
                <w:color w:val="000000"/>
                <w:kern w:val="0"/>
                <w:lang w:val="zh-CN"/>
              </w:rPr>
            </w:pPr>
          </w:p>
        </w:tc>
      </w:tr>
      <w:tr w14:paraId="46181C7F">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2045F98A">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216A43E3">
            <w:pPr>
              <w:autoSpaceDE w:val="0"/>
              <w:autoSpaceDN w:val="0"/>
              <w:spacing w:line="360" w:lineRule="auto"/>
              <w:jc w:val="center"/>
              <w:rPr>
                <w:rFonts w:hint="eastAsia" w:ascii="宋体" w:hAnsi="宋体" w:eastAsia="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49A5A635">
            <w:pPr>
              <w:autoSpaceDE w:val="0"/>
              <w:autoSpaceDN w:val="0"/>
              <w:spacing w:line="360" w:lineRule="auto"/>
              <w:jc w:val="center"/>
              <w:rPr>
                <w:rFonts w:hint="eastAsia" w:ascii="宋体" w:hAnsi="宋体" w:eastAsia="宋体" w:cs="宋体"/>
                <w:color w:val="000000"/>
                <w:kern w:val="0"/>
                <w:lang w:val="zh-CN"/>
              </w:rPr>
            </w:pPr>
          </w:p>
        </w:tc>
        <w:tc>
          <w:tcPr>
            <w:tcW w:w="906" w:type="dxa"/>
            <w:tcBorders>
              <w:top w:val="single" w:color="000000" w:sz="6" w:space="0"/>
              <w:left w:val="single" w:color="000000" w:sz="6" w:space="0"/>
              <w:bottom w:val="single" w:color="000000" w:sz="6" w:space="0"/>
              <w:right w:val="single" w:color="000000" w:sz="6" w:space="0"/>
            </w:tcBorders>
            <w:noWrap w:val="0"/>
            <w:vAlign w:val="center"/>
          </w:tcPr>
          <w:p w14:paraId="7FCE59C9">
            <w:pPr>
              <w:autoSpaceDE w:val="0"/>
              <w:autoSpaceDN w:val="0"/>
              <w:spacing w:line="360" w:lineRule="auto"/>
              <w:jc w:val="center"/>
              <w:rPr>
                <w:rFonts w:hint="eastAsia" w:ascii="宋体" w:hAnsi="宋体" w:eastAsia="宋体" w:cs="宋体"/>
                <w:color w:val="000000"/>
                <w:kern w:val="0"/>
                <w:lang w:val="zh-CN"/>
              </w:rPr>
            </w:pPr>
          </w:p>
        </w:tc>
        <w:tc>
          <w:tcPr>
            <w:tcW w:w="954" w:type="dxa"/>
            <w:tcBorders>
              <w:top w:val="single" w:color="000000" w:sz="6" w:space="0"/>
              <w:left w:val="single" w:color="000000" w:sz="6" w:space="0"/>
              <w:bottom w:val="single" w:color="000000" w:sz="6" w:space="0"/>
              <w:right w:val="single" w:color="000000" w:sz="6" w:space="0"/>
            </w:tcBorders>
            <w:noWrap w:val="0"/>
            <w:vAlign w:val="center"/>
          </w:tcPr>
          <w:p w14:paraId="173183FD">
            <w:pPr>
              <w:autoSpaceDE w:val="0"/>
              <w:autoSpaceDN w:val="0"/>
              <w:spacing w:line="360" w:lineRule="auto"/>
              <w:jc w:val="center"/>
              <w:rPr>
                <w:rFonts w:hint="eastAsia" w:ascii="宋体" w:hAnsi="宋体" w:eastAsia="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7F9050A9">
            <w:pPr>
              <w:autoSpaceDE w:val="0"/>
              <w:autoSpaceDN w:val="0"/>
              <w:spacing w:line="360" w:lineRule="auto"/>
              <w:jc w:val="center"/>
              <w:rPr>
                <w:rFonts w:hint="eastAsia" w:ascii="宋体" w:hAnsi="宋体" w:eastAsia="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CA3A913">
            <w:pPr>
              <w:autoSpaceDE w:val="0"/>
              <w:autoSpaceDN w:val="0"/>
              <w:spacing w:line="360" w:lineRule="auto"/>
              <w:jc w:val="center"/>
              <w:rPr>
                <w:rFonts w:hint="eastAsia" w:ascii="宋体" w:hAnsi="宋体" w:eastAsia="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noWrap w:val="0"/>
            <w:vAlign w:val="center"/>
          </w:tcPr>
          <w:p w14:paraId="057F5CD1">
            <w:pPr>
              <w:autoSpaceDE w:val="0"/>
              <w:autoSpaceDN w:val="0"/>
              <w:spacing w:line="360" w:lineRule="auto"/>
              <w:jc w:val="center"/>
              <w:rPr>
                <w:rFonts w:hint="eastAsia" w:ascii="宋体" w:hAnsi="宋体" w:eastAsia="宋体" w:cs="宋体"/>
                <w:color w:val="000000"/>
                <w:kern w:val="0"/>
                <w:lang w:val="zh-CN"/>
              </w:rPr>
            </w:pPr>
          </w:p>
        </w:tc>
      </w:tr>
      <w:tr w14:paraId="22C9013A">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7E191C4C">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2E1CDD99">
            <w:pPr>
              <w:autoSpaceDE w:val="0"/>
              <w:autoSpaceDN w:val="0"/>
              <w:spacing w:line="360" w:lineRule="auto"/>
              <w:jc w:val="center"/>
              <w:rPr>
                <w:rFonts w:hint="eastAsia" w:ascii="宋体" w:hAnsi="宋体" w:eastAsia="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16E3EEF0">
            <w:pPr>
              <w:autoSpaceDE w:val="0"/>
              <w:autoSpaceDN w:val="0"/>
              <w:spacing w:line="360" w:lineRule="auto"/>
              <w:jc w:val="center"/>
              <w:rPr>
                <w:rFonts w:hint="eastAsia" w:ascii="宋体" w:hAnsi="宋体" w:eastAsia="宋体" w:cs="宋体"/>
                <w:color w:val="000000"/>
                <w:kern w:val="0"/>
                <w:lang w:val="zh-CN"/>
              </w:rPr>
            </w:pPr>
          </w:p>
        </w:tc>
        <w:tc>
          <w:tcPr>
            <w:tcW w:w="906" w:type="dxa"/>
            <w:tcBorders>
              <w:top w:val="single" w:color="000000" w:sz="6" w:space="0"/>
              <w:left w:val="single" w:color="000000" w:sz="6" w:space="0"/>
              <w:bottom w:val="single" w:color="000000" w:sz="6" w:space="0"/>
              <w:right w:val="single" w:color="000000" w:sz="6" w:space="0"/>
            </w:tcBorders>
            <w:noWrap w:val="0"/>
            <w:vAlign w:val="center"/>
          </w:tcPr>
          <w:p w14:paraId="28EC6B73">
            <w:pPr>
              <w:autoSpaceDE w:val="0"/>
              <w:autoSpaceDN w:val="0"/>
              <w:spacing w:line="360" w:lineRule="auto"/>
              <w:jc w:val="center"/>
              <w:rPr>
                <w:rFonts w:hint="eastAsia" w:ascii="宋体" w:hAnsi="宋体" w:eastAsia="宋体" w:cs="宋体"/>
                <w:color w:val="000000"/>
                <w:kern w:val="0"/>
                <w:lang w:val="zh-CN"/>
              </w:rPr>
            </w:pPr>
          </w:p>
        </w:tc>
        <w:tc>
          <w:tcPr>
            <w:tcW w:w="954" w:type="dxa"/>
            <w:tcBorders>
              <w:top w:val="single" w:color="000000" w:sz="6" w:space="0"/>
              <w:left w:val="single" w:color="000000" w:sz="6" w:space="0"/>
              <w:bottom w:val="single" w:color="000000" w:sz="6" w:space="0"/>
              <w:right w:val="single" w:color="000000" w:sz="6" w:space="0"/>
            </w:tcBorders>
            <w:noWrap w:val="0"/>
            <w:vAlign w:val="center"/>
          </w:tcPr>
          <w:p w14:paraId="24DA1E6E">
            <w:pPr>
              <w:autoSpaceDE w:val="0"/>
              <w:autoSpaceDN w:val="0"/>
              <w:spacing w:line="360" w:lineRule="auto"/>
              <w:jc w:val="center"/>
              <w:rPr>
                <w:rFonts w:hint="eastAsia" w:ascii="宋体" w:hAnsi="宋体" w:eastAsia="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10816163">
            <w:pPr>
              <w:autoSpaceDE w:val="0"/>
              <w:autoSpaceDN w:val="0"/>
              <w:spacing w:line="360" w:lineRule="auto"/>
              <w:jc w:val="center"/>
              <w:rPr>
                <w:rFonts w:hint="eastAsia" w:ascii="宋体" w:hAnsi="宋体" w:eastAsia="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16AB555">
            <w:pPr>
              <w:autoSpaceDE w:val="0"/>
              <w:autoSpaceDN w:val="0"/>
              <w:spacing w:line="360" w:lineRule="auto"/>
              <w:jc w:val="center"/>
              <w:rPr>
                <w:rFonts w:hint="eastAsia" w:ascii="宋体" w:hAnsi="宋体" w:eastAsia="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noWrap w:val="0"/>
            <w:vAlign w:val="center"/>
          </w:tcPr>
          <w:p w14:paraId="0E0530CD">
            <w:pPr>
              <w:autoSpaceDE w:val="0"/>
              <w:autoSpaceDN w:val="0"/>
              <w:spacing w:line="360" w:lineRule="auto"/>
              <w:jc w:val="center"/>
              <w:rPr>
                <w:rFonts w:hint="eastAsia" w:ascii="宋体" w:hAnsi="宋体" w:eastAsia="宋体" w:cs="宋体"/>
                <w:color w:val="000000"/>
                <w:kern w:val="0"/>
                <w:lang w:val="zh-CN"/>
              </w:rPr>
            </w:pPr>
          </w:p>
        </w:tc>
      </w:tr>
      <w:tr w14:paraId="6A433FAD">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noWrap w:val="0"/>
            <w:vAlign w:val="center"/>
          </w:tcPr>
          <w:p w14:paraId="15120519">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投标总价</w:t>
            </w:r>
          </w:p>
        </w:tc>
        <w:tc>
          <w:tcPr>
            <w:tcW w:w="6360" w:type="dxa"/>
            <w:gridSpan w:val="6"/>
            <w:tcBorders>
              <w:top w:val="single" w:color="000000" w:sz="6" w:space="0"/>
              <w:left w:val="single" w:color="000000" w:sz="6" w:space="0"/>
              <w:bottom w:val="single" w:color="000000" w:sz="8" w:space="0"/>
              <w:right w:val="single" w:color="000000" w:sz="8" w:space="0"/>
            </w:tcBorders>
            <w:noWrap w:val="0"/>
            <w:vAlign w:val="center"/>
          </w:tcPr>
          <w:p w14:paraId="1BEA66C5">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大写：</w:t>
            </w:r>
          </w:p>
          <w:p w14:paraId="0B77FDDD">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小写：</w:t>
            </w:r>
          </w:p>
        </w:tc>
      </w:tr>
    </w:tbl>
    <w:p w14:paraId="2CA81790">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14:paraId="2EFAF373">
      <w:pPr>
        <w:numPr>
          <w:ilvl w:val="0"/>
          <w:numId w:val="10"/>
        </w:numPr>
        <w:autoSpaceDE w:val="0"/>
        <w:autoSpaceDN w:val="0"/>
        <w:spacing w:line="360" w:lineRule="auto"/>
        <w:ind w:firstLine="468"/>
        <w:rPr>
          <w:rFonts w:hint="eastAsia" w:ascii="宋体" w:hAnsi="宋体" w:cs="宋体"/>
          <w:color w:val="000000"/>
          <w:kern w:val="0"/>
          <w:lang w:val="zh-CN"/>
        </w:rPr>
      </w:pPr>
      <w:r>
        <w:rPr>
          <w:rFonts w:hint="eastAsia" w:ascii="宋体" w:hAnsi="宋体" w:cs="宋体"/>
          <w:color w:val="000000"/>
          <w:kern w:val="0"/>
          <w:lang w:val="zh-CN"/>
        </w:rPr>
        <w:t>投标报价不能有两个或两个以上的报价方案。</w:t>
      </w:r>
    </w:p>
    <w:p w14:paraId="0E892C98">
      <w:pPr>
        <w:pStyle w:val="75"/>
        <w:numPr>
          <w:ilvl w:val="0"/>
          <w:numId w:val="0"/>
        </w:numPr>
        <w:ind w:firstLine="480" w:firstLineChars="200"/>
        <w:rPr>
          <w:rFonts w:hint="eastAsia"/>
          <w:lang w:val="zh-CN"/>
        </w:rPr>
      </w:pPr>
      <w:r>
        <w:rPr>
          <w:rFonts w:hint="eastAsia"/>
          <w:lang w:val="en-US" w:eastAsia="zh-CN"/>
        </w:rPr>
        <w:t>3.</w:t>
      </w:r>
      <w:r>
        <w:rPr>
          <w:rFonts w:hint="eastAsia"/>
          <w:lang w:val="zh-CN"/>
        </w:rPr>
        <w:t>行数不够可自行添加。</w:t>
      </w:r>
    </w:p>
    <w:p w14:paraId="6639DCAB">
      <w:pPr>
        <w:pStyle w:val="77"/>
        <w:ind w:firstLine="468"/>
        <w:rPr>
          <w:rFonts w:hint="eastAsia"/>
          <w:lang w:val="zh-CN"/>
        </w:rPr>
      </w:pPr>
    </w:p>
    <w:p w14:paraId="79FCD1B2">
      <w:pPr>
        <w:pStyle w:val="77"/>
        <w:ind w:firstLine="468"/>
        <w:rPr>
          <w:rFonts w:hint="eastAsia"/>
          <w:lang w:val="zh-CN"/>
        </w:rPr>
      </w:pPr>
    </w:p>
    <w:p w14:paraId="6FD86365">
      <w:pPr>
        <w:pStyle w:val="77"/>
        <w:ind w:firstLine="468"/>
        <w:rPr>
          <w:rFonts w:hint="eastAsia"/>
          <w:lang w:val="zh-CN"/>
        </w:rPr>
      </w:pPr>
    </w:p>
    <w:p w14:paraId="50F96B31">
      <w:pPr>
        <w:autoSpaceDE w:val="0"/>
        <w:autoSpaceDN w:val="0"/>
        <w:spacing w:line="360" w:lineRule="auto"/>
        <w:rPr>
          <w:rFonts w:hint="eastAsia" w:ascii="宋体" w:hAnsi="宋体" w:cs="宋体"/>
          <w:color w:val="000000"/>
          <w:kern w:val="0"/>
          <w:lang w:val="zh-CN"/>
        </w:rPr>
      </w:pPr>
    </w:p>
    <w:p w14:paraId="31B8E0C3">
      <w:pPr>
        <w:autoSpaceDE w:val="0"/>
        <w:autoSpaceDN w:val="0"/>
        <w:spacing w:line="360" w:lineRule="auto"/>
        <w:rPr>
          <w:rFonts w:hint="eastAsia" w:ascii="宋体" w:hAnsi="宋体" w:cs="宋体"/>
          <w:color w:val="000000"/>
          <w:kern w:val="0"/>
          <w:lang w:val="zh-CN"/>
        </w:rPr>
      </w:pPr>
    </w:p>
    <w:p w14:paraId="2A6836B2">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4DC69132">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124DB9A7">
      <w:pPr>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DE6C165">
      <w:pPr>
        <w:rPr>
          <w:rFonts w:hint="eastAsia" w:ascii="宋体" w:hAnsi="宋体" w:cs="宋体"/>
          <w:b/>
          <w:bCs/>
          <w:color w:val="000000"/>
          <w:kern w:val="0"/>
          <w:lang w:val="zh-CN"/>
        </w:rPr>
      </w:pPr>
    </w:p>
    <w:p w14:paraId="62EBC5AE">
      <w:pPr>
        <w:pStyle w:val="71"/>
        <w:rPr>
          <w:rFonts w:hint="eastAsia" w:ascii="宋体" w:hAnsi="宋体" w:cs="宋体"/>
          <w:b/>
          <w:bCs w:val="0"/>
          <w:color w:val="000000"/>
          <w:kern w:val="0"/>
          <w:lang w:val="zh-CN"/>
        </w:rPr>
      </w:pPr>
    </w:p>
    <w:p w14:paraId="3014DD65">
      <w:pPr>
        <w:pStyle w:val="71"/>
        <w:rPr>
          <w:rFonts w:hint="eastAsia" w:ascii="宋体" w:hAnsi="宋体" w:cs="宋体"/>
          <w:b/>
          <w:bCs w:val="0"/>
          <w:color w:val="000000"/>
          <w:kern w:val="0"/>
          <w:lang w:val="zh-CN"/>
        </w:rPr>
      </w:pPr>
    </w:p>
    <w:p w14:paraId="0FBD0B71">
      <w:pPr>
        <w:pStyle w:val="71"/>
        <w:rPr>
          <w:rFonts w:hint="eastAsia" w:ascii="宋体" w:hAnsi="宋体" w:cs="宋体"/>
          <w:b/>
          <w:bCs w:val="0"/>
          <w:color w:val="000000"/>
          <w:kern w:val="0"/>
          <w:lang w:val="zh-CN"/>
        </w:rPr>
      </w:pPr>
    </w:p>
    <w:p w14:paraId="0E783441">
      <w:pPr>
        <w:spacing w:line="400" w:lineRule="exact"/>
        <w:ind w:firstLine="705" w:firstLineChars="235"/>
        <w:rPr>
          <w:rFonts w:hint="eastAsia" w:ascii="宋体" w:hAnsi="Cambria" w:eastAsia="宋体" w:cs="宋体"/>
          <w:b/>
          <w:bCs/>
          <w:kern w:val="0"/>
          <w:sz w:val="24"/>
          <w:szCs w:val="22"/>
          <w:lang w:val="zh-CN" w:eastAsia="zh-CN" w:bidi="ar-SA"/>
        </w:rPr>
      </w:pPr>
      <w:bookmarkStart w:id="81" w:name="_Toc515908223"/>
      <w:r>
        <w:rPr>
          <w:rFonts w:hint="eastAsia" w:ascii="宋体" w:hAnsi="宋体" w:cs="宋体"/>
          <w:color w:val="000000"/>
          <w:sz w:val="30"/>
          <w:szCs w:val="30"/>
        </w:rPr>
        <w:t>（13）</w:t>
      </w:r>
      <w:r>
        <w:rPr>
          <w:rFonts w:hint="eastAsia" w:ascii="宋体" w:hAnsi="宋体" w:cs="宋体"/>
          <w:color w:val="000000"/>
          <w:sz w:val="30"/>
          <w:szCs w:val="30"/>
          <w:lang w:val="en-US" w:eastAsia="zh-CN"/>
        </w:rPr>
        <w:t>-1</w:t>
      </w:r>
      <w:r>
        <w:rPr>
          <w:rFonts w:hint="eastAsia" w:ascii="宋体" w:hAnsi="宋体" w:cs="宋体"/>
          <w:color w:val="000000"/>
          <w:sz w:val="30"/>
          <w:szCs w:val="30"/>
          <w:lang w:val="zh-CN"/>
        </w:rPr>
        <w:t>技术规格响应表</w:t>
      </w:r>
      <w:bookmarkEnd w:id="81"/>
      <w:r>
        <w:rPr>
          <w:rFonts w:hint="eastAsia" w:ascii="宋体" w:hAnsi="宋体" w:eastAsia="宋体" w:cs="Times New Roman"/>
          <w:b/>
          <w:bCs/>
          <w:kern w:val="0"/>
          <w:sz w:val="28"/>
          <w:szCs w:val="32"/>
          <w:lang w:val="zh-CN" w:eastAsia="zh-CN" w:bidi="ar-SA"/>
        </w:rPr>
        <w:t>（参数中既有</w:t>
      </w:r>
      <w:r>
        <w:rPr>
          <w:rFonts w:hint="eastAsia" w:ascii="宋体" w:hAnsi="宋体" w:cs="Times New Roman"/>
          <w:b/>
          <w:bCs/>
          <w:kern w:val="0"/>
          <w:sz w:val="28"/>
          <w:szCs w:val="32"/>
          <w:lang w:val="en-US" w:eastAsia="zh-CN" w:bidi="ar-SA"/>
        </w:rPr>
        <w:t>货物</w:t>
      </w:r>
      <w:r>
        <w:rPr>
          <w:rFonts w:hint="eastAsia" w:ascii="宋体" w:hAnsi="宋体" w:eastAsia="宋体" w:cs="Times New Roman"/>
          <w:b/>
          <w:bCs/>
          <w:kern w:val="0"/>
          <w:sz w:val="28"/>
          <w:szCs w:val="32"/>
          <w:lang w:val="zh-CN" w:eastAsia="zh-CN" w:bidi="ar-SA"/>
        </w:rPr>
        <w:t>也有</w:t>
      </w:r>
      <w:r>
        <w:rPr>
          <w:rFonts w:hint="eastAsia" w:ascii="宋体" w:hAnsi="宋体" w:cs="Times New Roman"/>
          <w:b/>
          <w:bCs/>
          <w:kern w:val="0"/>
          <w:sz w:val="28"/>
          <w:szCs w:val="32"/>
          <w:lang w:val="en-US" w:eastAsia="zh-CN" w:bidi="ar-SA"/>
        </w:rPr>
        <w:t>工程</w:t>
      </w:r>
      <w:r>
        <w:rPr>
          <w:rFonts w:hint="eastAsia" w:ascii="宋体" w:hAnsi="宋体" w:eastAsia="宋体" w:cs="Times New Roman"/>
          <w:b/>
          <w:bCs/>
          <w:kern w:val="0"/>
          <w:sz w:val="28"/>
          <w:szCs w:val="32"/>
          <w:lang w:val="zh-CN" w:eastAsia="zh-CN" w:bidi="ar-SA"/>
        </w:rPr>
        <w:t>的，货物项按此表要求填写）</w:t>
      </w:r>
    </w:p>
    <w:p w14:paraId="5A37A86C">
      <w:pPr>
        <w:pStyle w:val="28"/>
        <w:spacing w:before="0" w:after="0" w:line="360" w:lineRule="auto"/>
        <w:jc w:val="left"/>
        <w:outlineLvl w:val="1"/>
        <w:rPr>
          <w:rFonts w:hint="eastAsia" w:ascii="宋体" w:hAnsi="宋体" w:cs="宋体"/>
          <w:color w:val="000000"/>
        </w:rPr>
      </w:pPr>
    </w:p>
    <w:p w14:paraId="6833199D">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14:paraId="2FDB79CE">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33"/>
        <w:tblW w:w="9267" w:type="dxa"/>
        <w:jc w:val="center"/>
        <w:tblLayout w:type="fixed"/>
        <w:tblCellMar>
          <w:top w:w="0" w:type="dxa"/>
          <w:left w:w="28" w:type="dxa"/>
          <w:bottom w:w="0" w:type="dxa"/>
          <w:right w:w="28" w:type="dxa"/>
        </w:tblCellMar>
      </w:tblPr>
      <w:tblGrid>
        <w:gridCol w:w="616"/>
        <w:gridCol w:w="1233"/>
        <w:gridCol w:w="2378"/>
        <w:gridCol w:w="1247"/>
        <w:gridCol w:w="1913"/>
        <w:gridCol w:w="1170"/>
        <w:gridCol w:w="710"/>
      </w:tblGrid>
      <w:tr w14:paraId="09EB84B5">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2C86B8F2">
            <w:pPr>
              <w:autoSpaceDE w:val="0"/>
              <w:autoSpaceDN w:val="0"/>
              <w:spacing w:line="360" w:lineRule="auto"/>
              <w:jc w:val="center"/>
              <w:rPr>
                <w:rFonts w:hint="eastAsia" w:ascii="宋体" w:hAnsi="宋体" w:eastAsia="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14:paraId="0B3412F2">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采购需求技术参数、指标</w:t>
            </w:r>
          </w:p>
        </w:tc>
        <w:tc>
          <w:tcPr>
            <w:tcW w:w="4330" w:type="dxa"/>
            <w:gridSpan w:val="3"/>
            <w:tcBorders>
              <w:top w:val="single" w:color="000000" w:sz="6" w:space="0"/>
              <w:left w:val="single" w:color="000000" w:sz="6" w:space="0"/>
              <w:bottom w:val="single" w:color="000000" w:sz="6" w:space="0"/>
              <w:right w:val="single" w:color="000000" w:sz="6" w:space="0"/>
            </w:tcBorders>
            <w:noWrap w:val="0"/>
            <w:vAlign w:val="center"/>
          </w:tcPr>
          <w:p w14:paraId="62330A44">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投标产品技术参数、指标</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1F6049D1">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参数偏离</w:t>
            </w:r>
          </w:p>
        </w:tc>
      </w:tr>
      <w:tr w14:paraId="08383FDF">
        <w:tblPrEx>
          <w:tblCellMar>
            <w:top w:w="0" w:type="dxa"/>
            <w:left w:w="28" w:type="dxa"/>
            <w:bottom w:w="0" w:type="dxa"/>
            <w:right w:w="28" w:type="dxa"/>
          </w:tblCellMar>
        </w:tblPrEx>
        <w:trPr>
          <w:trHeight w:val="798"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1A0C911A">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5120631E">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433D9B49">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413A9B6A">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名称</w:t>
            </w:r>
          </w:p>
        </w:tc>
        <w:tc>
          <w:tcPr>
            <w:tcW w:w="1913" w:type="dxa"/>
            <w:tcBorders>
              <w:top w:val="single" w:color="000000" w:sz="6" w:space="0"/>
              <w:left w:val="single" w:color="000000" w:sz="6" w:space="0"/>
              <w:bottom w:val="single" w:color="000000" w:sz="6" w:space="0"/>
              <w:right w:val="single" w:color="auto" w:sz="4" w:space="0"/>
            </w:tcBorders>
            <w:noWrap w:val="0"/>
            <w:vAlign w:val="center"/>
          </w:tcPr>
          <w:p w14:paraId="35568300">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技术参数及配置</w:t>
            </w:r>
          </w:p>
        </w:tc>
        <w:tc>
          <w:tcPr>
            <w:tcW w:w="1170" w:type="dxa"/>
            <w:tcBorders>
              <w:top w:val="single" w:color="000000" w:sz="6" w:space="0"/>
              <w:left w:val="single" w:color="auto" w:sz="4" w:space="0"/>
              <w:bottom w:val="single" w:color="000000" w:sz="6" w:space="0"/>
              <w:right w:val="single" w:color="000000" w:sz="6" w:space="0"/>
            </w:tcBorders>
            <w:noWrap w:val="0"/>
            <w:vAlign w:val="center"/>
          </w:tcPr>
          <w:p w14:paraId="0E1E2736">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投标产品生产厂家</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1C56A3C4">
            <w:pPr>
              <w:autoSpaceDE w:val="0"/>
              <w:autoSpaceDN w:val="0"/>
              <w:spacing w:line="360" w:lineRule="auto"/>
              <w:jc w:val="center"/>
              <w:rPr>
                <w:rFonts w:hint="eastAsia" w:ascii="宋体" w:hAnsi="宋体" w:eastAsia="宋体" w:cs="宋体"/>
                <w:color w:val="000000"/>
                <w:kern w:val="0"/>
                <w:lang w:val="zh-CN"/>
              </w:rPr>
            </w:pPr>
          </w:p>
        </w:tc>
      </w:tr>
      <w:tr w14:paraId="4C9FFA28">
        <w:tblPrEx>
          <w:tblCellMar>
            <w:top w:w="0" w:type="dxa"/>
            <w:left w:w="28" w:type="dxa"/>
            <w:bottom w:w="0" w:type="dxa"/>
            <w:right w:w="28" w:type="dxa"/>
          </w:tblCellMar>
        </w:tblPrEx>
        <w:trPr>
          <w:trHeight w:val="348"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4FF840EF">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05F6EFA6">
            <w:pPr>
              <w:autoSpaceDE w:val="0"/>
              <w:autoSpaceDN w:val="0"/>
              <w:spacing w:line="360" w:lineRule="auto"/>
              <w:jc w:val="center"/>
              <w:rPr>
                <w:rFonts w:hint="eastAsia" w:ascii="宋体" w:hAnsi="宋体" w:eastAsia="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440EC555">
            <w:pPr>
              <w:autoSpaceDE w:val="0"/>
              <w:autoSpaceDN w:val="0"/>
              <w:spacing w:line="360" w:lineRule="auto"/>
              <w:jc w:val="center"/>
              <w:rPr>
                <w:rFonts w:hint="eastAsia" w:ascii="宋体" w:hAnsi="宋体" w:eastAsia="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6FE46D87">
            <w:pPr>
              <w:autoSpaceDE w:val="0"/>
              <w:autoSpaceDN w:val="0"/>
              <w:spacing w:line="360" w:lineRule="auto"/>
              <w:jc w:val="center"/>
              <w:rPr>
                <w:rFonts w:hint="eastAsia" w:ascii="宋体" w:hAnsi="宋体" w:eastAsia="宋体" w:cs="宋体"/>
                <w:color w:val="000000"/>
                <w:kern w:val="0"/>
                <w:lang w:val="zh-CN"/>
              </w:rPr>
            </w:pPr>
          </w:p>
        </w:tc>
        <w:tc>
          <w:tcPr>
            <w:tcW w:w="1913" w:type="dxa"/>
            <w:tcBorders>
              <w:top w:val="single" w:color="000000" w:sz="6" w:space="0"/>
              <w:left w:val="single" w:color="000000" w:sz="6" w:space="0"/>
              <w:bottom w:val="single" w:color="000000" w:sz="6" w:space="0"/>
              <w:right w:val="single" w:color="auto" w:sz="4" w:space="0"/>
            </w:tcBorders>
            <w:noWrap w:val="0"/>
            <w:vAlign w:val="center"/>
          </w:tcPr>
          <w:p w14:paraId="4EB07951">
            <w:pPr>
              <w:autoSpaceDE w:val="0"/>
              <w:autoSpaceDN w:val="0"/>
              <w:spacing w:line="360" w:lineRule="auto"/>
              <w:jc w:val="center"/>
              <w:rPr>
                <w:rFonts w:hint="eastAsia" w:ascii="宋体" w:hAnsi="宋体" w:eastAsia="宋体" w:cs="宋体"/>
                <w:color w:val="000000"/>
                <w:kern w:val="0"/>
                <w:lang w:val="zh-CN"/>
              </w:rPr>
            </w:pPr>
          </w:p>
        </w:tc>
        <w:tc>
          <w:tcPr>
            <w:tcW w:w="1170" w:type="dxa"/>
            <w:tcBorders>
              <w:top w:val="single" w:color="000000" w:sz="6" w:space="0"/>
              <w:left w:val="single" w:color="auto" w:sz="4" w:space="0"/>
              <w:bottom w:val="single" w:color="000000" w:sz="6" w:space="0"/>
              <w:right w:val="single" w:color="000000" w:sz="6" w:space="0"/>
            </w:tcBorders>
            <w:noWrap w:val="0"/>
            <w:vAlign w:val="center"/>
          </w:tcPr>
          <w:p w14:paraId="58AB0FEB">
            <w:pPr>
              <w:autoSpaceDE w:val="0"/>
              <w:autoSpaceDN w:val="0"/>
              <w:spacing w:line="360" w:lineRule="auto"/>
              <w:jc w:val="center"/>
              <w:rPr>
                <w:rFonts w:hint="eastAsia" w:ascii="宋体" w:hAnsi="宋体" w:eastAsia="宋体" w:cs="宋体"/>
                <w:color w:val="000000"/>
                <w:kern w:val="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1A4827C0">
            <w:pPr>
              <w:autoSpaceDE w:val="0"/>
              <w:autoSpaceDN w:val="0"/>
              <w:spacing w:line="360" w:lineRule="auto"/>
              <w:jc w:val="center"/>
              <w:rPr>
                <w:rFonts w:hint="eastAsia" w:ascii="宋体" w:hAnsi="宋体" w:eastAsia="宋体" w:cs="宋体"/>
                <w:color w:val="000000"/>
                <w:kern w:val="0"/>
                <w:lang w:val="zh-CN"/>
              </w:rPr>
            </w:pPr>
          </w:p>
        </w:tc>
      </w:tr>
      <w:tr w14:paraId="53A14153">
        <w:tblPrEx>
          <w:tblCellMar>
            <w:top w:w="0" w:type="dxa"/>
            <w:left w:w="28" w:type="dxa"/>
            <w:bottom w:w="0" w:type="dxa"/>
            <w:right w:w="28" w:type="dxa"/>
          </w:tblCellMar>
        </w:tblPrEx>
        <w:trPr>
          <w:trHeight w:val="213"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29B358D6">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679C58FF">
            <w:pPr>
              <w:autoSpaceDE w:val="0"/>
              <w:autoSpaceDN w:val="0"/>
              <w:spacing w:line="360" w:lineRule="auto"/>
              <w:jc w:val="center"/>
              <w:rPr>
                <w:rFonts w:hint="eastAsia" w:ascii="宋体" w:hAnsi="宋体" w:eastAsia="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47D93856">
            <w:pPr>
              <w:autoSpaceDE w:val="0"/>
              <w:autoSpaceDN w:val="0"/>
              <w:spacing w:line="360" w:lineRule="auto"/>
              <w:jc w:val="center"/>
              <w:rPr>
                <w:rFonts w:hint="eastAsia" w:ascii="宋体" w:hAnsi="宋体" w:eastAsia="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3F881634">
            <w:pPr>
              <w:autoSpaceDE w:val="0"/>
              <w:autoSpaceDN w:val="0"/>
              <w:spacing w:line="360" w:lineRule="auto"/>
              <w:jc w:val="center"/>
              <w:rPr>
                <w:rFonts w:hint="eastAsia" w:ascii="宋体" w:hAnsi="宋体" w:eastAsia="宋体" w:cs="宋体"/>
                <w:color w:val="000000"/>
                <w:kern w:val="0"/>
                <w:lang w:val="zh-CN"/>
              </w:rPr>
            </w:pPr>
          </w:p>
        </w:tc>
        <w:tc>
          <w:tcPr>
            <w:tcW w:w="1913" w:type="dxa"/>
            <w:tcBorders>
              <w:top w:val="single" w:color="000000" w:sz="6" w:space="0"/>
              <w:left w:val="single" w:color="000000" w:sz="6" w:space="0"/>
              <w:bottom w:val="single" w:color="000000" w:sz="6" w:space="0"/>
              <w:right w:val="single" w:color="auto" w:sz="4" w:space="0"/>
            </w:tcBorders>
            <w:noWrap w:val="0"/>
            <w:vAlign w:val="center"/>
          </w:tcPr>
          <w:p w14:paraId="1A706AFD">
            <w:pPr>
              <w:autoSpaceDE w:val="0"/>
              <w:autoSpaceDN w:val="0"/>
              <w:spacing w:line="360" w:lineRule="auto"/>
              <w:jc w:val="center"/>
              <w:rPr>
                <w:rFonts w:hint="eastAsia" w:ascii="宋体" w:hAnsi="宋体" w:eastAsia="宋体" w:cs="宋体"/>
                <w:color w:val="000000"/>
                <w:kern w:val="0"/>
                <w:lang w:val="zh-CN"/>
              </w:rPr>
            </w:pPr>
          </w:p>
        </w:tc>
        <w:tc>
          <w:tcPr>
            <w:tcW w:w="1170" w:type="dxa"/>
            <w:tcBorders>
              <w:top w:val="single" w:color="000000" w:sz="6" w:space="0"/>
              <w:left w:val="single" w:color="auto" w:sz="4" w:space="0"/>
              <w:bottom w:val="single" w:color="000000" w:sz="6" w:space="0"/>
              <w:right w:val="single" w:color="000000" w:sz="6" w:space="0"/>
            </w:tcBorders>
            <w:noWrap w:val="0"/>
            <w:vAlign w:val="center"/>
          </w:tcPr>
          <w:p w14:paraId="212D3E62">
            <w:pPr>
              <w:autoSpaceDE w:val="0"/>
              <w:autoSpaceDN w:val="0"/>
              <w:spacing w:line="360" w:lineRule="auto"/>
              <w:jc w:val="center"/>
              <w:rPr>
                <w:rFonts w:hint="eastAsia" w:ascii="宋体" w:hAnsi="宋体" w:eastAsia="宋体" w:cs="宋体"/>
                <w:color w:val="000000"/>
                <w:kern w:val="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57E7C6BA">
            <w:pPr>
              <w:autoSpaceDE w:val="0"/>
              <w:autoSpaceDN w:val="0"/>
              <w:spacing w:line="360" w:lineRule="auto"/>
              <w:jc w:val="center"/>
              <w:rPr>
                <w:rFonts w:hint="eastAsia" w:ascii="宋体" w:hAnsi="宋体" w:eastAsia="宋体" w:cs="宋体"/>
                <w:color w:val="000000"/>
                <w:kern w:val="0"/>
                <w:lang w:val="zh-CN"/>
              </w:rPr>
            </w:pPr>
          </w:p>
        </w:tc>
      </w:tr>
      <w:tr w14:paraId="02237F19">
        <w:tblPrEx>
          <w:tblCellMar>
            <w:top w:w="0" w:type="dxa"/>
            <w:left w:w="28" w:type="dxa"/>
            <w:bottom w:w="0" w:type="dxa"/>
            <w:right w:w="28" w:type="dxa"/>
          </w:tblCellMar>
        </w:tblPrEx>
        <w:trPr>
          <w:trHeight w:val="228"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2B09BEA9">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295BE065">
            <w:pPr>
              <w:autoSpaceDE w:val="0"/>
              <w:autoSpaceDN w:val="0"/>
              <w:spacing w:line="360" w:lineRule="auto"/>
              <w:jc w:val="center"/>
              <w:rPr>
                <w:rFonts w:hint="eastAsia" w:ascii="宋体" w:hAnsi="宋体" w:eastAsia="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47D9E094">
            <w:pPr>
              <w:autoSpaceDE w:val="0"/>
              <w:autoSpaceDN w:val="0"/>
              <w:spacing w:line="360" w:lineRule="auto"/>
              <w:jc w:val="center"/>
              <w:rPr>
                <w:rFonts w:hint="eastAsia" w:ascii="宋体" w:hAnsi="宋体" w:eastAsia="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46854CCF">
            <w:pPr>
              <w:autoSpaceDE w:val="0"/>
              <w:autoSpaceDN w:val="0"/>
              <w:spacing w:line="360" w:lineRule="auto"/>
              <w:jc w:val="center"/>
              <w:rPr>
                <w:rFonts w:hint="eastAsia" w:ascii="宋体" w:hAnsi="宋体" w:eastAsia="宋体" w:cs="宋体"/>
                <w:color w:val="000000"/>
                <w:kern w:val="0"/>
                <w:lang w:val="zh-CN"/>
              </w:rPr>
            </w:pPr>
          </w:p>
        </w:tc>
        <w:tc>
          <w:tcPr>
            <w:tcW w:w="1913" w:type="dxa"/>
            <w:tcBorders>
              <w:top w:val="single" w:color="000000" w:sz="6" w:space="0"/>
              <w:left w:val="single" w:color="000000" w:sz="6" w:space="0"/>
              <w:bottom w:val="single" w:color="000000" w:sz="6" w:space="0"/>
              <w:right w:val="single" w:color="auto" w:sz="4" w:space="0"/>
            </w:tcBorders>
            <w:noWrap w:val="0"/>
            <w:vAlign w:val="center"/>
          </w:tcPr>
          <w:p w14:paraId="626F0F73">
            <w:pPr>
              <w:autoSpaceDE w:val="0"/>
              <w:autoSpaceDN w:val="0"/>
              <w:spacing w:line="360" w:lineRule="auto"/>
              <w:jc w:val="center"/>
              <w:rPr>
                <w:rFonts w:hint="eastAsia" w:ascii="宋体" w:hAnsi="宋体" w:eastAsia="宋体" w:cs="宋体"/>
                <w:color w:val="000000"/>
                <w:kern w:val="0"/>
                <w:lang w:val="zh-CN"/>
              </w:rPr>
            </w:pPr>
          </w:p>
        </w:tc>
        <w:tc>
          <w:tcPr>
            <w:tcW w:w="1170" w:type="dxa"/>
            <w:tcBorders>
              <w:top w:val="single" w:color="000000" w:sz="6" w:space="0"/>
              <w:left w:val="single" w:color="auto" w:sz="4" w:space="0"/>
              <w:bottom w:val="single" w:color="000000" w:sz="6" w:space="0"/>
              <w:right w:val="single" w:color="000000" w:sz="6" w:space="0"/>
            </w:tcBorders>
            <w:noWrap w:val="0"/>
            <w:vAlign w:val="center"/>
          </w:tcPr>
          <w:p w14:paraId="1F919C77">
            <w:pPr>
              <w:autoSpaceDE w:val="0"/>
              <w:autoSpaceDN w:val="0"/>
              <w:spacing w:line="360" w:lineRule="auto"/>
              <w:jc w:val="center"/>
              <w:rPr>
                <w:rFonts w:hint="eastAsia" w:ascii="宋体" w:hAnsi="宋体" w:eastAsia="宋体" w:cs="宋体"/>
                <w:color w:val="000000"/>
                <w:kern w:val="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09A93849">
            <w:pPr>
              <w:autoSpaceDE w:val="0"/>
              <w:autoSpaceDN w:val="0"/>
              <w:spacing w:line="360" w:lineRule="auto"/>
              <w:jc w:val="center"/>
              <w:rPr>
                <w:rFonts w:hint="eastAsia" w:ascii="宋体" w:hAnsi="宋体" w:eastAsia="宋体" w:cs="宋体"/>
                <w:color w:val="000000"/>
                <w:kern w:val="0"/>
                <w:lang w:val="zh-CN"/>
              </w:rPr>
            </w:pPr>
          </w:p>
        </w:tc>
      </w:tr>
    </w:tbl>
    <w:p w14:paraId="4EE18830">
      <w:pPr>
        <w:autoSpaceDE w:val="0"/>
        <w:autoSpaceDN w:val="0"/>
        <w:spacing w:line="360" w:lineRule="auto"/>
        <w:ind w:left="720" w:hanging="720" w:hangingChars="300"/>
        <w:rPr>
          <w:rFonts w:hint="eastAsia" w:ascii="宋体" w:hAnsi="宋体" w:cs="仿宋"/>
          <w:b/>
          <w:bCs/>
          <w:sz w:val="28"/>
          <w:szCs w:val="28"/>
        </w:rPr>
      </w:pPr>
      <w:r>
        <w:rPr>
          <w:rFonts w:hint="eastAsia" w:ascii="宋体" w:hAnsi="宋体" w:cs="宋体"/>
          <w:color w:val="000000"/>
          <w:kern w:val="0"/>
          <w:lang w:val="zh-CN"/>
        </w:rPr>
        <w:t>注：1.本表应按照每包“项目概况及技术参数”中产品序号的指标逐项填写，不得遗漏，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14:paraId="7C3FC938">
      <w:pPr>
        <w:numPr>
          <w:ilvl w:val="0"/>
          <w:numId w:val="0"/>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2.</w:t>
      </w: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w:t>
      </w:r>
    </w:p>
    <w:p w14:paraId="2C983B36">
      <w:pPr>
        <w:pStyle w:val="75"/>
        <w:ind w:firstLine="480" w:firstLineChars="200"/>
      </w:pPr>
      <w:r>
        <w:rPr>
          <w:rFonts w:hint="eastAsia" w:hAnsi="宋体" w:cs="宋体"/>
          <w:color w:val="000000"/>
          <w:kern w:val="0"/>
          <w:lang w:val="en-US" w:eastAsia="zh-CN"/>
        </w:rPr>
        <w:t>3</w:t>
      </w:r>
      <w:r>
        <w:rPr>
          <w:rFonts w:hint="eastAsia" w:hAnsi="宋体" w:cs="宋体"/>
          <w:color w:val="000000"/>
          <w:kern w:val="0"/>
        </w:rPr>
        <w:t>.行数不够可自行添加。</w:t>
      </w:r>
    </w:p>
    <w:p w14:paraId="0D3E7CE0">
      <w:pPr>
        <w:autoSpaceDE w:val="0"/>
        <w:autoSpaceDN w:val="0"/>
        <w:spacing w:line="360" w:lineRule="auto"/>
        <w:jc w:val="center"/>
        <w:rPr>
          <w:rFonts w:hint="eastAsia" w:ascii="宋体" w:hAnsi="宋体" w:cs="宋体"/>
          <w:b/>
          <w:bCs/>
          <w:color w:val="000000"/>
          <w:kern w:val="0"/>
          <w:lang w:val="zh-CN"/>
        </w:rPr>
      </w:pPr>
    </w:p>
    <w:p w14:paraId="38D995ED">
      <w:pPr>
        <w:autoSpaceDE w:val="0"/>
        <w:autoSpaceDN w:val="0"/>
        <w:spacing w:line="360" w:lineRule="auto"/>
        <w:jc w:val="center"/>
        <w:rPr>
          <w:rFonts w:hint="eastAsia" w:ascii="宋体" w:hAnsi="宋体" w:cs="宋体"/>
          <w:b/>
          <w:bCs/>
          <w:color w:val="000000"/>
          <w:kern w:val="0"/>
          <w:lang w:val="zh-CN"/>
        </w:rPr>
      </w:pPr>
    </w:p>
    <w:p w14:paraId="011BF607">
      <w:pPr>
        <w:autoSpaceDE w:val="0"/>
        <w:autoSpaceDN w:val="0"/>
        <w:spacing w:line="360" w:lineRule="auto"/>
        <w:jc w:val="center"/>
        <w:rPr>
          <w:rFonts w:hint="eastAsia" w:ascii="宋体" w:hAnsi="宋体" w:cs="宋体"/>
          <w:b/>
          <w:bCs/>
          <w:color w:val="000000"/>
          <w:kern w:val="0"/>
          <w:lang w:val="zh-CN"/>
        </w:rPr>
      </w:pPr>
    </w:p>
    <w:p w14:paraId="52A76F90">
      <w:pPr>
        <w:autoSpaceDE w:val="0"/>
        <w:autoSpaceDN w:val="0"/>
        <w:spacing w:line="360" w:lineRule="auto"/>
        <w:jc w:val="center"/>
        <w:rPr>
          <w:rFonts w:hint="eastAsia" w:ascii="宋体" w:hAnsi="宋体" w:cs="宋体"/>
          <w:b/>
          <w:bCs/>
          <w:color w:val="000000"/>
          <w:kern w:val="0"/>
          <w:lang w:val="zh-CN"/>
        </w:rPr>
      </w:pPr>
    </w:p>
    <w:p w14:paraId="61442877">
      <w:pPr>
        <w:autoSpaceDE w:val="0"/>
        <w:autoSpaceDN w:val="0"/>
        <w:spacing w:line="360" w:lineRule="auto"/>
        <w:jc w:val="center"/>
        <w:rPr>
          <w:rFonts w:hint="eastAsia" w:ascii="宋体" w:hAnsi="宋体" w:cs="宋体"/>
          <w:b/>
          <w:bCs/>
          <w:color w:val="000000"/>
          <w:kern w:val="0"/>
          <w:lang w:val="zh-CN"/>
        </w:rPr>
      </w:pPr>
    </w:p>
    <w:p w14:paraId="4EF426E9">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1F484745">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23D4C0B2">
      <w:pPr>
        <w:autoSpaceDE w:val="0"/>
        <w:autoSpaceDN w:val="0"/>
        <w:spacing w:line="360" w:lineRule="auto"/>
        <w:ind w:firstLine="3253"/>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35C54937">
      <w:pPr>
        <w:numPr>
          <w:ilvl w:val="0"/>
          <w:numId w:val="11"/>
        </w:numPr>
        <w:spacing w:line="400" w:lineRule="exact"/>
        <w:ind w:firstLine="564" w:firstLineChars="235"/>
        <w:rPr>
          <w:rFonts w:hint="eastAsia"/>
          <w:b/>
          <w:bCs/>
          <w:sz w:val="32"/>
          <w:szCs w:val="32"/>
          <w:lang w:val="zh-CN"/>
        </w:rPr>
      </w:pPr>
      <w:r>
        <w:rPr>
          <w:rFonts w:hint="eastAsia" w:ascii="宋体" w:hAnsi="宋体" w:cs="宋体"/>
          <w:color w:val="000000"/>
          <w:kern w:val="0"/>
          <w:sz w:val="24"/>
          <w:szCs w:val="24"/>
          <w:lang w:val="zh-CN"/>
        </w:rPr>
        <w:br w:type="page"/>
      </w:r>
      <w:bookmarkStart w:id="82" w:name="_Toc515908224"/>
      <w:r>
        <w:rPr>
          <w:rFonts w:hint="eastAsia" w:ascii="宋体" w:hAnsi="宋体" w:cs="宋体"/>
          <w:color w:val="000000"/>
          <w:sz w:val="30"/>
          <w:szCs w:val="30"/>
          <w:lang w:val="en-US" w:eastAsia="zh-CN"/>
        </w:rPr>
        <w:t>-2</w:t>
      </w:r>
      <w:r>
        <w:rPr>
          <w:rFonts w:hint="eastAsia" w:ascii="宋体" w:hAnsi="宋体" w:eastAsia="宋体" w:cs="Times New Roman"/>
          <w:b/>
          <w:bCs/>
          <w:kern w:val="0"/>
          <w:sz w:val="28"/>
          <w:szCs w:val="32"/>
          <w:lang w:val="zh-CN" w:eastAsia="zh-CN" w:bidi="ar-SA"/>
        </w:rPr>
        <w:t>：</w:t>
      </w:r>
      <w:r>
        <w:rPr>
          <w:rFonts w:hint="eastAsia"/>
          <w:b/>
          <w:bCs/>
          <w:sz w:val="32"/>
          <w:szCs w:val="32"/>
          <w:lang w:val="zh-CN"/>
        </w:rPr>
        <w:t>工程量清单</w:t>
      </w:r>
    </w:p>
    <w:p w14:paraId="3F75B40F">
      <w:pPr>
        <w:widowControl w:val="0"/>
        <w:numPr>
          <w:ilvl w:val="0"/>
          <w:numId w:val="0"/>
        </w:numPr>
        <w:spacing w:line="400" w:lineRule="exact"/>
        <w:jc w:val="both"/>
        <w:rPr>
          <w:rFonts w:hint="eastAsia"/>
          <w:b/>
          <w:bCs/>
          <w:sz w:val="32"/>
          <w:szCs w:val="32"/>
          <w:lang w:val="zh-CN" w:eastAsia="zh-CN"/>
        </w:rPr>
      </w:pPr>
    </w:p>
    <w:p w14:paraId="22E68485">
      <w:pPr>
        <w:widowControl w:val="0"/>
        <w:numPr>
          <w:ilvl w:val="0"/>
          <w:numId w:val="0"/>
        </w:numPr>
        <w:spacing w:line="400" w:lineRule="exact"/>
        <w:jc w:val="both"/>
        <w:rPr>
          <w:rFonts w:hint="eastAsia"/>
          <w:b/>
          <w:bCs/>
          <w:sz w:val="32"/>
          <w:szCs w:val="32"/>
          <w:lang w:val="zh-CN" w:eastAsia="zh-CN"/>
        </w:rPr>
      </w:pPr>
    </w:p>
    <w:p w14:paraId="20D22A44">
      <w:pPr>
        <w:widowControl w:val="0"/>
        <w:numPr>
          <w:ilvl w:val="0"/>
          <w:numId w:val="0"/>
        </w:numPr>
        <w:spacing w:line="400" w:lineRule="exact"/>
        <w:jc w:val="both"/>
        <w:rPr>
          <w:rFonts w:hint="eastAsia"/>
          <w:b/>
          <w:bCs/>
          <w:sz w:val="32"/>
          <w:szCs w:val="32"/>
          <w:lang w:val="en-US" w:eastAsia="zh-CN"/>
        </w:rPr>
      </w:pPr>
    </w:p>
    <w:p w14:paraId="5D7E9D84">
      <w:pPr>
        <w:widowControl w:val="0"/>
        <w:numPr>
          <w:ilvl w:val="0"/>
          <w:numId w:val="0"/>
        </w:numPr>
        <w:spacing w:line="400" w:lineRule="exact"/>
        <w:jc w:val="both"/>
        <w:rPr>
          <w:rFonts w:hint="eastAsia"/>
          <w:b/>
          <w:bCs/>
          <w:sz w:val="32"/>
          <w:szCs w:val="32"/>
          <w:lang w:val="en-US" w:eastAsia="zh-CN"/>
        </w:rPr>
      </w:pPr>
    </w:p>
    <w:p w14:paraId="5B595250">
      <w:pPr>
        <w:widowControl w:val="0"/>
        <w:numPr>
          <w:ilvl w:val="0"/>
          <w:numId w:val="0"/>
        </w:numPr>
        <w:spacing w:line="400" w:lineRule="exact"/>
        <w:jc w:val="center"/>
        <w:rPr>
          <w:rFonts w:hint="default"/>
          <w:b/>
          <w:bCs/>
          <w:sz w:val="32"/>
          <w:szCs w:val="32"/>
          <w:lang w:val="en-US" w:eastAsia="zh-CN"/>
        </w:rPr>
      </w:pPr>
      <w:r>
        <w:rPr>
          <w:rFonts w:hint="eastAsia"/>
          <w:b/>
          <w:bCs/>
          <w:sz w:val="32"/>
          <w:szCs w:val="32"/>
          <w:lang w:val="en-US" w:eastAsia="zh-CN"/>
        </w:rPr>
        <w:t>格式自拟</w:t>
      </w:r>
    </w:p>
    <w:p w14:paraId="7CC6AEA4">
      <w:pPr>
        <w:pStyle w:val="28"/>
        <w:jc w:val="left"/>
        <w:rPr>
          <w:rFonts w:hint="eastAsia" w:ascii="宋体" w:hAnsi="宋体" w:eastAsia="宋体" w:cs="Times New Roman"/>
          <w:b/>
          <w:bCs/>
          <w:kern w:val="0"/>
          <w:sz w:val="28"/>
          <w:szCs w:val="32"/>
          <w:lang w:val="zh-CN" w:eastAsia="zh-CN" w:bidi="ar-SA"/>
        </w:rPr>
      </w:pPr>
    </w:p>
    <w:p w14:paraId="6F017F2B">
      <w:pPr>
        <w:rPr>
          <w:rFonts w:hint="eastAsia" w:ascii="宋体" w:hAnsi="宋体" w:eastAsia="宋体" w:cs="Times New Roman"/>
          <w:b/>
          <w:bCs/>
          <w:kern w:val="0"/>
          <w:sz w:val="28"/>
          <w:szCs w:val="32"/>
          <w:lang w:val="zh-CN" w:eastAsia="zh-CN" w:bidi="ar-SA"/>
        </w:rPr>
      </w:pPr>
    </w:p>
    <w:p w14:paraId="2240E68E">
      <w:pPr>
        <w:rPr>
          <w:rFonts w:hint="eastAsia" w:ascii="宋体" w:hAnsi="宋体" w:eastAsia="宋体" w:cs="Times New Roman"/>
          <w:b/>
          <w:bCs/>
          <w:kern w:val="0"/>
          <w:sz w:val="28"/>
          <w:szCs w:val="32"/>
          <w:lang w:val="zh-CN" w:eastAsia="zh-CN" w:bidi="ar-SA"/>
        </w:rPr>
      </w:pPr>
    </w:p>
    <w:p w14:paraId="08AE9421">
      <w:pPr>
        <w:rPr>
          <w:rFonts w:hint="eastAsia"/>
          <w:lang w:val="zh-CN" w:eastAsia="zh-CN"/>
        </w:rPr>
      </w:pPr>
    </w:p>
    <w:p w14:paraId="36A083F6">
      <w:pPr>
        <w:rPr>
          <w:rFonts w:hint="eastAsia"/>
          <w:lang w:val="zh-CN" w:eastAsia="zh-CN"/>
        </w:rPr>
      </w:pPr>
    </w:p>
    <w:p w14:paraId="37B05924">
      <w:pPr>
        <w:ind w:firstLine="4320" w:firstLineChars="1800"/>
        <w:rPr>
          <w:rFonts w:hint="eastAsia" w:ascii="宋体" w:hAnsi="宋体" w:eastAsia="宋体" w:cs="宋体"/>
          <w:sz w:val="24"/>
          <w:szCs w:val="24"/>
        </w:rPr>
      </w:pPr>
    </w:p>
    <w:p w14:paraId="1B94DB58">
      <w:pPr>
        <w:ind w:firstLine="4320" w:firstLineChars="1800"/>
        <w:rPr>
          <w:rFonts w:hint="eastAsia" w:ascii="宋体" w:hAnsi="宋体" w:eastAsia="宋体" w:cs="宋体"/>
          <w:sz w:val="24"/>
          <w:szCs w:val="24"/>
        </w:rPr>
      </w:pPr>
    </w:p>
    <w:p w14:paraId="0E54F9E8">
      <w:pPr>
        <w:ind w:firstLine="4320" w:firstLineChars="1800"/>
        <w:rPr>
          <w:rFonts w:hint="eastAsia" w:ascii="宋体" w:hAnsi="宋体" w:eastAsia="宋体" w:cs="宋体"/>
          <w:sz w:val="24"/>
          <w:szCs w:val="24"/>
        </w:rPr>
      </w:pPr>
    </w:p>
    <w:p w14:paraId="70C5C6A0">
      <w:pPr>
        <w:ind w:firstLine="4320" w:firstLineChars="1800"/>
        <w:rPr>
          <w:rFonts w:hint="eastAsia" w:ascii="宋体" w:hAnsi="宋体" w:eastAsia="宋体" w:cs="宋体"/>
          <w:sz w:val="24"/>
          <w:szCs w:val="24"/>
        </w:rPr>
      </w:pPr>
    </w:p>
    <w:p w14:paraId="63E71185">
      <w:pPr>
        <w:ind w:firstLine="4320" w:firstLineChars="1800"/>
        <w:rPr>
          <w:rFonts w:hint="eastAsia" w:ascii="宋体" w:hAnsi="宋体" w:eastAsia="宋体" w:cs="宋体"/>
          <w:sz w:val="24"/>
          <w:szCs w:val="24"/>
        </w:rPr>
      </w:pPr>
    </w:p>
    <w:p w14:paraId="600AF61E">
      <w:pPr>
        <w:ind w:firstLine="4320" w:firstLineChars="1800"/>
        <w:rPr>
          <w:rFonts w:hint="eastAsia" w:ascii="宋体" w:hAnsi="宋体" w:eastAsia="宋体" w:cs="宋体"/>
          <w:sz w:val="24"/>
          <w:szCs w:val="24"/>
        </w:rPr>
      </w:pPr>
    </w:p>
    <w:p w14:paraId="652A878A">
      <w:pPr>
        <w:ind w:firstLine="4320" w:firstLineChars="1800"/>
        <w:rPr>
          <w:rFonts w:hint="eastAsia" w:ascii="宋体" w:hAnsi="宋体" w:eastAsia="宋体" w:cs="宋体"/>
          <w:sz w:val="24"/>
          <w:szCs w:val="24"/>
        </w:rPr>
      </w:pPr>
    </w:p>
    <w:p w14:paraId="610A1B64">
      <w:pPr>
        <w:ind w:firstLine="4320" w:firstLineChars="1800"/>
        <w:rPr>
          <w:rFonts w:hint="eastAsia" w:ascii="宋体" w:hAnsi="宋体" w:eastAsia="宋体" w:cs="宋体"/>
          <w:sz w:val="24"/>
          <w:szCs w:val="24"/>
        </w:rPr>
      </w:pPr>
    </w:p>
    <w:p w14:paraId="2A36E758">
      <w:pPr>
        <w:ind w:firstLine="4320" w:firstLineChars="1800"/>
        <w:rPr>
          <w:rFonts w:hint="eastAsia" w:ascii="宋体" w:hAnsi="宋体" w:eastAsia="宋体" w:cs="宋体"/>
          <w:sz w:val="24"/>
          <w:szCs w:val="24"/>
        </w:rPr>
      </w:pPr>
    </w:p>
    <w:p w14:paraId="22088D44">
      <w:pPr>
        <w:ind w:firstLine="4320" w:firstLineChars="1800"/>
        <w:rPr>
          <w:rFonts w:hint="eastAsia" w:ascii="宋体" w:hAnsi="宋体" w:eastAsia="宋体" w:cs="宋体"/>
          <w:sz w:val="24"/>
          <w:szCs w:val="24"/>
        </w:rPr>
      </w:pPr>
    </w:p>
    <w:p w14:paraId="6DFC42E2">
      <w:pPr>
        <w:ind w:firstLine="4320" w:firstLineChars="1800"/>
        <w:rPr>
          <w:rFonts w:hint="eastAsia" w:ascii="宋体" w:hAnsi="宋体" w:eastAsia="宋体" w:cs="宋体"/>
          <w:sz w:val="24"/>
          <w:szCs w:val="24"/>
        </w:rPr>
      </w:pPr>
    </w:p>
    <w:p w14:paraId="5393D033">
      <w:pPr>
        <w:ind w:firstLine="4320" w:firstLineChars="1800"/>
        <w:rPr>
          <w:rFonts w:hint="eastAsia" w:ascii="宋体" w:hAnsi="宋体" w:eastAsia="宋体" w:cs="宋体"/>
          <w:sz w:val="24"/>
          <w:szCs w:val="24"/>
        </w:rPr>
      </w:pPr>
    </w:p>
    <w:p w14:paraId="2FC11141">
      <w:pPr>
        <w:ind w:firstLine="4320" w:firstLineChars="1800"/>
        <w:rPr>
          <w:rFonts w:hint="eastAsia" w:ascii="宋体" w:hAnsi="宋体" w:eastAsia="宋体" w:cs="宋体"/>
          <w:sz w:val="24"/>
          <w:szCs w:val="24"/>
        </w:rPr>
      </w:pPr>
    </w:p>
    <w:p w14:paraId="595AB459">
      <w:pPr>
        <w:ind w:firstLine="4320" w:firstLineChars="1800"/>
        <w:rPr>
          <w:rFonts w:hint="eastAsia" w:ascii="宋体" w:hAnsi="宋体" w:eastAsia="宋体" w:cs="宋体"/>
          <w:sz w:val="24"/>
          <w:szCs w:val="24"/>
        </w:rPr>
      </w:pPr>
    </w:p>
    <w:p w14:paraId="684DD312">
      <w:pPr>
        <w:ind w:firstLine="4320" w:firstLineChars="1800"/>
        <w:rPr>
          <w:rFonts w:hint="eastAsia" w:ascii="宋体" w:hAnsi="宋体" w:eastAsia="宋体" w:cs="宋体"/>
          <w:sz w:val="24"/>
          <w:szCs w:val="24"/>
        </w:rPr>
      </w:pPr>
    </w:p>
    <w:p w14:paraId="5C68550A">
      <w:pPr>
        <w:ind w:firstLine="4320" w:firstLineChars="1800"/>
        <w:rPr>
          <w:rFonts w:hint="eastAsia" w:ascii="宋体" w:hAnsi="宋体" w:eastAsia="宋体" w:cs="宋体"/>
          <w:b/>
          <w:bCs/>
          <w:sz w:val="24"/>
          <w:szCs w:val="24"/>
        </w:rPr>
      </w:pPr>
      <w:r>
        <w:rPr>
          <w:rFonts w:hint="eastAsia" w:ascii="宋体" w:hAnsi="宋体" w:eastAsia="宋体" w:cs="宋体"/>
          <w:b/>
          <w:bCs/>
          <w:sz w:val="24"/>
          <w:szCs w:val="24"/>
        </w:rPr>
        <w:t>投标供应商： （公章）</w:t>
      </w:r>
    </w:p>
    <w:p w14:paraId="7EEAB23A">
      <w:pPr>
        <w:ind w:firstLine="4320" w:firstLineChars="1800"/>
        <w:rPr>
          <w:rFonts w:hint="eastAsia" w:ascii="宋体" w:hAnsi="宋体" w:eastAsia="宋体" w:cs="宋体"/>
          <w:b/>
          <w:bCs/>
          <w:sz w:val="24"/>
          <w:szCs w:val="24"/>
        </w:rPr>
      </w:pPr>
    </w:p>
    <w:p w14:paraId="7A70DEEA">
      <w:pPr>
        <w:ind w:firstLine="3360" w:firstLineChars="1400"/>
        <w:rPr>
          <w:rFonts w:hint="eastAsia" w:ascii="宋体" w:hAnsi="宋体" w:eastAsia="宋体" w:cs="宋体"/>
          <w:b/>
          <w:bCs/>
          <w:sz w:val="24"/>
          <w:szCs w:val="24"/>
        </w:rPr>
      </w:pPr>
      <w:r>
        <w:rPr>
          <w:rFonts w:hint="eastAsia" w:ascii="宋体" w:hAnsi="宋体" w:eastAsia="宋体" w:cs="宋体"/>
          <w:b/>
          <w:bCs/>
          <w:sz w:val="24"/>
          <w:szCs w:val="24"/>
        </w:rPr>
        <w:t>法定代表人或委托代理人： （签字或盖章 ）</w:t>
      </w:r>
    </w:p>
    <w:p w14:paraId="54D37C55">
      <w:pPr>
        <w:ind w:firstLine="5280" w:firstLineChars="2200"/>
        <w:rPr>
          <w:rFonts w:hint="eastAsia" w:ascii="宋体" w:hAnsi="宋体" w:eastAsia="宋体" w:cs="宋体"/>
          <w:b/>
          <w:bCs/>
          <w:sz w:val="24"/>
          <w:szCs w:val="24"/>
        </w:rPr>
      </w:pPr>
    </w:p>
    <w:p w14:paraId="68E4A787">
      <w:pPr>
        <w:ind w:firstLine="5280" w:firstLineChars="2200"/>
        <w:rPr>
          <w:rFonts w:hint="eastAsia" w:ascii="宋体" w:hAnsi="宋体" w:eastAsia="宋体" w:cs="宋体"/>
          <w:b/>
          <w:bCs/>
          <w:sz w:val="24"/>
          <w:szCs w:val="24"/>
        </w:rPr>
      </w:pP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月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日</w:t>
      </w:r>
    </w:p>
    <w:p w14:paraId="78EA6AAC">
      <w:pPr>
        <w:pStyle w:val="28"/>
        <w:jc w:val="left"/>
        <w:rPr>
          <w:rFonts w:hint="eastAsia" w:ascii="宋体" w:hAnsi="宋体"/>
          <w:sz w:val="28"/>
          <w:lang w:val="zh-CN"/>
        </w:rPr>
      </w:pPr>
    </w:p>
    <w:p w14:paraId="31B9C807">
      <w:pPr>
        <w:spacing w:line="400" w:lineRule="exact"/>
        <w:ind w:firstLine="658" w:firstLineChars="235"/>
        <w:rPr>
          <w:rFonts w:hint="eastAsia" w:ascii="宋体" w:hAnsi="宋体" w:eastAsia="宋体" w:cs="Times New Roman"/>
          <w:b/>
          <w:bCs/>
          <w:kern w:val="0"/>
          <w:sz w:val="28"/>
          <w:szCs w:val="32"/>
          <w:lang w:val="zh-CN" w:eastAsia="zh-CN" w:bidi="ar-SA"/>
        </w:rPr>
      </w:pPr>
    </w:p>
    <w:p w14:paraId="428CB963">
      <w:pPr>
        <w:spacing w:line="400" w:lineRule="exact"/>
        <w:ind w:firstLine="658" w:firstLineChars="235"/>
        <w:rPr>
          <w:rFonts w:hint="eastAsia" w:ascii="宋体" w:hAnsi="宋体" w:eastAsia="宋体" w:cs="Times New Roman"/>
          <w:b/>
          <w:bCs/>
          <w:kern w:val="0"/>
          <w:sz w:val="28"/>
          <w:szCs w:val="32"/>
          <w:lang w:val="zh-CN" w:eastAsia="zh-CN" w:bidi="ar-SA"/>
        </w:rPr>
      </w:pPr>
    </w:p>
    <w:p w14:paraId="27334420">
      <w:pPr>
        <w:spacing w:line="400" w:lineRule="exact"/>
        <w:ind w:firstLine="658" w:firstLineChars="235"/>
        <w:rPr>
          <w:rFonts w:hint="eastAsia" w:ascii="宋体" w:hAnsi="宋体" w:eastAsia="宋体" w:cs="Times New Roman"/>
          <w:b/>
          <w:bCs/>
          <w:kern w:val="0"/>
          <w:sz w:val="28"/>
          <w:szCs w:val="32"/>
          <w:lang w:val="zh-CN" w:eastAsia="zh-CN" w:bidi="ar-SA"/>
        </w:rPr>
      </w:pPr>
    </w:p>
    <w:p w14:paraId="1C52342A">
      <w:pPr>
        <w:pStyle w:val="28"/>
        <w:spacing w:before="0" w:after="0" w:line="360" w:lineRule="auto"/>
        <w:jc w:val="left"/>
        <w:outlineLvl w:val="1"/>
        <w:rPr>
          <w:rFonts w:hint="eastAsia" w:ascii="宋体" w:hAnsi="宋体" w:cs="宋体"/>
          <w:color w:val="000000"/>
        </w:rPr>
      </w:pPr>
      <w:bookmarkStart w:id="83" w:name="_Toc7750"/>
      <w:r>
        <w:rPr>
          <w:rFonts w:hint="eastAsia" w:ascii="宋体" w:hAnsi="宋体" w:cs="宋体"/>
          <w:color w:val="000000"/>
          <w:sz w:val="30"/>
          <w:szCs w:val="30"/>
        </w:rPr>
        <w:t>（14）</w:t>
      </w:r>
      <w:r>
        <w:rPr>
          <w:rFonts w:hint="eastAsia" w:ascii="宋体" w:hAnsi="宋体" w:cs="宋体"/>
          <w:color w:val="000000"/>
          <w:sz w:val="30"/>
          <w:szCs w:val="30"/>
          <w:lang w:val="zh-CN"/>
        </w:rPr>
        <w:t>投标产品相关资料</w:t>
      </w:r>
      <w:bookmarkEnd w:id="82"/>
      <w:bookmarkEnd w:id="83"/>
    </w:p>
    <w:p w14:paraId="3704CE0F">
      <w:pPr>
        <w:autoSpaceDE w:val="0"/>
        <w:autoSpaceDN w:val="0"/>
        <w:spacing w:line="360" w:lineRule="auto"/>
        <w:rPr>
          <w:rFonts w:hint="eastAsia" w:ascii="宋体" w:hAnsi="宋体" w:cs="宋体"/>
          <w:color w:val="000000"/>
          <w:kern w:val="0"/>
          <w:sz w:val="28"/>
          <w:szCs w:val="28"/>
          <w:lang w:val="zh-CN"/>
        </w:rPr>
      </w:pPr>
    </w:p>
    <w:p w14:paraId="2552783B">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投标产品相关资料</w:t>
      </w:r>
    </w:p>
    <w:p w14:paraId="2E5C4DAB">
      <w:pPr>
        <w:autoSpaceDE w:val="0"/>
        <w:autoSpaceDN w:val="0"/>
        <w:spacing w:line="360" w:lineRule="auto"/>
        <w:rPr>
          <w:rFonts w:hint="eastAsia" w:ascii="宋体" w:hAnsi="宋体" w:cs="宋体"/>
          <w:color w:val="000000"/>
          <w:kern w:val="0"/>
          <w:sz w:val="28"/>
          <w:szCs w:val="28"/>
          <w:lang w:val="zh-CN"/>
        </w:rPr>
      </w:pPr>
    </w:p>
    <w:p w14:paraId="7CD0B4C6">
      <w:pPr>
        <w:autoSpaceDE w:val="0"/>
        <w:autoSpaceDN w:val="0"/>
        <w:spacing w:line="360" w:lineRule="auto"/>
        <w:ind w:firstLine="480" w:firstLineChars="200"/>
        <w:rPr>
          <w:rFonts w:hint="eastAsia" w:ascii="宋体" w:hAnsi="宋体" w:cs="宋体"/>
          <w:sz w:val="32"/>
          <w:lang w:val="zh-CN"/>
        </w:rPr>
      </w:pPr>
      <w:r>
        <w:rPr>
          <w:rFonts w:hint="eastAsia" w:ascii="宋体" w:hAnsi="宋体" w:cs="宋体"/>
          <w:color w:val="000000"/>
          <w:kern w:val="0"/>
          <w:lang w:val="zh-CN"/>
        </w:rPr>
        <w:t>根据采购项目内容，投标时提供国家认可的质监机构出具的投标产品的产品检验报告、</w:t>
      </w:r>
      <w:r>
        <w:rPr>
          <w:rFonts w:hint="eastAsia" w:ascii="宋体" w:hAnsi="宋体" w:cs="宋体"/>
          <w:kern w:val="0"/>
        </w:rPr>
        <w:t>供货商必须保证所供货物完全符合</w:t>
      </w:r>
      <w:r>
        <w:rPr>
          <w:rFonts w:hint="eastAsia" w:ascii="宋体" w:hAnsi="宋体" w:cs="仿宋"/>
        </w:rPr>
        <w:t>采购招标标准规定的规格，货物质量及要求符合标准</w:t>
      </w:r>
      <w:r>
        <w:rPr>
          <w:rFonts w:hint="eastAsia" w:ascii="宋体" w:hAnsi="宋体" w:cs="宋体"/>
          <w:kern w:val="0"/>
          <w:lang w:val="zh-CN"/>
        </w:rPr>
        <w:t>等资料。</w:t>
      </w:r>
    </w:p>
    <w:p w14:paraId="638755EC">
      <w:pPr>
        <w:pStyle w:val="28"/>
        <w:spacing w:before="0" w:after="0" w:line="360" w:lineRule="auto"/>
        <w:jc w:val="both"/>
        <w:outlineLvl w:val="1"/>
        <w:rPr>
          <w:rFonts w:hint="eastAsia" w:ascii="宋体" w:hAnsi="宋体" w:cs="宋体"/>
          <w:color w:val="000000"/>
          <w:lang w:val="zh-CN"/>
        </w:rPr>
      </w:pPr>
    </w:p>
    <w:p w14:paraId="50F833CA">
      <w:pPr>
        <w:rPr>
          <w:rFonts w:hint="eastAsia" w:ascii="宋体" w:hAnsi="宋体" w:cs="宋体"/>
          <w:color w:val="000000"/>
          <w:lang w:val="zh-CN"/>
        </w:rPr>
      </w:pPr>
    </w:p>
    <w:p w14:paraId="46F3E2A6">
      <w:pPr>
        <w:rPr>
          <w:rFonts w:hint="eastAsia" w:ascii="宋体" w:hAnsi="宋体" w:cs="宋体"/>
          <w:color w:val="000000"/>
          <w:lang w:val="zh-CN"/>
        </w:rPr>
      </w:pPr>
    </w:p>
    <w:p w14:paraId="7B27EB97">
      <w:pPr>
        <w:rPr>
          <w:rFonts w:hint="eastAsia" w:ascii="宋体" w:hAnsi="宋体" w:cs="宋体"/>
          <w:color w:val="000000"/>
          <w:lang w:val="zh-CN"/>
        </w:rPr>
      </w:pPr>
    </w:p>
    <w:p w14:paraId="464A0181">
      <w:pPr>
        <w:rPr>
          <w:rFonts w:hint="eastAsia" w:ascii="宋体" w:hAnsi="宋体" w:cs="宋体"/>
          <w:color w:val="000000"/>
          <w:lang w:val="zh-CN"/>
        </w:rPr>
      </w:pPr>
    </w:p>
    <w:p w14:paraId="12F11B53">
      <w:pPr>
        <w:rPr>
          <w:rFonts w:hint="eastAsia" w:ascii="宋体" w:hAnsi="宋体" w:cs="宋体"/>
          <w:color w:val="000000"/>
          <w:lang w:val="zh-CN"/>
        </w:rPr>
      </w:pPr>
    </w:p>
    <w:p w14:paraId="00D8652B">
      <w:pPr>
        <w:rPr>
          <w:rFonts w:hint="eastAsia" w:ascii="宋体" w:hAnsi="宋体" w:cs="宋体"/>
          <w:color w:val="000000"/>
          <w:lang w:val="zh-CN"/>
        </w:rPr>
      </w:pPr>
    </w:p>
    <w:p w14:paraId="60CBF67D">
      <w:pPr>
        <w:rPr>
          <w:rFonts w:hint="eastAsia" w:ascii="宋体" w:hAnsi="宋体" w:cs="宋体"/>
          <w:color w:val="000000"/>
          <w:lang w:val="zh-CN"/>
        </w:rPr>
      </w:pPr>
    </w:p>
    <w:p w14:paraId="235C0F3A">
      <w:pPr>
        <w:rPr>
          <w:rFonts w:hint="eastAsia" w:ascii="宋体" w:hAnsi="宋体" w:cs="宋体"/>
          <w:color w:val="000000"/>
          <w:lang w:val="zh-CN"/>
        </w:rPr>
      </w:pPr>
    </w:p>
    <w:p w14:paraId="487FD288">
      <w:pPr>
        <w:rPr>
          <w:rFonts w:hint="eastAsia" w:ascii="宋体" w:hAnsi="宋体" w:cs="宋体"/>
          <w:color w:val="000000"/>
          <w:lang w:val="zh-CN"/>
        </w:rPr>
      </w:pPr>
    </w:p>
    <w:p w14:paraId="082B0B8E">
      <w:pPr>
        <w:rPr>
          <w:rFonts w:hint="eastAsia" w:ascii="宋体" w:hAnsi="宋体" w:cs="宋体"/>
          <w:color w:val="000000"/>
          <w:lang w:val="zh-CN"/>
        </w:rPr>
      </w:pPr>
    </w:p>
    <w:p w14:paraId="3C19F00F">
      <w:pPr>
        <w:rPr>
          <w:rFonts w:hint="eastAsia" w:ascii="宋体" w:hAnsi="宋体" w:cs="宋体"/>
          <w:color w:val="000000"/>
          <w:lang w:val="zh-CN"/>
        </w:rPr>
      </w:pPr>
    </w:p>
    <w:p w14:paraId="3A1D40AD">
      <w:pPr>
        <w:rPr>
          <w:rFonts w:hint="eastAsia" w:ascii="宋体" w:hAnsi="宋体" w:cs="宋体"/>
          <w:color w:val="000000"/>
          <w:lang w:val="zh-CN"/>
        </w:rPr>
      </w:pPr>
    </w:p>
    <w:p w14:paraId="135A5E11">
      <w:pPr>
        <w:rPr>
          <w:rFonts w:hint="eastAsia" w:ascii="宋体" w:hAnsi="宋体" w:cs="宋体"/>
          <w:color w:val="000000"/>
          <w:lang w:val="zh-CN"/>
        </w:rPr>
      </w:pPr>
    </w:p>
    <w:p w14:paraId="1E717E85">
      <w:pPr>
        <w:rPr>
          <w:rFonts w:hint="eastAsia" w:ascii="宋体" w:hAnsi="宋体" w:cs="宋体"/>
          <w:color w:val="000000"/>
          <w:lang w:val="zh-CN"/>
        </w:rPr>
      </w:pPr>
    </w:p>
    <w:p w14:paraId="2B2307F6">
      <w:pPr>
        <w:rPr>
          <w:rFonts w:hint="eastAsia" w:ascii="宋体" w:hAnsi="宋体" w:cs="宋体"/>
          <w:color w:val="000000"/>
          <w:lang w:val="zh-CN"/>
        </w:rPr>
      </w:pPr>
    </w:p>
    <w:p w14:paraId="43EB8B83">
      <w:pPr>
        <w:rPr>
          <w:rFonts w:hint="eastAsia" w:ascii="宋体" w:hAnsi="宋体" w:cs="宋体"/>
          <w:color w:val="000000"/>
          <w:lang w:val="zh-CN"/>
        </w:rPr>
      </w:pPr>
    </w:p>
    <w:p w14:paraId="6C2CEA98">
      <w:pPr>
        <w:rPr>
          <w:rFonts w:hint="eastAsia" w:ascii="宋体" w:hAnsi="宋体" w:cs="宋体"/>
          <w:color w:val="000000"/>
          <w:lang w:val="zh-CN"/>
        </w:rPr>
      </w:pPr>
    </w:p>
    <w:p w14:paraId="6A60A7DB">
      <w:pPr>
        <w:rPr>
          <w:rFonts w:hint="eastAsia" w:ascii="宋体" w:hAnsi="宋体" w:cs="宋体"/>
          <w:color w:val="000000"/>
          <w:lang w:val="zh-CN"/>
        </w:rPr>
      </w:pPr>
    </w:p>
    <w:p w14:paraId="020E95EA">
      <w:pPr>
        <w:rPr>
          <w:rFonts w:hint="eastAsia" w:ascii="宋体" w:hAnsi="宋体" w:cs="宋体"/>
          <w:color w:val="000000"/>
          <w:lang w:val="zh-CN"/>
        </w:rPr>
      </w:pPr>
    </w:p>
    <w:p w14:paraId="327CA0D3">
      <w:pPr>
        <w:rPr>
          <w:rFonts w:hint="eastAsia" w:ascii="宋体" w:hAnsi="宋体" w:cs="宋体"/>
          <w:color w:val="000000"/>
          <w:lang w:val="zh-CN"/>
        </w:rPr>
      </w:pPr>
    </w:p>
    <w:p w14:paraId="71BD4656">
      <w:pPr>
        <w:rPr>
          <w:rFonts w:hint="eastAsia" w:ascii="宋体" w:hAnsi="宋体" w:cs="宋体"/>
          <w:color w:val="000000"/>
          <w:lang w:val="zh-CN"/>
        </w:rPr>
      </w:pPr>
    </w:p>
    <w:p w14:paraId="1A30D2FC">
      <w:pPr>
        <w:rPr>
          <w:rFonts w:hint="eastAsia" w:ascii="宋体" w:hAnsi="宋体" w:cs="宋体"/>
          <w:color w:val="000000"/>
          <w:lang w:val="zh-CN"/>
        </w:rPr>
      </w:pPr>
    </w:p>
    <w:p w14:paraId="04AFD34B">
      <w:pPr>
        <w:rPr>
          <w:rFonts w:hint="eastAsia" w:ascii="宋体" w:hAnsi="宋体" w:cs="宋体"/>
          <w:color w:val="000000"/>
          <w:lang w:val="zh-CN"/>
        </w:rPr>
      </w:pPr>
    </w:p>
    <w:p w14:paraId="18475B26">
      <w:pPr>
        <w:rPr>
          <w:rFonts w:hint="eastAsia" w:ascii="宋体" w:hAnsi="宋体" w:cs="宋体"/>
          <w:color w:val="000000"/>
          <w:lang w:val="zh-CN"/>
        </w:rPr>
      </w:pPr>
    </w:p>
    <w:p w14:paraId="2FFAEC22">
      <w:pPr>
        <w:rPr>
          <w:rFonts w:hint="eastAsia" w:ascii="宋体" w:hAnsi="宋体" w:cs="宋体"/>
          <w:color w:val="000000"/>
          <w:lang w:val="zh-CN"/>
        </w:rPr>
      </w:pPr>
    </w:p>
    <w:p w14:paraId="5EA3BA56">
      <w:pPr>
        <w:rPr>
          <w:rFonts w:hint="eastAsia" w:ascii="宋体" w:hAnsi="宋体" w:cs="宋体"/>
          <w:color w:val="000000"/>
          <w:lang w:val="zh-CN"/>
        </w:rPr>
      </w:pPr>
    </w:p>
    <w:p w14:paraId="2967099A">
      <w:pPr>
        <w:rPr>
          <w:rFonts w:hint="eastAsia" w:ascii="宋体" w:hAnsi="宋体" w:cs="宋体"/>
          <w:color w:val="000000"/>
          <w:lang w:val="zh-CN"/>
        </w:rPr>
      </w:pPr>
    </w:p>
    <w:p w14:paraId="2ABF72EB">
      <w:pPr>
        <w:rPr>
          <w:rFonts w:hint="eastAsia" w:ascii="宋体" w:hAnsi="宋体" w:cs="宋体"/>
          <w:color w:val="000000"/>
          <w:lang w:val="zh-CN"/>
        </w:rPr>
      </w:pPr>
    </w:p>
    <w:p w14:paraId="44D0FC3C">
      <w:pPr>
        <w:rPr>
          <w:rFonts w:hint="eastAsia" w:ascii="宋体" w:hAnsi="宋体" w:cs="宋体"/>
          <w:color w:val="000000"/>
          <w:lang w:val="zh-CN"/>
        </w:rPr>
      </w:pPr>
    </w:p>
    <w:p w14:paraId="51C6B72F">
      <w:pPr>
        <w:rPr>
          <w:rFonts w:hint="eastAsia" w:ascii="宋体" w:hAnsi="宋体" w:cs="宋体"/>
          <w:color w:val="000000"/>
          <w:lang w:val="zh-CN"/>
        </w:rPr>
      </w:pPr>
    </w:p>
    <w:bookmarkEnd w:id="80"/>
    <w:p w14:paraId="050CC073">
      <w:pPr>
        <w:pStyle w:val="28"/>
        <w:spacing w:before="0" w:after="0" w:line="360" w:lineRule="auto"/>
        <w:jc w:val="both"/>
        <w:outlineLvl w:val="1"/>
        <w:rPr>
          <w:rFonts w:hint="eastAsia" w:ascii="宋体" w:hAnsi="宋体" w:cs="宋体"/>
          <w:color w:val="000000"/>
          <w:sz w:val="30"/>
          <w:szCs w:val="30"/>
        </w:rPr>
      </w:pPr>
      <w:bookmarkStart w:id="84" w:name="_Toc24554970"/>
      <w:bookmarkStart w:id="85" w:name="_Toc31428"/>
      <w:r>
        <w:rPr>
          <w:rFonts w:hint="eastAsia" w:ascii="宋体" w:hAnsi="宋体" w:cs="宋体"/>
          <w:color w:val="000000"/>
          <w:sz w:val="30"/>
          <w:szCs w:val="30"/>
        </w:rPr>
        <w:t>（15）</w:t>
      </w:r>
      <w:r>
        <w:rPr>
          <w:rFonts w:hint="eastAsia" w:ascii="宋体" w:hAnsi="宋体" w:cs="宋体"/>
          <w:color w:val="000000"/>
          <w:sz w:val="30"/>
          <w:szCs w:val="30"/>
          <w:lang w:val="zh-CN"/>
        </w:rPr>
        <w:t>投标人的类似业绩证明材料</w:t>
      </w:r>
      <w:bookmarkEnd w:id="84"/>
      <w:bookmarkEnd w:id="85"/>
    </w:p>
    <w:p w14:paraId="79A97475">
      <w:pPr>
        <w:autoSpaceDE w:val="0"/>
        <w:autoSpaceDN w:val="0"/>
        <w:spacing w:line="360" w:lineRule="auto"/>
        <w:rPr>
          <w:rFonts w:hint="eastAsia" w:ascii="宋体" w:hAnsi="宋体" w:cs="宋体"/>
          <w:color w:val="000000"/>
          <w:kern w:val="0"/>
          <w:sz w:val="28"/>
          <w:szCs w:val="28"/>
          <w:lang w:val="zh-CN"/>
        </w:rPr>
      </w:pPr>
    </w:p>
    <w:p w14:paraId="22DEA5E0">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14:paraId="273BD8D8">
      <w:pPr>
        <w:autoSpaceDE w:val="0"/>
        <w:autoSpaceDN w:val="0"/>
        <w:spacing w:line="360" w:lineRule="auto"/>
        <w:rPr>
          <w:rFonts w:hint="eastAsia" w:ascii="宋体" w:hAnsi="宋体" w:cs="宋体"/>
          <w:color w:val="000000"/>
          <w:kern w:val="0"/>
          <w:sz w:val="28"/>
          <w:szCs w:val="28"/>
          <w:lang w:val="zh-CN"/>
        </w:rPr>
      </w:pPr>
    </w:p>
    <w:p w14:paraId="74E1598F">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bookmarkStart w:id="86" w:name="_Toc26432"/>
      <w:bookmarkStart w:id="87" w:name="_Toc4509"/>
      <w:bookmarkStart w:id="88" w:name="_Toc29514"/>
      <w:bookmarkStart w:id="89" w:name="_Toc2990"/>
      <w:bookmarkStart w:id="90" w:name="_Toc7055"/>
      <w:bookmarkStart w:id="91" w:name="_Toc31210"/>
      <w:bookmarkStart w:id="92" w:name="_Toc23702"/>
      <w:r>
        <w:rPr>
          <w:rFonts w:hint="eastAsia" w:ascii="宋体" w:hAnsi="宋体" w:cs="宋体"/>
          <w:b w:val="0"/>
          <w:bCs w:val="0"/>
          <w:color w:val="000000"/>
          <w:kern w:val="0"/>
          <w:sz w:val="24"/>
          <w:szCs w:val="24"/>
          <w:lang w:val="zh-CN"/>
        </w:rPr>
        <w:t>提供自</w:t>
      </w:r>
      <w:r>
        <w:rPr>
          <w:rFonts w:hint="eastAsia" w:ascii="宋体" w:hAnsi="宋体" w:cs="宋体"/>
          <w:b w:val="0"/>
          <w:bCs w:val="0"/>
          <w:color w:val="000000"/>
          <w:kern w:val="0"/>
          <w:sz w:val="24"/>
          <w:szCs w:val="24"/>
          <w:u w:val="single"/>
          <w:lang w:val="zh-CN"/>
        </w:rPr>
        <w:t xml:space="preserve">   20</w:t>
      </w:r>
      <w:r>
        <w:rPr>
          <w:rFonts w:hint="eastAsia" w:ascii="宋体" w:hAnsi="宋体" w:cs="宋体"/>
          <w:b w:val="0"/>
          <w:bCs w:val="0"/>
          <w:color w:val="000000"/>
          <w:kern w:val="0"/>
          <w:sz w:val="24"/>
          <w:szCs w:val="24"/>
          <w:u w:val="single"/>
          <w:lang w:val="en-US" w:eastAsia="zh-CN"/>
        </w:rPr>
        <w:t>21</w:t>
      </w:r>
      <w:r>
        <w:rPr>
          <w:rFonts w:hint="eastAsia" w:ascii="宋体" w:hAnsi="宋体" w:cs="宋体"/>
          <w:b w:val="0"/>
          <w:bCs w:val="0"/>
          <w:color w:val="000000"/>
          <w:kern w:val="0"/>
          <w:sz w:val="24"/>
          <w:szCs w:val="24"/>
          <w:u w:val="single"/>
          <w:lang w:val="zh-CN"/>
        </w:rPr>
        <w:t xml:space="preserve">  </w:t>
      </w:r>
      <w:r>
        <w:rPr>
          <w:rFonts w:hint="eastAsia" w:ascii="宋体" w:hAnsi="宋体" w:cs="宋体"/>
          <w:b w:val="0"/>
          <w:bCs w:val="0"/>
          <w:color w:val="000000"/>
          <w:kern w:val="0"/>
          <w:sz w:val="24"/>
          <w:szCs w:val="24"/>
          <w:lang w:val="zh-CN"/>
        </w:rPr>
        <w:t>年以来的类似业绩证明材料。类似业绩是指与采购项目在产品类型、使用功能、合同规模等方面相同或相近的项目。需提供包含合同首页、标的及金额所在页、供货合同签字盖章页的扫描（或复印）件</w:t>
      </w:r>
      <w:bookmarkStart w:id="93" w:name="_Toc10010"/>
      <w:r>
        <w:rPr>
          <w:rFonts w:hint="eastAsia" w:ascii="宋体" w:hAnsi="宋体" w:cs="宋体"/>
          <w:b w:val="0"/>
          <w:bCs w:val="0"/>
          <w:color w:val="000000"/>
          <w:kern w:val="0"/>
          <w:sz w:val="24"/>
          <w:szCs w:val="24"/>
          <w:lang w:val="zh-CN"/>
        </w:rPr>
        <w:t>，具体要求见评分标准细则</w:t>
      </w:r>
      <w:bookmarkEnd w:id="86"/>
      <w:bookmarkEnd w:id="87"/>
      <w:bookmarkEnd w:id="88"/>
      <w:bookmarkEnd w:id="89"/>
      <w:bookmarkEnd w:id="90"/>
      <w:bookmarkEnd w:id="91"/>
      <w:bookmarkEnd w:id="92"/>
    </w:p>
    <w:p w14:paraId="201C6CBF">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66DDAE2D">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5E8136C5">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2A92D731">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0BD8AC7B">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49CBD863">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11D42F25">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19607C2C">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1F86E45B">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446F0548">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52445352">
      <w:pPr>
        <w:rPr>
          <w:rFonts w:hint="eastAsia"/>
          <w:lang w:val="zh-CN"/>
        </w:rPr>
      </w:pPr>
    </w:p>
    <w:p w14:paraId="47D55B71">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6A181574">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0F115ED5">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7983FBBF">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73C237C4">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6464064A">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457117E3">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15E1445D">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26B85DE8">
      <w:pPr>
        <w:pStyle w:val="28"/>
        <w:spacing w:before="0" w:after="0" w:line="360" w:lineRule="auto"/>
        <w:jc w:val="both"/>
        <w:outlineLvl w:val="1"/>
        <w:rPr>
          <w:rFonts w:hint="eastAsia" w:ascii="宋体" w:hAnsi="宋体" w:cs="宋体"/>
          <w:color w:val="000000"/>
          <w:sz w:val="30"/>
          <w:szCs w:val="30"/>
        </w:rPr>
      </w:pPr>
    </w:p>
    <w:p w14:paraId="1CB10505">
      <w:pPr>
        <w:pStyle w:val="28"/>
        <w:spacing w:before="0" w:after="0" w:line="360" w:lineRule="auto"/>
        <w:jc w:val="both"/>
        <w:outlineLvl w:val="1"/>
        <w:rPr>
          <w:rFonts w:hint="eastAsia" w:ascii="宋体" w:hAnsi="宋体" w:cs="宋体"/>
          <w:color w:val="000000"/>
          <w:lang w:val="zh-CN"/>
        </w:rPr>
      </w:pPr>
      <w:bookmarkStart w:id="94" w:name="_Toc29863"/>
      <w:r>
        <w:rPr>
          <w:rFonts w:hint="eastAsia" w:ascii="宋体" w:hAnsi="宋体" w:cs="宋体"/>
          <w:color w:val="000000"/>
          <w:sz w:val="30"/>
          <w:szCs w:val="30"/>
        </w:rPr>
        <w:t>（16）</w:t>
      </w:r>
      <w:r>
        <w:rPr>
          <w:rFonts w:hint="eastAsia" w:ascii="宋体" w:hAnsi="宋体" w:cs="宋体"/>
          <w:color w:val="000000"/>
          <w:sz w:val="30"/>
          <w:szCs w:val="30"/>
          <w:lang w:val="zh-CN"/>
        </w:rPr>
        <w:t>制造（生产）企业小型、微型企业声明函</w:t>
      </w:r>
      <w:bookmarkEnd w:id="93"/>
      <w:bookmarkEnd w:id="94"/>
    </w:p>
    <w:p w14:paraId="03DB4016">
      <w:pPr>
        <w:autoSpaceDE w:val="0"/>
        <w:autoSpaceDN w:val="0"/>
        <w:spacing w:line="360" w:lineRule="auto"/>
        <w:rPr>
          <w:rFonts w:hint="eastAsia" w:ascii="宋体" w:hAnsi="宋体" w:cs="宋体"/>
          <w:b/>
          <w:bCs/>
          <w:color w:val="000000"/>
          <w:kern w:val="0"/>
          <w:lang w:val="zh-CN"/>
        </w:rPr>
      </w:pPr>
    </w:p>
    <w:p w14:paraId="3107ABEF">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格尔木市政务服务和公共资源交易中心</w:t>
      </w:r>
    </w:p>
    <w:p w14:paraId="1D419D27">
      <w:pPr>
        <w:widowControl/>
        <w:ind w:firstLine="1920" w:firstLineChars="800"/>
        <w:jc w:val="left"/>
        <w:rPr>
          <w:rFonts w:hint="eastAsia" w:ascii="宋体" w:hAnsi="宋体" w:cs="宋体"/>
          <w:b/>
          <w:color w:val="000000"/>
          <w:kern w:val="0"/>
          <w:lang w:bidi="ar"/>
        </w:rPr>
      </w:pPr>
    </w:p>
    <w:p w14:paraId="0C515E13">
      <w:pPr>
        <w:widowControl/>
        <w:ind w:firstLine="2880" w:firstLineChars="1200"/>
        <w:jc w:val="both"/>
        <w:rPr>
          <w:rFonts w:ascii="Calibri" w:hAnsi="Calibri"/>
        </w:rPr>
      </w:pPr>
      <w:r>
        <w:rPr>
          <w:rFonts w:hint="eastAsia" w:ascii="宋体" w:hAnsi="宋体" w:cs="宋体"/>
          <w:b/>
          <w:color w:val="000000"/>
          <w:kern w:val="0"/>
          <w:lang w:bidi="ar"/>
        </w:rPr>
        <w:t>中小企业声明函（货物）</w:t>
      </w:r>
    </w:p>
    <w:p w14:paraId="18E3C025">
      <w:pPr>
        <w:widowControl/>
        <w:spacing w:line="560" w:lineRule="exact"/>
        <w:ind w:firstLine="480" w:firstLineChars="200"/>
        <w:jc w:val="left"/>
        <w:rPr>
          <w:rFonts w:ascii="宋体" w:hAnsi="宋体"/>
        </w:rPr>
      </w:pPr>
      <w:r>
        <w:rPr>
          <w:rFonts w:ascii="宋体" w:hAnsi="宋体" w:cs="仿宋"/>
          <w:color w:val="000000"/>
          <w:kern w:val="0"/>
          <w:lang w:bidi="ar"/>
        </w:rPr>
        <w:t>本公司（联合体）郑重声明，根据《政府采购促进中小</w:t>
      </w:r>
      <w:r>
        <w:rPr>
          <w:rFonts w:hint="eastAsia" w:ascii="宋体" w:hAnsi="宋体" w:cs="仿宋"/>
          <w:color w:val="000000"/>
          <w:kern w:val="0"/>
          <w:lang w:bidi="ar"/>
        </w:rPr>
        <w:t>企业发展管理办法》（财库</w:t>
      </w:r>
      <w:r>
        <w:rPr>
          <w:rFonts w:hint="eastAsia" w:ascii="宋体" w:hAnsi="宋体" w:cs="宋体"/>
          <w:color w:val="000000"/>
          <w:kern w:val="0"/>
          <w:lang w:bidi="ar"/>
        </w:rPr>
        <w:t>﹝</w:t>
      </w:r>
      <w:r>
        <w:rPr>
          <w:rFonts w:hint="eastAsia" w:ascii="宋体" w:hAnsi="宋体" w:cs="仿宋"/>
          <w:color w:val="000000"/>
          <w:kern w:val="0"/>
          <w:lang w:bidi="ar"/>
        </w:rPr>
        <w:t>2020</w:t>
      </w:r>
      <w:r>
        <w:rPr>
          <w:rFonts w:hint="eastAsia" w:ascii="宋体" w:hAnsi="宋体" w:cs="宋体"/>
          <w:color w:val="000000"/>
          <w:kern w:val="0"/>
          <w:lang w:bidi="ar"/>
        </w:rPr>
        <w:t>﹞</w:t>
      </w:r>
      <w:r>
        <w:rPr>
          <w:rFonts w:hint="eastAsia" w:ascii="宋体" w:hAnsi="宋体" w:cs="仿宋"/>
          <w:color w:val="000000"/>
          <w:kern w:val="0"/>
          <w:lang w:bidi="ar"/>
        </w:rPr>
        <w:t>46 号）的规定，本公司（联合体）参加</w:t>
      </w:r>
      <w:r>
        <w:rPr>
          <w:rFonts w:hint="eastAsia" w:ascii="宋体" w:hAnsi="宋体" w:cs="仿宋"/>
          <w:iCs/>
          <w:color w:val="000000"/>
          <w:kern w:val="0"/>
          <w:u w:val="single"/>
          <w:lang w:bidi="ar"/>
        </w:rPr>
        <w:t>（单位名称）</w:t>
      </w:r>
      <w:r>
        <w:rPr>
          <w:rFonts w:hint="eastAsia" w:ascii="宋体" w:hAnsi="宋体" w:cs="仿宋"/>
          <w:color w:val="000000"/>
          <w:kern w:val="0"/>
          <w:lang w:bidi="ar"/>
        </w:rPr>
        <w:t>的</w:t>
      </w:r>
      <w:r>
        <w:rPr>
          <w:rFonts w:hint="eastAsia" w:ascii="宋体" w:hAnsi="宋体" w:cs="仿宋"/>
          <w:iCs/>
          <w:color w:val="000000"/>
          <w:kern w:val="0"/>
          <w:u w:val="single"/>
          <w:lang w:bidi="ar"/>
        </w:rPr>
        <w:t>（项目名称）</w:t>
      </w:r>
      <w:r>
        <w:rPr>
          <w:rFonts w:hint="eastAsia" w:ascii="宋体" w:hAnsi="宋体" w:cs="仿宋"/>
          <w:color w:val="000000"/>
          <w:kern w:val="0"/>
          <w:lang w:bidi="ar"/>
        </w:rPr>
        <w:t xml:space="preserve">采购活动，提供的货物全部由符合政策要求的中小企业制造。相关企业（含联合体中的中小企业、签订分包意向协议的中小企业）的具体情况如下： </w:t>
      </w:r>
    </w:p>
    <w:p w14:paraId="5236F987">
      <w:pPr>
        <w:widowControl/>
        <w:spacing w:line="560" w:lineRule="exact"/>
        <w:ind w:firstLine="480" w:firstLineChars="200"/>
        <w:jc w:val="left"/>
        <w:rPr>
          <w:rFonts w:ascii="宋体" w:hAnsi="宋体"/>
        </w:rPr>
      </w:pPr>
      <w:r>
        <w:rPr>
          <w:rFonts w:hint="eastAsia" w:ascii="宋体" w:hAnsi="宋体" w:cs="仿宋"/>
          <w:color w:val="000000"/>
          <w:kern w:val="0"/>
          <w:lang w:bidi="ar"/>
        </w:rPr>
        <w:t xml:space="preserve">1. </w:t>
      </w:r>
      <w:r>
        <w:rPr>
          <w:rFonts w:hint="eastAsia" w:ascii="宋体" w:hAnsi="宋体" w:cs="仿宋"/>
          <w:iCs/>
          <w:color w:val="000000"/>
          <w:kern w:val="0"/>
          <w:u w:val="single"/>
          <w:lang w:bidi="ar"/>
        </w:rPr>
        <w:t>（标的名称）</w:t>
      </w:r>
      <w:r>
        <w:rPr>
          <w:rFonts w:hint="eastAsia" w:ascii="宋体" w:hAnsi="宋体" w:cs="仿宋"/>
          <w:i/>
          <w:color w:val="000000"/>
          <w:kern w:val="0"/>
          <w:lang w:bidi="ar"/>
        </w:rPr>
        <w:t xml:space="preserve"> </w:t>
      </w:r>
      <w:r>
        <w:rPr>
          <w:rFonts w:hint="eastAsia" w:ascii="宋体" w:hAnsi="宋体" w:cs="仿宋"/>
          <w:color w:val="000000"/>
          <w:kern w:val="0"/>
          <w:lang w:bidi="ar"/>
        </w:rPr>
        <w:t>，属于</w:t>
      </w:r>
      <w:r>
        <w:rPr>
          <w:rFonts w:hint="eastAsia" w:ascii="宋体" w:hAnsi="宋体" w:cs="仿宋"/>
          <w:iCs/>
          <w:color w:val="000000"/>
          <w:kern w:val="0"/>
          <w:u w:val="single"/>
          <w:lang w:bidi="ar"/>
        </w:rPr>
        <w:t>（采购文件中明确的所属行业）</w:t>
      </w:r>
      <w:r>
        <w:rPr>
          <w:rFonts w:hint="eastAsia" w:ascii="宋体" w:hAnsi="宋体" w:cs="仿宋"/>
          <w:iCs/>
          <w:color w:val="000000"/>
          <w:kern w:val="0"/>
          <w:lang w:bidi="ar"/>
        </w:rPr>
        <w:t>行业</w:t>
      </w:r>
      <w:r>
        <w:rPr>
          <w:rFonts w:hint="eastAsia" w:ascii="宋体" w:hAnsi="宋体" w:cs="仿宋"/>
          <w:color w:val="000000"/>
          <w:kern w:val="0"/>
          <w:lang w:bidi="ar"/>
        </w:rPr>
        <w:t>；制造商为</w:t>
      </w:r>
      <w:r>
        <w:rPr>
          <w:rFonts w:hint="eastAsia" w:ascii="宋体" w:hAnsi="宋体" w:cs="仿宋"/>
          <w:iCs/>
          <w:color w:val="000000"/>
          <w:kern w:val="0"/>
          <w:u w:val="single"/>
          <w:lang w:bidi="ar"/>
        </w:rPr>
        <w:t>（企业名称）</w:t>
      </w:r>
      <w:r>
        <w:rPr>
          <w:rFonts w:hint="eastAsia" w:ascii="宋体" w:hAnsi="宋体" w:cs="仿宋"/>
          <w:color w:val="000000"/>
          <w:kern w:val="0"/>
          <w:lang w:bidi="ar"/>
        </w:rPr>
        <w:t xml:space="preserve">，从业人员 </w:t>
      </w:r>
      <w:r>
        <w:rPr>
          <w:rFonts w:hint="eastAsia" w:ascii="宋体" w:hAnsi="宋体" w:cs="仿宋"/>
          <w:color w:val="000000"/>
          <w:kern w:val="0"/>
          <w:u w:val="single"/>
          <w:lang w:bidi="ar"/>
        </w:rPr>
        <w:t xml:space="preserve">     </w:t>
      </w:r>
      <w:r>
        <w:rPr>
          <w:rFonts w:hint="eastAsia" w:ascii="宋体" w:hAnsi="宋体" w:cs="仿宋"/>
          <w:color w:val="000000"/>
          <w:kern w:val="0"/>
          <w:lang w:bidi="ar"/>
        </w:rPr>
        <w:t>人，营业收入为</w:t>
      </w:r>
      <w:r>
        <w:rPr>
          <w:rFonts w:hint="eastAsia" w:ascii="宋体" w:hAnsi="宋体" w:cs="仿宋"/>
          <w:color w:val="000000"/>
          <w:kern w:val="0"/>
          <w:u w:val="single"/>
          <w:lang w:bidi="ar"/>
        </w:rPr>
        <w:t xml:space="preserve">     </w:t>
      </w:r>
      <w:r>
        <w:rPr>
          <w:rFonts w:hint="eastAsia" w:ascii="宋体" w:hAnsi="宋体" w:cs="仿宋"/>
          <w:color w:val="000000"/>
          <w:kern w:val="0"/>
          <w:lang w:bidi="ar"/>
        </w:rPr>
        <w:t>万元，资产总额为</w:t>
      </w:r>
      <w:r>
        <w:rPr>
          <w:rFonts w:hint="eastAsia" w:ascii="宋体" w:hAnsi="宋体" w:cs="仿宋"/>
          <w:color w:val="000000"/>
          <w:kern w:val="0"/>
          <w:u w:val="single"/>
          <w:lang w:bidi="ar"/>
        </w:rPr>
        <w:t xml:space="preserve">         </w:t>
      </w:r>
      <w:r>
        <w:rPr>
          <w:rFonts w:hint="eastAsia" w:ascii="宋体" w:hAnsi="宋体" w:cs="仿宋"/>
          <w:color w:val="000000"/>
          <w:kern w:val="0"/>
          <w:lang w:bidi="ar"/>
        </w:rPr>
        <w:t>万元，属于</w:t>
      </w:r>
      <w:r>
        <w:rPr>
          <w:rFonts w:hint="eastAsia" w:ascii="宋体" w:hAnsi="宋体" w:cs="仿宋"/>
          <w:iCs/>
          <w:color w:val="000000"/>
          <w:kern w:val="0"/>
          <w:u w:val="single"/>
          <w:lang w:bidi="ar"/>
        </w:rPr>
        <w:t>（中型企业、小型企业、微型企业）</w:t>
      </w:r>
      <w:r>
        <w:rPr>
          <w:rFonts w:hint="eastAsia" w:ascii="宋体" w:hAnsi="宋体" w:cs="仿宋"/>
          <w:color w:val="000000"/>
          <w:kern w:val="0"/>
          <w:lang w:bidi="ar"/>
        </w:rPr>
        <w:t xml:space="preserve">； </w:t>
      </w:r>
    </w:p>
    <w:p w14:paraId="5A785B71">
      <w:pPr>
        <w:widowControl/>
        <w:spacing w:line="560" w:lineRule="exact"/>
        <w:ind w:firstLine="480" w:firstLineChars="200"/>
        <w:jc w:val="left"/>
        <w:rPr>
          <w:rFonts w:ascii="宋体" w:hAnsi="宋体"/>
        </w:rPr>
      </w:pPr>
      <w:r>
        <w:rPr>
          <w:rFonts w:hint="eastAsia" w:ascii="宋体" w:hAnsi="宋体" w:cs="仿宋"/>
          <w:color w:val="000000"/>
          <w:kern w:val="0"/>
          <w:lang w:bidi="ar"/>
        </w:rPr>
        <w:t xml:space="preserve">2. </w:t>
      </w:r>
      <w:r>
        <w:rPr>
          <w:rFonts w:hint="eastAsia" w:ascii="宋体" w:hAnsi="宋体" w:cs="仿宋"/>
          <w:iCs/>
          <w:color w:val="000000"/>
          <w:kern w:val="0"/>
          <w:u w:val="single"/>
          <w:lang w:bidi="ar"/>
        </w:rPr>
        <w:t>（标的名称）</w:t>
      </w:r>
      <w:r>
        <w:rPr>
          <w:rFonts w:hint="eastAsia" w:ascii="宋体" w:hAnsi="宋体" w:cs="仿宋"/>
          <w:i/>
          <w:color w:val="000000"/>
          <w:kern w:val="0"/>
          <w:lang w:bidi="ar"/>
        </w:rPr>
        <w:t xml:space="preserve"> </w:t>
      </w:r>
      <w:r>
        <w:rPr>
          <w:rFonts w:hint="eastAsia" w:ascii="宋体" w:hAnsi="宋体" w:cs="仿宋"/>
          <w:color w:val="000000"/>
          <w:kern w:val="0"/>
          <w:lang w:bidi="ar"/>
        </w:rPr>
        <w:t>，属于</w:t>
      </w:r>
      <w:r>
        <w:rPr>
          <w:rFonts w:hint="eastAsia" w:ascii="宋体" w:hAnsi="宋体" w:cs="仿宋"/>
          <w:iCs/>
          <w:color w:val="000000"/>
          <w:kern w:val="0"/>
          <w:u w:val="single"/>
          <w:lang w:bidi="ar"/>
        </w:rPr>
        <w:t>（采购文件中明确的所属行业）</w:t>
      </w:r>
      <w:r>
        <w:rPr>
          <w:rFonts w:hint="eastAsia" w:ascii="宋体" w:hAnsi="宋体" w:cs="仿宋"/>
          <w:iCs/>
          <w:color w:val="000000"/>
          <w:kern w:val="0"/>
          <w:lang w:bidi="ar"/>
        </w:rPr>
        <w:t>行业</w:t>
      </w:r>
      <w:r>
        <w:rPr>
          <w:rFonts w:hint="eastAsia" w:ascii="宋体" w:hAnsi="宋体" w:cs="仿宋"/>
          <w:color w:val="000000"/>
          <w:kern w:val="0"/>
          <w:lang w:bidi="ar"/>
        </w:rPr>
        <w:t>；制造商为</w:t>
      </w:r>
      <w:r>
        <w:rPr>
          <w:rFonts w:hint="eastAsia" w:ascii="宋体" w:hAnsi="宋体" w:cs="仿宋"/>
          <w:iCs/>
          <w:color w:val="000000"/>
          <w:kern w:val="0"/>
          <w:u w:val="single"/>
          <w:lang w:bidi="ar"/>
        </w:rPr>
        <w:t>（企业名称）</w:t>
      </w:r>
      <w:r>
        <w:rPr>
          <w:rFonts w:hint="eastAsia" w:ascii="宋体" w:hAnsi="宋体" w:cs="仿宋"/>
          <w:color w:val="000000"/>
          <w:kern w:val="0"/>
          <w:lang w:bidi="ar"/>
        </w:rPr>
        <w:t>，从业人员</w:t>
      </w:r>
      <w:r>
        <w:rPr>
          <w:rFonts w:hint="eastAsia" w:ascii="宋体" w:hAnsi="宋体" w:cs="仿宋"/>
          <w:color w:val="000000"/>
          <w:kern w:val="0"/>
          <w:u w:val="single"/>
          <w:lang w:bidi="ar"/>
        </w:rPr>
        <w:t xml:space="preserve">     </w:t>
      </w:r>
      <w:r>
        <w:rPr>
          <w:rFonts w:hint="eastAsia" w:ascii="宋体" w:hAnsi="宋体" w:cs="仿宋"/>
          <w:color w:val="000000"/>
          <w:kern w:val="0"/>
          <w:lang w:bidi="ar"/>
        </w:rPr>
        <w:t>人，营业收入为</w:t>
      </w:r>
      <w:r>
        <w:rPr>
          <w:rFonts w:hint="eastAsia" w:ascii="宋体" w:hAnsi="宋体" w:cs="仿宋"/>
          <w:color w:val="000000"/>
          <w:kern w:val="0"/>
          <w:u w:val="single"/>
          <w:lang w:bidi="ar"/>
        </w:rPr>
        <w:t xml:space="preserve">     </w:t>
      </w:r>
      <w:r>
        <w:rPr>
          <w:rFonts w:hint="eastAsia" w:ascii="宋体" w:hAnsi="宋体" w:cs="仿宋"/>
          <w:color w:val="000000"/>
          <w:kern w:val="0"/>
          <w:lang w:bidi="ar"/>
        </w:rPr>
        <w:t>万元，资产总额为</w:t>
      </w:r>
      <w:r>
        <w:rPr>
          <w:rFonts w:hint="eastAsia" w:ascii="宋体" w:hAnsi="宋体" w:cs="仿宋"/>
          <w:color w:val="000000"/>
          <w:kern w:val="0"/>
          <w:u w:val="single"/>
          <w:lang w:bidi="ar"/>
        </w:rPr>
        <w:t xml:space="preserve">       </w:t>
      </w:r>
      <w:r>
        <w:rPr>
          <w:rFonts w:hint="eastAsia" w:ascii="宋体" w:hAnsi="宋体" w:cs="仿宋"/>
          <w:color w:val="000000"/>
          <w:kern w:val="0"/>
          <w:lang w:bidi="ar"/>
        </w:rPr>
        <w:t>万元，属于</w:t>
      </w:r>
      <w:r>
        <w:rPr>
          <w:rFonts w:hint="eastAsia" w:ascii="宋体" w:hAnsi="宋体" w:cs="仿宋"/>
          <w:iCs/>
          <w:color w:val="000000"/>
          <w:kern w:val="0"/>
          <w:u w:val="single"/>
          <w:lang w:bidi="ar"/>
        </w:rPr>
        <w:t>（中型企业、小型企业、微型企业）</w:t>
      </w:r>
      <w:r>
        <w:rPr>
          <w:rFonts w:hint="eastAsia" w:ascii="宋体" w:hAnsi="宋体" w:cs="仿宋"/>
          <w:color w:val="000000"/>
          <w:kern w:val="0"/>
          <w:lang w:bidi="ar"/>
        </w:rPr>
        <w:t xml:space="preserve">； </w:t>
      </w:r>
    </w:p>
    <w:p w14:paraId="3B7BC652">
      <w:pPr>
        <w:widowControl/>
        <w:spacing w:line="560" w:lineRule="exact"/>
        <w:jc w:val="left"/>
        <w:rPr>
          <w:rFonts w:ascii="宋体" w:hAnsi="宋体"/>
        </w:rPr>
      </w:pPr>
      <w:r>
        <w:rPr>
          <w:rFonts w:hint="eastAsia" w:ascii="宋体" w:hAnsi="宋体" w:cs="仿宋"/>
          <w:color w:val="000000"/>
          <w:kern w:val="0"/>
          <w:lang w:bidi="ar"/>
        </w:rPr>
        <w:t>……</w:t>
      </w:r>
    </w:p>
    <w:p w14:paraId="542AF184">
      <w:pPr>
        <w:widowControl/>
        <w:spacing w:line="560" w:lineRule="exact"/>
        <w:ind w:firstLine="480" w:firstLineChars="200"/>
        <w:jc w:val="left"/>
        <w:rPr>
          <w:rFonts w:ascii="宋体" w:hAnsi="宋体"/>
        </w:rPr>
      </w:pPr>
      <w:r>
        <w:rPr>
          <w:rFonts w:hint="eastAsia" w:ascii="宋体" w:hAnsi="宋体" w:cs="仿宋"/>
          <w:color w:val="000000"/>
          <w:kern w:val="0"/>
          <w:lang w:bidi="ar"/>
        </w:rPr>
        <w:t>以上企业，不属于大企业的分支机构，不存在控股股东为大企业的情形，也不存在与大企业的负责人为同一人的情形。</w:t>
      </w:r>
    </w:p>
    <w:p w14:paraId="1C6FE72E">
      <w:pPr>
        <w:widowControl/>
        <w:spacing w:line="560" w:lineRule="exact"/>
        <w:ind w:firstLine="480" w:firstLineChars="200"/>
        <w:jc w:val="left"/>
        <w:rPr>
          <w:rFonts w:ascii="宋体" w:hAnsi="宋体"/>
        </w:rPr>
      </w:pPr>
      <w:r>
        <w:rPr>
          <w:rFonts w:hint="eastAsia" w:ascii="宋体" w:hAnsi="宋体" w:cs="仿宋"/>
          <w:color w:val="000000"/>
          <w:kern w:val="0"/>
          <w:lang w:bidi="ar"/>
        </w:rPr>
        <w:t xml:space="preserve">本企业对上述声明内容的真实性负责。如有虚假，将依法承担相应责任。 </w:t>
      </w:r>
    </w:p>
    <w:p w14:paraId="287011EB">
      <w:pPr>
        <w:spacing w:before="78" w:line="219" w:lineRule="auto"/>
        <w:ind w:left="23"/>
        <w:rPr>
          <w:rFonts w:ascii="宋体" w:hAnsi="宋体" w:eastAsia="宋体" w:cs="宋体"/>
          <w:b/>
          <w:bCs/>
          <w:spacing w:val="-1"/>
          <w:sz w:val="24"/>
          <w:szCs w:val="24"/>
        </w:rPr>
      </w:pPr>
    </w:p>
    <w:p w14:paraId="59222200">
      <w:pPr>
        <w:spacing w:before="78" w:line="219" w:lineRule="auto"/>
        <w:ind w:left="23"/>
        <w:rPr>
          <w:rFonts w:ascii="宋体" w:hAnsi="宋体" w:eastAsia="宋体" w:cs="宋体"/>
          <w:b w:val="0"/>
          <w:bCs w:val="0"/>
          <w:spacing w:val="-1"/>
          <w:sz w:val="24"/>
          <w:szCs w:val="24"/>
        </w:rPr>
      </w:pPr>
      <w:r>
        <w:rPr>
          <w:rFonts w:ascii="宋体" w:hAnsi="宋体" w:eastAsia="宋体" w:cs="宋体"/>
          <w:b w:val="0"/>
          <w:bCs w:val="0"/>
          <w:spacing w:val="-1"/>
          <w:sz w:val="24"/>
          <w:szCs w:val="24"/>
        </w:rPr>
        <w:t>注：若无此项内容，可不提供此函。</w:t>
      </w:r>
    </w:p>
    <w:p w14:paraId="5622C677">
      <w:pPr>
        <w:widowControl/>
        <w:spacing w:line="560" w:lineRule="exact"/>
        <w:ind w:firstLine="3120" w:firstLineChars="1300"/>
        <w:jc w:val="left"/>
        <w:rPr>
          <w:rFonts w:hint="eastAsia" w:ascii="宋体" w:hAnsi="宋体" w:cs="仿宋"/>
          <w:color w:val="000000"/>
          <w:kern w:val="0"/>
          <w:lang w:bidi="ar"/>
        </w:rPr>
      </w:pPr>
    </w:p>
    <w:p w14:paraId="10EA511A">
      <w:pPr>
        <w:widowControl/>
        <w:spacing w:line="560" w:lineRule="exact"/>
        <w:ind w:firstLine="3120" w:firstLineChars="1300"/>
        <w:jc w:val="left"/>
        <w:rPr>
          <w:rFonts w:hint="eastAsia" w:ascii="宋体" w:hAnsi="宋体" w:cs="仿宋"/>
          <w:color w:val="000000"/>
          <w:kern w:val="0"/>
          <w:lang w:bidi="ar"/>
        </w:rPr>
      </w:pPr>
    </w:p>
    <w:p w14:paraId="2C67C947">
      <w:pPr>
        <w:pStyle w:val="28"/>
        <w:spacing w:line="560" w:lineRule="exact"/>
        <w:rPr>
          <w:rFonts w:hint="eastAsia" w:ascii="宋体" w:hAnsi="宋体"/>
          <w:sz w:val="24"/>
          <w:szCs w:val="24"/>
        </w:rPr>
      </w:pPr>
    </w:p>
    <w:p w14:paraId="7BC4A4E1">
      <w:pPr>
        <w:widowControl/>
        <w:spacing w:line="560" w:lineRule="exact"/>
        <w:ind w:firstLine="4320" w:firstLineChars="1800"/>
        <w:jc w:val="left"/>
        <w:rPr>
          <w:rFonts w:ascii="宋体" w:hAnsi="宋体"/>
        </w:rPr>
      </w:pPr>
      <w:r>
        <w:rPr>
          <w:rFonts w:hint="eastAsia" w:ascii="宋体" w:hAnsi="宋体" w:cs="仿宋"/>
          <w:color w:val="000000"/>
          <w:kern w:val="0"/>
          <w:lang w:bidi="ar"/>
        </w:rPr>
        <w:t xml:space="preserve">企业名称（盖章）： </w:t>
      </w:r>
    </w:p>
    <w:p w14:paraId="418A5B3B">
      <w:pPr>
        <w:widowControl/>
        <w:spacing w:line="560" w:lineRule="exact"/>
        <w:ind w:firstLine="4800" w:firstLineChars="2000"/>
        <w:jc w:val="left"/>
        <w:rPr>
          <w:rFonts w:ascii="Calibri" w:hAnsi="Calibri"/>
          <w:sz w:val="21"/>
        </w:rPr>
      </w:pPr>
      <w:r>
        <w:rPr>
          <w:rFonts w:hint="eastAsia" w:ascii="宋体" w:hAnsi="宋体" w:cs="仿宋"/>
          <w:color w:val="000000"/>
          <w:kern w:val="0"/>
          <w:lang w:bidi="ar"/>
        </w:rPr>
        <w:t>日   期：</w:t>
      </w:r>
      <w:r>
        <w:rPr>
          <w:rFonts w:hint="eastAsia" w:ascii="仿宋" w:hAnsi="仿宋" w:eastAsia="仿宋" w:cs="仿宋"/>
          <w:color w:val="000000"/>
          <w:kern w:val="0"/>
          <w:sz w:val="31"/>
          <w:szCs w:val="31"/>
          <w:lang w:bidi="ar"/>
        </w:rPr>
        <w:t xml:space="preserve"> </w:t>
      </w:r>
    </w:p>
    <w:p w14:paraId="68D5AA2C">
      <w:pPr>
        <w:pStyle w:val="28"/>
        <w:spacing w:before="0" w:after="0" w:line="360" w:lineRule="auto"/>
        <w:jc w:val="left"/>
        <w:outlineLvl w:val="1"/>
        <w:rPr>
          <w:rFonts w:hint="eastAsia" w:ascii="宋体" w:hAnsi="宋体" w:cs="宋体"/>
          <w:b w:val="0"/>
          <w:sz w:val="28"/>
          <w:szCs w:val="28"/>
        </w:rPr>
      </w:pPr>
      <w:r>
        <w:rPr>
          <w:rFonts w:hint="eastAsia" w:ascii="宋体" w:hAnsi="宋体" w:cs="宋体"/>
          <w:color w:val="000000"/>
          <w:lang w:val="zh-CN"/>
        </w:rPr>
        <w:br w:type="page"/>
      </w:r>
      <w:bookmarkStart w:id="95" w:name="_Toc30541"/>
      <w:bookmarkStart w:id="96" w:name="_Toc743"/>
      <w:r>
        <w:rPr>
          <w:rFonts w:hint="eastAsia" w:ascii="宋体" w:hAnsi="宋体" w:cs="宋体"/>
          <w:bCs w:val="0"/>
          <w:sz w:val="28"/>
          <w:szCs w:val="28"/>
          <w:lang w:val="zh-CN"/>
        </w:rPr>
        <w:t>（</w:t>
      </w:r>
      <w:r>
        <w:rPr>
          <w:rFonts w:hint="eastAsia" w:ascii="宋体" w:hAnsi="宋体" w:cs="宋体"/>
          <w:bCs w:val="0"/>
          <w:sz w:val="28"/>
          <w:szCs w:val="28"/>
        </w:rPr>
        <w:t>17</w:t>
      </w:r>
      <w:r>
        <w:rPr>
          <w:rFonts w:hint="eastAsia" w:ascii="宋体" w:hAnsi="宋体" w:cs="宋体"/>
          <w:bCs w:val="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sz w:val="28"/>
          <w:szCs w:val="28"/>
        </w:rPr>
        <w:t>福利性单位声明函</w:t>
      </w:r>
      <w:bookmarkEnd w:id="95"/>
    </w:p>
    <w:p w14:paraId="34937811">
      <w:pPr>
        <w:jc w:val="center"/>
        <w:rPr>
          <w:rFonts w:hint="eastAsia" w:ascii="宋体" w:hAnsi="宋体" w:cs="宋体"/>
          <w:b/>
          <w:sz w:val="36"/>
          <w:szCs w:val="36"/>
        </w:rPr>
      </w:pPr>
      <w:bookmarkStart w:id="97" w:name="OLE_LINK13"/>
      <w:bookmarkStart w:id="98" w:name="OLE_LINK14"/>
    </w:p>
    <w:p w14:paraId="2457B285">
      <w:pPr>
        <w:jc w:val="center"/>
        <w:rPr>
          <w:rFonts w:hint="eastAsia" w:ascii="宋体" w:hAnsi="宋体" w:cs="宋体"/>
          <w:b/>
          <w:sz w:val="36"/>
          <w:szCs w:val="36"/>
        </w:rPr>
      </w:pPr>
      <w:r>
        <w:rPr>
          <w:rFonts w:hint="eastAsia" w:ascii="宋体" w:hAnsi="宋体" w:cs="宋体"/>
          <w:b/>
          <w:sz w:val="36"/>
          <w:szCs w:val="36"/>
        </w:rPr>
        <w:t>残疾人福利性单位声明函</w:t>
      </w:r>
    </w:p>
    <w:bookmarkEnd w:id="97"/>
    <w:bookmarkEnd w:id="98"/>
    <w:p w14:paraId="175B7E24">
      <w:pPr>
        <w:spacing w:after="156" w:afterLines="50"/>
        <w:rPr>
          <w:rFonts w:hint="eastAsia" w:ascii="宋体" w:hAnsi="宋体" w:cs="宋体"/>
          <w:bCs/>
        </w:rPr>
      </w:pPr>
    </w:p>
    <w:p w14:paraId="034E8D91">
      <w:pPr>
        <w:spacing w:after="156" w:afterLines="50"/>
        <w:rPr>
          <w:rFonts w:hint="eastAsia" w:ascii="宋体" w:hAnsi="宋体" w:cs="宋体"/>
          <w:b/>
          <w:bCs/>
        </w:rPr>
      </w:pPr>
      <w:r>
        <w:rPr>
          <w:rFonts w:hint="eastAsia" w:ascii="宋体" w:hAnsi="宋体" w:cs="宋体"/>
          <w:b/>
          <w:bCs/>
        </w:rPr>
        <w:t>致：</w:t>
      </w:r>
      <w:r>
        <w:rPr>
          <w:rFonts w:hint="eastAsia" w:ascii="宋体" w:hAnsi="宋体" w:cs="宋体"/>
          <w:b/>
          <w:bCs/>
          <w:color w:val="000000"/>
          <w:kern w:val="0"/>
          <w:u w:val="dashDotHeavy"/>
          <w:lang w:val="zh-CN"/>
        </w:rPr>
        <w:t>格尔木市政务服务和公共资源交易中心</w:t>
      </w:r>
    </w:p>
    <w:p w14:paraId="56095EDF">
      <w:pPr>
        <w:spacing w:line="360" w:lineRule="auto"/>
        <w:ind w:firstLine="480"/>
        <w:rPr>
          <w:rFonts w:hint="eastAsia" w:ascii="宋体" w:hAnsi="宋体" w:cs="宋体"/>
        </w:rPr>
      </w:pPr>
    </w:p>
    <w:p w14:paraId="378D7297">
      <w:pPr>
        <w:spacing w:line="360" w:lineRule="auto"/>
        <w:ind w:firstLine="480"/>
        <w:rPr>
          <w:rFonts w:hint="eastAsia"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14:paraId="5DDD6A47">
      <w:pPr>
        <w:spacing w:line="360" w:lineRule="auto"/>
        <w:ind w:firstLine="480"/>
        <w:rPr>
          <w:rFonts w:hint="eastAsia" w:ascii="宋体" w:hAnsi="宋体" w:cs="宋体"/>
        </w:rPr>
      </w:pPr>
      <w:r>
        <w:rPr>
          <w:rFonts w:hint="eastAsia" w:ascii="宋体" w:hAnsi="宋体" w:cs="宋体"/>
        </w:rPr>
        <w:t>本单位对上述声明的真实性负责。如有虚假，将依法承担相应责任。</w:t>
      </w:r>
    </w:p>
    <w:p w14:paraId="51788F60">
      <w:pPr>
        <w:spacing w:line="360" w:lineRule="auto"/>
        <w:ind w:firstLine="480"/>
        <w:rPr>
          <w:rFonts w:hint="eastAsia" w:ascii="宋体" w:hAnsi="宋体" w:cs="宋体"/>
        </w:rPr>
      </w:pPr>
    </w:p>
    <w:p w14:paraId="56106003">
      <w:pPr>
        <w:spacing w:line="360" w:lineRule="auto"/>
        <w:rPr>
          <w:rFonts w:hint="eastAsia" w:ascii="宋体" w:hAnsi="宋体" w:cs="宋体"/>
        </w:rPr>
      </w:pPr>
      <w:r>
        <w:rPr>
          <w:rFonts w:hint="eastAsia" w:ascii="宋体" w:hAnsi="宋体" w:cs="宋体"/>
        </w:rPr>
        <w:t>注：若无此项内容，可不提供此函。</w:t>
      </w:r>
    </w:p>
    <w:p w14:paraId="36C77D2E">
      <w:pPr>
        <w:spacing w:line="360" w:lineRule="auto"/>
        <w:ind w:firstLine="480"/>
        <w:rPr>
          <w:rFonts w:hint="eastAsia" w:ascii="宋体" w:hAnsi="宋体" w:cs="宋体"/>
        </w:rPr>
      </w:pPr>
    </w:p>
    <w:p w14:paraId="7A690F3B">
      <w:pPr>
        <w:spacing w:line="360" w:lineRule="auto"/>
        <w:ind w:firstLine="480"/>
        <w:rPr>
          <w:rFonts w:hint="eastAsia" w:ascii="宋体" w:hAnsi="宋体" w:cs="宋体"/>
        </w:rPr>
      </w:pPr>
    </w:p>
    <w:p w14:paraId="3E715256">
      <w:pPr>
        <w:spacing w:line="360" w:lineRule="auto"/>
        <w:ind w:firstLine="480"/>
        <w:rPr>
          <w:rFonts w:hint="eastAsia" w:ascii="宋体" w:hAnsi="宋体" w:cs="宋体"/>
        </w:rPr>
      </w:pPr>
    </w:p>
    <w:p w14:paraId="4E86DCC3">
      <w:pPr>
        <w:spacing w:line="360" w:lineRule="auto"/>
        <w:ind w:firstLine="480"/>
        <w:rPr>
          <w:rFonts w:hint="eastAsia" w:ascii="宋体" w:hAnsi="宋体" w:cs="宋体"/>
        </w:rPr>
      </w:pPr>
    </w:p>
    <w:p w14:paraId="0C516D3F">
      <w:pPr>
        <w:spacing w:line="360" w:lineRule="auto"/>
        <w:ind w:firstLine="480"/>
        <w:rPr>
          <w:rFonts w:hint="eastAsia" w:ascii="宋体" w:hAnsi="宋体" w:cs="宋体"/>
        </w:rPr>
      </w:pPr>
    </w:p>
    <w:p w14:paraId="7105D9B6">
      <w:pPr>
        <w:spacing w:line="360" w:lineRule="auto"/>
        <w:ind w:firstLine="480"/>
        <w:rPr>
          <w:rFonts w:hint="eastAsia" w:ascii="宋体" w:hAnsi="宋体" w:cs="宋体"/>
        </w:rPr>
      </w:pPr>
    </w:p>
    <w:p w14:paraId="78337A71">
      <w:pPr>
        <w:spacing w:line="360" w:lineRule="auto"/>
        <w:ind w:firstLine="480"/>
        <w:rPr>
          <w:rFonts w:hint="eastAsia" w:ascii="宋体" w:hAnsi="宋体" w:cs="宋体"/>
        </w:rPr>
      </w:pPr>
    </w:p>
    <w:p w14:paraId="5AFC4262">
      <w:pPr>
        <w:spacing w:line="360" w:lineRule="auto"/>
        <w:jc w:val="center"/>
        <w:rPr>
          <w:rFonts w:hint="eastAsia"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14:paraId="12EECBBF">
      <w:pPr>
        <w:spacing w:line="360" w:lineRule="auto"/>
        <w:ind w:firstLine="482"/>
        <w:jc w:val="right"/>
        <w:rPr>
          <w:rFonts w:hint="eastAsia" w:ascii="宋体" w:hAnsi="宋体" w:cs="宋体"/>
          <w:b/>
        </w:rPr>
      </w:pPr>
      <w:r>
        <w:rPr>
          <w:rFonts w:hint="eastAsia" w:ascii="宋体" w:hAnsi="宋体" w:cs="宋体"/>
          <w:b/>
        </w:rPr>
        <w:t xml:space="preserve">                  </w:t>
      </w:r>
    </w:p>
    <w:p w14:paraId="185FF627">
      <w:pPr>
        <w:spacing w:line="360" w:lineRule="auto"/>
        <w:ind w:firstLine="482"/>
        <w:jc w:val="center"/>
        <w:rPr>
          <w:rFonts w:hint="eastAsia"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14:paraId="46DAF55B">
      <w:pPr>
        <w:ind w:firstLine="482"/>
        <w:jc w:val="center"/>
        <w:rPr>
          <w:rFonts w:hint="eastAsia" w:ascii="宋体" w:hAnsi="宋体" w:cs="宋体"/>
          <w:b/>
        </w:rPr>
      </w:pPr>
      <w:r>
        <w:rPr>
          <w:rFonts w:hint="eastAsia" w:ascii="宋体" w:hAnsi="宋体" w:cs="宋体"/>
          <w:b/>
        </w:rPr>
        <w:t xml:space="preserve">                       年   月   日</w:t>
      </w:r>
    </w:p>
    <w:p w14:paraId="58730C3E">
      <w:pPr>
        <w:pStyle w:val="28"/>
        <w:spacing w:before="0" w:after="0" w:line="360" w:lineRule="auto"/>
        <w:jc w:val="left"/>
        <w:outlineLvl w:val="1"/>
        <w:rPr>
          <w:rFonts w:hint="eastAsia" w:ascii="宋体" w:hAnsi="宋体" w:cs="宋体"/>
          <w:color w:val="000000"/>
        </w:rPr>
      </w:pPr>
      <w:r>
        <w:rPr>
          <w:rFonts w:hint="eastAsia" w:ascii="宋体" w:hAnsi="宋体" w:cs="宋体"/>
          <w:color w:val="000000"/>
          <w:lang w:val="zh-CN"/>
        </w:rPr>
        <w:br w:type="page"/>
      </w:r>
      <w:bookmarkStart w:id="99" w:name="_Toc15660"/>
      <w:r>
        <w:rPr>
          <w:rFonts w:hint="eastAsia" w:ascii="宋体" w:hAnsi="宋体" w:cs="宋体"/>
          <w:color w:val="000000"/>
          <w:sz w:val="30"/>
          <w:szCs w:val="30"/>
        </w:rPr>
        <w:t>（18）</w:t>
      </w:r>
      <w:r>
        <w:rPr>
          <w:rFonts w:hint="eastAsia" w:ascii="宋体" w:hAnsi="宋体" w:cs="宋体"/>
          <w:color w:val="000000"/>
          <w:sz w:val="30"/>
          <w:szCs w:val="30"/>
          <w:lang w:val="zh-CN"/>
        </w:rPr>
        <w:t>投标人认为在其他方面有必要说明的事项</w:t>
      </w:r>
      <w:bookmarkEnd w:id="96"/>
      <w:bookmarkEnd w:id="99"/>
    </w:p>
    <w:p w14:paraId="6A1ADAC5">
      <w:pPr>
        <w:autoSpaceDE w:val="0"/>
        <w:autoSpaceDN w:val="0"/>
        <w:spacing w:line="360" w:lineRule="auto"/>
        <w:rPr>
          <w:rFonts w:hint="eastAsia" w:ascii="宋体" w:hAnsi="宋体" w:cs="宋体"/>
          <w:color w:val="000000"/>
          <w:kern w:val="0"/>
          <w:sz w:val="28"/>
          <w:szCs w:val="28"/>
          <w:lang w:val="zh-CN"/>
        </w:rPr>
      </w:pPr>
    </w:p>
    <w:p w14:paraId="14F2503F">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14:paraId="1C21E5A8">
      <w:pPr>
        <w:autoSpaceDE w:val="0"/>
        <w:autoSpaceDN w:val="0"/>
        <w:spacing w:line="360" w:lineRule="auto"/>
        <w:rPr>
          <w:rFonts w:hint="eastAsia" w:ascii="宋体" w:hAnsi="宋体" w:cs="宋体"/>
          <w:color w:val="000000"/>
          <w:lang w:val="zh-CN"/>
        </w:rPr>
      </w:pPr>
      <w:r>
        <w:rPr>
          <w:rFonts w:hint="eastAsia" w:ascii="宋体" w:hAnsi="宋体" w:cs="宋体"/>
          <w:color w:val="000000"/>
          <w:lang w:val="zh-CN"/>
        </w:rPr>
        <w:t>格式自定</w:t>
      </w:r>
    </w:p>
    <w:p w14:paraId="3C2E330A">
      <w:pPr>
        <w:pStyle w:val="28"/>
        <w:numPr>
          <w:ilvl w:val="0"/>
          <w:numId w:val="12"/>
        </w:numPr>
        <w:spacing w:before="0" w:after="0" w:line="500" w:lineRule="exact"/>
        <w:rPr>
          <w:rFonts w:hint="eastAsia" w:ascii="宋体" w:hAnsi="宋体" w:cs="宋体"/>
          <w:color w:val="000000"/>
          <w:szCs w:val="36"/>
          <w:lang w:val="zh-CN"/>
        </w:rPr>
        <w:sectPr>
          <w:headerReference r:id="rId4" w:type="default"/>
          <w:footerReference r:id="rId5" w:type="default"/>
          <w:pgSz w:w="11906" w:h="16838"/>
          <w:pgMar w:top="1440" w:right="1797" w:bottom="1440" w:left="1797" w:header="851" w:footer="992" w:gutter="0"/>
          <w:pgNumType w:fmt="decimal"/>
          <w:cols w:space="720" w:num="1"/>
          <w:docGrid w:type="linesAndChars" w:linePitch="312" w:charSpace="0"/>
        </w:sectPr>
      </w:pPr>
    </w:p>
    <w:p w14:paraId="2B8944A7">
      <w:pPr>
        <w:pStyle w:val="28"/>
        <w:numPr>
          <w:ilvl w:val="0"/>
          <w:numId w:val="12"/>
        </w:numPr>
        <w:spacing w:before="0" w:after="0" w:line="500" w:lineRule="exact"/>
        <w:rPr>
          <w:rFonts w:hint="eastAsia" w:ascii="宋体" w:hAnsi="宋体" w:cs="宋体"/>
          <w:color w:val="000000"/>
          <w:szCs w:val="36"/>
          <w:lang w:val="zh-CN"/>
        </w:rPr>
      </w:pPr>
      <w:bookmarkStart w:id="100" w:name="_Toc18752"/>
      <w:r>
        <w:rPr>
          <w:rFonts w:hint="eastAsia" w:ascii="宋体" w:hAnsi="宋体" w:cs="宋体"/>
          <w:color w:val="000000"/>
          <w:szCs w:val="36"/>
          <w:lang w:val="zh-CN"/>
        </w:rPr>
        <w:t xml:space="preserve"> </w:t>
      </w:r>
      <w:bookmarkStart w:id="101" w:name="_Toc5744"/>
      <w:r>
        <w:rPr>
          <w:rFonts w:hint="eastAsia" w:ascii="宋体" w:hAnsi="宋体" w:cs="宋体"/>
          <w:color w:val="000000"/>
          <w:szCs w:val="36"/>
          <w:lang w:val="zh-CN"/>
        </w:rPr>
        <w:t>采购项目要求及技术参数</w:t>
      </w:r>
      <w:bookmarkEnd w:id="100"/>
      <w:bookmarkEnd w:id="101"/>
    </w:p>
    <w:p w14:paraId="2010937E">
      <w:pPr>
        <w:pStyle w:val="28"/>
        <w:snapToGrid w:val="0"/>
        <w:spacing w:before="0" w:after="0" w:line="360" w:lineRule="auto"/>
        <w:rPr>
          <w:rStyle w:val="140"/>
          <w:rFonts w:ascii="宋体" w:hAnsi="宋体" w:cs="宋体"/>
          <w:color w:val="auto"/>
          <w:szCs w:val="36"/>
          <w:highlight w:val="none"/>
        </w:rPr>
      </w:pPr>
      <w:r>
        <w:rPr>
          <w:rStyle w:val="140"/>
          <w:rFonts w:ascii="宋体" w:hAnsi="宋体" w:cs="宋体"/>
          <w:color w:val="auto"/>
          <w:highlight w:val="none"/>
          <w:lang w:val="zh-CN"/>
        </w:rPr>
        <w:t>（一）投标要求</w:t>
      </w:r>
    </w:p>
    <w:p w14:paraId="07357C53">
      <w:pPr>
        <w:pStyle w:val="28"/>
        <w:snapToGrid w:val="0"/>
        <w:spacing w:before="0" w:after="0" w:line="360" w:lineRule="auto"/>
        <w:jc w:val="left"/>
        <w:rPr>
          <w:rStyle w:val="140"/>
          <w:rFonts w:ascii="宋体" w:hAnsi="宋体" w:cs="宋体"/>
          <w:color w:val="auto"/>
          <w:highlight w:val="none"/>
          <w:lang w:val="zh-CN"/>
        </w:rPr>
      </w:pPr>
      <w:r>
        <w:rPr>
          <w:rStyle w:val="140"/>
          <w:rFonts w:ascii="宋体" w:hAnsi="宋体" w:cs="宋体"/>
          <w:color w:val="auto"/>
          <w:sz w:val="28"/>
          <w:szCs w:val="28"/>
          <w:highlight w:val="none"/>
          <w:lang w:val="zh-CN"/>
        </w:rPr>
        <w:t>1.投标说明</w:t>
      </w:r>
    </w:p>
    <w:p w14:paraId="5CEA4B59">
      <w:pPr>
        <w:snapToGrid w:val="0"/>
        <w:spacing w:line="360" w:lineRule="auto"/>
        <w:ind w:firstLine="480" w:firstLineChars="200"/>
        <w:rPr>
          <w:rStyle w:val="140"/>
          <w:rFonts w:ascii="宋体" w:hAnsi="宋体"/>
          <w:color w:val="auto"/>
          <w:kern w:val="0"/>
          <w:highlight w:val="none"/>
          <w:lang w:val="zh-CN"/>
        </w:rPr>
      </w:pPr>
      <w:r>
        <w:rPr>
          <w:rStyle w:val="140"/>
          <w:rFonts w:ascii="宋体" w:hAnsi="宋体"/>
          <w:color w:val="auto"/>
          <w:kern w:val="0"/>
          <w:highlight w:val="none"/>
          <w:lang w:val="zh-CN"/>
        </w:rPr>
        <w:t>1.1投标人必须对所有内容作为一个整体进行投标，不能拆分或少报。否则，投标无效。</w:t>
      </w:r>
    </w:p>
    <w:p w14:paraId="5062CECD">
      <w:pPr>
        <w:snapToGrid w:val="0"/>
        <w:spacing w:line="360" w:lineRule="auto"/>
        <w:ind w:firstLine="480" w:firstLineChars="200"/>
        <w:rPr>
          <w:rStyle w:val="140"/>
          <w:rFonts w:ascii="宋体" w:hAnsi="宋体"/>
          <w:color w:val="auto"/>
          <w:kern w:val="0"/>
          <w:highlight w:val="none"/>
          <w:lang w:val="zh-CN"/>
        </w:rPr>
      </w:pPr>
      <w:r>
        <w:rPr>
          <w:rStyle w:val="140"/>
          <w:rFonts w:ascii="宋体" w:hAnsi="宋体"/>
          <w:color w:val="auto"/>
          <w:kern w:val="0"/>
          <w:highlight w:val="none"/>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14:paraId="3F115AA7">
      <w:pPr>
        <w:snapToGrid w:val="0"/>
        <w:spacing w:line="360" w:lineRule="auto"/>
        <w:ind w:firstLine="480" w:firstLineChars="200"/>
        <w:rPr>
          <w:rStyle w:val="140"/>
          <w:rFonts w:ascii="宋体" w:hAnsi="宋体"/>
          <w:color w:val="auto"/>
          <w:kern w:val="0"/>
          <w:highlight w:val="none"/>
          <w:lang w:val="zh-CN"/>
        </w:rPr>
      </w:pPr>
      <w:r>
        <w:rPr>
          <w:rStyle w:val="140"/>
          <w:rFonts w:ascii="宋体" w:hAnsi="宋体"/>
          <w:color w:val="auto"/>
          <w:kern w:val="0"/>
          <w:highlight w:val="none"/>
        </w:rPr>
        <w:t>1.</w:t>
      </w:r>
      <w:r>
        <w:rPr>
          <w:rStyle w:val="140"/>
          <w:rFonts w:hint="eastAsia" w:ascii="宋体" w:hAnsi="宋体"/>
          <w:color w:val="auto"/>
          <w:kern w:val="0"/>
          <w:highlight w:val="none"/>
          <w:lang w:val="en-US" w:eastAsia="zh-CN"/>
        </w:rPr>
        <w:t>3</w:t>
      </w:r>
      <w:r>
        <w:rPr>
          <w:rStyle w:val="140"/>
          <w:rFonts w:ascii="宋体" w:hAnsi="宋体"/>
          <w:color w:val="auto"/>
          <w:highlight w:val="none"/>
        </w:rPr>
        <w:t>所投产品或其任何一部分不得侵犯专利权、著作权、商标权和工业设计权等知识产权。</w:t>
      </w:r>
    </w:p>
    <w:p w14:paraId="42973303">
      <w:pPr>
        <w:snapToGrid w:val="0"/>
        <w:spacing w:line="360" w:lineRule="auto"/>
        <w:ind w:firstLine="480" w:firstLineChars="200"/>
        <w:rPr>
          <w:rStyle w:val="140"/>
          <w:rFonts w:ascii="宋体" w:hAnsi="宋体"/>
          <w:color w:val="auto"/>
          <w:kern w:val="0"/>
          <w:highlight w:val="none"/>
        </w:rPr>
      </w:pPr>
      <w:r>
        <w:rPr>
          <w:rStyle w:val="140"/>
          <w:rFonts w:ascii="宋体" w:hAnsi="宋体"/>
          <w:color w:val="auto"/>
          <w:kern w:val="0"/>
          <w:highlight w:val="none"/>
        </w:rPr>
        <w:t>1.</w:t>
      </w:r>
      <w:r>
        <w:rPr>
          <w:rStyle w:val="140"/>
          <w:rFonts w:hint="eastAsia" w:ascii="宋体" w:hAnsi="宋体"/>
          <w:color w:val="auto"/>
          <w:kern w:val="0"/>
          <w:highlight w:val="none"/>
          <w:lang w:val="en-US" w:eastAsia="zh-CN"/>
        </w:rPr>
        <w:t>4</w:t>
      </w:r>
      <w:r>
        <w:rPr>
          <w:rStyle w:val="140"/>
          <w:rFonts w:ascii="宋体" w:hAnsi="宋体"/>
          <w:color w:val="auto"/>
          <w:kern w:val="0"/>
          <w:highlight w:val="none"/>
        </w:rPr>
        <w:t xml:space="preserve"> 项目中标后分包情况：不允许。</w:t>
      </w:r>
    </w:p>
    <w:p w14:paraId="104C912A">
      <w:pPr>
        <w:pStyle w:val="28"/>
        <w:snapToGrid w:val="0"/>
        <w:spacing w:before="0" w:after="0" w:line="360" w:lineRule="auto"/>
        <w:jc w:val="left"/>
        <w:rPr>
          <w:rStyle w:val="140"/>
          <w:rFonts w:ascii="宋体" w:hAnsi="宋体" w:cs="宋体"/>
          <w:color w:val="auto"/>
          <w:sz w:val="28"/>
          <w:szCs w:val="28"/>
          <w:highlight w:val="none"/>
          <w:lang w:val="zh-CN"/>
        </w:rPr>
      </w:pPr>
      <w:r>
        <w:rPr>
          <w:rStyle w:val="140"/>
          <w:rFonts w:ascii="宋体" w:hAnsi="宋体" w:cs="宋体"/>
          <w:color w:val="auto"/>
          <w:sz w:val="28"/>
          <w:szCs w:val="28"/>
          <w:highlight w:val="none"/>
          <w:lang w:val="zh-CN"/>
        </w:rPr>
        <w:t>2、报价说明</w:t>
      </w:r>
    </w:p>
    <w:p w14:paraId="29A60107">
      <w:pPr>
        <w:snapToGrid w:val="0"/>
        <w:spacing w:line="360" w:lineRule="auto"/>
        <w:ind w:firstLine="480" w:firstLineChars="200"/>
        <w:rPr>
          <w:rStyle w:val="140"/>
          <w:rFonts w:ascii="宋体" w:hAnsi="宋体"/>
          <w:color w:val="auto"/>
          <w:kern w:val="0"/>
          <w:highlight w:val="none"/>
          <w:lang w:val="zh-CN"/>
        </w:rPr>
      </w:pPr>
      <w:r>
        <w:rPr>
          <w:rStyle w:val="140"/>
          <w:rFonts w:ascii="宋体" w:hAnsi="宋体"/>
          <w:color w:val="auto"/>
          <w:kern w:val="0"/>
          <w:highlight w:val="none"/>
          <w:lang w:val="zh-CN"/>
        </w:rPr>
        <w:t>本次招标文件中规定的采购预算额度为招标最高限价，投标单位的投标报价不得超出此额度。否则，投标无效。</w:t>
      </w:r>
    </w:p>
    <w:p w14:paraId="34B32E0C">
      <w:pPr>
        <w:pStyle w:val="28"/>
        <w:snapToGrid w:val="0"/>
        <w:spacing w:before="0" w:after="0" w:line="360" w:lineRule="auto"/>
        <w:jc w:val="left"/>
        <w:rPr>
          <w:rStyle w:val="140"/>
          <w:rFonts w:ascii="宋体" w:hAnsi="宋体" w:cs="宋体"/>
          <w:color w:val="auto"/>
          <w:sz w:val="28"/>
          <w:szCs w:val="28"/>
          <w:highlight w:val="none"/>
          <w:lang w:val="zh-CN"/>
        </w:rPr>
      </w:pPr>
      <w:r>
        <w:rPr>
          <w:rStyle w:val="140"/>
          <w:rFonts w:hint="eastAsia" w:ascii="宋体" w:hAnsi="宋体" w:cs="宋体"/>
          <w:color w:val="auto"/>
          <w:sz w:val="28"/>
          <w:szCs w:val="28"/>
          <w:highlight w:val="none"/>
          <w:lang w:val="en-US" w:eastAsia="zh-CN"/>
        </w:rPr>
        <w:t>3</w:t>
      </w:r>
      <w:r>
        <w:rPr>
          <w:rStyle w:val="140"/>
          <w:rFonts w:ascii="宋体" w:hAnsi="宋体" w:cs="宋体"/>
          <w:color w:val="auto"/>
          <w:sz w:val="28"/>
          <w:szCs w:val="28"/>
          <w:highlight w:val="none"/>
          <w:lang w:val="zh-CN"/>
        </w:rPr>
        <w:t>.商务要求</w:t>
      </w:r>
    </w:p>
    <w:p w14:paraId="551A0A65">
      <w:pPr>
        <w:snapToGrid w:val="0"/>
        <w:spacing w:line="360" w:lineRule="auto"/>
        <w:ind w:firstLine="480" w:firstLineChars="200"/>
        <w:rPr>
          <w:rStyle w:val="140"/>
          <w:rFonts w:hint="eastAsia" w:ascii="宋体" w:hAnsi="宋体"/>
          <w:color w:val="auto"/>
          <w:kern w:val="0"/>
          <w:highlight w:val="none"/>
          <w:lang w:val="en-US" w:eastAsia="zh-CN"/>
        </w:rPr>
      </w:pPr>
      <w:r>
        <w:rPr>
          <w:rStyle w:val="140"/>
          <w:rFonts w:ascii="宋体" w:hAnsi="宋体"/>
          <w:color w:val="auto"/>
          <w:kern w:val="0"/>
          <w:highlight w:val="none"/>
        </w:rPr>
        <w:t>3</w:t>
      </w:r>
      <w:r>
        <w:rPr>
          <w:rStyle w:val="140"/>
          <w:rFonts w:ascii="宋体" w:hAnsi="宋体"/>
          <w:color w:val="auto"/>
          <w:kern w:val="0"/>
          <w:highlight w:val="none"/>
          <w:lang w:val="zh-CN"/>
        </w:rPr>
        <w:t>.1.交货时间：</w:t>
      </w:r>
      <w:r>
        <w:rPr>
          <w:rStyle w:val="140"/>
          <w:rFonts w:hint="eastAsia" w:ascii="宋体" w:hAnsi="宋体"/>
          <w:color w:val="auto"/>
          <w:kern w:val="0"/>
          <w:highlight w:val="none"/>
          <w:lang w:val="en-US" w:eastAsia="zh-CN"/>
        </w:rPr>
        <w:t>合同中约定</w:t>
      </w:r>
    </w:p>
    <w:p w14:paraId="3E51E5A7">
      <w:pPr>
        <w:snapToGrid w:val="0"/>
        <w:spacing w:line="360" w:lineRule="auto"/>
        <w:ind w:firstLine="480" w:firstLineChars="200"/>
        <w:rPr>
          <w:rStyle w:val="140"/>
          <w:rFonts w:hint="default" w:ascii="宋体" w:hAnsi="宋体"/>
          <w:color w:val="auto"/>
          <w:kern w:val="0"/>
          <w:highlight w:val="none"/>
          <w:lang w:val="en-US" w:eastAsia="zh-CN"/>
        </w:rPr>
      </w:pPr>
      <w:r>
        <w:rPr>
          <w:rStyle w:val="140"/>
          <w:rFonts w:hint="eastAsia" w:ascii="宋体" w:hAnsi="宋体"/>
          <w:color w:val="auto"/>
          <w:kern w:val="0"/>
          <w:highlight w:val="none"/>
          <w:lang w:val="en-US" w:eastAsia="zh-CN"/>
        </w:rPr>
        <w:t xml:space="preserve">   交货地点：甲方指定地点</w:t>
      </w:r>
    </w:p>
    <w:p w14:paraId="6D27AC2B">
      <w:pPr>
        <w:snapToGrid w:val="0"/>
        <w:spacing w:line="560" w:lineRule="exact"/>
        <w:ind w:firstLine="504" w:firstLineChars="200"/>
        <w:rPr>
          <w:rStyle w:val="140"/>
          <w:rFonts w:ascii="宋体" w:hAnsi="宋体"/>
          <w:color w:val="auto"/>
          <w:kern w:val="0"/>
          <w:highlight w:val="none"/>
        </w:rPr>
      </w:pPr>
      <w:r>
        <w:rPr>
          <w:rStyle w:val="140"/>
          <w:rFonts w:ascii="宋体" w:hAnsi="宋体"/>
          <w:color w:val="auto"/>
          <w:spacing w:val="6"/>
          <w:highlight w:val="none"/>
          <w:lang w:val="zh-CN"/>
        </w:rPr>
        <w:t>3.</w:t>
      </w:r>
      <w:r>
        <w:rPr>
          <w:rStyle w:val="140"/>
          <w:rFonts w:hint="eastAsia" w:ascii="宋体" w:hAnsi="宋体"/>
          <w:color w:val="auto"/>
          <w:spacing w:val="6"/>
          <w:highlight w:val="none"/>
          <w:lang w:val="en-US" w:eastAsia="zh-CN"/>
        </w:rPr>
        <w:t>2</w:t>
      </w:r>
      <w:r>
        <w:rPr>
          <w:rStyle w:val="140"/>
          <w:rFonts w:ascii="宋体" w:hAnsi="宋体"/>
          <w:color w:val="auto"/>
          <w:spacing w:val="6"/>
          <w:highlight w:val="none"/>
        </w:rPr>
        <w:t>.</w:t>
      </w:r>
      <w:r>
        <w:rPr>
          <w:rStyle w:val="140"/>
          <w:rFonts w:ascii="宋体" w:hAnsi="宋体"/>
          <w:color w:val="auto"/>
          <w:kern w:val="0"/>
          <w:highlight w:val="none"/>
        </w:rPr>
        <w:t>服务要求：</w:t>
      </w:r>
    </w:p>
    <w:p w14:paraId="6661E32F">
      <w:pPr>
        <w:snapToGrid w:val="0"/>
        <w:spacing w:line="360" w:lineRule="auto"/>
        <w:ind w:firstLine="480" w:firstLineChars="200"/>
        <w:rPr>
          <w:rStyle w:val="126"/>
          <w:rFonts w:ascii="宋体" w:hAnsi="宋体" w:eastAsia="宋体" w:cs="Times New Roman"/>
          <w:color w:val="auto"/>
          <w:kern w:val="0"/>
          <w:highlight w:val="none"/>
          <w:lang w:val="zh-CN"/>
        </w:rPr>
      </w:pPr>
      <w:r>
        <w:rPr>
          <w:rStyle w:val="126"/>
          <w:rFonts w:ascii="宋体" w:hAnsi="宋体" w:eastAsia="宋体" w:cs="Times New Roman"/>
          <w:color w:val="auto"/>
          <w:kern w:val="0"/>
          <w:highlight w:val="none"/>
          <w:lang w:val="zh-CN"/>
        </w:rPr>
        <w:t>本合同以人民币进行结算，合同总价包括：产品费、验收费、手续费、包装费、运输费、保险费、培训费、售前、售中、售后服务费</w:t>
      </w:r>
      <w:r>
        <w:rPr>
          <w:rStyle w:val="126"/>
          <w:rFonts w:hint="eastAsia" w:ascii="宋体" w:hAnsi="宋体" w:eastAsia="宋体" w:cs="Times New Roman"/>
          <w:color w:val="auto"/>
          <w:kern w:val="0"/>
          <w:highlight w:val="none"/>
          <w:lang w:val="zh-CN"/>
        </w:rPr>
        <w:t>、检测与试验、装卸、</w:t>
      </w:r>
      <w:r>
        <w:rPr>
          <w:rStyle w:val="126"/>
          <w:rFonts w:hint="eastAsia" w:ascii="宋体" w:hAnsi="宋体" w:cs="Times New Roman"/>
          <w:color w:val="auto"/>
          <w:kern w:val="0"/>
          <w:highlight w:val="none"/>
          <w:lang w:val="zh-CN"/>
        </w:rPr>
        <w:t>联机调试</w:t>
      </w:r>
      <w:r>
        <w:rPr>
          <w:rStyle w:val="126"/>
          <w:rFonts w:hint="eastAsia" w:ascii="宋体" w:hAnsi="宋体" w:eastAsia="宋体" w:cs="Times New Roman"/>
          <w:color w:val="auto"/>
          <w:kern w:val="0"/>
          <w:highlight w:val="none"/>
          <w:lang w:val="zh-CN"/>
        </w:rPr>
        <w:t>、安装调试指导、技术资料、人员、差旅、质量保证期服务费、其他管理费用、所有的检验、测试、调试、验收、试运行费用</w:t>
      </w:r>
      <w:r>
        <w:rPr>
          <w:rStyle w:val="126"/>
          <w:rFonts w:ascii="宋体" w:hAnsi="宋体" w:eastAsia="宋体" w:cs="Times New Roman"/>
          <w:color w:val="auto"/>
          <w:kern w:val="0"/>
          <w:highlight w:val="none"/>
          <w:lang w:val="zh-CN"/>
        </w:rPr>
        <w:t>、税金及不可预见费等全部费用。</w:t>
      </w:r>
    </w:p>
    <w:p w14:paraId="2DD865BE">
      <w:pPr>
        <w:snapToGrid w:val="0"/>
        <w:spacing w:line="360" w:lineRule="auto"/>
        <w:ind w:firstLine="480" w:firstLineChars="200"/>
        <w:rPr>
          <w:rStyle w:val="126"/>
          <w:rFonts w:ascii="宋体" w:hAnsi="宋体" w:cs="Times New Roman"/>
          <w:color w:val="auto"/>
          <w:kern w:val="0"/>
          <w:highlight w:val="none"/>
          <w:lang w:val="zh-CN"/>
        </w:rPr>
      </w:pPr>
      <w:r>
        <w:rPr>
          <w:rStyle w:val="126"/>
          <w:rFonts w:ascii="宋体" w:hAnsi="宋体" w:cs="Times New Roman"/>
          <w:color w:val="auto"/>
          <w:kern w:val="0"/>
          <w:highlight w:val="none"/>
          <w:lang w:val="zh-CN"/>
        </w:rPr>
        <w:t>3.</w:t>
      </w:r>
      <w:r>
        <w:rPr>
          <w:rStyle w:val="126"/>
          <w:rFonts w:hint="eastAsia" w:ascii="宋体" w:hAnsi="宋体" w:cs="Times New Roman"/>
          <w:color w:val="auto"/>
          <w:kern w:val="0"/>
          <w:highlight w:val="none"/>
          <w:lang w:val="en-US"/>
        </w:rPr>
        <w:t>3</w:t>
      </w:r>
      <w:r>
        <w:rPr>
          <w:rStyle w:val="126"/>
          <w:rFonts w:ascii="宋体" w:hAnsi="宋体" w:cs="Times New Roman"/>
          <w:color w:val="auto"/>
          <w:kern w:val="0"/>
          <w:highlight w:val="none"/>
          <w:lang w:val="zh-CN"/>
        </w:rPr>
        <w:t>.其他事宜中标后与业方另行协商解决。</w:t>
      </w:r>
    </w:p>
    <w:p w14:paraId="2E04D7B7">
      <w:pPr>
        <w:numPr>
          <w:ilvl w:val="0"/>
          <w:numId w:val="0"/>
        </w:numPr>
        <w:autoSpaceDE w:val="0"/>
        <w:autoSpaceDN w:val="0"/>
        <w:spacing w:line="360" w:lineRule="auto"/>
        <w:rPr>
          <w:rFonts w:hint="eastAsia" w:ascii="宋体" w:hAnsi="宋体" w:cs="宋体"/>
          <w:color w:val="000000"/>
          <w:kern w:val="0"/>
          <w:lang w:eastAsia="zh-CN" w:bidi="ar"/>
        </w:rPr>
        <w:sectPr>
          <w:pgSz w:w="11905" w:h="16838"/>
          <w:pgMar w:top="2098" w:right="1474" w:bottom="1984" w:left="1587" w:header="0" w:footer="0" w:gutter="0"/>
          <w:pgNumType w:fmt="decimal"/>
          <w:cols w:space="720" w:num="1"/>
          <w:rtlGutter w:val="0"/>
          <w:docGrid w:linePitch="332" w:charSpace="0"/>
        </w:sectPr>
      </w:pPr>
    </w:p>
    <w:tbl>
      <w:tblPr>
        <w:tblStyle w:val="33"/>
        <w:tblW w:w="13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50"/>
        <w:gridCol w:w="576"/>
        <w:gridCol w:w="673"/>
        <w:gridCol w:w="5804"/>
        <w:gridCol w:w="51"/>
        <w:gridCol w:w="810"/>
        <w:gridCol w:w="1796"/>
      </w:tblGrid>
      <w:tr w14:paraId="0D4A9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760" w:type="dxa"/>
            <w:gridSpan w:val="7"/>
            <w:tcBorders>
              <w:top w:val="nil"/>
              <w:left w:val="nil"/>
              <w:bottom w:val="nil"/>
              <w:right w:val="nil"/>
            </w:tcBorders>
            <w:shd w:val="clear" w:color="auto" w:fill="auto"/>
            <w:noWrap/>
            <w:vAlign w:val="top"/>
          </w:tcPr>
          <w:p w14:paraId="50297061">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sz w:val="18"/>
                <w:szCs w:val="18"/>
                <w:u w:val="none"/>
              </w:rPr>
            </w:pPr>
            <w:r>
              <w:rPr>
                <w:rFonts w:hint="eastAsia" w:ascii="黑体" w:hAnsi="黑体" w:eastAsia="黑体" w:cs="黑体"/>
                <w:b w:val="0"/>
                <w:bCs w:val="0"/>
                <w:i w:val="0"/>
                <w:iCs w:val="0"/>
                <w:color w:val="000000"/>
                <w:kern w:val="0"/>
                <w:sz w:val="32"/>
                <w:szCs w:val="32"/>
                <w:u w:val="none"/>
                <w:lang w:val="en-US" w:eastAsia="zh-CN" w:bidi="ar"/>
              </w:rPr>
              <w:t>格尔木市市级政府采购清单</w:t>
            </w:r>
          </w:p>
        </w:tc>
      </w:tr>
      <w:tr w14:paraId="4BA34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154" w:type="dxa"/>
            <w:gridSpan w:val="5"/>
            <w:tcBorders>
              <w:top w:val="nil"/>
              <w:left w:val="nil"/>
              <w:bottom w:val="nil"/>
              <w:right w:val="nil"/>
            </w:tcBorders>
            <w:shd w:val="clear" w:color="auto" w:fill="auto"/>
            <w:noWrap/>
            <w:vAlign w:val="center"/>
          </w:tcPr>
          <w:p w14:paraId="5ABFB7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填报单位：   格尔木市公安局 （盖公章）                                                                  </w:t>
            </w:r>
          </w:p>
        </w:tc>
        <w:tc>
          <w:tcPr>
            <w:tcW w:w="2606" w:type="dxa"/>
            <w:gridSpan w:val="2"/>
            <w:tcBorders>
              <w:top w:val="nil"/>
              <w:left w:val="nil"/>
              <w:bottom w:val="nil"/>
              <w:right w:val="nil"/>
            </w:tcBorders>
            <w:shd w:val="clear" w:color="auto" w:fill="auto"/>
            <w:vAlign w:val="center"/>
          </w:tcPr>
          <w:p w14:paraId="186626E5">
            <w:pPr>
              <w:jc w:val="center"/>
              <w:rPr>
                <w:rFonts w:hint="eastAsia" w:asciiTheme="minorEastAsia" w:hAnsiTheme="minorEastAsia" w:eastAsiaTheme="minorEastAsia" w:cstheme="minorEastAsia"/>
                <w:b w:val="0"/>
                <w:bCs w:val="0"/>
                <w:i w:val="0"/>
                <w:iCs w:val="0"/>
                <w:color w:val="000000"/>
                <w:sz w:val="18"/>
                <w:szCs w:val="18"/>
                <w:u w:val="none"/>
              </w:rPr>
            </w:pPr>
          </w:p>
        </w:tc>
      </w:tr>
      <w:tr w14:paraId="2D482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154" w:type="dxa"/>
            <w:gridSpan w:val="5"/>
            <w:tcBorders>
              <w:top w:val="nil"/>
              <w:left w:val="nil"/>
              <w:bottom w:val="nil"/>
              <w:right w:val="nil"/>
            </w:tcBorders>
            <w:shd w:val="clear" w:color="auto" w:fill="auto"/>
            <w:noWrap/>
            <w:vAlign w:val="center"/>
          </w:tcPr>
          <w:p w14:paraId="1F6DCB1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采购项目：格尔木市重点区域交通环境综合整治方案及道路交通信号灯、电警卡口设备采购项目</w:t>
            </w:r>
          </w:p>
        </w:tc>
        <w:tc>
          <w:tcPr>
            <w:tcW w:w="2606" w:type="dxa"/>
            <w:gridSpan w:val="2"/>
            <w:tcBorders>
              <w:top w:val="nil"/>
              <w:left w:val="single" w:color="000000" w:sz="4" w:space="0"/>
              <w:bottom w:val="single" w:color="000000" w:sz="4" w:space="0"/>
              <w:right w:val="single" w:color="000000" w:sz="4" w:space="0"/>
            </w:tcBorders>
            <w:shd w:val="clear" w:color="auto" w:fill="auto"/>
            <w:vAlign w:val="center"/>
          </w:tcPr>
          <w:p w14:paraId="61453AF5">
            <w:pPr>
              <w:jc w:val="center"/>
              <w:rPr>
                <w:rFonts w:hint="eastAsia" w:asciiTheme="minorEastAsia" w:hAnsiTheme="minorEastAsia" w:eastAsiaTheme="minorEastAsia" w:cstheme="minorEastAsia"/>
                <w:b w:val="0"/>
                <w:bCs w:val="0"/>
                <w:i w:val="0"/>
                <w:iCs w:val="0"/>
                <w:color w:val="000000"/>
                <w:sz w:val="18"/>
                <w:szCs w:val="18"/>
                <w:u w:val="none"/>
              </w:rPr>
            </w:pPr>
          </w:p>
        </w:tc>
      </w:tr>
      <w:tr w14:paraId="2AE94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43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采购内容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F4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数量</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13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单位</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9A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规格参数</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777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质保期</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E4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备注</w:t>
            </w:r>
          </w:p>
        </w:tc>
      </w:tr>
      <w:tr w14:paraId="663C5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06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一、长江路与巴音路丁字路口信号灯系统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6E29">
            <w:pPr>
              <w:jc w:val="center"/>
              <w:rPr>
                <w:rFonts w:hint="eastAsia" w:asciiTheme="minorEastAsia" w:hAnsiTheme="minorEastAsia" w:eastAsiaTheme="minorEastAsia" w:cstheme="minorEastAsia"/>
                <w:b w:val="0"/>
                <w:bCs w:val="0"/>
                <w:i w:val="0"/>
                <w:iCs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276F">
            <w:pPr>
              <w:jc w:val="center"/>
              <w:rPr>
                <w:rFonts w:hint="eastAsia" w:asciiTheme="minorEastAsia" w:hAnsiTheme="minorEastAsia" w:eastAsiaTheme="minorEastAsia" w:cstheme="minorEastAsia"/>
                <w:b w:val="0"/>
                <w:bCs w:val="0"/>
                <w:i w:val="0"/>
                <w:iCs w:val="0"/>
                <w:color w:val="000000"/>
                <w:sz w:val="18"/>
                <w:szCs w:val="18"/>
                <w:u w:val="none"/>
              </w:rPr>
            </w:pP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A5BD">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ACFAE">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7B24">
            <w:pPr>
              <w:jc w:val="center"/>
              <w:rPr>
                <w:rFonts w:hint="eastAsia" w:asciiTheme="minorEastAsia" w:hAnsiTheme="minorEastAsia" w:eastAsiaTheme="minorEastAsia" w:cstheme="minorEastAsia"/>
                <w:b w:val="0"/>
                <w:bCs w:val="0"/>
                <w:i w:val="0"/>
                <w:iCs w:val="0"/>
                <w:color w:val="000000"/>
                <w:sz w:val="18"/>
                <w:szCs w:val="18"/>
                <w:u w:val="none"/>
              </w:rPr>
            </w:pPr>
          </w:p>
        </w:tc>
      </w:tr>
      <w:tr w14:paraId="3D6D1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5A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（1）前端设备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90F5">
            <w:pPr>
              <w:jc w:val="center"/>
              <w:rPr>
                <w:rFonts w:hint="eastAsia" w:asciiTheme="minorEastAsia" w:hAnsiTheme="minorEastAsia" w:eastAsiaTheme="minorEastAsia" w:cstheme="minorEastAsia"/>
                <w:b w:val="0"/>
                <w:bCs w:val="0"/>
                <w:i w:val="0"/>
                <w:iCs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077B">
            <w:pPr>
              <w:jc w:val="center"/>
              <w:rPr>
                <w:rFonts w:hint="eastAsia" w:asciiTheme="minorEastAsia" w:hAnsiTheme="minorEastAsia" w:eastAsiaTheme="minorEastAsia" w:cstheme="minorEastAsia"/>
                <w:b w:val="0"/>
                <w:bCs w:val="0"/>
                <w:i w:val="0"/>
                <w:iCs w:val="0"/>
                <w:color w:val="000000"/>
                <w:sz w:val="18"/>
                <w:szCs w:val="18"/>
                <w:u w:val="none"/>
              </w:rPr>
            </w:pP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B584">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16C56">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F40E">
            <w:pPr>
              <w:jc w:val="center"/>
              <w:rPr>
                <w:rFonts w:hint="eastAsia" w:asciiTheme="minorEastAsia" w:hAnsiTheme="minorEastAsia" w:eastAsiaTheme="minorEastAsia" w:cstheme="minorEastAsia"/>
                <w:b w:val="0"/>
                <w:bCs w:val="0"/>
                <w:i w:val="0"/>
                <w:iCs w:val="0"/>
                <w:color w:val="000000"/>
                <w:sz w:val="18"/>
                <w:szCs w:val="18"/>
                <w:u w:val="none"/>
              </w:rPr>
            </w:pPr>
          </w:p>
        </w:tc>
      </w:tr>
      <w:tr w14:paraId="36607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41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400 铝压铸满屏信号灯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4A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BA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组</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1D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a)外壳材质：压铸铝。</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b)灯面尺寸：中</w:t>
            </w:r>
            <w: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t>400mm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，遮沿等符合GB14887-2011的相关标准</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c)光强：红色、黄色、绿色&gt;600cd，符合GB14887-2011标准。减光时中心光强200±10cd</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d)色度及波长：</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红色625±5nmX=0.6984，Y=0.3014</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黄色590±5nmX=0.5802,Y=0.4137</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绿色505±4nmX=0.0848,Y=0.5739</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e)供电电压：AC220V±20%50Hz</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f）出线孔容纳线径：不低于Φ20mm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g)功率:≤20W</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h)功率因数：≥0.9</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i)启动瞬时电流：≤1.8A</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j)启动时间和关断时间:54ms,54ms</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k)关断电压:60V</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l)工作温度：-40℃~+80℃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m)湿度:≤97%</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n)使用寿命：&gt;10000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o)重量≤15kg</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（需提供公安部所属检验机构出具的检测报告复印件）</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290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5C40">
            <w:pPr>
              <w:jc w:val="center"/>
              <w:rPr>
                <w:rFonts w:hint="eastAsia" w:asciiTheme="minorEastAsia" w:hAnsiTheme="minorEastAsia" w:eastAsiaTheme="minorEastAsia" w:cstheme="minorEastAsia"/>
                <w:b w:val="0"/>
                <w:bCs w:val="0"/>
                <w:i w:val="0"/>
                <w:iCs w:val="0"/>
                <w:color w:val="000000"/>
                <w:sz w:val="18"/>
                <w:szCs w:val="18"/>
                <w:u w:val="none"/>
              </w:rPr>
            </w:pPr>
          </w:p>
        </w:tc>
      </w:tr>
      <w:tr w14:paraId="78E60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BE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400 铝压铸箭头信号灯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38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AB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组</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4A9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a.箭头灯灯面尺寸中</w:t>
            </w:r>
            <w: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t>400mm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，图形尺寸符合GB14887-2011的相关标准。</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b.色度值及波长：</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红色625±5nmX=0.6984，Y=0.3014；</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黄色590±5nmX=0.5802,Y=0.4137；</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绿色505±4nmX=0.0848,Y=0.5739</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c.光强：红色、黄色、绿色&gt;60cd，符合GB148872011标准减光时中心光强200±10cd</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d.供电电压：AC220V±20%50Hz</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e.出线孔容纳线径：不低于φ20mm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f.功率:≤20W</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g.功率因数：≥0.9</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h.启动瞬时电流：≤1.8A</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i.工作温度：-40℃~+80℃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j.湿度:≤97%</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k.使用寿命：&gt;10000h</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l.重量:≤15kg</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（需提供公安部所属检验机构出具的检测报告复印件）</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445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80B0">
            <w:pPr>
              <w:jc w:val="center"/>
              <w:rPr>
                <w:rFonts w:hint="eastAsia" w:asciiTheme="minorEastAsia" w:hAnsiTheme="minorEastAsia" w:eastAsiaTheme="minorEastAsia" w:cstheme="minorEastAsia"/>
                <w:b w:val="0"/>
                <w:bCs w:val="0"/>
                <w:i w:val="0"/>
                <w:iCs w:val="0"/>
                <w:color w:val="000000"/>
                <w:sz w:val="18"/>
                <w:szCs w:val="18"/>
                <w:u w:val="none"/>
              </w:rPr>
            </w:pPr>
          </w:p>
        </w:tc>
      </w:tr>
      <w:tr w14:paraId="17BA2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4B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人行信号灯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37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B7E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台</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9E1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a.亮度：红色&gt;400cdm2；绿色&gt;4000cd/m2</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b.灯面尺寸:</w:t>
            </w:r>
            <w: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t>300m×220mm</w:t>
            </w:r>
            <w: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c.供电电压：AC220V±20%,50Hz</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d.工作温度：-40℃—+75℃</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e.湿度范围:5%-95%</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f.绝缘电阻：≥500M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g.使用寿命：&gt;10000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h.重量：≤7.5kg(含包装、配件)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i.外壳材质：铝合金</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j.可视距离：≥300m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k.外壳防护等级：≥IP54</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m.可视角度：≥30°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（需提供公安部所属检验机构出具的检测报告复印件）</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BF5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D642">
            <w:pPr>
              <w:jc w:val="center"/>
              <w:rPr>
                <w:rFonts w:hint="eastAsia" w:asciiTheme="minorEastAsia" w:hAnsiTheme="minorEastAsia" w:eastAsiaTheme="minorEastAsia" w:cstheme="minorEastAsia"/>
                <w:b w:val="0"/>
                <w:bCs w:val="0"/>
                <w:i w:val="0"/>
                <w:iCs w:val="0"/>
                <w:color w:val="000000"/>
                <w:sz w:val="18"/>
                <w:szCs w:val="18"/>
                <w:u w:val="none"/>
              </w:rPr>
            </w:pPr>
          </w:p>
        </w:tc>
      </w:tr>
      <w:tr w14:paraId="3CF1A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F0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交通信号控制机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B4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44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2EA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auto"/>
                <w:kern w:val="0"/>
                <w:sz w:val="18"/>
                <w:szCs w:val="18"/>
                <w:u w:val="none"/>
                <w:lang w:val="en-US" w:eastAsia="zh-CN" w:bidi="ar"/>
              </w:rPr>
              <w:t>【区县级】【经济型】【44路输出】</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包含：控制主机、配电单元、机柜、无线遥控器、GPS。</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相位：支持≥64个相位；</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灯控输出：≥44路输出，单通道负载≥800W；</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灯控板：≥4块，每块支持≥11路；</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网络接口：≥1个RJ45接口</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其他接口：≥1个RS232接口，≥2个RS485接口，≥1个USB接口</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外部输入：≥8路行人按钮输入</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外部输出：无</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无线遥控：支持</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无线接入：可选配4G/WIFI模块</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工作电压：AC220V±44V，50Hz±2Hz</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温度：-40℃～+70℃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功耗：≤35W</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防护等级：≥IP54</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绝缘强度：大于700MΩ</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结构尺寸（含机柜）：≥600mm（宽）×1084mm(高)×450mm（深）</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毛重量：≥90kg</w:t>
            </w:r>
            <w:r>
              <w:rPr>
                <w:rFonts w:hint="eastAsia" w:asciiTheme="minorEastAsia" w:hAnsiTheme="minorEastAsia" w:eastAsiaTheme="minorEastAsia" w:cstheme="minorEastAsia"/>
                <w:b w:val="0"/>
                <w:bCs w:val="0"/>
                <w:i w:val="0"/>
                <w:iCs w:val="0"/>
                <w:color w:val="000000"/>
                <w:kern w:val="0"/>
                <w:sz w:val="18"/>
                <w:szCs w:val="18"/>
                <w:highlight w:val="yellow"/>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（需提供公安部所属检验机构出具的检测报告复印件）</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F8E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B6B2">
            <w:pPr>
              <w:jc w:val="center"/>
              <w:rPr>
                <w:rFonts w:hint="eastAsia" w:asciiTheme="minorEastAsia" w:hAnsiTheme="minorEastAsia" w:eastAsiaTheme="minorEastAsia" w:cstheme="minorEastAsia"/>
                <w:b w:val="0"/>
                <w:bCs w:val="0"/>
                <w:i w:val="0"/>
                <w:iCs w:val="0"/>
                <w:color w:val="000000"/>
                <w:sz w:val="18"/>
                <w:szCs w:val="18"/>
                <w:u w:val="none"/>
              </w:rPr>
            </w:pPr>
          </w:p>
        </w:tc>
      </w:tr>
      <w:tr w14:paraId="19BE4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47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倒计时器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29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E0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732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结构设计新颖，体积小，表面喷塑，重量轻，安装方式采用模块，精心制作而成</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高可靠性，内部计时采用工业级微电脑控制技术，采用软件“看门狗”和硬件抗干扰措施，防雷性能好，使倒计时运行稳定可靠</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采用灯取电源方式，无须单独供电(也可AC220独立供电)。拆装方便，防水性能极佳；</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内部具有两组信号采样输入，可以方便地进行多相位计时；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软件设计思路先进，检测速度快、时间精确</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取电方式可以采用电缆直接供电，也可以采用从信号灯取电的方式；</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采用超亮度四元素LED发光管，亮度高，衰减低，使用寿命≥10万小时；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内部装有避雷器件，能有效减小雷电对倒计时产生的影响</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产品性能指标符合国家GB14887-2011标准。</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额定功率：≤45W</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可视角度：≥30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可视距离：≥400米</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工作温度：-40℃-80℃；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工作湿度:10%-95%</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发光强度：≥400cd/m2；</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额定电压：AC220V±10%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额定输出电压：AC176~264V,50HZ</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符合GA/T508-2004标准要求；</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通信方式或与RS485通讯协议方式,2位数字显示(99)；</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通讯中断时，倒计时能在2秒内显示黑屏；适应多相位显示；</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外型尺寸:≥800*600*10(不含遮阳板)。</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（需提供公安部所属检验机构出具的检测报告复印件）</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4D9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4276">
            <w:pPr>
              <w:jc w:val="center"/>
              <w:rPr>
                <w:rFonts w:hint="eastAsia" w:asciiTheme="minorEastAsia" w:hAnsiTheme="minorEastAsia" w:eastAsiaTheme="minorEastAsia" w:cstheme="minorEastAsia"/>
                <w:b w:val="0"/>
                <w:bCs w:val="0"/>
                <w:i w:val="0"/>
                <w:iCs w:val="0"/>
                <w:color w:val="000000"/>
                <w:sz w:val="18"/>
                <w:szCs w:val="18"/>
                <w:u w:val="none"/>
              </w:rPr>
            </w:pPr>
          </w:p>
        </w:tc>
      </w:tr>
      <w:tr w14:paraId="372F7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41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框架式长伸臂L型信号灯杆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C6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5D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E7F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规格：</w:t>
            </w:r>
            <w: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t>H=6.8m，L=6m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（1）钢杆臂厚不低于6mm，材质Q235以上，其力学性能满足信号灯杆的强度要求，设计可抗最大风速39.6米/秒(抗风压等级为10级)，承受压力为0.6千牛，抗地震强度为8级。</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（2）焊体表面焊波均匀、无裂纹、气孔、夹渣、烧穿、未融合，弧坑和针状气体等，焊缝均匀丰满美观。</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（3）杆体内外热浸锌处理，镀层均匀、无色差，镀层≥60μm。</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0AC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4336">
            <w:pPr>
              <w:jc w:val="center"/>
              <w:rPr>
                <w:rFonts w:hint="eastAsia" w:asciiTheme="minorEastAsia" w:hAnsiTheme="minorEastAsia" w:eastAsiaTheme="minorEastAsia" w:cstheme="minorEastAsia"/>
                <w:b w:val="0"/>
                <w:bCs w:val="0"/>
                <w:i w:val="0"/>
                <w:iCs w:val="0"/>
                <w:color w:val="000000"/>
                <w:sz w:val="18"/>
                <w:szCs w:val="18"/>
                <w:u w:val="none"/>
              </w:rPr>
            </w:pPr>
          </w:p>
        </w:tc>
      </w:tr>
      <w:tr w14:paraId="2E776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2A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人行信号灯灯杆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DE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5D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F4C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1.圆柱型灯杆，材质Q235以上</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2.灯具安装位置预制灯具竖装安装口</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t>杆高3.2米</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，符合信号灯配置要求；</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4.杆体采用热浸锌工艺，镀锌层均匀且厚度不小于55μm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5.杆体设计合理，表面应光滑平顺，无气孔、焊渣、虚焊及漏焊等缺陷</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6.立杆及其主要构件的防护等级满足露天使用环境的要求，最大抗风风速不小于28m/s</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B5F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244F">
            <w:pPr>
              <w:jc w:val="center"/>
              <w:rPr>
                <w:rFonts w:hint="eastAsia" w:asciiTheme="minorEastAsia" w:hAnsiTheme="minorEastAsia" w:eastAsiaTheme="minorEastAsia" w:cstheme="minorEastAsia"/>
                <w:b w:val="0"/>
                <w:bCs w:val="0"/>
                <w:i w:val="0"/>
                <w:iCs w:val="0"/>
                <w:color w:val="000000"/>
                <w:sz w:val="18"/>
                <w:szCs w:val="18"/>
                <w:u w:val="none"/>
              </w:rPr>
            </w:pPr>
          </w:p>
        </w:tc>
      </w:tr>
      <w:tr w14:paraId="1ECCE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C66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（2）线缆及辅材</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CF9ED">
            <w:pPr>
              <w:jc w:val="center"/>
              <w:rPr>
                <w:rFonts w:hint="eastAsia" w:asciiTheme="minorEastAsia" w:hAnsiTheme="minorEastAsia" w:eastAsiaTheme="minorEastAsia" w:cstheme="minorEastAsia"/>
                <w:b w:val="0"/>
                <w:bCs w:val="0"/>
                <w:i w:val="0"/>
                <w:iCs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1DEC6">
            <w:pPr>
              <w:jc w:val="center"/>
              <w:rPr>
                <w:rFonts w:hint="eastAsia" w:asciiTheme="minorEastAsia" w:hAnsiTheme="minorEastAsia" w:eastAsiaTheme="minorEastAsia" w:cstheme="minorEastAsia"/>
                <w:b w:val="0"/>
                <w:bCs w:val="0"/>
                <w:i w:val="0"/>
                <w:iCs w:val="0"/>
                <w:color w:val="000000"/>
                <w:sz w:val="18"/>
                <w:szCs w:val="18"/>
                <w:u w:val="none"/>
              </w:rPr>
            </w:pP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21D4D">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E2678">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7FF7">
            <w:pPr>
              <w:jc w:val="center"/>
              <w:rPr>
                <w:rFonts w:hint="eastAsia" w:asciiTheme="minorEastAsia" w:hAnsiTheme="minorEastAsia" w:eastAsiaTheme="minorEastAsia" w:cstheme="minorEastAsia"/>
                <w:b w:val="0"/>
                <w:bCs w:val="0"/>
                <w:i w:val="0"/>
                <w:iCs w:val="0"/>
                <w:color w:val="000000"/>
                <w:sz w:val="18"/>
                <w:szCs w:val="18"/>
                <w:u w:val="none"/>
              </w:rPr>
            </w:pPr>
          </w:p>
        </w:tc>
      </w:tr>
      <w:tr w14:paraId="47F14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2D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0D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170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C0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2D1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全色谱KVV14×1.0mm2；                                      规格：铜芯，聚氯乙烯绝缘，聚氯乙烯护套，控制电缆；        标称横截面面积（mm2）：1.0。                        </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2A3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5963">
            <w:pPr>
              <w:jc w:val="center"/>
              <w:rPr>
                <w:rFonts w:hint="eastAsia" w:asciiTheme="minorEastAsia" w:hAnsiTheme="minorEastAsia" w:eastAsiaTheme="minorEastAsia" w:cstheme="minorEastAsia"/>
                <w:b w:val="0"/>
                <w:bCs w:val="0"/>
                <w:i w:val="0"/>
                <w:iCs w:val="0"/>
                <w:color w:val="000000"/>
                <w:sz w:val="18"/>
                <w:szCs w:val="18"/>
                <w:u w:val="none"/>
              </w:rPr>
            </w:pPr>
          </w:p>
        </w:tc>
      </w:tr>
      <w:tr w14:paraId="489D7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4F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06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F8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D12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全色谱KVV7×1.0mm2；                                                             规格：铜芯，聚氯乙烯绝缘，聚氯乙烯护套，控制电缆；        标称横截面面积（mm2）：1.0。 </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12C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D6E3">
            <w:pPr>
              <w:jc w:val="center"/>
              <w:rPr>
                <w:rFonts w:hint="eastAsia" w:asciiTheme="minorEastAsia" w:hAnsiTheme="minorEastAsia" w:eastAsiaTheme="minorEastAsia" w:cstheme="minorEastAsia"/>
                <w:b w:val="0"/>
                <w:bCs w:val="0"/>
                <w:i w:val="0"/>
                <w:iCs w:val="0"/>
                <w:color w:val="000000"/>
                <w:sz w:val="18"/>
                <w:szCs w:val="18"/>
                <w:u w:val="none"/>
              </w:rPr>
            </w:pPr>
          </w:p>
        </w:tc>
      </w:tr>
      <w:tr w14:paraId="63CAF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D5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69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280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25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DA2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全色谱KVV4×1.0mm2；                                           规格：铜芯，聚氯乙烯绝缘，聚氯乙烯护套，控制电缆；        标称横截面面积（mm2）：1.0。 </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C48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A55A">
            <w:pPr>
              <w:jc w:val="center"/>
              <w:rPr>
                <w:rFonts w:hint="eastAsia" w:asciiTheme="minorEastAsia" w:hAnsiTheme="minorEastAsia" w:eastAsiaTheme="minorEastAsia" w:cstheme="minorEastAsia"/>
                <w:b w:val="0"/>
                <w:bCs w:val="0"/>
                <w:i w:val="0"/>
                <w:iCs w:val="0"/>
                <w:color w:val="000000"/>
                <w:sz w:val="18"/>
                <w:szCs w:val="18"/>
                <w:u w:val="none"/>
              </w:rPr>
            </w:pPr>
          </w:p>
        </w:tc>
      </w:tr>
      <w:tr w14:paraId="4E806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98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信号机供电电源线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82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A0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E55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RVV2×2.5mm2                                             铜芯聚氯乙烯绝缘乙烯护套圆形连接软线；</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用于潮湿和设备防护要求较高的场所；</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电压等级：300/300V,300/500V;</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芯数：2芯。 </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14F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0FE8">
            <w:pPr>
              <w:jc w:val="center"/>
              <w:rPr>
                <w:rFonts w:hint="eastAsia" w:asciiTheme="minorEastAsia" w:hAnsiTheme="minorEastAsia" w:eastAsiaTheme="minorEastAsia" w:cstheme="minorEastAsia"/>
                <w:b w:val="0"/>
                <w:bCs w:val="0"/>
                <w:i w:val="0"/>
                <w:iCs w:val="0"/>
                <w:color w:val="000000"/>
                <w:sz w:val="18"/>
                <w:szCs w:val="18"/>
                <w:u w:val="none"/>
              </w:rPr>
            </w:pPr>
          </w:p>
        </w:tc>
      </w:tr>
      <w:tr w14:paraId="2445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34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电缆敷设管</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023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330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C0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70D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PE（聚乙烯）地埋电缆护套管；</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管径（外径）：Φ50，Φ63，管壁厚度依据管径大小不同≥4mm；</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3BD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1097">
            <w:pPr>
              <w:jc w:val="center"/>
              <w:rPr>
                <w:rFonts w:hint="eastAsia" w:asciiTheme="minorEastAsia" w:hAnsiTheme="minorEastAsia" w:eastAsiaTheme="minorEastAsia" w:cstheme="minorEastAsia"/>
                <w:b w:val="0"/>
                <w:bCs w:val="0"/>
                <w:i w:val="0"/>
                <w:iCs w:val="0"/>
                <w:color w:val="000000"/>
                <w:sz w:val="18"/>
                <w:szCs w:val="18"/>
                <w:u w:val="none"/>
              </w:rPr>
            </w:pPr>
          </w:p>
        </w:tc>
      </w:tr>
      <w:tr w14:paraId="39C70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4E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框架式长伸臂L型信号灯杆地脚螺栓及预埋铁件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A9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D2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AE4F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highlight w:val="none"/>
                <w:u w:val="none"/>
              </w:rPr>
            </w:pPr>
            <w: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t>底板法兰800*800*8，地脚螺栓M32*1500*12根</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2FE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AF8C">
            <w:pPr>
              <w:jc w:val="center"/>
              <w:rPr>
                <w:rFonts w:hint="eastAsia" w:asciiTheme="minorEastAsia" w:hAnsiTheme="minorEastAsia" w:eastAsiaTheme="minorEastAsia" w:cstheme="minorEastAsia"/>
                <w:b w:val="0"/>
                <w:bCs w:val="0"/>
                <w:i w:val="0"/>
                <w:iCs w:val="0"/>
                <w:color w:val="000000"/>
                <w:sz w:val="18"/>
                <w:szCs w:val="18"/>
                <w:u w:val="none"/>
              </w:rPr>
            </w:pPr>
          </w:p>
        </w:tc>
      </w:tr>
      <w:tr w14:paraId="26150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D6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人行灯杆地脚螺栓及预埋铁件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78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D4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92B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highlight w:val="none"/>
                <w:u w:val="none"/>
              </w:rPr>
            </w:pPr>
            <w: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t>底板法兰350*350*4，地脚螺栓M16*600*4根</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8DE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A00C">
            <w:pPr>
              <w:jc w:val="center"/>
              <w:rPr>
                <w:rFonts w:hint="eastAsia" w:asciiTheme="minorEastAsia" w:hAnsiTheme="minorEastAsia" w:eastAsiaTheme="minorEastAsia" w:cstheme="minorEastAsia"/>
                <w:b w:val="0"/>
                <w:bCs w:val="0"/>
                <w:i w:val="0"/>
                <w:iCs w:val="0"/>
                <w:color w:val="000000"/>
                <w:sz w:val="18"/>
                <w:szCs w:val="18"/>
                <w:u w:val="none"/>
              </w:rPr>
            </w:pPr>
          </w:p>
        </w:tc>
      </w:tr>
      <w:tr w14:paraId="1A21F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0B3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控制机地脚螺栓及预埋铁件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43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BA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5806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highlight w:val="none"/>
                <w:u w:val="none"/>
              </w:rPr>
            </w:pPr>
            <w: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t>底板法兰800*400*4，地脚螺栓M16*400*4根</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5DE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6551">
            <w:pPr>
              <w:jc w:val="center"/>
              <w:rPr>
                <w:rFonts w:hint="eastAsia" w:asciiTheme="minorEastAsia" w:hAnsiTheme="minorEastAsia" w:eastAsiaTheme="minorEastAsia" w:cstheme="minorEastAsia"/>
                <w:b w:val="0"/>
                <w:bCs w:val="0"/>
                <w:i w:val="0"/>
                <w:iCs w:val="0"/>
                <w:color w:val="000000"/>
                <w:sz w:val="18"/>
                <w:szCs w:val="18"/>
                <w:u w:val="none"/>
              </w:rPr>
            </w:pPr>
          </w:p>
        </w:tc>
      </w:tr>
      <w:tr w14:paraId="0B1C3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F94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接线井公安专用井盖及座圈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FB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2B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800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highlight w:val="none"/>
                <w:u w:val="none"/>
              </w:rPr>
            </w:pPr>
            <w: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t>材质：铸铁或高分子材质，并标有“公安”字样。                                               规格：600mm*600mm</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BA4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9344">
            <w:pPr>
              <w:jc w:val="center"/>
              <w:rPr>
                <w:rFonts w:hint="eastAsia" w:asciiTheme="minorEastAsia" w:hAnsiTheme="minorEastAsia" w:eastAsiaTheme="minorEastAsia" w:cstheme="minorEastAsia"/>
                <w:b w:val="0"/>
                <w:bCs w:val="0"/>
                <w:i w:val="0"/>
                <w:iCs w:val="0"/>
                <w:color w:val="000000"/>
                <w:sz w:val="18"/>
                <w:szCs w:val="18"/>
                <w:u w:val="none"/>
              </w:rPr>
            </w:pPr>
          </w:p>
        </w:tc>
      </w:tr>
      <w:tr w14:paraId="62E60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8B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接地极</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6F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E4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个</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B8A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1.接地保护应严格按建筑电气施工规范要求安装，工作零线与保护零线严格分开, 不得混用，所有配电箱的PE线应作垂直接地, 其接地电阻不大于1欧姆, 所有电气设备及管线金属外壳可靠接地，通过测试并要求达到规定值。若通过测试大于标准要求，必须要求返工，直到达标为止。</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2.接地极、接地扁钢选用热镀锌钢材，接地装置规定埋深不应小于0.6M，接地线通过地表下0.6M引至地面外。</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3.接地极选用∠50×50×5×2500镀锌角钢，间距5M，接地母线用-40×4镀锌扁钢，接地母线之间电焊搭接长度不小于15CM，接地母线、接地极之间焊接处应做防腐处理。</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A92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88BE">
            <w:pPr>
              <w:jc w:val="center"/>
              <w:rPr>
                <w:rFonts w:hint="eastAsia" w:asciiTheme="minorEastAsia" w:hAnsiTheme="minorEastAsia" w:eastAsiaTheme="minorEastAsia" w:cstheme="minorEastAsia"/>
                <w:b w:val="0"/>
                <w:bCs w:val="0"/>
                <w:i w:val="0"/>
                <w:iCs w:val="0"/>
                <w:color w:val="000000"/>
                <w:sz w:val="18"/>
                <w:szCs w:val="18"/>
                <w:u w:val="none"/>
              </w:rPr>
            </w:pPr>
          </w:p>
        </w:tc>
      </w:tr>
      <w:tr w14:paraId="509A7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58B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（3）土建及安装施工</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26C54">
            <w:pPr>
              <w:jc w:val="center"/>
              <w:rPr>
                <w:rFonts w:hint="eastAsia" w:asciiTheme="minorEastAsia" w:hAnsiTheme="minorEastAsia" w:eastAsiaTheme="minorEastAsia" w:cstheme="minorEastAsia"/>
                <w:b w:val="0"/>
                <w:bCs w:val="0"/>
                <w:i w:val="0"/>
                <w:iCs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3CA01">
            <w:pPr>
              <w:jc w:val="center"/>
              <w:rPr>
                <w:rFonts w:hint="eastAsia" w:asciiTheme="minorEastAsia" w:hAnsiTheme="minorEastAsia" w:eastAsiaTheme="minorEastAsia" w:cstheme="minorEastAsia"/>
                <w:b w:val="0"/>
                <w:bCs w:val="0"/>
                <w:i w:val="0"/>
                <w:iCs w:val="0"/>
                <w:color w:val="000000"/>
                <w:sz w:val="18"/>
                <w:szCs w:val="18"/>
                <w:u w:val="none"/>
              </w:rPr>
            </w:pP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0855A">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BBC9D">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6A6D">
            <w:pPr>
              <w:jc w:val="center"/>
              <w:rPr>
                <w:rFonts w:hint="eastAsia" w:asciiTheme="minorEastAsia" w:hAnsiTheme="minorEastAsia" w:eastAsiaTheme="minorEastAsia" w:cstheme="minorEastAsia"/>
                <w:b w:val="0"/>
                <w:bCs w:val="0"/>
                <w:i w:val="0"/>
                <w:iCs w:val="0"/>
                <w:color w:val="000000"/>
                <w:sz w:val="18"/>
                <w:szCs w:val="18"/>
                <w:u w:val="none"/>
              </w:rPr>
            </w:pPr>
          </w:p>
        </w:tc>
      </w:tr>
      <w:tr w14:paraId="095BC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F2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框架式长伸臂 L型信号灯杆基础开挖及清运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98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17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m3</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A0F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开挖尺寸：1500mm*1500mm*1800mm；                          余土外运：5KM   </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575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AFDB">
            <w:pPr>
              <w:jc w:val="center"/>
              <w:rPr>
                <w:rFonts w:hint="eastAsia" w:asciiTheme="minorEastAsia" w:hAnsiTheme="minorEastAsia" w:eastAsiaTheme="minorEastAsia" w:cstheme="minorEastAsia"/>
                <w:b w:val="0"/>
                <w:bCs w:val="0"/>
                <w:i w:val="0"/>
                <w:iCs w:val="0"/>
                <w:color w:val="000000"/>
                <w:sz w:val="18"/>
                <w:szCs w:val="18"/>
                <w:u w:val="none"/>
              </w:rPr>
            </w:pPr>
          </w:p>
        </w:tc>
      </w:tr>
      <w:tr w14:paraId="157EC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056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人行灯杆基础开挖及清运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85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FF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m3</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6BC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开挖尺寸：800mm*800mm*800mm                                   余土外运：5KM   </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B02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BC97">
            <w:pPr>
              <w:jc w:val="center"/>
              <w:rPr>
                <w:rFonts w:hint="eastAsia" w:asciiTheme="minorEastAsia" w:hAnsiTheme="minorEastAsia" w:eastAsiaTheme="minorEastAsia" w:cstheme="minorEastAsia"/>
                <w:b w:val="0"/>
                <w:bCs w:val="0"/>
                <w:i w:val="0"/>
                <w:iCs w:val="0"/>
                <w:color w:val="000000"/>
                <w:sz w:val="18"/>
                <w:szCs w:val="18"/>
                <w:u w:val="none"/>
              </w:rPr>
            </w:pPr>
          </w:p>
        </w:tc>
      </w:tr>
      <w:tr w14:paraId="6E6B9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E0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控制机基础开挖及清运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4E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15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m3</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69A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开挖尺寸：600mm*1000mm*800mm                                  余土外运：5KM   </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0D6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E507">
            <w:pPr>
              <w:jc w:val="center"/>
              <w:rPr>
                <w:rFonts w:hint="eastAsia" w:asciiTheme="minorEastAsia" w:hAnsiTheme="minorEastAsia" w:eastAsiaTheme="minorEastAsia" w:cstheme="minorEastAsia"/>
                <w:b w:val="0"/>
                <w:bCs w:val="0"/>
                <w:i w:val="0"/>
                <w:iCs w:val="0"/>
                <w:color w:val="000000"/>
                <w:sz w:val="18"/>
                <w:szCs w:val="18"/>
                <w:u w:val="none"/>
              </w:rPr>
            </w:pPr>
          </w:p>
        </w:tc>
      </w:tr>
      <w:tr w14:paraId="32C01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69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框架式长伸臂L型信号灯杆现浇基础及养护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20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E1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m3</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500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1.混凝土种类：商砼</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2.混凝土强度等级：C25</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613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CC6E">
            <w:pPr>
              <w:jc w:val="center"/>
              <w:rPr>
                <w:rFonts w:hint="eastAsia" w:asciiTheme="minorEastAsia" w:hAnsiTheme="minorEastAsia" w:eastAsiaTheme="minorEastAsia" w:cstheme="minorEastAsia"/>
                <w:b w:val="0"/>
                <w:bCs w:val="0"/>
                <w:i w:val="0"/>
                <w:iCs w:val="0"/>
                <w:color w:val="000000"/>
                <w:sz w:val="18"/>
                <w:szCs w:val="18"/>
                <w:u w:val="none"/>
              </w:rPr>
            </w:pPr>
          </w:p>
        </w:tc>
      </w:tr>
      <w:tr w14:paraId="745B1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2D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人行灯杆现浇基础及养护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44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0F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m3</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83E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1.混凝土种类：商砼</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2.混凝土强度等级：C25</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90D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F751">
            <w:pPr>
              <w:jc w:val="center"/>
              <w:rPr>
                <w:rFonts w:hint="eastAsia" w:asciiTheme="minorEastAsia" w:hAnsiTheme="minorEastAsia" w:eastAsiaTheme="minorEastAsia" w:cstheme="minorEastAsia"/>
                <w:b w:val="0"/>
                <w:bCs w:val="0"/>
                <w:i w:val="0"/>
                <w:iCs w:val="0"/>
                <w:color w:val="000000"/>
                <w:sz w:val="18"/>
                <w:szCs w:val="18"/>
                <w:u w:val="none"/>
              </w:rPr>
            </w:pPr>
          </w:p>
        </w:tc>
      </w:tr>
      <w:tr w14:paraId="6E183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27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控制机现浇基础及养护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F7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D8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m3</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564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1.混凝土种类：商砼</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2.混凝土强度等级：C25</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67B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5AEB">
            <w:pPr>
              <w:jc w:val="center"/>
              <w:rPr>
                <w:rFonts w:hint="eastAsia" w:asciiTheme="minorEastAsia" w:hAnsiTheme="minorEastAsia" w:eastAsiaTheme="minorEastAsia" w:cstheme="minorEastAsia"/>
                <w:b w:val="0"/>
                <w:bCs w:val="0"/>
                <w:i w:val="0"/>
                <w:iCs w:val="0"/>
                <w:color w:val="000000"/>
                <w:sz w:val="18"/>
                <w:szCs w:val="18"/>
                <w:u w:val="none"/>
              </w:rPr>
            </w:pPr>
          </w:p>
        </w:tc>
      </w:tr>
      <w:tr w14:paraId="6F0E3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35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人行道(隔离带)管线敷设（ 自行恢复）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33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270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41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69A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开挖尺寸：电缆沟开挖宽度不小于300mm，深度不小于500mm；长度根据施工现场实际情况而定。                              恢复：待管线敷设至电缆沟后，线管上方需做不小于50mm的硬化层，按原路面材质进行恢复。</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C6F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AFA3">
            <w:pPr>
              <w:jc w:val="center"/>
              <w:rPr>
                <w:rFonts w:hint="eastAsia" w:asciiTheme="minorEastAsia" w:hAnsiTheme="minorEastAsia" w:eastAsiaTheme="minorEastAsia" w:cstheme="minorEastAsia"/>
                <w:b w:val="0"/>
                <w:bCs w:val="0"/>
                <w:i w:val="0"/>
                <w:iCs w:val="0"/>
                <w:color w:val="000000"/>
                <w:sz w:val="18"/>
                <w:szCs w:val="18"/>
                <w:u w:val="none"/>
              </w:rPr>
            </w:pPr>
          </w:p>
        </w:tc>
      </w:tr>
      <w:tr w14:paraId="67621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74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电缆管沟开挖及回填路面恢复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3B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FA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100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开挖尺寸：电缆沟开挖宽度不小于300mm，深度不小于500mm；长度根据施工现场实际情况而定；                              恢复：管沟恢复需做硬化层防止路面塌陷，厚度不少于300mm，路面面层恢复采用沥青材料，压实厚度不小于100mm。                           </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2AE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7A41">
            <w:pPr>
              <w:jc w:val="center"/>
              <w:rPr>
                <w:rFonts w:hint="eastAsia" w:asciiTheme="minorEastAsia" w:hAnsiTheme="minorEastAsia" w:eastAsiaTheme="minorEastAsia" w:cstheme="minorEastAsia"/>
                <w:b w:val="0"/>
                <w:bCs w:val="0"/>
                <w:i w:val="0"/>
                <w:iCs w:val="0"/>
                <w:color w:val="000000"/>
                <w:sz w:val="18"/>
                <w:szCs w:val="18"/>
                <w:u w:val="none"/>
              </w:rPr>
            </w:pPr>
          </w:p>
        </w:tc>
      </w:tr>
      <w:tr w14:paraId="12022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46C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接线井制作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1F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64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个</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B07E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规格：600mm*600mm*800mm；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材料准备：电缆套管PEΦ50或Φ63；水泥、石灰、砂、MU15烧结非黏土砖送至现场并复试合格；送检合格的井盖及井圈。</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施工叙述：检查井基坑开挖，人工平整基底铺设水泥石灰土并压实，垫二层烧鸡非黏土砖并用干砂填缝，砖砌检查井并预留孔道，砂浆抹面，浇筑C25压顶混凝土安装检查井井圈及井盖；烧结非黏土砖在使用前应洒水湿润，砂浆应随便随用，水泥砂浆和水泥混合砂浆应分别在3H和4H内使用完毕；当施工期间最高气温超过30℃时，应分别在拌成后2H和3H内使用完毕。</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采用“三一”砌筑法，即采用“一块砖、一铲灰、一挤揉”工艺砌筑砖砌体的操作方法，保证灰缝饱满、粘结力好、墙面整洁。</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管线入接线井时管线周边用砂浆填塞密实，接线井施工砂浆、混凝土需洒水养护。</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016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8A46">
            <w:pPr>
              <w:jc w:val="center"/>
              <w:rPr>
                <w:rFonts w:hint="eastAsia" w:asciiTheme="minorEastAsia" w:hAnsiTheme="minorEastAsia" w:eastAsiaTheme="minorEastAsia" w:cstheme="minorEastAsia"/>
                <w:b w:val="0"/>
                <w:bCs w:val="0"/>
                <w:i w:val="0"/>
                <w:iCs w:val="0"/>
                <w:color w:val="000000"/>
                <w:sz w:val="18"/>
                <w:szCs w:val="18"/>
                <w:u w:val="none"/>
              </w:rPr>
            </w:pPr>
          </w:p>
        </w:tc>
      </w:tr>
      <w:tr w14:paraId="3D2FB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5BF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安装调试费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C8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AA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路口</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6C6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含运输、灯杆组立吊装。信号灯安装、控制机安装电缆敷设、接线加电调试、试运行等</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725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053B">
            <w:pPr>
              <w:jc w:val="center"/>
              <w:rPr>
                <w:rFonts w:hint="eastAsia" w:asciiTheme="minorEastAsia" w:hAnsiTheme="minorEastAsia" w:eastAsiaTheme="minorEastAsia" w:cstheme="minorEastAsia"/>
                <w:b w:val="0"/>
                <w:bCs w:val="0"/>
                <w:i w:val="0"/>
                <w:iCs w:val="0"/>
                <w:color w:val="000000"/>
                <w:sz w:val="18"/>
                <w:szCs w:val="18"/>
                <w:u w:val="none"/>
              </w:rPr>
            </w:pPr>
          </w:p>
        </w:tc>
      </w:tr>
      <w:tr w14:paraId="74E2F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05B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二、滨河路与南海路丁字路口信号灯系统</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A67FE">
            <w:pPr>
              <w:jc w:val="center"/>
              <w:rPr>
                <w:rFonts w:hint="eastAsia" w:asciiTheme="minorEastAsia" w:hAnsiTheme="minorEastAsia" w:eastAsiaTheme="minorEastAsia" w:cstheme="minorEastAsia"/>
                <w:b w:val="0"/>
                <w:bCs w:val="0"/>
                <w:i w:val="0"/>
                <w:iCs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CA177">
            <w:pPr>
              <w:jc w:val="center"/>
              <w:rPr>
                <w:rFonts w:hint="eastAsia" w:asciiTheme="minorEastAsia" w:hAnsiTheme="minorEastAsia" w:eastAsiaTheme="minorEastAsia" w:cstheme="minorEastAsia"/>
                <w:b w:val="0"/>
                <w:bCs w:val="0"/>
                <w:i w:val="0"/>
                <w:iCs w:val="0"/>
                <w:color w:val="000000"/>
                <w:sz w:val="18"/>
                <w:szCs w:val="18"/>
                <w:u w:val="none"/>
              </w:rPr>
            </w:pP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6A73B">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53D0F">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BC6A">
            <w:pPr>
              <w:jc w:val="center"/>
              <w:rPr>
                <w:rFonts w:hint="eastAsia" w:asciiTheme="minorEastAsia" w:hAnsiTheme="minorEastAsia" w:eastAsiaTheme="minorEastAsia" w:cstheme="minorEastAsia"/>
                <w:b w:val="0"/>
                <w:bCs w:val="0"/>
                <w:i w:val="0"/>
                <w:iCs w:val="0"/>
                <w:color w:val="000000"/>
                <w:sz w:val="18"/>
                <w:szCs w:val="18"/>
                <w:u w:val="none"/>
              </w:rPr>
            </w:pPr>
          </w:p>
        </w:tc>
      </w:tr>
      <w:tr w14:paraId="1AAC9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81BA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（1）前端设备</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064D8">
            <w:pPr>
              <w:jc w:val="center"/>
              <w:rPr>
                <w:rFonts w:hint="eastAsia" w:asciiTheme="minorEastAsia" w:hAnsiTheme="minorEastAsia" w:eastAsiaTheme="minorEastAsia" w:cstheme="minorEastAsia"/>
                <w:b w:val="0"/>
                <w:bCs w:val="0"/>
                <w:i w:val="0"/>
                <w:iCs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2A835">
            <w:pPr>
              <w:jc w:val="center"/>
              <w:rPr>
                <w:rFonts w:hint="eastAsia" w:asciiTheme="minorEastAsia" w:hAnsiTheme="minorEastAsia" w:eastAsiaTheme="minorEastAsia" w:cstheme="minorEastAsia"/>
                <w:b w:val="0"/>
                <w:bCs w:val="0"/>
                <w:i w:val="0"/>
                <w:iCs w:val="0"/>
                <w:color w:val="000000"/>
                <w:sz w:val="18"/>
                <w:szCs w:val="18"/>
                <w:u w:val="none"/>
              </w:rPr>
            </w:pP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7F620">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C35AE">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44E9">
            <w:pPr>
              <w:jc w:val="center"/>
              <w:rPr>
                <w:rFonts w:hint="eastAsia" w:asciiTheme="minorEastAsia" w:hAnsiTheme="minorEastAsia" w:eastAsiaTheme="minorEastAsia" w:cstheme="minorEastAsia"/>
                <w:b w:val="0"/>
                <w:bCs w:val="0"/>
                <w:i w:val="0"/>
                <w:iCs w:val="0"/>
                <w:color w:val="000000"/>
                <w:sz w:val="18"/>
                <w:szCs w:val="18"/>
                <w:u w:val="none"/>
              </w:rPr>
            </w:pPr>
          </w:p>
        </w:tc>
      </w:tr>
      <w:tr w14:paraId="48FCA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76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400 铝压铸满屏信号灯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69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89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组</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2D36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a)外壳材质：压铸铝。</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b)灯面尺寸：中400mm，遮沿等符合GB14887-2011的相关标准</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c)光强：红色、黄色、绿色&gt;600cd，符合GB14887-2011标准。减光时中心光强200±10cd</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d)色度及波长：</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红色625±5nmX=0.6984，Y=0.3014</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黄色590±5nmX=0.5802,Y=0.4137</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绿色505±4nmX=0.0848,Y=0.5739</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e)供电电压：AC220V±20%50Hz</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f）出线孔容纳线径：不低于Φ20mm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g)功率:≤20W</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h)功率因数：≥0.9</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i)启动瞬时电流：≤1.8A</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j)启动时间和关断时间:54ms,54ms</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k)关断电压:60V</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l)工作温度：-40℃~+80℃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m)湿度:≤97%</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n)使用寿命：&gt;10000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o)重量≤15kg</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（需提供公安部所属检验机构出具的检测报告复印件）</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D32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F5E5">
            <w:pPr>
              <w:jc w:val="center"/>
              <w:rPr>
                <w:rFonts w:hint="eastAsia" w:asciiTheme="minorEastAsia" w:hAnsiTheme="minorEastAsia" w:eastAsiaTheme="minorEastAsia" w:cstheme="minorEastAsia"/>
                <w:b w:val="0"/>
                <w:bCs w:val="0"/>
                <w:i w:val="0"/>
                <w:iCs w:val="0"/>
                <w:color w:val="000000"/>
                <w:sz w:val="18"/>
                <w:szCs w:val="18"/>
                <w:u w:val="none"/>
              </w:rPr>
            </w:pPr>
          </w:p>
        </w:tc>
      </w:tr>
      <w:tr w14:paraId="5ACE6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94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400铝压铸箭头信号灯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A9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7F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组</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3ECC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a.箭头灯灯面尺寸中400mm，图形尺寸符合GB14887-2011的相关标准。</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b.色度值及波长：</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红色625±5nmX=0.6984，Y=0.3014；</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黄色590±5nmX=0.5802,Y=0.4137；</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绿色505±4nmX=0.0848,Y=0.5739</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c.光强：红色、黄色、绿色&gt;60cd，符合GB148872011标准减光时中心光强200±10cd</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d.供电电压：AC220V±20%50Hz</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e.出线孔容纳线径：不低于φ20mm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f.功率:≤20W</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g.功率因数：≥0.9</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h.启动瞬时电流：≤1.8A</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i.工作温度：-40℃~+80℃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j.湿度:≤97%</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k.使用寿命：&gt;10000h</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l.重量:≤15kg</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（需提供公安部所属检验机构出具的检测报告复印件）</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3A1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B5D4">
            <w:pPr>
              <w:jc w:val="center"/>
              <w:rPr>
                <w:rFonts w:hint="eastAsia" w:asciiTheme="minorEastAsia" w:hAnsiTheme="minorEastAsia" w:eastAsiaTheme="minorEastAsia" w:cstheme="minorEastAsia"/>
                <w:b w:val="0"/>
                <w:bCs w:val="0"/>
                <w:i w:val="0"/>
                <w:iCs w:val="0"/>
                <w:color w:val="000000"/>
                <w:sz w:val="18"/>
                <w:szCs w:val="18"/>
                <w:u w:val="none"/>
              </w:rPr>
            </w:pPr>
          </w:p>
        </w:tc>
      </w:tr>
      <w:tr w14:paraId="5B3E4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1B0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人行信号灯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CA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B8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台</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530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a.亮度：红色&gt;400cdm2；绿色&gt;4000cd/m2</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b.灯面尺寸:300m×220mm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c.供电电压：AC220V±20%,50Hz</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d.工作温度：-40℃—+75℃</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e.湿度范围:5%-95%</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f.绝缘电阻：≥500M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g.使用寿命：&gt;10000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h.重量：≤7.5kg(含包装、配件)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i.外壳材质：铝合金</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j.可视距离：≥300m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k.外壳防护等级：≥IP54</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l.介电强度：耐压1450V</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m.可视角度：≥30°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（需提供公安部所属检验机构出具的检测报告复印件）</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D01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B22C">
            <w:pPr>
              <w:jc w:val="center"/>
              <w:rPr>
                <w:rFonts w:hint="eastAsia" w:asciiTheme="minorEastAsia" w:hAnsiTheme="minorEastAsia" w:eastAsiaTheme="minorEastAsia" w:cstheme="minorEastAsia"/>
                <w:b w:val="0"/>
                <w:bCs w:val="0"/>
                <w:i w:val="0"/>
                <w:iCs w:val="0"/>
                <w:color w:val="000000"/>
                <w:sz w:val="18"/>
                <w:szCs w:val="18"/>
                <w:u w:val="none"/>
              </w:rPr>
            </w:pPr>
          </w:p>
        </w:tc>
      </w:tr>
      <w:tr w14:paraId="5683A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75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交通信号控制机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6A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53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629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【区县级】【经济型】【44路输出】</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包含：控制主机、配电单元、机柜、无线遥控器、GPS。</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相位：支持≥64个相位；</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灯控输出：≥44路输出，单通道负载≥800W；</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灯控板：≥4块，每块支持≥11路；</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网络接口：≥1个RJ45接口</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其他接口：≥1个RS232接口，≥2个RS485接口，≥1个USB接口</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外部输入：≥8路行人按钮输入</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外部输出：无</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无线遥控：支持</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无线接入：可选配4G/WIFI模块</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工作电压：AC220V±44V，50Hz±2Hz</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温度：-40℃～+70℃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功耗：≤35W</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防护等级：≥IP54</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绝缘强度：大于700MΩ</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结构尺寸（含机柜）：≥600mm（宽）×1084mm(高)×450mm（深）</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毛重量：≥90kg</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（需提供公安部所属检验机构出具的检测报告复印件）</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094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5CFC">
            <w:pPr>
              <w:jc w:val="center"/>
              <w:rPr>
                <w:rFonts w:hint="eastAsia" w:asciiTheme="minorEastAsia" w:hAnsiTheme="minorEastAsia" w:eastAsiaTheme="minorEastAsia" w:cstheme="minorEastAsia"/>
                <w:b w:val="0"/>
                <w:bCs w:val="0"/>
                <w:i w:val="0"/>
                <w:iCs w:val="0"/>
                <w:color w:val="000000"/>
                <w:sz w:val="18"/>
                <w:szCs w:val="18"/>
                <w:u w:val="none"/>
              </w:rPr>
            </w:pPr>
          </w:p>
        </w:tc>
      </w:tr>
      <w:tr w14:paraId="1979E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6C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倒计时器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D3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BB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FE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结构设计新颖，体积小，表面喷塑，重量轻，安装方式采用模块，精心制作而成</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高可靠性，内部计时采用工业级微电脑控制技术，采用软件“看门狗”和硬件抗干扰措施，防雷性能好，使倒计时运行稳定可靠</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采用灯取电源方式，无须单独供电(也可AC220独立供电)。拆装方便，防水性能极佳；</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内部具有两组信号采样输入，可以方便地进行多相位计时；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软件设计思路先进，检测速度快、时间精确</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取电方式可以采用电缆直接供电，也可以采用从信号灯取电的方式；</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采用超亮度四元素LED发光管，亮度高，衰减低，使用寿命≥10万小时；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内部装有避雷器件，能有效减小雷电对倒计时产生的影响</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产品性能指标符合国家GB14887-2011标准。</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额定功率：≤45W</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可视角度：≥30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可视距离：≥400米</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工作温度：-40℃-80℃；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工作湿度:10%-95%</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发光强度：≥400cd/m2；</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额定电压：AC220V±10%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额定输出电压：AC176~264V,50HZ</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符合GA/T508-2004标准要求；</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通信方式或与RS485通讯协议方式,2位数字显示(99)；</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通讯中断时，倒计时能在2秒内显示黑屏；适应多相位显示；</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外型尺寸:≥800*600*10(不含遮阳板)。</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（需提供公安部所属检验机构出具的检测报告复印件）</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63C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D100">
            <w:pPr>
              <w:jc w:val="center"/>
              <w:rPr>
                <w:rFonts w:hint="eastAsia" w:asciiTheme="minorEastAsia" w:hAnsiTheme="minorEastAsia" w:eastAsiaTheme="minorEastAsia" w:cstheme="minorEastAsia"/>
                <w:b w:val="0"/>
                <w:bCs w:val="0"/>
                <w:i w:val="0"/>
                <w:iCs w:val="0"/>
                <w:color w:val="000000"/>
                <w:sz w:val="18"/>
                <w:szCs w:val="18"/>
                <w:u w:val="none"/>
              </w:rPr>
            </w:pPr>
          </w:p>
        </w:tc>
      </w:tr>
      <w:tr w14:paraId="7B4B9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5D41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框架式长伸臂 L 型信号灯杆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05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85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AB9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规格：H=6.8m，L=6m；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（1）钢杆臂厚不低于6mm，材质Q235以上，其力学性能满足信号灯杆的强度要求，设计可抗最大风速39.6米/秒(抗风压等级为10级)，承受压力为0.6千牛，抗地震强度为8级。</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（2）焊体表面焊波均匀、无裂纹、气孔、夹渣、烧穿、未融合，弧坑和针状气体等，焊缝均匀丰满美观。</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（3）杆体内外热浸锌处理，镀层均匀、无色差，镀层≥60μm。</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4EA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DC40">
            <w:pPr>
              <w:jc w:val="center"/>
              <w:rPr>
                <w:rFonts w:hint="eastAsia" w:asciiTheme="minorEastAsia" w:hAnsiTheme="minorEastAsia" w:eastAsiaTheme="minorEastAsia" w:cstheme="minorEastAsia"/>
                <w:b w:val="0"/>
                <w:bCs w:val="0"/>
                <w:i w:val="0"/>
                <w:iCs w:val="0"/>
                <w:color w:val="000000"/>
                <w:sz w:val="18"/>
                <w:szCs w:val="18"/>
                <w:u w:val="none"/>
              </w:rPr>
            </w:pPr>
          </w:p>
        </w:tc>
      </w:tr>
      <w:tr w14:paraId="0AC2B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933D2">
            <w:pPr>
              <w:rPr>
                <w:rFonts w:hint="eastAsia" w:asciiTheme="minorEastAsia" w:hAnsiTheme="minorEastAsia" w:eastAsiaTheme="minorEastAsia" w:cstheme="minorEastAsia"/>
                <w:b w:val="0"/>
                <w:bCs w:val="0"/>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02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54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7B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规格：H=6.8m，L=9m；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（1）钢杆臂厚不低于6mm，材质Q235以上，其力学性能满足信号灯杆的强度要求，设计可抗最大风速39.6米/秒(抗风压等级为10级)，承受压力为0.6千牛，抗地震强度为8级。</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（2）焊体表面焊波均匀、无裂纹、气孔、夹渣、烧穿、未融合，弧坑和针状气体等，焊缝均匀丰满美观。</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（3）杆体内外热浸锌处理，镀层均匀、无色差，镀层≥60μm。</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757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F1BA">
            <w:pPr>
              <w:jc w:val="center"/>
              <w:rPr>
                <w:rFonts w:hint="eastAsia" w:asciiTheme="minorEastAsia" w:hAnsiTheme="minorEastAsia" w:eastAsiaTheme="minorEastAsia" w:cstheme="minorEastAsia"/>
                <w:b w:val="0"/>
                <w:bCs w:val="0"/>
                <w:i w:val="0"/>
                <w:iCs w:val="0"/>
                <w:color w:val="000000"/>
                <w:sz w:val="18"/>
                <w:szCs w:val="18"/>
                <w:u w:val="none"/>
              </w:rPr>
            </w:pPr>
          </w:p>
        </w:tc>
      </w:tr>
      <w:tr w14:paraId="3A5E0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81E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人行信号灯灯杆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7D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2E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60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1.圆柱型灯杆，材质Q235以上</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2.灯具安装位置预制灯具竖装安装口</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3.杆高3.2米，符合信号灯配置要求；</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4.杆体采用热浸锌工艺，镀锌层均匀且厚度不小于55μm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5.杆体设计合理，表面应光滑平顺，无气孔、焊渣、虚焊及漏焊等缺陷</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6.立杆及其主要构件的防护等级满足露天使用环境的要求，最大抗风风速不小于28m/s</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07B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F332">
            <w:pPr>
              <w:jc w:val="center"/>
              <w:rPr>
                <w:rFonts w:hint="eastAsia" w:asciiTheme="minorEastAsia" w:hAnsiTheme="minorEastAsia" w:eastAsiaTheme="minorEastAsia" w:cstheme="minorEastAsia"/>
                <w:b w:val="0"/>
                <w:bCs w:val="0"/>
                <w:i w:val="0"/>
                <w:iCs w:val="0"/>
                <w:color w:val="000000"/>
                <w:sz w:val="18"/>
                <w:szCs w:val="18"/>
                <w:u w:val="none"/>
              </w:rPr>
            </w:pPr>
          </w:p>
        </w:tc>
      </w:tr>
      <w:tr w14:paraId="6D2B8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nil"/>
              <w:left w:val="nil"/>
              <w:bottom w:val="nil"/>
              <w:right w:val="nil"/>
            </w:tcBorders>
            <w:shd w:val="clear" w:color="auto" w:fill="auto"/>
            <w:noWrap/>
            <w:vAlign w:val="center"/>
          </w:tcPr>
          <w:p w14:paraId="102CF9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（2）线缆及辅材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AEA1">
            <w:pPr>
              <w:jc w:val="center"/>
              <w:rPr>
                <w:rFonts w:hint="eastAsia" w:asciiTheme="minorEastAsia" w:hAnsiTheme="minorEastAsia" w:eastAsiaTheme="minorEastAsia" w:cstheme="minorEastAsia"/>
                <w:b w:val="0"/>
                <w:bCs w:val="0"/>
                <w:i w:val="0"/>
                <w:iCs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CFC9">
            <w:pPr>
              <w:jc w:val="center"/>
              <w:rPr>
                <w:rFonts w:hint="eastAsia" w:asciiTheme="minorEastAsia" w:hAnsiTheme="minorEastAsia" w:eastAsiaTheme="minorEastAsia" w:cstheme="minorEastAsia"/>
                <w:b w:val="0"/>
                <w:bCs w:val="0"/>
                <w:i w:val="0"/>
                <w:iCs w:val="0"/>
                <w:color w:val="000000"/>
                <w:sz w:val="18"/>
                <w:szCs w:val="18"/>
                <w:u w:val="none"/>
              </w:rPr>
            </w:pP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2F52">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E9A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3198">
            <w:pPr>
              <w:jc w:val="center"/>
              <w:rPr>
                <w:rFonts w:hint="eastAsia" w:asciiTheme="minorEastAsia" w:hAnsiTheme="minorEastAsia" w:eastAsiaTheme="minorEastAsia" w:cstheme="minorEastAsia"/>
                <w:b w:val="0"/>
                <w:bCs w:val="0"/>
                <w:i w:val="0"/>
                <w:iCs w:val="0"/>
                <w:color w:val="000000"/>
                <w:sz w:val="18"/>
                <w:szCs w:val="18"/>
                <w:u w:val="none"/>
              </w:rPr>
            </w:pPr>
          </w:p>
        </w:tc>
      </w:tr>
      <w:tr w14:paraId="68A10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E08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00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168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1F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EC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全色谱KVV14×1.0mm2；                                      规格：铜芯，聚氯乙烯绝缘，聚氯乙烯护套，控制电缆；        标称横截面面积（mm2）：1.0。         </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5D1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E9C2">
            <w:pPr>
              <w:jc w:val="center"/>
              <w:rPr>
                <w:rFonts w:hint="eastAsia" w:asciiTheme="minorEastAsia" w:hAnsiTheme="minorEastAsia" w:eastAsiaTheme="minorEastAsia" w:cstheme="minorEastAsia"/>
                <w:b w:val="0"/>
                <w:bCs w:val="0"/>
                <w:i w:val="0"/>
                <w:iCs w:val="0"/>
                <w:color w:val="000000"/>
                <w:sz w:val="18"/>
                <w:szCs w:val="18"/>
                <w:u w:val="none"/>
              </w:rPr>
            </w:pPr>
          </w:p>
        </w:tc>
      </w:tr>
      <w:tr w14:paraId="06035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C6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E4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8C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2A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全色谱KVV7×1.0mm2；                                                             规格：铜芯，聚氯乙烯绝缘，聚氯乙烯护套，控制电缆；        标称横截面面积（mm2）：1.0。 </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6B1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40BC">
            <w:pPr>
              <w:jc w:val="center"/>
              <w:rPr>
                <w:rFonts w:hint="eastAsia" w:asciiTheme="minorEastAsia" w:hAnsiTheme="minorEastAsia" w:eastAsiaTheme="minorEastAsia" w:cstheme="minorEastAsia"/>
                <w:b w:val="0"/>
                <w:bCs w:val="0"/>
                <w:i w:val="0"/>
                <w:iCs w:val="0"/>
                <w:color w:val="000000"/>
                <w:sz w:val="18"/>
                <w:szCs w:val="18"/>
                <w:u w:val="none"/>
              </w:rPr>
            </w:pPr>
          </w:p>
        </w:tc>
      </w:tr>
      <w:tr w14:paraId="148DB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24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CA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275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A9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C63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全色谱KVV4×1.0mm2；                                           规格：铜芯，聚氯乙烯绝缘，聚氯乙烯护套，控制电缆；        标称横截面面积（mm2）：1.0。 </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164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6B5F">
            <w:pPr>
              <w:jc w:val="center"/>
              <w:rPr>
                <w:rFonts w:hint="eastAsia" w:asciiTheme="minorEastAsia" w:hAnsiTheme="minorEastAsia" w:eastAsiaTheme="minorEastAsia" w:cstheme="minorEastAsia"/>
                <w:b w:val="0"/>
                <w:bCs w:val="0"/>
                <w:i w:val="0"/>
                <w:iCs w:val="0"/>
                <w:color w:val="000000"/>
                <w:sz w:val="18"/>
                <w:szCs w:val="18"/>
                <w:u w:val="none"/>
              </w:rPr>
            </w:pPr>
          </w:p>
        </w:tc>
      </w:tr>
      <w:tr w14:paraId="1E57C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3F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信号机供电电源线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BD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1A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CC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RVV2×2.5mm2                                             铜芯聚氯乙烯绝缘乙烯护套圆形连接软线；</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用于潮湿和设备防护要求较高的场所；</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电压等级：300/300V,300/500V;</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芯数：2芯。    </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590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7DE1">
            <w:pPr>
              <w:jc w:val="center"/>
              <w:rPr>
                <w:rFonts w:hint="eastAsia" w:asciiTheme="minorEastAsia" w:hAnsiTheme="minorEastAsia" w:eastAsiaTheme="minorEastAsia" w:cstheme="minorEastAsia"/>
                <w:b w:val="0"/>
                <w:bCs w:val="0"/>
                <w:i w:val="0"/>
                <w:iCs w:val="0"/>
                <w:color w:val="000000"/>
                <w:sz w:val="18"/>
                <w:szCs w:val="18"/>
                <w:u w:val="none"/>
              </w:rPr>
            </w:pPr>
          </w:p>
        </w:tc>
      </w:tr>
      <w:tr w14:paraId="49EF2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2A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电缆敷设管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9A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315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47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22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PE（聚乙烯）地埋电缆护套管；</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管径（外径）：Φ50，Φ63，管壁厚度依据管径大小不同≥4mm；</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C44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323F">
            <w:pPr>
              <w:jc w:val="center"/>
              <w:rPr>
                <w:rFonts w:hint="eastAsia" w:asciiTheme="minorEastAsia" w:hAnsiTheme="minorEastAsia" w:eastAsiaTheme="minorEastAsia" w:cstheme="minorEastAsia"/>
                <w:b w:val="0"/>
                <w:bCs w:val="0"/>
                <w:i w:val="0"/>
                <w:iCs w:val="0"/>
                <w:color w:val="000000"/>
                <w:sz w:val="18"/>
                <w:szCs w:val="18"/>
                <w:u w:val="none"/>
              </w:rPr>
            </w:pPr>
          </w:p>
        </w:tc>
      </w:tr>
      <w:tr w14:paraId="1A7B7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993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框架式长伸臂L型信号灯杆地脚螺栓及预埋铁件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48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E7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AD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底板法兰800*800*8，地脚螺栓M32*1500*12根</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678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0908">
            <w:pPr>
              <w:jc w:val="center"/>
              <w:rPr>
                <w:rFonts w:hint="eastAsia" w:asciiTheme="minorEastAsia" w:hAnsiTheme="minorEastAsia" w:eastAsiaTheme="minorEastAsia" w:cstheme="minorEastAsia"/>
                <w:b w:val="0"/>
                <w:bCs w:val="0"/>
                <w:i w:val="0"/>
                <w:iCs w:val="0"/>
                <w:color w:val="000000"/>
                <w:sz w:val="18"/>
                <w:szCs w:val="18"/>
                <w:u w:val="none"/>
              </w:rPr>
            </w:pPr>
          </w:p>
        </w:tc>
      </w:tr>
      <w:tr w14:paraId="18061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D1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人行灯杆地脚螺栓及预埋铁件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2C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4A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5F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底板法兰350*350*4，地脚螺栓M16*600*4根</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38F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9EF4">
            <w:pPr>
              <w:jc w:val="center"/>
              <w:rPr>
                <w:rFonts w:hint="eastAsia" w:asciiTheme="minorEastAsia" w:hAnsiTheme="minorEastAsia" w:eastAsiaTheme="minorEastAsia" w:cstheme="minorEastAsia"/>
                <w:b w:val="0"/>
                <w:bCs w:val="0"/>
                <w:i w:val="0"/>
                <w:iCs w:val="0"/>
                <w:color w:val="000000"/>
                <w:sz w:val="18"/>
                <w:szCs w:val="18"/>
                <w:u w:val="none"/>
              </w:rPr>
            </w:pPr>
          </w:p>
        </w:tc>
      </w:tr>
      <w:tr w14:paraId="57F2F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D8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控制机地脚螺栓及预埋铁件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8B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13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3D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底板法兰800*400*4，地脚螺栓M16*400*4根</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705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A182">
            <w:pPr>
              <w:jc w:val="center"/>
              <w:rPr>
                <w:rFonts w:hint="eastAsia" w:asciiTheme="minorEastAsia" w:hAnsiTheme="minorEastAsia" w:eastAsiaTheme="minorEastAsia" w:cstheme="minorEastAsia"/>
                <w:b w:val="0"/>
                <w:bCs w:val="0"/>
                <w:i w:val="0"/>
                <w:iCs w:val="0"/>
                <w:color w:val="000000"/>
                <w:sz w:val="18"/>
                <w:szCs w:val="18"/>
                <w:u w:val="none"/>
              </w:rPr>
            </w:pPr>
          </w:p>
        </w:tc>
      </w:tr>
      <w:tr w14:paraId="6629E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97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接线井公安专用井盖及座圈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7A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94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9D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材质：铸铁或高分子材质，并标有“公安”字样。                                               规格：600mm*600mm</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613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F306">
            <w:pPr>
              <w:jc w:val="center"/>
              <w:rPr>
                <w:rFonts w:hint="eastAsia" w:asciiTheme="minorEastAsia" w:hAnsiTheme="minorEastAsia" w:eastAsiaTheme="minorEastAsia" w:cstheme="minorEastAsia"/>
                <w:b w:val="0"/>
                <w:bCs w:val="0"/>
                <w:i w:val="0"/>
                <w:iCs w:val="0"/>
                <w:color w:val="000000"/>
                <w:sz w:val="18"/>
                <w:szCs w:val="18"/>
                <w:u w:val="none"/>
              </w:rPr>
            </w:pPr>
          </w:p>
        </w:tc>
      </w:tr>
      <w:tr w14:paraId="7799D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5F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接地极</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14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CF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个</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1D3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1.接地保护应严格按建筑电气施工规范要求安装，工作零线与保护零线严格分开, 不得混用，所有配电箱的PE线应作垂直接地, 其接地电阻不大于1欧姆, 所有电气设备及管线金属外壳可靠接地，通过测试并要求达到规定值。若通过测试大于标准要求，必须要求返工，直到达标为止。</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2.接地极、接地扁钢选用热镀锌钢材，接地装置规定埋深不应小于0.6M，接地线通过地表下0.6M引至地面外。</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3.接地极选用∠50×50×5×2500镀锌角钢，间距5M，接地母线用-40×4镀锌扁钢，接地母线之间电焊搭接长度不小于15CM，接地母线、接地极之间焊接处应做防腐处理。</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C57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8D29">
            <w:pPr>
              <w:jc w:val="center"/>
              <w:rPr>
                <w:rFonts w:hint="eastAsia" w:asciiTheme="minorEastAsia" w:hAnsiTheme="minorEastAsia" w:eastAsiaTheme="minorEastAsia" w:cstheme="minorEastAsia"/>
                <w:b w:val="0"/>
                <w:bCs w:val="0"/>
                <w:i w:val="0"/>
                <w:iCs w:val="0"/>
                <w:color w:val="000000"/>
                <w:sz w:val="18"/>
                <w:szCs w:val="18"/>
                <w:u w:val="none"/>
              </w:rPr>
            </w:pPr>
          </w:p>
        </w:tc>
      </w:tr>
      <w:tr w14:paraId="5F4D0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9C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(3)土建及安装施工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812D">
            <w:pPr>
              <w:jc w:val="center"/>
              <w:rPr>
                <w:rFonts w:hint="eastAsia" w:asciiTheme="minorEastAsia" w:hAnsiTheme="minorEastAsia" w:eastAsiaTheme="minorEastAsia" w:cstheme="minorEastAsia"/>
                <w:b w:val="0"/>
                <w:bCs w:val="0"/>
                <w:i w:val="0"/>
                <w:iCs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D14A">
            <w:pPr>
              <w:jc w:val="center"/>
              <w:rPr>
                <w:rFonts w:hint="eastAsia" w:asciiTheme="minorEastAsia" w:hAnsiTheme="minorEastAsia" w:eastAsiaTheme="minorEastAsia" w:cstheme="minorEastAsia"/>
                <w:b w:val="0"/>
                <w:bCs w:val="0"/>
                <w:i w:val="0"/>
                <w:iCs w:val="0"/>
                <w:color w:val="000000"/>
                <w:sz w:val="18"/>
                <w:szCs w:val="18"/>
                <w:u w:val="none"/>
              </w:rPr>
            </w:pP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580B">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2D1E9">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8BAD">
            <w:pPr>
              <w:jc w:val="center"/>
              <w:rPr>
                <w:rFonts w:hint="eastAsia" w:asciiTheme="minorEastAsia" w:hAnsiTheme="minorEastAsia" w:eastAsiaTheme="minorEastAsia" w:cstheme="minorEastAsia"/>
                <w:b w:val="0"/>
                <w:bCs w:val="0"/>
                <w:i w:val="0"/>
                <w:iCs w:val="0"/>
                <w:color w:val="000000"/>
                <w:sz w:val="18"/>
                <w:szCs w:val="18"/>
                <w:u w:val="none"/>
              </w:rPr>
            </w:pPr>
          </w:p>
        </w:tc>
      </w:tr>
      <w:tr w14:paraId="67C3F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A7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框架式长伸臂 L 型 信号灯杆基础开挖及清运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AF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32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m3</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F4D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开挖尺寸：1500mm*1500mm*1800mm；                          余土外运：5KM   </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C31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0D78">
            <w:pPr>
              <w:jc w:val="center"/>
              <w:rPr>
                <w:rFonts w:hint="eastAsia" w:asciiTheme="minorEastAsia" w:hAnsiTheme="minorEastAsia" w:eastAsiaTheme="minorEastAsia" w:cstheme="minorEastAsia"/>
                <w:b w:val="0"/>
                <w:bCs w:val="0"/>
                <w:i w:val="0"/>
                <w:iCs w:val="0"/>
                <w:color w:val="000000"/>
                <w:sz w:val="18"/>
                <w:szCs w:val="18"/>
                <w:u w:val="none"/>
              </w:rPr>
            </w:pPr>
          </w:p>
        </w:tc>
      </w:tr>
      <w:tr w14:paraId="50012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B6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人行灯杆基础开挖及清运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FF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57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m3</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03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开挖尺寸：800mm*800mm*800mm                                   余土外运：5KM   </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E97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3BC9">
            <w:pPr>
              <w:jc w:val="center"/>
              <w:rPr>
                <w:rFonts w:hint="eastAsia" w:asciiTheme="minorEastAsia" w:hAnsiTheme="minorEastAsia" w:eastAsiaTheme="minorEastAsia" w:cstheme="minorEastAsia"/>
                <w:b w:val="0"/>
                <w:bCs w:val="0"/>
                <w:i w:val="0"/>
                <w:iCs w:val="0"/>
                <w:color w:val="000000"/>
                <w:sz w:val="18"/>
                <w:szCs w:val="18"/>
                <w:u w:val="none"/>
              </w:rPr>
            </w:pPr>
          </w:p>
        </w:tc>
      </w:tr>
      <w:tr w14:paraId="6D9B6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B68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控制机基础开挖及清运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D9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F5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m3</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01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开挖尺寸：600mm*1000mm*800mm                                  余土外运：5KM   </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B5C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5110">
            <w:pPr>
              <w:jc w:val="center"/>
              <w:rPr>
                <w:rFonts w:hint="eastAsia" w:asciiTheme="minorEastAsia" w:hAnsiTheme="minorEastAsia" w:eastAsiaTheme="minorEastAsia" w:cstheme="minorEastAsia"/>
                <w:b w:val="0"/>
                <w:bCs w:val="0"/>
                <w:i w:val="0"/>
                <w:iCs w:val="0"/>
                <w:color w:val="000000"/>
                <w:sz w:val="18"/>
                <w:szCs w:val="18"/>
                <w:u w:val="none"/>
              </w:rPr>
            </w:pPr>
          </w:p>
        </w:tc>
      </w:tr>
      <w:tr w14:paraId="78DA0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A7A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框架式长伸臂 L型信号灯杆现浇基础及养护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E1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69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m3</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29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1.混凝土种类：商砼</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2.混凝土强度等级：C25</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D4F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7023">
            <w:pPr>
              <w:jc w:val="center"/>
              <w:rPr>
                <w:rFonts w:hint="eastAsia" w:asciiTheme="minorEastAsia" w:hAnsiTheme="minorEastAsia" w:eastAsiaTheme="minorEastAsia" w:cstheme="minorEastAsia"/>
                <w:b w:val="0"/>
                <w:bCs w:val="0"/>
                <w:i w:val="0"/>
                <w:iCs w:val="0"/>
                <w:color w:val="000000"/>
                <w:sz w:val="18"/>
                <w:szCs w:val="18"/>
                <w:u w:val="none"/>
              </w:rPr>
            </w:pPr>
          </w:p>
        </w:tc>
      </w:tr>
      <w:tr w14:paraId="298A1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16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人行灯杆现浇基础及养护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A6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E4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m3</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B2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1.混凝土种类：商砼</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2.混凝土强度等级：C25</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D7B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9689">
            <w:pPr>
              <w:jc w:val="center"/>
              <w:rPr>
                <w:rFonts w:hint="eastAsia" w:asciiTheme="minorEastAsia" w:hAnsiTheme="minorEastAsia" w:eastAsiaTheme="minorEastAsia" w:cstheme="minorEastAsia"/>
                <w:b w:val="0"/>
                <w:bCs w:val="0"/>
                <w:i w:val="0"/>
                <w:iCs w:val="0"/>
                <w:color w:val="000000"/>
                <w:sz w:val="18"/>
                <w:szCs w:val="18"/>
                <w:u w:val="none"/>
              </w:rPr>
            </w:pPr>
          </w:p>
        </w:tc>
      </w:tr>
      <w:tr w14:paraId="02BE4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A7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控制机现浇基础及养护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39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74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m3</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06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1.混凝土种类：商砼</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2.混凝土强度等级：C25</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DDF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E148">
            <w:pPr>
              <w:jc w:val="center"/>
              <w:rPr>
                <w:rFonts w:hint="eastAsia" w:asciiTheme="minorEastAsia" w:hAnsiTheme="minorEastAsia" w:eastAsiaTheme="minorEastAsia" w:cstheme="minorEastAsia"/>
                <w:b w:val="0"/>
                <w:bCs w:val="0"/>
                <w:i w:val="0"/>
                <w:iCs w:val="0"/>
                <w:color w:val="000000"/>
                <w:sz w:val="18"/>
                <w:szCs w:val="18"/>
                <w:u w:val="none"/>
              </w:rPr>
            </w:pPr>
          </w:p>
        </w:tc>
      </w:tr>
      <w:tr w14:paraId="02CBB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D5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人行道(隔离带)管线敷设（ 自行恢复）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71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263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6E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895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开挖尺寸：电缆沟开挖宽度不小于300mm，深度不小于500mm；长度根据施工现场实际情况而定。                              恢复：待管线敷设至电缆沟后，线管上方需做不小于50mm的硬化层，按原路面材质进行恢复。</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B64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A2C7">
            <w:pPr>
              <w:jc w:val="center"/>
              <w:rPr>
                <w:rFonts w:hint="eastAsia" w:asciiTheme="minorEastAsia" w:hAnsiTheme="minorEastAsia" w:eastAsiaTheme="minorEastAsia" w:cstheme="minorEastAsia"/>
                <w:b w:val="0"/>
                <w:bCs w:val="0"/>
                <w:i w:val="0"/>
                <w:iCs w:val="0"/>
                <w:color w:val="000000"/>
                <w:sz w:val="18"/>
                <w:szCs w:val="18"/>
                <w:u w:val="none"/>
              </w:rPr>
            </w:pPr>
          </w:p>
        </w:tc>
      </w:tr>
      <w:tr w14:paraId="78B9F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66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电缆管沟开挖及回填路面恢复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BC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125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77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75D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开挖尺寸：电缆沟开挖宽度不小于300mm，深度不小于500mm；长度根据施工现场实际情况而定；                              恢复：管沟恢复需做硬化层防止路面塌陷，厚度不少于300mm，路面面层恢复采用沥青材料，压实厚度不小于100mm。                           </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D46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E404">
            <w:pPr>
              <w:jc w:val="center"/>
              <w:rPr>
                <w:rFonts w:hint="eastAsia" w:asciiTheme="minorEastAsia" w:hAnsiTheme="minorEastAsia" w:eastAsiaTheme="minorEastAsia" w:cstheme="minorEastAsia"/>
                <w:b w:val="0"/>
                <w:bCs w:val="0"/>
                <w:i w:val="0"/>
                <w:iCs w:val="0"/>
                <w:color w:val="000000"/>
                <w:sz w:val="18"/>
                <w:szCs w:val="18"/>
                <w:u w:val="none"/>
              </w:rPr>
            </w:pPr>
          </w:p>
        </w:tc>
      </w:tr>
      <w:tr w14:paraId="44969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C8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接线井制作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46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F8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个</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15B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规格：600mm*600mm*800mm；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材料准备：电缆套管PEΦ50或Φ63；水泥、石灰、砂、MU15烧结非黏土砖送至现场并复试合格；送检合格的井盖及井圈。</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施工叙述：检查井基坑开挖，人工平整基底铺设水泥石灰土并压实，垫二层烧鸡非黏土砖并用干砂填缝，砖砌检查井并预留孔道，砂浆抹面，浇筑C25压顶混凝土安装检查井井圈及井盖；烧结非黏土砖在使用前应洒水湿润，砂浆应随便随用，水泥砂浆和水泥混合砂浆应分别在3H和4H内使用完毕；当施工期间最高气温超过30℃时，应分别在拌成后2H和3H内使用完毕。</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采用“三一”砌筑法，即采用“一块砖、一铲灰、一挤揉”工艺砌筑砖砌体的操作方法，保证灰缝饱满、粘结力好、墙面整洁。</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管线入接线井时管线周边用砂浆填塞密实，接线井施工砂浆、混凝土需洒水养护。</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187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4644">
            <w:pPr>
              <w:jc w:val="center"/>
              <w:rPr>
                <w:rFonts w:hint="eastAsia" w:asciiTheme="minorEastAsia" w:hAnsiTheme="minorEastAsia" w:eastAsiaTheme="minorEastAsia" w:cstheme="minorEastAsia"/>
                <w:b w:val="0"/>
                <w:bCs w:val="0"/>
                <w:i w:val="0"/>
                <w:iCs w:val="0"/>
                <w:color w:val="000000"/>
                <w:sz w:val="18"/>
                <w:szCs w:val="18"/>
                <w:u w:val="none"/>
              </w:rPr>
            </w:pPr>
          </w:p>
        </w:tc>
      </w:tr>
      <w:tr w14:paraId="62D19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36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安装调试费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DB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1E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路口</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01C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含运输、灯杆组立吊装。信号灯安装、控制机安装电缆敷设、接线加电调试、试运行等</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A1B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0B9E">
            <w:pPr>
              <w:jc w:val="center"/>
              <w:rPr>
                <w:rFonts w:hint="eastAsia" w:asciiTheme="minorEastAsia" w:hAnsiTheme="minorEastAsia" w:eastAsiaTheme="minorEastAsia" w:cstheme="minorEastAsia"/>
                <w:b w:val="0"/>
                <w:bCs w:val="0"/>
                <w:i w:val="0"/>
                <w:iCs w:val="0"/>
                <w:color w:val="000000"/>
                <w:sz w:val="18"/>
                <w:szCs w:val="18"/>
                <w:u w:val="none"/>
              </w:rPr>
            </w:pPr>
          </w:p>
        </w:tc>
      </w:tr>
      <w:tr w14:paraId="3F4D4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665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三、昆仑路与青年街丁字路口信号灯系统采购</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5FF10">
            <w:pPr>
              <w:jc w:val="center"/>
              <w:rPr>
                <w:rFonts w:hint="eastAsia" w:asciiTheme="minorEastAsia" w:hAnsiTheme="minorEastAsia" w:eastAsiaTheme="minorEastAsia" w:cstheme="minorEastAsia"/>
                <w:b w:val="0"/>
                <w:bCs w:val="0"/>
                <w:i w:val="0"/>
                <w:iCs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81076">
            <w:pPr>
              <w:jc w:val="center"/>
              <w:rPr>
                <w:rFonts w:hint="eastAsia" w:asciiTheme="minorEastAsia" w:hAnsiTheme="minorEastAsia" w:eastAsiaTheme="minorEastAsia" w:cstheme="minorEastAsia"/>
                <w:b w:val="0"/>
                <w:bCs w:val="0"/>
                <w:i w:val="0"/>
                <w:iCs w:val="0"/>
                <w:color w:val="000000"/>
                <w:sz w:val="18"/>
                <w:szCs w:val="18"/>
                <w:u w:val="none"/>
              </w:rPr>
            </w:pP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C19D7">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DFD05">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7AB9">
            <w:pPr>
              <w:jc w:val="center"/>
              <w:rPr>
                <w:rFonts w:hint="eastAsia" w:asciiTheme="minorEastAsia" w:hAnsiTheme="minorEastAsia" w:eastAsiaTheme="minorEastAsia" w:cstheme="minorEastAsia"/>
                <w:b w:val="0"/>
                <w:bCs w:val="0"/>
                <w:i w:val="0"/>
                <w:iCs w:val="0"/>
                <w:color w:val="000000"/>
                <w:sz w:val="18"/>
                <w:szCs w:val="18"/>
                <w:u w:val="none"/>
              </w:rPr>
            </w:pPr>
          </w:p>
        </w:tc>
      </w:tr>
      <w:tr w14:paraId="181A4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582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（1）前端设备</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F0077">
            <w:pPr>
              <w:jc w:val="center"/>
              <w:rPr>
                <w:rFonts w:hint="eastAsia" w:asciiTheme="minorEastAsia" w:hAnsiTheme="minorEastAsia" w:eastAsiaTheme="minorEastAsia" w:cstheme="minorEastAsia"/>
                <w:b w:val="0"/>
                <w:bCs w:val="0"/>
                <w:i w:val="0"/>
                <w:iCs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242D0">
            <w:pPr>
              <w:jc w:val="center"/>
              <w:rPr>
                <w:rFonts w:hint="eastAsia" w:asciiTheme="minorEastAsia" w:hAnsiTheme="minorEastAsia" w:eastAsiaTheme="minorEastAsia" w:cstheme="minorEastAsia"/>
                <w:b w:val="0"/>
                <w:bCs w:val="0"/>
                <w:i w:val="0"/>
                <w:iCs w:val="0"/>
                <w:color w:val="000000"/>
                <w:sz w:val="18"/>
                <w:szCs w:val="18"/>
                <w:u w:val="none"/>
              </w:rPr>
            </w:pP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CF178">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CC6E6">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3D91">
            <w:pPr>
              <w:jc w:val="center"/>
              <w:rPr>
                <w:rFonts w:hint="eastAsia" w:asciiTheme="minorEastAsia" w:hAnsiTheme="minorEastAsia" w:eastAsiaTheme="minorEastAsia" w:cstheme="minorEastAsia"/>
                <w:b w:val="0"/>
                <w:bCs w:val="0"/>
                <w:i w:val="0"/>
                <w:iCs w:val="0"/>
                <w:color w:val="000000"/>
                <w:sz w:val="18"/>
                <w:szCs w:val="18"/>
                <w:u w:val="none"/>
              </w:rPr>
            </w:pPr>
          </w:p>
        </w:tc>
      </w:tr>
      <w:tr w14:paraId="0B2F4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5C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400 铝压铸满屏信号灯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7A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48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组</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591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a)外壳材质：压铸铝。</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b)灯面尺寸：中400mm，遮沿等符合GB14887-2011的相关标准</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c)光强：红色、黄色、绿色&gt;600cd，符合GB14887-2011标准。减光时中心光强200±10cd</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d)色度及波长：</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红色625±5nmX=0.6984，Y=0.3014</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黄色590±5nmX=0.5802,Y=0.4137</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绿色505±4nmX=0.0848,Y=0.5739</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e)供电电压：AC220V±20%50Hz</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f）出线孔容纳线径：不低于Φ20mm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g)功率:≤20W</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h)功率因数：≥0.9</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i)启动瞬时电流：≤1.8A</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j)启动时间和关断时间:54ms,54ms</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k)关断电压:60V</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l)工作温度：-40℃~+80℃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m)湿度:≤97%</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n)使用寿命：&gt;10000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o)重量≤15kg</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（需提供公安部所属检验机构出具的检测报告复印件）</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615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DD49">
            <w:pPr>
              <w:jc w:val="center"/>
              <w:rPr>
                <w:rFonts w:hint="eastAsia" w:asciiTheme="minorEastAsia" w:hAnsiTheme="minorEastAsia" w:eastAsiaTheme="minorEastAsia" w:cstheme="minorEastAsia"/>
                <w:b w:val="0"/>
                <w:bCs w:val="0"/>
                <w:i w:val="0"/>
                <w:iCs w:val="0"/>
                <w:color w:val="000000"/>
                <w:sz w:val="18"/>
                <w:szCs w:val="18"/>
                <w:u w:val="none"/>
              </w:rPr>
            </w:pPr>
          </w:p>
        </w:tc>
      </w:tr>
      <w:tr w14:paraId="5FC2C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62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400 铝压铸箭头信号灯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89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1B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组</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241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a.箭头灯灯面尺寸中400mm，图形尺寸符合GB14887-2011的相关标准。</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b.色度值及波长：</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红色625±5nmX=0.6984，Y=0.3014；</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黄色590±5nmX=0.5802,Y=0.4137；</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绿色505±4nmX=0.0848,Y=0.5739</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c.光强：红色、黄色、绿色&gt;60cd，符合GB148872011标准减光时中心光强200±10cd</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d.供电电压：AC220V±20%50Hz</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e.出线孔容纳线径：不低于φ20mm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f.功率:≤20W</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g.功率因数：≥0.9</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h.启动瞬时电流：≤1.8A</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i.工作温度：-40℃~+80℃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j.湿度:≤97%</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k.使用寿命：&gt;10000h</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l.重量:≤15kg</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（需提供公安部所属检验机构出具的检测报告复印件）</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86E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F54F">
            <w:pPr>
              <w:jc w:val="center"/>
              <w:rPr>
                <w:rFonts w:hint="eastAsia" w:asciiTheme="minorEastAsia" w:hAnsiTheme="minorEastAsia" w:eastAsiaTheme="minorEastAsia" w:cstheme="minorEastAsia"/>
                <w:b w:val="0"/>
                <w:bCs w:val="0"/>
                <w:i w:val="0"/>
                <w:iCs w:val="0"/>
                <w:color w:val="000000"/>
                <w:sz w:val="18"/>
                <w:szCs w:val="18"/>
                <w:u w:val="none"/>
              </w:rPr>
            </w:pPr>
          </w:p>
        </w:tc>
      </w:tr>
      <w:tr w14:paraId="6EC42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4C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人行信号灯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97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88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台</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4EE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a.亮度：红色&gt;400cdm2；绿色&gt;4000cd/m2</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b.灯面尺寸:300m×220mm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c.供电电压：AC220V±20%,50Hz</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d.工作温度：-40℃—+75℃</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e.湿度范围:5%-95%</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f.绝缘电阻：≥500M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g.使用寿命：&gt;10000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h.重量：≤7.5kg(含包装、配件)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i.外壳材质：铝合金</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j.可视距离：≥300m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k.外壳防护等级：≥IP54</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l.介电强度：耐压1450V</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m.可视角度：≥30°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（需提供公安部所属检验机构出具的检测报告复印件）</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3C8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3643">
            <w:pPr>
              <w:jc w:val="center"/>
              <w:rPr>
                <w:rFonts w:hint="eastAsia" w:asciiTheme="minorEastAsia" w:hAnsiTheme="minorEastAsia" w:eastAsiaTheme="minorEastAsia" w:cstheme="minorEastAsia"/>
                <w:b w:val="0"/>
                <w:bCs w:val="0"/>
                <w:i w:val="0"/>
                <w:iCs w:val="0"/>
                <w:color w:val="000000"/>
                <w:sz w:val="18"/>
                <w:szCs w:val="18"/>
                <w:u w:val="none"/>
              </w:rPr>
            </w:pPr>
          </w:p>
        </w:tc>
      </w:tr>
      <w:tr w14:paraId="2AD35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F8C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交通信号控制机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19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05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9B90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【区县级】【经济型】【44路输出】</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包含：控制主机、配电单元、机柜、无线遥控器、GPS。</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相位：支持≥64个相位；</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灯控输出：≥44路输出，单通道负载≥800W；</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灯控板：≥4块，每块支持≥11路；</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网络接口：≥1个RJ45接口</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其他接口：≥1个RS232接口，≥2个RS485接口，≥1个USB接口</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外部输入：≥8路行人按钮输入</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外部输出：无</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无线遥控：支持</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无线接入：可选配4G/WIFI模块</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工作电压：AC220V±44V，50Hz±2Hz</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温度：-40℃～+70℃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功耗：≤35W</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防护等级：≥IP54</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绝缘强度：大于700MΩ</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结构尺寸（含机柜）：≥600mm（宽）×1084mm(高)×450mm（深）</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毛重量：≥90kg</w:t>
            </w:r>
            <w:r>
              <w:rPr>
                <w:rFonts w:hint="eastAsia" w:asciiTheme="minorEastAsia" w:hAnsiTheme="minorEastAsia" w:eastAsiaTheme="minorEastAsia" w:cstheme="minorEastAsia"/>
                <w:b w:val="0"/>
                <w:bCs w:val="0"/>
                <w:i w:val="0"/>
                <w:iCs w:val="0"/>
                <w:color w:val="000000"/>
                <w:kern w:val="0"/>
                <w:sz w:val="18"/>
                <w:szCs w:val="18"/>
                <w:highlight w:val="yellow"/>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（需提供公安部所属检验机构出具的检测报告复印件）</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887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2CD1">
            <w:pPr>
              <w:jc w:val="center"/>
              <w:rPr>
                <w:rFonts w:hint="eastAsia" w:asciiTheme="minorEastAsia" w:hAnsiTheme="minorEastAsia" w:eastAsiaTheme="minorEastAsia" w:cstheme="minorEastAsia"/>
                <w:b w:val="0"/>
                <w:bCs w:val="0"/>
                <w:i w:val="0"/>
                <w:iCs w:val="0"/>
                <w:color w:val="000000"/>
                <w:sz w:val="18"/>
                <w:szCs w:val="18"/>
                <w:u w:val="none"/>
              </w:rPr>
            </w:pPr>
          </w:p>
        </w:tc>
      </w:tr>
      <w:tr w14:paraId="4C2A0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9D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倒计时器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C5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75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AEF3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规格：H=6.8m，L=6m；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（1）钢杆臂厚不低于6mm，材质Q235以上，其力学性能满足信号灯杆的强度要求，设计可抗最大风速39.6米/秒(抗风压等级为10级)，承受压力为0.6千牛，抗地震强度为8级。</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（2）焊体表面焊波均匀、无裂纹、气孔、夹渣、烧穿、未融合，弧坑和针状气体等，焊缝均匀丰满美观。</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（3）杆体内外热浸锌处理，镀层均匀、无色差，镀层≥60μm。</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89D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65B3">
            <w:pPr>
              <w:jc w:val="center"/>
              <w:rPr>
                <w:rFonts w:hint="eastAsia" w:asciiTheme="minorEastAsia" w:hAnsiTheme="minorEastAsia" w:eastAsiaTheme="minorEastAsia" w:cstheme="minorEastAsia"/>
                <w:b w:val="0"/>
                <w:bCs w:val="0"/>
                <w:i w:val="0"/>
                <w:iCs w:val="0"/>
                <w:color w:val="000000"/>
                <w:sz w:val="18"/>
                <w:szCs w:val="18"/>
                <w:u w:val="none"/>
              </w:rPr>
            </w:pPr>
          </w:p>
        </w:tc>
      </w:tr>
      <w:tr w14:paraId="35F07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C44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框架式长伸臂L型信号灯杆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72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DD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D04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规格：H=6.8m，L=6m；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（1）钢杆臂厚不低于6mm，材质Q235以上，其力学性能满足信号灯杆的强度要求，设计可抗最大风速39.6米/秒(抗风压等级为10级)，承受压力为0.6千牛，抗地震强度为8级。</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（2）焊体表面焊波均匀、无裂纹、气孔、夹渣、烧穿、未融合，弧坑和针状气体等，焊缝均匀丰满美观。</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（3）杆体内外热浸锌处理，镀层均匀、无色差，镀层≥60μm。</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B80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F6A0">
            <w:pPr>
              <w:jc w:val="center"/>
              <w:rPr>
                <w:rFonts w:hint="eastAsia" w:asciiTheme="minorEastAsia" w:hAnsiTheme="minorEastAsia" w:eastAsiaTheme="minorEastAsia" w:cstheme="minorEastAsia"/>
                <w:b w:val="0"/>
                <w:bCs w:val="0"/>
                <w:i w:val="0"/>
                <w:iCs w:val="0"/>
                <w:color w:val="000000"/>
                <w:sz w:val="18"/>
                <w:szCs w:val="18"/>
                <w:u w:val="none"/>
              </w:rPr>
            </w:pPr>
          </w:p>
        </w:tc>
      </w:tr>
      <w:tr w14:paraId="44EEF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91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人行信号灯灯杆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C6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03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58D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1.圆柱型灯杆，材质Q235以上</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2.灯具安装位置预制灯具竖装安装口</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3.杆高3.2米，符合信号灯配置要求；</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4.杆体采用热浸锌工艺，镀锌层均匀且厚度不小于55μm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5.杆体设计合理，表面应光滑平顺，无气孔、焊渣、虚焊及漏焊等缺陷</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6.立杆及其主要构件的防护等级满足露天使用环境的要求，最大抗风风速不小于28m/s</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08E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9934">
            <w:pPr>
              <w:jc w:val="center"/>
              <w:rPr>
                <w:rFonts w:hint="eastAsia" w:asciiTheme="minorEastAsia" w:hAnsiTheme="minorEastAsia" w:eastAsiaTheme="minorEastAsia" w:cstheme="minorEastAsia"/>
                <w:b w:val="0"/>
                <w:bCs w:val="0"/>
                <w:i w:val="0"/>
                <w:iCs w:val="0"/>
                <w:color w:val="000000"/>
                <w:sz w:val="18"/>
                <w:szCs w:val="18"/>
                <w:u w:val="none"/>
              </w:rPr>
            </w:pPr>
          </w:p>
        </w:tc>
      </w:tr>
      <w:tr w14:paraId="42DF9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ED2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(2)线缆及辅材</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808FF">
            <w:pPr>
              <w:jc w:val="center"/>
              <w:rPr>
                <w:rFonts w:hint="eastAsia" w:asciiTheme="minorEastAsia" w:hAnsiTheme="minorEastAsia" w:eastAsiaTheme="minorEastAsia" w:cstheme="minorEastAsia"/>
                <w:b w:val="0"/>
                <w:bCs w:val="0"/>
                <w:i w:val="0"/>
                <w:iCs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8CB33">
            <w:pPr>
              <w:jc w:val="center"/>
              <w:rPr>
                <w:rFonts w:hint="eastAsia" w:asciiTheme="minorEastAsia" w:hAnsiTheme="minorEastAsia" w:eastAsiaTheme="minorEastAsia" w:cstheme="minorEastAsia"/>
                <w:b w:val="0"/>
                <w:bCs w:val="0"/>
                <w:i w:val="0"/>
                <w:iCs w:val="0"/>
                <w:color w:val="000000"/>
                <w:sz w:val="18"/>
                <w:szCs w:val="18"/>
                <w:u w:val="none"/>
              </w:rPr>
            </w:pP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83B46">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0B0A0">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590A">
            <w:pPr>
              <w:jc w:val="center"/>
              <w:rPr>
                <w:rFonts w:hint="eastAsia" w:asciiTheme="minorEastAsia" w:hAnsiTheme="minorEastAsia" w:eastAsiaTheme="minorEastAsia" w:cstheme="minorEastAsia"/>
                <w:b w:val="0"/>
                <w:bCs w:val="0"/>
                <w:i w:val="0"/>
                <w:iCs w:val="0"/>
                <w:color w:val="000000"/>
                <w:sz w:val="18"/>
                <w:szCs w:val="18"/>
                <w:u w:val="none"/>
              </w:rPr>
            </w:pPr>
          </w:p>
        </w:tc>
      </w:tr>
      <w:tr w14:paraId="5EE46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FB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04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CF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04CC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全色谱KVV14×1.0mm2；                                      规格：铜芯，聚氯乙烯绝缘，聚氯乙烯护套，控制电缆；        标称横截面面积（mm2）：1.0。         </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63F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30C4">
            <w:pPr>
              <w:jc w:val="center"/>
              <w:rPr>
                <w:rFonts w:hint="eastAsia" w:asciiTheme="minorEastAsia" w:hAnsiTheme="minorEastAsia" w:eastAsiaTheme="minorEastAsia" w:cstheme="minorEastAsia"/>
                <w:b w:val="0"/>
                <w:bCs w:val="0"/>
                <w:i w:val="0"/>
                <w:iCs w:val="0"/>
                <w:color w:val="000000"/>
                <w:sz w:val="18"/>
                <w:szCs w:val="18"/>
                <w:u w:val="none"/>
              </w:rPr>
            </w:pPr>
          </w:p>
        </w:tc>
      </w:tr>
      <w:tr w14:paraId="31673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8C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C8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0C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1F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全色谱KVV7×1.0mm2；                                                             规格：铜芯，聚氯乙烯绝缘，聚氯乙烯护套，控制电缆；        标称横截面面积（mm2）：1.0。 </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D70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D3AD">
            <w:pPr>
              <w:jc w:val="center"/>
              <w:rPr>
                <w:rFonts w:hint="eastAsia" w:asciiTheme="minorEastAsia" w:hAnsiTheme="minorEastAsia" w:eastAsiaTheme="minorEastAsia" w:cstheme="minorEastAsia"/>
                <w:b w:val="0"/>
                <w:bCs w:val="0"/>
                <w:i w:val="0"/>
                <w:iCs w:val="0"/>
                <w:color w:val="000000"/>
                <w:sz w:val="18"/>
                <w:szCs w:val="18"/>
                <w:u w:val="none"/>
              </w:rPr>
            </w:pPr>
          </w:p>
        </w:tc>
      </w:tr>
      <w:tr w14:paraId="424AA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1F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77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180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F4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EE9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全色谱KVV4×1.0mm2；                                           规格：铜芯，聚氯乙烯绝缘，聚氯乙烯护套，控制电缆；        标称横截面面积（mm2）：1.0。 </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715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F191">
            <w:pPr>
              <w:jc w:val="center"/>
              <w:rPr>
                <w:rFonts w:hint="eastAsia" w:asciiTheme="minorEastAsia" w:hAnsiTheme="minorEastAsia" w:eastAsiaTheme="minorEastAsia" w:cstheme="minorEastAsia"/>
                <w:b w:val="0"/>
                <w:bCs w:val="0"/>
                <w:i w:val="0"/>
                <w:iCs w:val="0"/>
                <w:color w:val="000000"/>
                <w:sz w:val="18"/>
                <w:szCs w:val="18"/>
                <w:u w:val="none"/>
              </w:rPr>
            </w:pPr>
          </w:p>
        </w:tc>
      </w:tr>
      <w:tr w14:paraId="1227E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CE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信号机供电电源线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3A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F0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C6A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RVV2×2.5mm2                                             铜芯聚氯乙烯绝缘乙烯护套圆形连接软线；</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用于潮湿和设备防护要求较高的场所；</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电压等级：300/300V,300/500V;</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芯数：2芯。    </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162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CB5C">
            <w:pPr>
              <w:jc w:val="center"/>
              <w:rPr>
                <w:rFonts w:hint="eastAsia" w:asciiTheme="minorEastAsia" w:hAnsiTheme="minorEastAsia" w:eastAsiaTheme="minorEastAsia" w:cstheme="minorEastAsia"/>
                <w:b w:val="0"/>
                <w:bCs w:val="0"/>
                <w:i w:val="0"/>
                <w:iCs w:val="0"/>
                <w:color w:val="000000"/>
                <w:sz w:val="18"/>
                <w:szCs w:val="18"/>
                <w:u w:val="none"/>
              </w:rPr>
            </w:pPr>
          </w:p>
        </w:tc>
      </w:tr>
      <w:tr w14:paraId="00DB7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5F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电缆敷设管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17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140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13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9A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PE（聚乙烯）地埋电缆护套管；</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管径（外径）：Φ50，Φ63，管壁厚度依据管径大小不同≥4mm；</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354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F910">
            <w:pPr>
              <w:jc w:val="center"/>
              <w:rPr>
                <w:rFonts w:hint="eastAsia" w:asciiTheme="minorEastAsia" w:hAnsiTheme="minorEastAsia" w:eastAsiaTheme="minorEastAsia" w:cstheme="minorEastAsia"/>
                <w:b w:val="0"/>
                <w:bCs w:val="0"/>
                <w:i w:val="0"/>
                <w:iCs w:val="0"/>
                <w:color w:val="000000"/>
                <w:sz w:val="18"/>
                <w:szCs w:val="18"/>
                <w:u w:val="none"/>
              </w:rPr>
            </w:pPr>
          </w:p>
        </w:tc>
      </w:tr>
      <w:tr w14:paraId="189A0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47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框架式长伸臂 L 型 信号灯杆地脚螺栓  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0F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67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82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底板法兰800*800*8，地脚螺栓M32*1500*12根</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2A8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E602">
            <w:pPr>
              <w:jc w:val="center"/>
              <w:rPr>
                <w:rFonts w:hint="eastAsia" w:asciiTheme="minorEastAsia" w:hAnsiTheme="minorEastAsia" w:eastAsiaTheme="minorEastAsia" w:cstheme="minorEastAsia"/>
                <w:b w:val="0"/>
                <w:bCs w:val="0"/>
                <w:i w:val="0"/>
                <w:iCs w:val="0"/>
                <w:color w:val="000000"/>
                <w:sz w:val="18"/>
                <w:szCs w:val="18"/>
                <w:u w:val="none"/>
              </w:rPr>
            </w:pPr>
          </w:p>
        </w:tc>
      </w:tr>
      <w:tr w14:paraId="5171B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40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人行灯杆地脚螺栓及预埋铁件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09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3F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0F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底板法兰350*350*4，地脚螺栓M16*600*4根</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DDE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3AC9">
            <w:pPr>
              <w:jc w:val="center"/>
              <w:rPr>
                <w:rFonts w:hint="eastAsia" w:asciiTheme="minorEastAsia" w:hAnsiTheme="minorEastAsia" w:eastAsiaTheme="minorEastAsia" w:cstheme="minorEastAsia"/>
                <w:b w:val="0"/>
                <w:bCs w:val="0"/>
                <w:i w:val="0"/>
                <w:iCs w:val="0"/>
                <w:color w:val="000000"/>
                <w:sz w:val="18"/>
                <w:szCs w:val="18"/>
                <w:u w:val="none"/>
              </w:rPr>
            </w:pPr>
          </w:p>
        </w:tc>
      </w:tr>
      <w:tr w14:paraId="0E7AD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55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控制机地脚螺栓及预埋铁件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10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BC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6B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底板法兰800*400*4，地脚螺栓M16*400*4根</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C2D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B06F">
            <w:pPr>
              <w:jc w:val="center"/>
              <w:rPr>
                <w:rFonts w:hint="eastAsia" w:asciiTheme="minorEastAsia" w:hAnsiTheme="minorEastAsia" w:eastAsiaTheme="minorEastAsia" w:cstheme="minorEastAsia"/>
                <w:b w:val="0"/>
                <w:bCs w:val="0"/>
                <w:i w:val="0"/>
                <w:iCs w:val="0"/>
                <w:color w:val="000000"/>
                <w:sz w:val="18"/>
                <w:szCs w:val="18"/>
                <w:u w:val="none"/>
              </w:rPr>
            </w:pPr>
          </w:p>
        </w:tc>
      </w:tr>
      <w:tr w14:paraId="2471D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14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接线井公安专用井盖及座圈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1B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55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66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材质：铸铁或高分子材质，并标有“公安”字样。                                               规格：600mm*600mm</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9D6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BF8E">
            <w:pPr>
              <w:jc w:val="center"/>
              <w:rPr>
                <w:rFonts w:hint="eastAsia" w:asciiTheme="minorEastAsia" w:hAnsiTheme="minorEastAsia" w:eastAsiaTheme="minorEastAsia" w:cstheme="minorEastAsia"/>
                <w:b w:val="0"/>
                <w:bCs w:val="0"/>
                <w:i w:val="0"/>
                <w:iCs w:val="0"/>
                <w:color w:val="000000"/>
                <w:sz w:val="18"/>
                <w:szCs w:val="18"/>
                <w:u w:val="none"/>
              </w:rPr>
            </w:pPr>
          </w:p>
        </w:tc>
      </w:tr>
      <w:tr w14:paraId="44C3A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D3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接地极</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18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1E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个</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23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1.接地保护应严格按建筑电气施工规范要求安装，工作零线与保护零线严格分开, 不得混用，所有配电箱的PE线应作垂直接地, 其接地电阻不大于1欧姆, 所有电气设备及管线金属外壳可靠接地，通过测试并要求达到规定值。若通过测试大于标准要求，必须要求返工，直到达标为止。</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2.接地极、接地扁钢选用热镀锌钢材，接地装置规定埋深不应小于0.6M，接地线通过地表下0.6M引至地面外。</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3.接地极选用∠50×50×5×2500镀锌角钢，间距5M，接地母线用-40×4镀锌扁钢，接地母线之间电焊搭接长度不小于15CM，接地母线、接地极之间焊接处应做防腐处理。</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6E8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3E27">
            <w:pPr>
              <w:jc w:val="center"/>
              <w:rPr>
                <w:rFonts w:hint="eastAsia" w:asciiTheme="minorEastAsia" w:hAnsiTheme="minorEastAsia" w:eastAsiaTheme="minorEastAsia" w:cstheme="minorEastAsia"/>
                <w:b w:val="0"/>
                <w:bCs w:val="0"/>
                <w:i w:val="0"/>
                <w:iCs w:val="0"/>
                <w:color w:val="000000"/>
                <w:sz w:val="18"/>
                <w:szCs w:val="18"/>
                <w:u w:val="none"/>
              </w:rPr>
            </w:pPr>
          </w:p>
        </w:tc>
      </w:tr>
      <w:tr w14:paraId="1BC1C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9D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(3)土建及安装施工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5FE6">
            <w:pPr>
              <w:jc w:val="center"/>
              <w:rPr>
                <w:rFonts w:hint="eastAsia" w:asciiTheme="minorEastAsia" w:hAnsiTheme="minorEastAsia" w:eastAsiaTheme="minorEastAsia" w:cstheme="minorEastAsia"/>
                <w:b w:val="0"/>
                <w:bCs w:val="0"/>
                <w:i w:val="0"/>
                <w:iCs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806D">
            <w:pPr>
              <w:jc w:val="center"/>
              <w:rPr>
                <w:rFonts w:hint="eastAsia" w:asciiTheme="minorEastAsia" w:hAnsiTheme="minorEastAsia" w:eastAsiaTheme="minorEastAsia" w:cstheme="minorEastAsia"/>
                <w:b w:val="0"/>
                <w:bCs w:val="0"/>
                <w:i w:val="0"/>
                <w:iCs w:val="0"/>
                <w:color w:val="000000"/>
                <w:sz w:val="18"/>
                <w:szCs w:val="18"/>
                <w:u w:val="none"/>
              </w:rPr>
            </w:pP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27C0">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12FFA">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1539">
            <w:pPr>
              <w:jc w:val="center"/>
              <w:rPr>
                <w:rFonts w:hint="eastAsia" w:asciiTheme="minorEastAsia" w:hAnsiTheme="minorEastAsia" w:eastAsiaTheme="minorEastAsia" w:cstheme="minorEastAsia"/>
                <w:b w:val="0"/>
                <w:bCs w:val="0"/>
                <w:i w:val="0"/>
                <w:iCs w:val="0"/>
                <w:color w:val="000000"/>
                <w:sz w:val="18"/>
                <w:szCs w:val="18"/>
                <w:u w:val="none"/>
              </w:rPr>
            </w:pPr>
          </w:p>
        </w:tc>
      </w:tr>
      <w:tr w14:paraId="0EE7C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79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框架式长伸臂L型信号灯杆基础开挖及清运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6E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29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m3</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61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开挖尺寸：1500mm*1500mm*1800mm；                          余土外运：5KM   </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82B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B9D7">
            <w:pPr>
              <w:jc w:val="center"/>
              <w:rPr>
                <w:rFonts w:hint="eastAsia" w:asciiTheme="minorEastAsia" w:hAnsiTheme="minorEastAsia" w:eastAsiaTheme="minorEastAsia" w:cstheme="minorEastAsia"/>
                <w:b w:val="0"/>
                <w:bCs w:val="0"/>
                <w:i w:val="0"/>
                <w:iCs w:val="0"/>
                <w:color w:val="000000"/>
                <w:sz w:val="18"/>
                <w:szCs w:val="18"/>
                <w:u w:val="none"/>
              </w:rPr>
            </w:pPr>
          </w:p>
        </w:tc>
      </w:tr>
      <w:tr w14:paraId="2DA87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6F9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人行灯杆基础开挖及清运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C4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CC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m3</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2E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开挖尺寸：800mm*800mm*800mm                                   余土外运：5KM   </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19E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6134">
            <w:pPr>
              <w:jc w:val="center"/>
              <w:rPr>
                <w:rFonts w:hint="eastAsia" w:asciiTheme="minorEastAsia" w:hAnsiTheme="minorEastAsia" w:eastAsiaTheme="minorEastAsia" w:cstheme="minorEastAsia"/>
                <w:b w:val="0"/>
                <w:bCs w:val="0"/>
                <w:i w:val="0"/>
                <w:iCs w:val="0"/>
                <w:color w:val="000000"/>
                <w:sz w:val="18"/>
                <w:szCs w:val="18"/>
                <w:u w:val="none"/>
              </w:rPr>
            </w:pPr>
          </w:p>
        </w:tc>
      </w:tr>
      <w:tr w14:paraId="4680A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C0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控制机基础开挖及清运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EF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46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m3</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B1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开挖尺寸：600mm*1000mm*800mm                                  余土外运：5KM   </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156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F82E">
            <w:pPr>
              <w:jc w:val="center"/>
              <w:rPr>
                <w:rFonts w:hint="eastAsia" w:asciiTheme="minorEastAsia" w:hAnsiTheme="minorEastAsia" w:eastAsiaTheme="minorEastAsia" w:cstheme="minorEastAsia"/>
                <w:b w:val="0"/>
                <w:bCs w:val="0"/>
                <w:i w:val="0"/>
                <w:iCs w:val="0"/>
                <w:color w:val="000000"/>
                <w:sz w:val="18"/>
                <w:szCs w:val="18"/>
                <w:u w:val="none"/>
              </w:rPr>
            </w:pPr>
          </w:p>
        </w:tc>
      </w:tr>
      <w:tr w14:paraId="578FD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28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框架式长伸臂 L型信号灯杆现浇基础及养护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30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38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m3</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82C4">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B10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0FA3">
            <w:pPr>
              <w:jc w:val="center"/>
              <w:rPr>
                <w:rFonts w:hint="eastAsia" w:asciiTheme="minorEastAsia" w:hAnsiTheme="minorEastAsia" w:eastAsiaTheme="minorEastAsia" w:cstheme="minorEastAsia"/>
                <w:b w:val="0"/>
                <w:bCs w:val="0"/>
                <w:i w:val="0"/>
                <w:iCs w:val="0"/>
                <w:color w:val="000000"/>
                <w:sz w:val="18"/>
                <w:szCs w:val="18"/>
                <w:u w:val="none"/>
              </w:rPr>
            </w:pPr>
          </w:p>
        </w:tc>
      </w:tr>
      <w:tr w14:paraId="347BC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01E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人行灯杆现浇基础及养护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BB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49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m3</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2FFC">
            <w:pPr>
              <w:rPr>
                <w:rFonts w:hint="eastAsia" w:asciiTheme="minorEastAsia" w:hAnsiTheme="minorEastAsia" w:eastAsiaTheme="minorEastAsia" w:cstheme="minorEastAsia"/>
                <w:b w:val="0"/>
                <w:bCs w:val="0"/>
                <w:i w:val="0"/>
                <w:iCs w:val="0"/>
                <w:color w:val="FF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63B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8B49">
            <w:pPr>
              <w:jc w:val="center"/>
              <w:rPr>
                <w:rFonts w:hint="eastAsia" w:asciiTheme="minorEastAsia" w:hAnsiTheme="minorEastAsia" w:eastAsiaTheme="minorEastAsia" w:cstheme="minorEastAsia"/>
                <w:b w:val="0"/>
                <w:bCs w:val="0"/>
                <w:i w:val="0"/>
                <w:iCs w:val="0"/>
                <w:color w:val="000000"/>
                <w:sz w:val="18"/>
                <w:szCs w:val="18"/>
                <w:u w:val="none"/>
              </w:rPr>
            </w:pPr>
          </w:p>
        </w:tc>
      </w:tr>
      <w:tr w14:paraId="7141D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6A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控制机现浇基础及养护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0A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44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m3</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A19A">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33B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9580">
            <w:pPr>
              <w:jc w:val="center"/>
              <w:rPr>
                <w:rFonts w:hint="eastAsia" w:asciiTheme="minorEastAsia" w:hAnsiTheme="minorEastAsia" w:eastAsiaTheme="minorEastAsia" w:cstheme="minorEastAsia"/>
                <w:b w:val="0"/>
                <w:bCs w:val="0"/>
                <w:i w:val="0"/>
                <w:iCs w:val="0"/>
                <w:color w:val="000000"/>
                <w:sz w:val="18"/>
                <w:szCs w:val="18"/>
                <w:u w:val="none"/>
              </w:rPr>
            </w:pPr>
          </w:p>
        </w:tc>
      </w:tr>
      <w:tr w14:paraId="37A31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E91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人行道(隔离带)管线敷设（ 自行恢复）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95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EC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19FD">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438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5D7A">
            <w:pPr>
              <w:jc w:val="center"/>
              <w:rPr>
                <w:rFonts w:hint="eastAsia" w:asciiTheme="minorEastAsia" w:hAnsiTheme="minorEastAsia" w:eastAsiaTheme="minorEastAsia" w:cstheme="minorEastAsia"/>
                <w:b w:val="0"/>
                <w:bCs w:val="0"/>
                <w:i w:val="0"/>
                <w:iCs w:val="0"/>
                <w:color w:val="000000"/>
                <w:sz w:val="18"/>
                <w:szCs w:val="18"/>
                <w:u w:val="none"/>
              </w:rPr>
            </w:pPr>
          </w:p>
        </w:tc>
      </w:tr>
      <w:tr w14:paraId="32D9A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EB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电缆管沟开挖及回填路面恢复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97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64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6552">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282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2717">
            <w:pPr>
              <w:jc w:val="center"/>
              <w:rPr>
                <w:rFonts w:hint="eastAsia" w:asciiTheme="minorEastAsia" w:hAnsiTheme="minorEastAsia" w:eastAsiaTheme="minorEastAsia" w:cstheme="minorEastAsia"/>
                <w:b w:val="0"/>
                <w:bCs w:val="0"/>
                <w:i w:val="0"/>
                <w:iCs w:val="0"/>
                <w:color w:val="000000"/>
                <w:sz w:val="18"/>
                <w:szCs w:val="18"/>
                <w:u w:val="none"/>
              </w:rPr>
            </w:pPr>
          </w:p>
        </w:tc>
      </w:tr>
      <w:tr w14:paraId="6D989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B7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接线井制作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D9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8E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个</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6148">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7C7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69AC">
            <w:pPr>
              <w:jc w:val="center"/>
              <w:rPr>
                <w:rFonts w:hint="eastAsia" w:asciiTheme="minorEastAsia" w:hAnsiTheme="minorEastAsia" w:eastAsiaTheme="minorEastAsia" w:cstheme="minorEastAsia"/>
                <w:b w:val="0"/>
                <w:bCs w:val="0"/>
                <w:i w:val="0"/>
                <w:iCs w:val="0"/>
                <w:color w:val="000000"/>
                <w:sz w:val="18"/>
                <w:szCs w:val="18"/>
                <w:u w:val="none"/>
              </w:rPr>
            </w:pPr>
          </w:p>
        </w:tc>
      </w:tr>
      <w:tr w14:paraId="2C241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76D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安装调试费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97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00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路口</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298F">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B6B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2460">
            <w:pPr>
              <w:jc w:val="center"/>
              <w:rPr>
                <w:rFonts w:hint="eastAsia" w:asciiTheme="minorEastAsia" w:hAnsiTheme="minorEastAsia" w:eastAsiaTheme="minorEastAsia" w:cstheme="minorEastAsia"/>
                <w:b w:val="0"/>
                <w:bCs w:val="0"/>
                <w:i w:val="0"/>
                <w:iCs w:val="0"/>
                <w:color w:val="000000"/>
                <w:sz w:val="18"/>
                <w:szCs w:val="18"/>
                <w:u w:val="none"/>
              </w:rPr>
            </w:pPr>
          </w:p>
        </w:tc>
      </w:tr>
      <w:tr w14:paraId="6136B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97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四、青年街与鱼水河路十字路口信号灯系统采购</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91C9">
            <w:pPr>
              <w:jc w:val="center"/>
              <w:rPr>
                <w:rFonts w:hint="eastAsia" w:asciiTheme="minorEastAsia" w:hAnsiTheme="minorEastAsia" w:eastAsiaTheme="minorEastAsia" w:cstheme="minorEastAsia"/>
                <w:b w:val="0"/>
                <w:bCs w:val="0"/>
                <w:i w:val="0"/>
                <w:iCs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6F24">
            <w:pPr>
              <w:jc w:val="center"/>
              <w:rPr>
                <w:rFonts w:hint="eastAsia" w:asciiTheme="minorEastAsia" w:hAnsiTheme="minorEastAsia" w:eastAsiaTheme="minorEastAsia" w:cstheme="minorEastAsia"/>
                <w:b w:val="0"/>
                <w:bCs w:val="0"/>
                <w:i w:val="0"/>
                <w:iCs w:val="0"/>
                <w:color w:val="000000"/>
                <w:sz w:val="18"/>
                <w:szCs w:val="18"/>
                <w:u w:val="none"/>
              </w:rPr>
            </w:pP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4B50">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F40CD">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7A65">
            <w:pPr>
              <w:jc w:val="center"/>
              <w:rPr>
                <w:rFonts w:hint="eastAsia" w:asciiTheme="minorEastAsia" w:hAnsiTheme="minorEastAsia" w:eastAsiaTheme="minorEastAsia" w:cstheme="minorEastAsia"/>
                <w:b w:val="0"/>
                <w:bCs w:val="0"/>
                <w:i w:val="0"/>
                <w:iCs w:val="0"/>
                <w:color w:val="000000"/>
                <w:sz w:val="18"/>
                <w:szCs w:val="18"/>
                <w:u w:val="none"/>
              </w:rPr>
            </w:pPr>
          </w:p>
        </w:tc>
      </w:tr>
      <w:tr w14:paraId="03629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A3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400 铝压铸满屏信号灯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05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1C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组</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24E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a)外壳材质：压铸铝。</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b)灯面尺寸：中400mm，遮沿等符合GB14887-2011的相关标准</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c)光强：红色、黄色、绿色&gt;600cd，符合GB14887-2011标准。减光时中心光强200±10cd</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d)色度及波长：</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红色625±5nmX=0.6984，Y=0.3014</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黄色590±5nmX=0.5802,Y=0.4137</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绿色505±4nmX=0.0848,Y=0.5739</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e)供电电压：AC220V±20%50Hz</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f）出线孔容纳线径：不低于Φ20mm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g)功率:≤20W</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h)功率因数：≥0.9</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i)启动瞬时电流：≤1.8A</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j)启动时间和关断时间:54ms,54ms</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k)关断电压:60V</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l)工作温度：-40℃~+80℃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m)湿度:≤97%</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n)使用寿命：&gt;10000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o)重量≤15kg</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（需提供公安部所属检验机构出具的检测报告复印件）</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AFD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8184">
            <w:pPr>
              <w:jc w:val="center"/>
              <w:rPr>
                <w:rFonts w:hint="eastAsia" w:asciiTheme="minorEastAsia" w:hAnsiTheme="minorEastAsia" w:eastAsiaTheme="minorEastAsia" w:cstheme="minorEastAsia"/>
                <w:b w:val="0"/>
                <w:bCs w:val="0"/>
                <w:i w:val="0"/>
                <w:iCs w:val="0"/>
                <w:color w:val="000000"/>
                <w:sz w:val="18"/>
                <w:szCs w:val="18"/>
                <w:u w:val="none"/>
              </w:rPr>
            </w:pPr>
          </w:p>
        </w:tc>
      </w:tr>
      <w:tr w14:paraId="40341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A0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400 铝压铸箭头信号灯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D1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A4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组</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2F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a.箭头灯灯面尺寸中400mm，图形尺寸符合GB14887-2011的相关标准。</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b.色度值及波长：</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红色625±5nmX=0.6984，Y=0.3014；</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黄色590±5nmX=0.5802,Y=0.4137；</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绿色505±4nmX=0.0848,Y=0.5739</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c.光强：红色、黄色、绿色&gt;60cd，符合GB148872011标准减光时中心光强200±10cd</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d.供电电压：AC220V±20%50Hz</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e.出线孔容纳线径：不低于φ20mm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f.功率:≤20W</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g.功率因数：≥0.9</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h.启动瞬时电流：≤1.8A</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i.工作温度：-40℃~+80℃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j.湿度:≤97%</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k.使用寿命：&gt;10000h</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l.重量:≤15kg</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（需提供公安部所属检验机构出具的检测报告复印件）</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6B4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A88F">
            <w:pPr>
              <w:jc w:val="center"/>
              <w:rPr>
                <w:rFonts w:hint="eastAsia" w:asciiTheme="minorEastAsia" w:hAnsiTheme="minorEastAsia" w:eastAsiaTheme="minorEastAsia" w:cstheme="minorEastAsia"/>
                <w:b w:val="0"/>
                <w:bCs w:val="0"/>
                <w:i w:val="0"/>
                <w:iCs w:val="0"/>
                <w:color w:val="000000"/>
                <w:sz w:val="18"/>
                <w:szCs w:val="18"/>
                <w:u w:val="none"/>
              </w:rPr>
            </w:pPr>
          </w:p>
        </w:tc>
      </w:tr>
      <w:tr w14:paraId="589AE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4E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人行信号灯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DE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C5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台</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ED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a.亮度：红色&gt;400cdm2；绿色&gt;4000cd/m2</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b.灯面尺寸:300m×220mm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c.供电电压：AC220V±20%,50Hz</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d.工作温度：-40℃—+75℃</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e.湿度范围:5%-95%</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f.绝缘电阻：≥500M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g.使用寿命：&gt;10000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h.重量：≤7.5kg(含包装、配件)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i.外壳材质：铝合金</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j.可视距离：≥300m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k.外壳防护等级：≥IP54</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l.介电强度：耐压1450V</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m.可视角度：≥30°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（需提供公安部所属检验机构出具的检测报告复印件）</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23D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80D2">
            <w:pPr>
              <w:jc w:val="center"/>
              <w:rPr>
                <w:rFonts w:hint="eastAsia" w:asciiTheme="minorEastAsia" w:hAnsiTheme="minorEastAsia" w:eastAsiaTheme="minorEastAsia" w:cstheme="minorEastAsia"/>
                <w:b w:val="0"/>
                <w:bCs w:val="0"/>
                <w:i w:val="0"/>
                <w:iCs w:val="0"/>
                <w:color w:val="000000"/>
                <w:sz w:val="18"/>
                <w:szCs w:val="18"/>
                <w:u w:val="none"/>
              </w:rPr>
            </w:pPr>
          </w:p>
        </w:tc>
      </w:tr>
      <w:tr w14:paraId="64880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4E7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交通信号控制机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C5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C3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9C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【区县级】【经济型】【44路输出】</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包含：控制主机、配电单元、机柜、无线遥控器、GPS。</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相位：支持≥64个相位；</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灯控输出：≥44路输出，单通道负载≥800W；</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灯控板：≥4块，每块支持≥11路；</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网络接口：≥1个RJ45接口</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其他接口：≥1个RS232接口，≥2个RS485接口，≥1个USB接口</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外部输入：≥8路行人按钮输入</w:t>
            </w:r>
            <w:r>
              <w:rPr>
                <w:rFonts w:hint="eastAsia" w:asciiTheme="minorEastAsia" w:hAnsiTheme="minorEastAsia" w:eastAsiaTheme="minorEastAsia" w:cstheme="minorEastAsia"/>
                <w:b w:val="0"/>
                <w:bCs w:val="0"/>
                <w:i w:val="0"/>
                <w:iCs w:val="0"/>
                <w:color w:val="000000"/>
                <w:kern w:val="0"/>
                <w:sz w:val="18"/>
                <w:szCs w:val="18"/>
                <w:highlight w:val="yellow"/>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外部输出：无</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无线遥控：支持</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无线接入：可选配4G/WIFI模块</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工作电压：AC220V±44V，50Hz±2Hz</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温度：-40℃～+70℃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功耗：≤35W</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防护等级：≥IP54</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绝缘强度：大于700MΩ</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结构尺寸（含机柜）：≥600mm（宽）×1084mm(高)×450mm（深）</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毛重量：≥90kg</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（需提供公安部所属检验机构出具的检测报告复印件）</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2D2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3278">
            <w:pPr>
              <w:jc w:val="center"/>
              <w:rPr>
                <w:rFonts w:hint="eastAsia" w:asciiTheme="minorEastAsia" w:hAnsiTheme="minorEastAsia" w:eastAsiaTheme="minorEastAsia" w:cstheme="minorEastAsia"/>
                <w:b w:val="0"/>
                <w:bCs w:val="0"/>
                <w:i w:val="0"/>
                <w:iCs w:val="0"/>
                <w:color w:val="000000"/>
                <w:sz w:val="18"/>
                <w:szCs w:val="18"/>
                <w:u w:val="none"/>
              </w:rPr>
            </w:pPr>
          </w:p>
        </w:tc>
      </w:tr>
      <w:tr w14:paraId="104DB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219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倒计时器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5D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93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8F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结构设计新颖，体积小，表面喷塑，重量轻，安装方式采用模块，精心制作而成</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高可靠性，内部计时采用工业级微电脑控制技术，采用软件“看门狗”和硬件抗干扰措施，防雷性能好，使倒计时运行稳定可靠</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采用灯取电源方式，无须单独供电(也可AC220独立供电)。拆装方便，防水性能极佳；</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内部具有两组信号采样输入，可以方便地进行多相位计时；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软件设计思路先进，检测速度快、时间精确</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取电方式可以采用电缆直接供电，也可以采用从信号灯取电的方式；</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采用超亮度四元素LED发光管，亮度高，衰减低，使用寿命≥10万小时；内部装有避雷器件，能有效减小雷电对倒计时产生的影响</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产品性能指标符合国家GB14887-2011标准。</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额定功率：≤45W</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可视角度：≥30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可视距离：≥400米</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工作温度：-40℃-80℃；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工作湿度:10%-95%</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发光强度：≥400cd/m2；</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额定电压：AC220V±10%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额定输出电压：AC176~264V,50HZ</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符合GA/T508-2004标准要求；</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通信方式或与RS485通讯协议方式,2位数字显示(99)；</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通讯中断时，倒计时能在2秒内显示黑屏；适应多相位显示；</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外型尺寸:≥800*600*10(不含遮阳板)。</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（需提供公安部所属检验机构出具的检测报告复印件）</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C48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96EF">
            <w:pPr>
              <w:jc w:val="center"/>
              <w:rPr>
                <w:rFonts w:hint="eastAsia" w:asciiTheme="minorEastAsia" w:hAnsiTheme="minorEastAsia" w:eastAsiaTheme="minorEastAsia" w:cstheme="minorEastAsia"/>
                <w:b w:val="0"/>
                <w:bCs w:val="0"/>
                <w:i w:val="0"/>
                <w:iCs w:val="0"/>
                <w:color w:val="000000"/>
                <w:sz w:val="18"/>
                <w:szCs w:val="18"/>
                <w:u w:val="none"/>
              </w:rPr>
            </w:pPr>
          </w:p>
        </w:tc>
      </w:tr>
      <w:tr w14:paraId="5A4E3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8D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框架式长伸臂L型信号灯杆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F7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8A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EC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规格：H=6.8m，L=9m；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（1）钢杆臂厚不低于6mm，材质Q235以上，其力学性能满足信号灯杆的强度要求，设计可抗最大风速39.6米/秒(抗风压等级为10级)，承受压力为0.6千牛，抗地震强度为8级。</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（2）焊体表面焊波均匀、无裂纹、气孔、夹渣、烧穿、未融合，弧坑和针状气体等，焊缝均匀丰满美观。</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（3）杆体内外热浸锌处理，镀层均匀、无色差，镀层≥60μm。</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8E6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F007">
            <w:pPr>
              <w:jc w:val="center"/>
              <w:rPr>
                <w:rFonts w:hint="eastAsia" w:asciiTheme="minorEastAsia" w:hAnsiTheme="minorEastAsia" w:eastAsiaTheme="minorEastAsia" w:cstheme="minorEastAsia"/>
                <w:b w:val="0"/>
                <w:bCs w:val="0"/>
                <w:i w:val="0"/>
                <w:iCs w:val="0"/>
                <w:color w:val="000000"/>
                <w:sz w:val="18"/>
                <w:szCs w:val="18"/>
                <w:u w:val="none"/>
              </w:rPr>
            </w:pPr>
          </w:p>
        </w:tc>
      </w:tr>
      <w:tr w14:paraId="06912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7D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人行信号灯灯杆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13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3B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0D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1.圆柱型灯杆，材质Q235以上</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2.灯具安装位置预制灯具竖装安装口</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3.杆高3.2米，符合信号灯配置要求；</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4.杆体采用热浸锌工艺，镀锌层均匀且厚度不小于55μm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5.杆体设计合理，表面应光滑平顺，无气孔、焊渣、虚焊及漏焊等缺陷</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6.立杆及其主要构件的防护等级满足露天使用环境的要求，最大抗风风速不小于28m/s</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521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6067">
            <w:pPr>
              <w:jc w:val="center"/>
              <w:rPr>
                <w:rFonts w:hint="eastAsia" w:asciiTheme="minorEastAsia" w:hAnsiTheme="minorEastAsia" w:eastAsiaTheme="minorEastAsia" w:cstheme="minorEastAsia"/>
                <w:b w:val="0"/>
                <w:bCs w:val="0"/>
                <w:i w:val="0"/>
                <w:iCs w:val="0"/>
                <w:color w:val="000000"/>
                <w:sz w:val="18"/>
                <w:szCs w:val="18"/>
                <w:u w:val="none"/>
              </w:rPr>
            </w:pPr>
          </w:p>
        </w:tc>
      </w:tr>
      <w:tr w14:paraId="60512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F3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（2）线缆及辅材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2149">
            <w:pPr>
              <w:jc w:val="center"/>
              <w:rPr>
                <w:rFonts w:hint="eastAsia" w:asciiTheme="minorEastAsia" w:hAnsiTheme="minorEastAsia" w:eastAsiaTheme="minorEastAsia" w:cstheme="minorEastAsia"/>
                <w:b w:val="0"/>
                <w:bCs w:val="0"/>
                <w:i w:val="0"/>
                <w:iCs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FC03">
            <w:pPr>
              <w:jc w:val="center"/>
              <w:rPr>
                <w:rFonts w:hint="eastAsia" w:asciiTheme="minorEastAsia" w:hAnsiTheme="minorEastAsia" w:eastAsiaTheme="minorEastAsia" w:cstheme="minorEastAsia"/>
                <w:b w:val="0"/>
                <w:bCs w:val="0"/>
                <w:i w:val="0"/>
                <w:iCs w:val="0"/>
                <w:color w:val="000000"/>
                <w:sz w:val="18"/>
                <w:szCs w:val="18"/>
                <w:u w:val="none"/>
              </w:rPr>
            </w:pP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54D1">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A506D">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5BF9">
            <w:pPr>
              <w:jc w:val="center"/>
              <w:rPr>
                <w:rFonts w:hint="eastAsia" w:asciiTheme="minorEastAsia" w:hAnsiTheme="minorEastAsia" w:eastAsiaTheme="minorEastAsia" w:cstheme="minorEastAsia"/>
                <w:b w:val="0"/>
                <w:bCs w:val="0"/>
                <w:i w:val="0"/>
                <w:iCs w:val="0"/>
                <w:color w:val="000000"/>
                <w:sz w:val="18"/>
                <w:szCs w:val="18"/>
                <w:u w:val="none"/>
              </w:rPr>
            </w:pPr>
          </w:p>
        </w:tc>
      </w:tr>
      <w:tr w14:paraId="17915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77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F0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175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2F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top"/>
          </w:tcPr>
          <w:p w14:paraId="574BC61C">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全色谱KVV14×1.0mm2；                                      规格：铜芯，聚氯乙烯绝缘，聚氯乙烯护套，控制电缆；        标称横截面面积（mm2）：1.0。         </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94B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03C3">
            <w:pPr>
              <w:jc w:val="center"/>
              <w:rPr>
                <w:rFonts w:hint="eastAsia" w:asciiTheme="minorEastAsia" w:hAnsiTheme="minorEastAsia" w:eastAsiaTheme="minorEastAsia" w:cstheme="minorEastAsia"/>
                <w:b w:val="0"/>
                <w:bCs w:val="0"/>
                <w:i w:val="0"/>
                <w:iCs w:val="0"/>
                <w:color w:val="000000"/>
                <w:sz w:val="18"/>
                <w:szCs w:val="18"/>
                <w:u w:val="none"/>
              </w:rPr>
            </w:pPr>
          </w:p>
        </w:tc>
      </w:tr>
      <w:tr w14:paraId="5E729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C2C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8E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F5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32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全色谱KVV7×1.0mm2；                                                             规格：铜芯，聚氯乙烯绝缘，聚氯乙烯护套，控制电缆；        标称横截面面积（mm2）：1.0。 </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ABA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EFD3">
            <w:pPr>
              <w:jc w:val="center"/>
              <w:rPr>
                <w:rFonts w:hint="eastAsia" w:asciiTheme="minorEastAsia" w:hAnsiTheme="minorEastAsia" w:eastAsiaTheme="minorEastAsia" w:cstheme="minorEastAsia"/>
                <w:b w:val="0"/>
                <w:bCs w:val="0"/>
                <w:i w:val="0"/>
                <w:iCs w:val="0"/>
                <w:color w:val="000000"/>
                <w:sz w:val="18"/>
                <w:szCs w:val="18"/>
                <w:u w:val="none"/>
              </w:rPr>
            </w:pPr>
          </w:p>
        </w:tc>
      </w:tr>
      <w:tr w14:paraId="397FA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1D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1B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6B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47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全色谱KVV4×1.0mm2；                                           规格：铜芯，聚氯乙烯绝缘，聚氯乙烯护套，控制电缆；        标称横截面面积（mm2）：1.0。 </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B9D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FFF8">
            <w:pPr>
              <w:jc w:val="center"/>
              <w:rPr>
                <w:rFonts w:hint="eastAsia" w:asciiTheme="minorEastAsia" w:hAnsiTheme="minorEastAsia" w:eastAsiaTheme="minorEastAsia" w:cstheme="minorEastAsia"/>
                <w:b w:val="0"/>
                <w:bCs w:val="0"/>
                <w:i w:val="0"/>
                <w:iCs w:val="0"/>
                <w:color w:val="000000"/>
                <w:sz w:val="18"/>
                <w:szCs w:val="18"/>
                <w:u w:val="none"/>
              </w:rPr>
            </w:pPr>
          </w:p>
        </w:tc>
      </w:tr>
      <w:tr w14:paraId="0F0C6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2C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信号机供电电源线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C3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BF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8B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RVV2×2.5mm2                                             铜芯聚氯乙烯绝缘乙烯护套圆形连接软线；</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用于潮湿和设备防护要求较高的场所；</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电压等级：300/300V,300/500V;</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芯数：2芯。    </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F15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2E4C">
            <w:pPr>
              <w:jc w:val="center"/>
              <w:rPr>
                <w:rFonts w:hint="eastAsia" w:asciiTheme="minorEastAsia" w:hAnsiTheme="minorEastAsia" w:eastAsiaTheme="minorEastAsia" w:cstheme="minorEastAsia"/>
                <w:b w:val="0"/>
                <w:bCs w:val="0"/>
                <w:i w:val="0"/>
                <w:iCs w:val="0"/>
                <w:color w:val="000000"/>
                <w:sz w:val="18"/>
                <w:szCs w:val="18"/>
                <w:u w:val="none"/>
              </w:rPr>
            </w:pPr>
          </w:p>
        </w:tc>
      </w:tr>
      <w:tr w14:paraId="700A3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E4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电缆敷设管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ED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360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22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C7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PE（聚乙烯）地埋电缆护套管；</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管径（外径）：Φ50，Φ63，管壁厚度依据管径大小不同≥4mm；</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F12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31DB">
            <w:pPr>
              <w:jc w:val="center"/>
              <w:rPr>
                <w:rFonts w:hint="eastAsia" w:asciiTheme="minorEastAsia" w:hAnsiTheme="minorEastAsia" w:eastAsiaTheme="minorEastAsia" w:cstheme="minorEastAsia"/>
                <w:b w:val="0"/>
                <w:bCs w:val="0"/>
                <w:i w:val="0"/>
                <w:iCs w:val="0"/>
                <w:color w:val="000000"/>
                <w:sz w:val="18"/>
                <w:szCs w:val="18"/>
                <w:u w:val="none"/>
              </w:rPr>
            </w:pPr>
          </w:p>
        </w:tc>
      </w:tr>
      <w:tr w14:paraId="2FD87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FCF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框架式长伸臂 L 型 信号灯杆地脚螺栓及预埋铁件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4A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35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E0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底板法兰800*800*8，地脚螺栓M32*1500*12根</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27F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A2A1">
            <w:pPr>
              <w:jc w:val="center"/>
              <w:rPr>
                <w:rFonts w:hint="eastAsia" w:asciiTheme="minorEastAsia" w:hAnsiTheme="minorEastAsia" w:eastAsiaTheme="minorEastAsia" w:cstheme="minorEastAsia"/>
                <w:b w:val="0"/>
                <w:bCs w:val="0"/>
                <w:i w:val="0"/>
                <w:iCs w:val="0"/>
                <w:color w:val="000000"/>
                <w:sz w:val="18"/>
                <w:szCs w:val="18"/>
                <w:u w:val="none"/>
              </w:rPr>
            </w:pPr>
          </w:p>
        </w:tc>
      </w:tr>
      <w:tr w14:paraId="30934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FE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人行灯杆地脚螺栓及预埋铁件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E1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67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6A1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底板法兰350*350*4，地脚螺栓M16*600*4根</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2FD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6F1E">
            <w:pPr>
              <w:jc w:val="center"/>
              <w:rPr>
                <w:rFonts w:hint="eastAsia" w:asciiTheme="minorEastAsia" w:hAnsiTheme="minorEastAsia" w:eastAsiaTheme="minorEastAsia" w:cstheme="minorEastAsia"/>
                <w:b w:val="0"/>
                <w:bCs w:val="0"/>
                <w:i w:val="0"/>
                <w:iCs w:val="0"/>
                <w:color w:val="000000"/>
                <w:sz w:val="18"/>
                <w:szCs w:val="18"/>
                <w:u w:val="none"/>
              </w:rPr>
            </w:pPr>
          </w:p>
        </w:tc>
      </w:tr>
      <w:tr w14:paraId="1DC2E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33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控制机地脚螺栓及预埋铁件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4F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D0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44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底板法兰800*400*4，地脚螺栓M16*400*4根</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1E7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E888">
            <w:pPr>
              <w:jc w:val="center"/>
              <w:rPr>
                <w:rFonts w:hint="eastAsia" w:asciiTheme="minorEastAsia" w:hAnsiTheme="minorEastAsia" w:eastAsiaTheme="minorEastAsia" w:cstheme="minorEastAsia"/>
                <w:b w:val="0"/>
                <w:bCs w:val="0"/>
                <w:i w:val="0"/>
                <w:iCs w:val="0"/>
                <w:color w:val="000000"/>
                <w:sz w:val="18"/>
                <w:szCs w:val="18"/>
                <w:u w:val="none"/>
              </w:rPr>
            </w:pPr>
          </w:p>
        </w:tc>
      </w:tr>
      <w:tr w14:paraId="1B80E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06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接线井公安专用井盖及座圈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5D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6C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nil"/>
              <w:right w:val="single" w:color="000000" w:sz="4" w:space="0"/>
            </w:tcBorders>
            <w:shd w:val="clear" w:color="auto" w:fill="FFFFFF"/>
            <w:vAlign w:val="center"/>
          </w:tcPr>
          <w:p w14:paraId="57FC71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材质：铸铁或高分子材质，并标有“公安”字样。                                               规格：600mm*600mm</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F57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BBA2">
            <w:pPr>
              <w:jc w:val="center"/>
              <w:rPr>
                <w:rFonts w:hint="eastAsia" w:asciiTheme="minorEastAsia" w:hAnsiTheme="minorEastAsia" w:eastAsiaTheme="minorEastAsia" w:cstheme="minorEastAsia"/>
                <w:b w:val="0"/>
                <w:bCs w:val="0"/>
                <w:i w:val="0"/>
                <w:iCs w:val="0"/>
                <w:color w:val="000000"/>
                <w:sz w:val="18"/>
                <w:szCs w:val="18"/>
                <w:u w:val="none"/>
              </w:rPr>
            </w:pPr>
          </w:p>
        </w:tc>
      </w:tr>
      <w:tr w14:paraId="72966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8B7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接地极</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E1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99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个</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29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1.接地保护应严格按建筑电气施工规范要求安装，工作零线与保护零线严格分开, 不得混用，所有配电箱的PE线应作垂直接地, 其接地电阻不大于1欧姆, 所有电气设备及管线金属外壳可靠接地，通过测试并要求达到规定值。若通过测试大于标准要求，必须要求返工，直到达标为止。</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2.接地极、接地扁钢选用热镀锌钢材，接地装置规定埋深不应小于0.6M，接地线通过地表下0.6M引至地面外。</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3.接地极选用∠50×50×5×2500镀锌角钢，间距5M，接地母线用-40×4镀锌扁钢，接地母线之间电焊搭接长度不小于15CM，接地母线、接地极之间焊接处应做防腐处理。</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FBE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277D">
            <w:pPr>
              <w:jc w:val="center"/>
              <w:rPr>
                <w:rFonts w:hint="eastAsia" w:asciiTheme="minorEastAsia" w:hAnsiTheme="minorEastAsia" w:eastAsiaTheme="minorEastAsia" w:cstheme="minorEastAsia"/>
                <w:b w:val="0"/>
                <w:bCs w:val="0"/>
                <w:i w:val="0"/>
                <w:iCs w:val="0"/>
                <w:color w:val="000000"/>
                <w:sz w:val="18"/>
                <w:szCs w:val="18"/>
                <w:u w:val="none"/>
              </w:rPr>
            </w:pPr>
          </w:p>
        </w:tc>
      </w:tr>
      <w:tr w14:paraId="7C2B9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77A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（3）土建及安装施工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0E80">
            <w:pPr>
              <w:jc w:val="center"/>
              <w:rPr>
                <w:rFonts w:hint="eastAsia" w:asciiTheme="minorEastAsia" w:hAnsiTheme="minorEastAsia" w:eastAsiaTheme="minorEastAsia" w:cstheme="minorEastAsia"/>
                <w:b w:val="0"/>
                <w:bCs w:val="0"/>
                <w:i w:val="0"/>
                <w:iCs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7332">
            <w:pPr>
              <w:jc w:val="center"/>
              <w:rPr>
                <w:rFonts w:hint="eastAsia" w:asciiTheme="minorEastAsia" w:hAnsiTheme="minorEastAsia" w:eastAsiaTheme="minorEastAsia" w:cstheme="minorEastAsia"/>
                <w:b w:val="0"/>
                <w:bCs w:val="0"/>
                <w:i w:val="0"/>
                <w:iCs w:val="0"/>
                <w:color w:val="000000"/>
                <w:sz w:val="18"/>
                <w:szCs w:val="18"/>
                <w:u w:val="none"/>
              </w:rPr>
            </w:pP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995F">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852A9">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1CD8">
            <w:pPr>
              <w:jc w:val="center"/>
              <w:rPr>
                <w:rFonts w:hint="eastAsia" w:asciiTheme="minorEastAsia" w:hAnsiTheme="minorEastAsia" w:eastAsiaTheme="minorEastAsia" w:cstheme="minorEastAsia"/>
                <w:b w:val="0"/>
                <w:bCs w:val="0"/>
                <w:i w:val="0"/>
                <w:iCs w:val="0"/>
                <w:color w:val="000000"/>
                <w:sz w:val="18"/>
                <w:szCs w:val="18"/>
                <w:u w:val="none"/>
              </w:rPr>
            </w:pPr>
          </w:p>
        </w:tc>
      </w:tr>
      <w:tr w14:paraId="4518E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43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框架式长伸臂L型信号灯杆基础开挖及清运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31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23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m3</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CF89">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742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9D24">
            <w:pPr>
              <w:jc w:val="center"/>
              <w:rPr>
                <w:rFonts w:hint="eastAsia" w:asciiTheme="minorEastAsia" w:hAnsiTheme="minorEastAsia" w:eastAsiaTheme="minorEastAsia" w:cstheme="minorEastAsia"/>
                <w:b w:val="0"/>
                <w:bCs w:val="0"/>
                <w:i w:val="0"/>
                <w:iCs w:val="0"/>
                <w:color w:val="000000"/>
                <w:sz w:val="18"/>
                <w:szCs w:val="18"/>
                <w:u w:val="none"/>
              </w:rPr>
            </w:pPr>
          </w:p>
        </w:tc>
      </w:tr>
      <w:tr w14:paraId="2C616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AD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人行灯杆基础开挖及清运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FC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68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m3</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4ABA">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B3B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4A2F">
            <w:pPr>
              <w:jc w:val="center"/>
              <w:rPr>
                <w:rFonts w:hint="eastAsia" w:asciiTheme="minorEastAsia" w:hAnsiTheme="minorEastAsia" w:eastAsiaTheme="minorEastAsia" w:cstheme="minorEastAsia"/>
                <w:b w:val="0"/>
                <w:bCs w:val="0"/>
                <w:i w:val="0"/>
                <w:iCs w:val="0"/>
                <w:color w:val="000000"/>
                <w:sz w:val="18"/>
                <w:szCs w:val="18"/>
                <w:u w:val="none"/>
              </w:rPr>
            </w:pPr>
          </w:p>
        </w:tc>
      </w:tr>
      <w:tr w14:paraId="0BABE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62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控制机基础开挖及清运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E3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87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m3</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239D">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C0F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8AF9">
            <w:pPr>
              <w:jc w:val="center"/>
              <w:rPr>
                <w:rFonts w:hint="eastAsia" w:asciiTheme="minorEastAsia" w:hAnsiTheme="minorEastAsia" w:eastAsiaTheme="minorEastAsia" w:cstheme="minorEastAsia"/>
                <w:b w:val="0"/>
                <w:bCs w:val="0"/>
                <w:i w:val="0"/>
                <w:iCs w:val="0"/>
                <w:color w:val="000000"/>
                <w:sz w:val="18"/>
                <w:szCs w:val="18"/>
                <w:u w:val="none"/>
              </w:rPr>
            </w:pPr>
          </w:p>
        </w:tc>
      </w:tr>
      <w:tr w14:paraId="0FF64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A5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框架式长伸臂 L型信号灯杆现浇基础及养护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23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0F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m3</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B788">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8F6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12F6">
            <w:pPr>
              <w:jc w:val="center"/>
              <w:rPr>
                <w:rFonts w:hint="eastAsia" w:asciiTheme="minorEastAsia" w:hAnsiTheme="minorEastAsia" w:eastAsiaTheme="minorEastAsia" w:cstheme="minorEastAsia"/>
                <w:b w:val="0"/>
                <w:bCs w:val="0"/>
                <w:i w:val="0"/>
                <w:iCs w:val="0"/>
                <w:color w:val="000000"/>
                <w:sz w:val="18"/>
                <w:szCs w:val="18"/>
                <w:u w:val="none"/>
              </w:rPr>
            </w:pPr>
          </w:p>
        </w:tc>
      </w:tr>
      <w:tr w14:paraId="357B2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DE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人行灯杆现浇基础及养护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B2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D3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m3</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3C6E">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A15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2AC3">
            <w:pPr>
              <w:jc w:val="center"/>
              <w:rPr>
                <w:rFonts w:hint="eastAsia" w:asciiTheme="minorEastAsia" w:hAnsiTheme="minorEastAsia" w:eastAsiaTheme="minorEastAsia" w:cstheme="minorEastAsia"/>
                <w:b w:val="0"/>
                <w:bCs w:val="0"/>
                <w:i w:val="0"/>
                <w:iCs w:val="0"/>
                <w:color w:val="000000"/>
                <w:sz w:val="18"/>
                <w:szCs w:val="18"/>
                <w:u w:val="none"/>
              </w:rPr>
            </w:pPr>
          </w:p>
        </w:tc>
      </w:tr>
      <w:tr w14:paraId="6FEE1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F6C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控制机现浇基础及养护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30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8F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m3</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C052">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EA8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8995">
            <w:pPr>
              <w:jc w:val="center"/>
              <w:rPr>
                <w:rFonts w:hint="eastAsia" w:asciiTheme="minorEastAsia" w:hAnsiTheme="minorEastAsia" w:eastAsiaTheme="minorEastAsia" w:cstheme="minorEastAsia"/>
                <w:b w:val="0"/>
                <w:bCs w:val="0"/>
                <w:i w:val="0"/>
                <w:iCs w:val="0"/>
                <w:color w:val="000000"/>
                <w:sz w:val="18"/>
                <w:szCs w:val="18"/>
                <w:u w:val="none"/>
              </w:rPr>
            </w:pPr>
          </w:p>
        </w:tc>
      </w:tr>
      <w:tr w14:paraId="002FE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C2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人行道(隔离带)管线敷设（ 自行恢复）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9C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190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18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9CF0">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462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3C5E">
            <w:pPr>
              <w:jc w:val="center"/>
              <w:rPr>
                <w:rFonts w:hint="eastAsia" w:asciiTheme="minorEastAsia" w:hAnsiTheme="minorEastAsia" w:eastAsiaTheme="minorEastAsia" w:cstheme="minorEastAsia"/>
                <w:b w:val="0"/>
                <w:bCs w:val="0"/>
                <w:i w:val="0"/>
                <w:iCs w:val="0"/>
                <w:color w:val="000000"/>
                <w:sz w:val="18"/>
                <w:szCs w:val="18"/>
                <w:u w:val="none"/>
              </w:rPr>
            </w:pPr>
          </w:p>
        </w:tc>
      </w:tr>
      <w:tr w14:paraId="67E7B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11B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电缆管沟开挖及回填路面恢复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B0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FB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B76B">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CC5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1FC8">
            <w:pPr>
              <w:jc w:val="center"/>
              <w:rPr>
                <w:rFonts w:hint="eastAsia" w:asciiTheme="minorEastAsia" w:hAnsiTheme="minorEastAsia" w:eastAsiaTheme="minorEastAsia" w:cstheme="minorEastAsia"/>
                <w:b w:val="0"/>
                <w:bCs w:val="0"/>
                <w:i w:val="0"/>
                <w:iCs w:val="0"/>
                <w:color w:val="000000"/>
                <w:sz w:val="18"/>
                <w:szCs w:val="18"/>
                <w:u w:val="none"/>
              </w:rPr>
            </w:pPr>
          </w:p>
        </w:tc>
      </w:tr>
      <w:tr w14:paraId="11227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DC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接线井制作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98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85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个</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829A">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94E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2A69">
            <w:pPr>
              <w:jc w:val="center"/>
              <w:rPr>
                <w:rFonts w:hint="eastAsia" w:asciiTheme="minorEastAsia" w:hAnsiTheme="minorEastAsia" w:eastAsiaTheme="minorEastAsia" w:cstheme="minorEastAsia"/>
                <w:b w:val="0"/>
                <w:bCs w:val="0"/>
                <w:i w:val="0"/>
                <w:iCs w:val="0"/>
                <w:color w:val="000000"/>
                <w:sz w:val="18"/>
                <w:szCs w:val="18"/>
                <w:u w:val="none"/>
              </w:rPr>
            </w:pPr>
          </w:p>
        </w:tc>
      </w:tr>
      <w:tr w14:paraId="1E671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38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安装调试费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38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60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路口</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A436">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F52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6020">
            <w:pPr>
              <w:jc w:val="center"/>
              <w:rPr>
                <w:rFonts w:hint="eastAsia" w:asciiTheme="minorEastAsia" w:hAnsiTheme="minorEastAsia" w:eastAsiaTheme="minorEastAsia" w:cstheme="minorEastAsia"/>
                <w:b w:val="0"/>
                <w:bCs w:val="0"/>
                <w:i w:val="0"/>
                <w:iCs w:val="0"/>
                <w:color w:val="000000"/>
                <w:sz w:val="18"/>
                <w:szCs w:val="18"/>
                <w:u w:val="none"/>
              </w:rPr>
            </w:pPr>
          </w:p>
        </w:tc>
      </w:tr>
      <w:tr w14:paraId="08F5A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88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五、长江路与巴音路丁字路 口电警卡口采购</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8AD8">
            <w:pPr>
              <w:jc w:val="center"/>
              <w:rPr>
                <w:rFonts w:hint="eastAsia" w:asciiTheme="minorEastAsia" w:hAnsiTheme="minorEastAsia" w:eastAsiaTheme="minorEastAsia" w:cstheme="minorEastAsia"/>
                <w:b w:val="0"/>
                <w:bCs w:val="0"/>
                <w:i w:val="0"/>
                <w:iCs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2CC8">
            <w:pPr>
              <w:jc w:val="center"/>
              <w:rPr>
                <w:rFonts w:hint="eastAsia" w:asciiTheme="minorEastAsia" w:hAnsiTheme="minorEastAsia" w:eastAsiaTheme="minorEastAsia" w:cstheme="minorEastAsia"/>
                <w:b w:val="0"/>
                <w:bCs w:val="0"/>
                <w:i w:val="0"/>
                <w:iCs w:val="0"/>
                <w:color w:val="000000"/>
                <w:sz w:val="18"/>
                <w:szCs w:val="18"/>
                <w:u w:val="none"/>
              </w:rPr>
            </w:pP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F101">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760C0">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4335">
            <w:pPr>
              <w:jc w:val="center"/>
              <w:rPr>
                <w:rFonts w:hint="eastAsia" w:asciiTheme="minorEastAsia" w:hAnsiTheme="minorEastAsia" w:eastAsiaTheme="minorEastAsia" w:cstheme="minorEastAsia"/>
                <w:b w:val="0"/>
                <w:bCs w:val="0"/>
                <w:i w:val="0"/>
                <w:iCs w:val="0"/>
                <w:color w:val="000000"/>
                <w:sz w:val="18"/>
                <w:szCs w:val="18"/>
                <w:u w:val="none"/>
              </w:rPr>
            </w:pPr>
          </w:p>
        </w:tc>
      </w:tr>
      <w:tr w14:paraId="0E351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BB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900 万卡口抓拍单元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8F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61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组</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E8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 包含高清一体化嵌入式摄像机、高清镜头、室外防护罩、LED补光灯、风扇、电源适配器等；摄像机具有≥2个1英寸CCD或全局曝光CMOS传感器，支持≥4096×2160@25fps（不含OSD叠加）视频图像输出，视频压缩支持H.265、H.264、M-JPEG。</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 车辆捕获率应≥99%，车牌识别准确率应≥ 95%；支持补光灯、雷达、线圈检测器接入，支持机动车、非机动车和行人的抓拍和分析；支持车型、车身颜色、车标、车辆子品牌等车辆特征识别，支持压线、逆行、违法变道等违法检测功能。</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 不少于两个传感器（sensor）设计，具有独立分光棱镜分光结构装置，分别接收可见光和红外光，抓拍支持输出三张同时刻目标图片，包括可见光路图片（全彩），红外路图片（黑白）和融合图片（全彩），三张图片抓拍时间为同一时刻，抓拍运动目标，三张图片中目标位置相同无位移。（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 支持同时预览两路sensor视频，设备场景中放置红外LED常亮灯，朝向摄像机镜头，可见光路视频图像中补光灯灯珠完全无光，同时红外路视频图像补光灯可清晰看到灯珠亮光。</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 支持车辆抓拍，支持抓拍输出车牌局部照片、车窗局部照片、非机动车局部照片、场景全景图片。（需提供公安部所属检验机构出具的检测报告复印件）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 支持设置车辆抓拍位置到立杆的架设距离、设备架设高度，并在视频图像中显示位置信息。（需提供公安部所属检验机构出具的检测报告复印件）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 在满足GA/T 1202-2022一级补光标准，补光≤20lx 的前提下，抓拍图片满足 GA/T 832-2014标准中3.6.1要求， 配套符合GA/T 1202-2022标准的一级补光灯，设备抓拍车牌、车身颜色、车内前排人脸及衣着均清晰可见。（需提供公安部所属检验机构出具的检测报告复印件）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 支持对25×10 像素～1100×3000 像素的机动车车牌进行抓拍并识别，支持识别并抓拍垂直倾斜角度≤55°、水平倾斜角度≤35°、俯仰角度≤40°的机动车车牌。（需提供公安部所属检验机构出具的检测报告复印件）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 支持分别对11种车型（大货车、中货车、小货车、客车、小轿车、中客车、危险品运输车、校车、面包车、环卫车、其他车型）进行不同超速比设置，可设置18个超速比区间；在相同道路上，设备支持根据不同的超速比设置对不同车型进行超速抓拍，并输出不同的超速抓拍结果及违法代码。（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11. 支持检测并跟踪指定区域内不少于 245 个目标，目标包括机动车、非机动车以及行人。（需提供公安部所属检验机构出具的检测报告复印件）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12. ≥2个RJ45 100M/1000M自适应网口，≥3个RS485接口，≥5路补光灯控制接口，≥1个存储卡接口，防护等级≥IP66。</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89B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F420">
            <w:pPr>
              <w:jc w:val="center"/>
              <w:rPr>
                <w:rFonts w:hint="eastAsia" w:asciiTheme="minorEastAsia" w:hAnsiTheme="minorEastAsia" w:eastAsiaTheme="minorEastAsia" w:cstheme="minorEastAsia"/>
                <w:b w:val="0"/>
                <w:bCs w:val="0"/>
                <w:i w:val="0"/>
                <w:iCs w:val="0"/>
                <w:color w:val="000000"/>
                <w:sz w:val="18"/>
                <w:szCs w:val="18"/>
                <w:u w:val="none"/>
              </w:rPr>
            </w:pPr>
          </w:p>
        </w:tc>
      </w:tr>
      <w:tr w14:paraId="2262E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FE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900 万电警抓拍单元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53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E0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组</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6A3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 包含高清一体化嵌入式摄像机、高清镜头、室外防护罩、LED补光灯、风扇、电源适配器等；摄像机采用≥1英寸CCD或全局曝光CMOS传感器，支持≥4096×2160@25fps（不含OSD叠加）视频图像输出；视频压缩支持H.265、H.264、M-JPEG；</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 车辆捕获率应≥99%，车牌识别准确率应≥ 95%；支持闯红灯抓拍功能，闯红灯捕获率≥95％，记录有效率≥90％；支持车型、车身颜色、车标、车辆子品牌等车辆特征识别，支持压线、逆行、不按导向行驶、绿灯停车、违法变道等违法检测功能；</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 支持车辆抓拍，支持抓拍输出车牌局部照片、车窗局部照片、非机动车局部照片、场景全景图片。（需提供公安部所属检验机构出具的检测报告复印件）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 支持设置车辆抓拍位置到立杆的架设距离、设备架设高度，并在视频图像中显示位置信息。（需提供公安部所属检验机构出具的检测报告复印件）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 支持对25×10 像素～1100×3000 像素的机动车车牌进行抓拍并识别，支持识别并抓拍垂直倾斜角度≤55°、水平倾斜角度≤35°、俯仰角度≤40°的机动车车牌。（需提供公安部所属检验机构出具的检测报告复印件）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 支持分别对11种车型（大货车、中货车、小货车、客车、小轿车、中客车、危险品运输车、校车、面包车、环卫车、其他车型）进行不同超速比设置，可设置18个超速比区间；在相同道路上，设备支持根据不同的超速比设置对不同车型进行超速抓拍，并输出不同的超速抓拍结果及违法代码。（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 支持检测并跟踪指定区域内不少于 245 个目标，目标包括机动车、非机动车以及行人。（需提供公安部所属检验机构出具的检测报告复印件）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 ≥2个RJ45 100M/1000M自适应网口，≥3个RS485接口，≥1个触发输入、≥5路补光灯控制接口，≥1个存储卡接口，防护等级≥IP66。</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992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05EC">
            <w:pPr>
              <w:jc w:val="center"/>
              <w:rPr>
                <w:rFonts w:hint="eastAsia" w:asciiTheme="minorEastAsia" w:hAnsiTheme="minorEastAsia" w:eastAsiaTheme="minorEastAsia" w:cstheme="minorEastAsia"/>
                <w:b w:val="0"/>
                <w:bCs w:val="0"/>
                <w:i w:val="0"/>
                <w:iCs w:val="0"/>
                <w:color w:val="000000"/>
                <w:sz w:val="18"/>
                <w:szCs w:val="18"/>
                <w:u w:val="none"/>
              </w:rPr>
            </w:pPr>
          </w:p>
        </w:tc>
      </w:tr>
      <w:tr w14:paraId="0F2B7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04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多合一环保补光灯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A3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2F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组</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57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 符合GA/T 1202-2022《交通技术监控成像补光装置通用技术条件》；（需提供公安部所属检验机构出具的检测报告复印件）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 补光装置光源包括LED光源（一级频闪）、气体放电光源（二级脉冲）和红外光源；</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 采用LED光源和气灯放电两种光源，LED光源呈圆形排布，气体放电光源前置转轴叶片，支持红外和白光补光切换；</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 支持LED频闪、LED爆闪、白光气体爆闪及红外气体爆闪四种补光方式，可通过远程控制切换；</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 眩光阀值增量TI≤1.08%；</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 触发信号异常时，爆闪灯进入自动保护，触发信号输入正常，爆闪灯自动恢复正常</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 ≥1路RS485接口、1路气体脉冲爆闪输入接口，≥1路光源切换接口，≥1路频闪输入接口、≥1路LED爆闪输入接口；</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 可通过RS485进行远程升级；</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 支持记录闪光灯闪光次数；</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 防护等级≥IP66。</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30F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111A">
            <w:pPr>
              <w:jc w:val="center"/>
              <w:rPr>
                <w:rFonts w:hint="eastAsia" w:asciiTheme="minorEastAsia" w:hAnsiTheme="minorEastAsia" w:eastAsiaTheme="minorEastAsia" w:cstheme="minorEastAsia"/>
                <w:b w:val="0"/>
                <w:bCs w:val="0"/>
                <w:i w:val="0"/>
                <w:iCs w:val="0"/>
                <w:color w:val="000000"/>
                <w:sz w:val="18"/>
                <w:szCs w:val="18"/>
                <w:u w:val="none"/>
              </w:rPr>
            </w:pPr>
          </w:p>
        </w:tc>
      </w:tr>
      <w:tr w14:paraId="0EFC0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CA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LED 频闪灯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9B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47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D05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1.光源类型：≥16颗原装大功率LED；</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2.发光角度≥10°；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3.符合GA/T 1202-2022《交通技术监控成像补光装置通用技术条件》中的一级补光装置要求；（需提供公安部所属检验机构出具的检测报告复印件）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4.覆盖范围：单车道环境补光灯；</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5.最佳补光范围≥16米～25米；</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6.触发方式： 4V~6V电平量触发；</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7.触发信号：频率15~250HZ，占空比1%~39%，响应时间小于20US；</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8.防护等级：≥IP66；</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9.工作电压：AC220V；</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10.额定功率：≤35Wmax。</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526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D4D1">
            <w:pPr>
              <w:jc w:val="center"/>
              <w:rPr>
                <w:rFonts w:hint="eastAsia" w:asciiTheme="minorEastAsia" w:hAnsiTheme="minorEastAsia" w:eastAsiaTheme="minorEastAsia" w:cstheme="minorEastAsia"/>
                <w:b w:val="0"/>
                <w:bCs w:val="0"/>
                <w:i w:val="0"/>
                <w:iCs w:val="0"/>
                <w:color w:val="000000"/>
                <w:sz w:val="18"/>
                <w:szCs w:val="18"/>
                <w:u w:val="none"/>
              </w:rPr>
            </w:pPr>
          </w:p>
        </w:tc>
      </w:tr>
      <w:tr w14:paraId="6544D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F9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红绿灯信号检测器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9E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0C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36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 红绿灯信号检测器，采用工业级嵌入式微控制器；</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 具有≥6路RS485、≥16路AC220V信号灯输入接口、≥16路信号状态指示灯，≥1路RS485数据收发状态指示灯；（需提供公安部所属检验机构出具的检测报告复印件）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 检测信号灯电压范围AC110V~274V，信号灯输入端口有信号输入时，RS485端口会上传该端口的状态信息；（需提供公安部所属检验机构出具的检测报告复印件）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 工作温度：-30℃～+70℃</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D03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23AD">
            <w:pPr>
              <w:jc w:val="center"/>
              <w:rPr>
                <w:rFonts w:hint="eastAsia" w:asciiTheme="minorEastAsia" w:hAnsiTheme="minorEastAsia" w:eastAsiaTheme="minorEastAsia" w:cstheme="minorEastAsia"/>
                <w:b w:val="0"/>
                <w:bCs w:val="0"/>
                <w:i w:val="0"/>
                <w:iCs w:val="0"/>
                <w:color w:val="000000"/>
                <w:sz w:val="18"/>
                <w:szCs w:val="18"/>
                <w:u w:val="none"/>
              </w:rPr>
            </w:pPr>
          </w:p>
        </w:tc>
      </w:tr>
      <w:tr w14:paraId="73DFB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3A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终端服务器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EB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5D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台</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F4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 设备采用嵌入式操作系统，全机身散热，内部无风扇，支持车辆卡口、违法、目标、人体以及其他事件结构化图片存储，支持视频预览、录像和回放，支持配置录像计划，录像和图片存储空间可配置。</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 支持≥4块3.5或2.5英寸硬盘接入，兼容≥8TB硬盘，支持硬盘自动切换，当块硬盘损坏后，能自动切换至其它硬盘进行存储，内置≥8T监控级硬盘；</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 具有记录、回放、报警联动、图像检索、权限管理、视频水印、日志功能、支持叠加图像标识信息和时间，支持图像多画面显示。</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 ≥18个10M/100M/1000M 自适应RJ45接口，≥2个1000M SFP光口，≥1个USB3.0接口，≥2个RS-485接口。（需提供公安部所属检验机构出具的检测报告复印件）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 支持内置GPS/北斗模块，实现GPS和北斗校时、定位功能，支持将经纬度信息叠加在图片或者视频上，定位校时模块可插拔更换。（需提供公安部所属检验机构出具的检测报告复印件）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 支持添加不少于24路IP摄像机，总码率不小于350Mbps，支持对接入摄像机进行实时预览与录像存储，支持对图片进行实时预览和存储，并可将IP摄像机的视频图像通过网络传输至客户端。（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 支持接入具有ABF聚焦功能的摄像机，可对视频图像进行ABF聚焦，支持接入鱼眼摄像机、双目摄像机、三目摄像机、四目摄像机、八目枪球联动一体机及全局摄像机，并可将视频图像以多画面分割方式显示，可自定义画面布局。（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 可接入G.711a、G.711Mu、G.722.1、G.726、G.729、PCM、AAC、MPEG2-layer2音频编码格式的IPC，可将音频采样率设置为8kHz、16kHz、32kHz、48kHz、64kHz。（需提供公安部所属检验机构出具的检测报告复印件）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 支持图像化展示设备所连通道的在线、离线、未启用状态，支持展示各通道上线、离线时间；支持查看通道状态统计信息。（需提供公安部所属检验机构出具的检测报告复印件）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 支持将原始图片、特写图片、合成图片、车牌抠图、关联录像、主驾驶人脸图片、副驾驶人脸图片、行人人脸图片、非机动车人脸图片上传至FTP服务器。（需提供公安部所属检验机构出具的检测报告复印件）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11. 支持配置路段名称、路段编号、路段距离，能够对驶入驶出该路段的车辆抓拍数据匹配并计算车辆的区间速度值，支持设置过滤阈值，对异常测速结果进行过滤，支持超速检测和欠速检测，可分别设定高限速和低限速值。（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12. 支持不少于36种车辆类型图片接收、展示、合成、上传。包括未知、客车、大货车、中货车、轿车、面包车、小货车、三轮车、行人、SUV-MPV、中客车、危化品车辆、SUV、MPV、公交车、皮卡车、微型车、油罐车、槽罐车、渣土车、混凝土搅拌车、出租车、警车、救护车、普通车、环卫车、消防车、拖拉机、工程车、粉粒物料运输车、吸污车、普通罐车、二轮车、自行车、厢式三轮车、载人敞篷三轮车、不载人敞篷三轮车。（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13. 支持设置最大速度阈值，控制最大显示速度；支持开启速度控制，设置安全速度阈值、告警速度阈值、超速速度阈值及对应的字体颜色，按速度区段区分显示字体颜色；支持仅超速显示车速、卡口合成上传、违法合成上传、无牌车上传、警牌上传、车牌隐私保护等多种个性发布方式；支持按图片类型区分设置显示内容和字体颜色、是否启用语音播报及播报内容，支持的图片类型有超速、违法变道、违法停车、预违停、违法倒车、逆行、卡口、未礼让行人、闯红灯、不按导向箭头行驶、车辆拥堵禁入、压白线、机占非、占用应急车道、右转不礼让行人、大弯小转、禁货等。（需提供公安部所属检验机构出具的检测报告复印件）</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B54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A7F6">
            <w:pPr>
              <w:jc w:val="center"/>
              <w:rPr>
                <w:rFonts w:hint="eastAsia" w:asciiTheme="minorEastAsia" w:hAnsiTheme="minorEastAsia" w:eastAsiaTheme="minorEastAsia" w:cstheme="minorEastAsia"/>
                <w:b w:val="0"/>
                <w:bCs w:val="0"/>
                <w:i w:val="0"/>
                <w:iCs w:val="0"/>
                <w:color w:val="000000"/>
                <w:sz w:val="18"/>
                <w:szCs w:val="18"/>
                <w:u w:val="none"/>
              </w:rPr>
            </w:pPr>
          </w:p>
        </w:tc>
      </w:tr>
      <w:tr w14:paraId="6AA55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B9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落地机柜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6A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2D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台</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06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1.设备安装基于 19 英寸标准结构设计，有≥17U 安装空间，具有良好的安装通用性；</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2.机柜含有强电模块，包含220V电源防雷，2P25A空气≥1个，三芯插座≥1个，1P10A空开≥8个；</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3.机柜为单层机构，外侧钣金厚度为≥ 1.2mm，有效的保证了机柜的强度需求；</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4.风扇安装在柜体的顶部居中位置，可有效的降低主设备散发出来的温度；</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5.机柜内含照明模块，方便设备夜间维护；</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6.防护等级≥IP55，保护内部设备不受外界恶劣环境的干扰；</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7.外部环境温度：≥-20℃~45℃；</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8.贮存温度：≥-40℃~70℃；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9.机柜内部相对湿度：≤85%（+30℃）；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10.贮存湿度：≥0~100%；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11.大气压强：≥70~106KPa。</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C87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6B23">
            <w:pPr>
              <w:jc w:val="center"/>
              <w:rPr>
                <w:rFonts w:hint="eastAsia" w:asciiTheme="minorEastAsia" w:hAnsiTheme="minorEastAsia" w:eastAsiaTheme="minorEastAsia" w:cstheme="minorEastAsia"/>
                <w:b w:val="0"/>
                <w:bCs w:val="0"/>
                <w:i w:val="0"/>
                <w:iCs w:val="0"/>
                <w:color w:val="000000"/>
                <w:sz w:val="18"/>
                <w:szCs w:val="18"/>
                <w:u w:val="none"/>
              </w:rPr>
            </w:pPr>
          </w:p>
        </w:tc>
      </w:tr>
      <w:tr w14:paraId="3BEC3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28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网线收发器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98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12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对</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4E9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千兆单模双纤光纤收发器、RJ-45，SC/FC/ST，20km</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E2C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A5D2">
            <w:pPr>
              <w:jc w:val="center"/>
              <w:rPr>
                <w:rFonts w:hint="eastAsia" w:asciiTheme="minorEastAsia" w:hAnsiTheme="minorEastAsia" w:eastAsiaTheme="minorEastAsia" w:cstheme="minorEastAsia"/>
                <w:b w:val="0"/>
                <w:bCs w:val="0"/>
                <w:i w:val="0"/>
                <w:iCs w:val="0"/>
                <w:color w:val="000000"/>
                <w:sz w:val="18"/>
                <w:szCs w:val="18"/>
                <w:u w:val="none"/>
              </w:rPr>
            </w:pPr>
          </w:p>
        </w:tc>
      </w:tr>
      <w:tr w14:paraId="7677B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DD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交换机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78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AC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台</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8AD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≥8个10/100/1000Mbps RJ45 端口，IEEE 802.3 、IEEE 802.3u、IEEE 802.3ab、IEEE 802.3x，9VDC/0.6A</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42B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2A4F">
            <w:pPr>
              <w:jc w:val="center"/>
              <w:rPr>
                <w:rFonts w:hint="eastAsia" w:asciiTheme="minorEastAsia" w:hAnsiTheme="minorEastAsia" w:eastAsiaTheme="minorEastAsia" w:cstheme="minorEastAsia"/>
                <w:b w:val="0"/>
                <w:bCs w:val="0"/>
                <w:i w:val="0"/>
                <w:iCs w:val="0"/>
                <w:color w:val="000000"/>
                <w:sz w:val="18"/>
                <w:szCs w:val="18"/>
                <w:u w:val="none"/>
              </w:rPr>
            </w:pPr>
          </w:p>
        </w:tc>
      </w:tr>
      <w:tr w14:paraId="3AA17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AB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交换机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0D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EE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台</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26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≥24个10/100/1000M自适应以太网端口，IEEE802.3 10BASE-T以太网IEEE802.3u 100BASE-TX快速以太网IEEE802.3ab 1000Base-T 千兆以太网ANSI/IEEE802.3 NWay自动协商IEEE802.3x流控 </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100-240V AC</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3B6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98CA">
            <w:pPr>
              <w:jc w:val="center"/>
              <w:rPr>
                <w:rFonts w:hint="eastAsia" w:asciiTheme="minorEastAsia" w:hAnsiTheme="minorEastAsia" w:eastAsiaTheme="minorEastAsia" w:cstheme="minorEastAsia"/>
                <w:b w:val="0"/>
                <w:bCs w:val="0"/>
                <w:i w:val="0"/>
                <w:iCs w:val="0"/>
                <w:color w:val="000000"/>
                <w:sz w:val="18"/>
                <w:szCs w:val="18"/>
                <w:u w:val="none"/>
              </w:rPr>
            </w:pPr>
          </w:p>
        </w:tc>
      </w:tr>
      <w:tr w14:paraId="2AE51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87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八棱监控杆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DD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42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BF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H=6.5m，L=6m规格：</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（1）钢杆臂厚不低于6mm，材质Q235以上，其力学性能满足信号灯杆的强度要求，设计可抗最大风速39.6米/秒(抗风压等级为10级)，承受压力为0.6千牛，抗地震强度为8级。</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（2）焊体表面焊波均匀、无裂纹、气孔、夹渣、烧穿、未融合，弧坑和针状气体等，焊缝均匀丰满美观。</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（3）杆体内外热浸锌处理，镀层均匀、无色差，镀层≥60μm。</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CA0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C192">
            <w:pPr>
              <w:jc w:val="center"/>
              <w:rPr>
                <w:rFonts w:hint="eastAsia" w:asciiTheme="minorEastAsia" w:hAnsiTheme="minorEastAsia" w:eastAsiaTheme="minorEastAsia" w:cstheme="minorEastAsia"/>
                <w:b w:val="0"/>
                <w:bCs w:val="0"/>
                <w:i w:val="0"/>
                <w:iCs w:val="0"/>
                <w:color w:val="000000"/>
                <w:sz w:val="18"/>
                <w:szCs w:val="18"/>
                <w:u w:val="none"/>
              </w:rPr>
            </w:pPr>
          </w:p>
        </w:tc>
      </w:tr>
      <w:tr w14:paraId="16D1B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29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八棱监控杆基础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51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FB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个</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5A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基坑开挖（1.2*1.2*1.6）m³，渣土外运5km，c25商混浇筑</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CF7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C0FD">
            <w:pPr>
              <w:jc w:val="center"/>
              <w:rPr>
                <w:rFonts w:hint="eastAsia" w:asciiTheme="minorEastAsia" w:hAnsiTheme="minorEastAsia" w:eastAsiaTheme="minorEastAsia" w:cstheme="minorEastAsia"/>
                <w:b w:val="0"/>
                <w:bCs w:val="0"/>
                <w:i w:val="0"/>
                <w:iCs w:val="0"/>
                <w:color w:val="000000"/>
                <w:sz w:val="18"/>
                <w:szCs w:val="18"/>
                <w:u w:val="none"/>
              </w:rPr>
            </w:pPr>
          </w:p>
        </w:tc>
      </w:tr>
      <w:tr w14:paraId="5CC44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28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抱杆箱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61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6A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台</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EC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【抱杆箱】</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尺寸：600mm（宽）× 800mm（高）× 435.5mm（深）</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含双路220V防雷，双路空气开关1个，单路空气开关8个，三芯维护插座1个</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安装基于 19 英寸标准结构设计，有18U 安装空间，具有良好的安装通用性</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防护等级IP55</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695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95B6">
            <w:pPr>
              <w:jc w:val="center"/>
              <w:rPr>
                <w:rFonts w:hint="eastAsia" w:asciiTheme="minorEastAsia" w:hAnsiTheme="minorEastAsia" w:eastAsiaTheme="minorEastAsia" w:cstheme="minorEastAsia"/>
                <w:b w:val="0"/>
                <w:bCs w:val="0"/>
                <w:i w:val="0"/>
                <w:iCs w:val="0"/>
                <w:color w:val="000000"/>
                <w:sz w:val="18"/>
                <w:szCs w:val="18"/>
                <w:u w:val="none"/>
              </w:rPr>
            </w:pPr>
          </w:p>
        </w:tc>
      </w:tr>
      <w:tr w14:paraId="33072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3E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电源线电缆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D1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260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57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5C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RVV-0.5kV-3*1.5mm2</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73E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76EA">
            <w:pPr>
              <w:jc w:val="center"/>
              <w:rPr>
                <w:rFonts w:hint="eastAsia" w:asciiTheme="minorEastAsia" w:hAnsiTheme="minorEastAsia" w:eastAsiaTheme="minorEastAsia" w:cstheme="minorEastAsia"/>
                <w:b w:val="0"/>
                <w:bCs w:val="0"/>
                <w:i w:val="0"/>
                <w:iCs w:val="0"/>
                <w:color w:val="000000"/>
                <w:sz w:val="18"/>
                <w:szCs w:val="18"/>
                <w:u w:val="none"/>
              </w:rPr>
            </w:pPr>
          </w:p>
        </w:tc>
      </w:tr>
      <w:tr w14:paraId="329EC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CD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网线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1E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BB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箱</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4A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CAT.6六类网线参照EI刀TIA-568B和ISO/IEC11801国际六类传输标准设计制造，高速1000MBPS以太网要求和应用；成品标准网线参照 ANSI/TIA/EIA中6类相关的标准要求，广泛应用于设备间或水平子系统，为通讯设备、模块化配线架实现快速互连；从而保证系统的传输的可靠性，具 有极低的损耗和较高的带宽，适合大范围的高速度，大容量等多媒体工程及家装综合水平布线系统。10门加门000MBPS自适应传输速率，全面支持ISDN， ANALOG (宽频、基频)和数位影像及声音，16MBPS TOKEN RING，10BASE-T，100BASE-T， 155/622MBPS ATM及GIGABIT ETHERNET，100MBPS TP-PMD/CDDI AND FAST ETHERNET等网路应用。</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5F3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86CD">
            <w:pPr>
              <w:jc w:val="center"/>
              <w:rPr>
                <w:rFonts w:hint="eastAsia" w:asciiTheme="minorEastAsia" w:hAnsiTheme="minorEastAsia" w:eastAsiaTheme="minorEastAsia" w:cstheme="minorEastAsia"/>
                <w:b w:val="0"/>
                <w:bCs w:val="0"/>
                <w:i w:val="0"/>
                <w:iCs w:val="0"/>
                <w:color w:val="000000"/>
                <w:sz w:val="18"/>
                <w:szCs w:val="18"/>
                <w:u w:val="none"/>
              </w:rPr>
            </w:pPr>
          </w:p>
        </w:tc>
      </w:tr>
      <w:tr w14:paraId="7E946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A3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室外光纤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89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B2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37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GYXTW-8B，八芯室外单模光纤缆线</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1、应用于园区中楼宇间的连接，长距离网络、主干线系统、本地环路或支路网络、严重潮湿的户外环境、温度 变化极大的环境、架空连接（和悬缆线一起使用）、地下管道或直埋、悬吊缆/服务缆。</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 管内灌注防水凝胶，以防止水渗入。</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 平行钢丝提高对光纤的保护。</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 聚乙烯外衣在紫外线或恶劣的室外环境下有保护作用。</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 低磨擦的外皮使之可轻松穿过管道。</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F4B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4350">
            <w:pPr>
              <w:jc w:val="center"/>
              <w:rPr>
                <w:rFonts w:hint="eastAsia" w:asciiTheme="minorEastAsia" w:hAnsiTheme="minorEastAsia" w:eastAsiaTheme="minorEastAsia" w:cstheme="minorEastAsia"/>
                <w:b w:val="0"/>
                <w:bCs w:val="0"/>
                <w:i w:val="0"/>
                <w:iCs w:val="0"/>
                <w:color w:val="000000"/>
                <w:sz w:val="18"/>
                <w:szCs w:val="18"/>
                <w:u w:val="none"/>
              </w:rPr>
            </w:pPr>
          </w:p>
        </w:tc>
      </w:tr>
      <w:tr w14:paraId="1DCFE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25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485 信号线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3D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B6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09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rvsp2*1mm2</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352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25BA">
            <w:pPr>
              <w:jc w:val="center"/>
              <w:rPr>
                <w:rFonts w:hint="eastAsia" w:asciiTheme="minorEastAsia" w:hAnsiTheme="minorEastAsia" w:eastAsiaTheme="minorEastAsia" w:cstheme="minorEastAsia"/>
                <w:b w:val="0"/>
                <w:bCs w:val="0"/>
                <w:i w:val="0"/>
                <w:iCs w:val="0"/>
                <w:color w:val="000000"/>
                <w:sz w:val="18"/>
                <w:szCs w:val="18"/>
                <w:u w:val="none"/>
              </w:rPr>
            </w:pPr>
          </w:p>
        </w:tc>
      </w:tr>
      <w:tr w14:paraId="623A0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E5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机柜基础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FE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C1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座</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39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落地机柜基础制作、基础尺寸：≥1400*640*560mm；机柜安装等</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C3F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96B8">
            <w:pPr>
              <w:jc w:val="center"/>
              <w:rPr>
                <w:rFonts w:hint="eastAsia" w:asciiTheme="minorEastAsia" w:hAnsiTheme="minorEastAsia" w:eastAsiaTheme="minorEastAsia" w:cstheme="minorEastAsia"/>
                <w:b w:val="0"/>
                <w:bCs w:val="0"/>
                <w:i w:val="0"/>
                <w:iCs w:val="0"/>
                <w:color w:val="000000"/>
                <w:sz w:val="18"/>
                <w:szCs w:val="18"/>
                <w:u w:val="none"/>
              </w:rPr>
            </w:pPr>
          </w:p>
        </w:tc>
      </w:tr>
      <w:tr w14:paraId="3CF13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1C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管线施工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A5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49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8C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管沟开挖与恢复400*500mm²，敷管PE80聚乙烯(PE)管</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C82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543C">
            <w:pPr>
              <w:jc w:val="center"/>
              <w:rPr>
                <w:rFonts w:hint="eastAsia" w:asciiTheme="minorEastAsia" w:hAnsiTheme="minorEastAsia" w:eastAsiaTheme="minorEastAsia" w:cstheme="minorEastAsia"/>
                <w:b w:val="0"/>
                <w:bCs w:val="0"/>
                <w:i w:val="0"/>
                <w:iCs w:val="0"/>
                <w:color w:val="000000"/>
                <w:sz w:val="18"/>
                <w:szCs w:val="18"/>
                <w:u w:val="none"/>
              </w:rPr>
            </w:pPr>
          </w:p>
        </w:tc>
      </w:tr>
      <w:tr w14:paraId="65877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167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文明施工等费用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0E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D5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项</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02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防雾治霾、围挡搭建、拆除等</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4D5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AB2B">
            <w:pPr>
              <w:jc w:val="center"/>
              <w:rPr>
                <w:rFonts w:hint="eastAsia" w:asciiTheme="minorEastAsia" w:hAnsiTheme="minorEastAsia" w:eastAsiaTheme="minorEastAsia" w:cstheme="minorEastAsia"/>
                <w:b w:val="0"/>
                <w:bCs w:val="0"/>
                <w:i w:val="0"/>
                <w:iCs w:val="0"/>
                <w:color w:val="000000"/>
                <w:sz w:val="18"/>
                <w:szCs w:val="18"/>
                <w:u w:val="none"/>
              </w:rPr>
            </w:pPr>
          </w:p>
        </w:tc>
      </w:tr>
      <w:tr w14:paraId="3C311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31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运输安装调试费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0E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19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处</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E2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设备转运、安装、吊装、系统调试、光缆熔续等施工</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723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D929">
            <w:pPr>
              <w:jc w:val="center"/>
              <w:rPr>
                <w:rFonts w:hint="eastAsia" w:asciiTheme="minorEastAsia" w:hAnsiTheme="minorEastAsia" w:eastAsiaTheme="minorEastAsia" w:cstheme="minorEastAsia"/>
                <w:b w:val="0"/>
                <w:bCs w:val="0"/>
                <w:i w:val="0"/>
                <w:iCs w:val="0"/>
                <w:color w:val="000000"/>
                <w:sz w:val="18"/>
                <w:szCs w:val="18"/>
                <w:u w:val="none"/>
              </w:rPr>
            </w:pPr>
          </w:p>
        </w:tc>
      </w:tr>
      <w:tr w14:paraId="387D3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0A1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六、滨河路与南海路丁字路口电警卡口采购</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D6C4">
            <w:pPr>
              <w:jc w:val="center"/>
              <w:rPr>
                <w:rFonts w:hint="eastAsia" w:asciiTheme="minorEastAsia" w:hAnsiTheme="minorEastAsia" w:eastAsiaTheme="minorEastAsia" w:cstheme="minorEastAsia"/>
                <w:b w:val="0"/>
                <w:bCs w:val="0"/>
                <w:i w:val="0"/>
                <w:iCs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5B9C">
            <w:pPr>
              <w:jc w:val="center"/>
              <w:rPr>
                <w:rFonts w:hint="eastAsia" w:asciiTheme="minorEastAsia" w:hAnsiTheme="minorEastAsia" w:eastAsiaTheme="minorEastAsia" w:cstheme="minorEastAsia"/>
                <w:b w:val="0"/>
                <w:bCs w:val="0"/>
                <w:i w:val="0"/>
                <w:iCs w:val="0"/>
                <w:color w:val="000000"/>
                <w:sz w:val="18"/>
                <w:szCs w:val="18"/>
                <w:u w:val="none"/>
              </w:rPr>
            </w:pP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CB38">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F6753">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8CF5">
            <w:pPr>
              <w:jc w:val="center"/>
              <w:rPr>
                <w:rFonts w:hint="eastAsia" w:asciiTheme="minorEastAsia" w:hAnsiTheme="minorEastAsia" w:eastAsiaTheme="minorEastAsia" w:cstheme="minorEastAsia"/>
                <w:b w:val="0"/>
                <w:bCs w:val="0"/>
                <w:i w:val="0"/>
                <w:iCs w:val="0"/>
                <w:color w:val="000000"/>
                <w:sz w:val="18"/>
                <w:szCs w:val="18"/>
                <w:u w:val="none"/>
              </w:rPr>
            </w:pPr>
          </w:p>
        </w:tc>
      </w:tr>
      <w:tr w14:paraId="7F692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32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900 万卡口抓拍单元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E8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B7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组</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8F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 包含高清一体化嵌入式摄像机、高清镜头、室外防护罩、</w:t>
            </w:r>
            <w:r>
              <w:rPr>
                <w:rStyle w:val="138"/>
                <w:rFonts w:hint="eastAsia" w:asciiTheme="minorEastAsia" w:hAnsiTheme="minorEastAsia" w:eastAsiaTheme="minorEastAsia" w:cstheme="minorEastAsia"/>
                <w:b w:val="0"/>
                <w:bCs w:val="0"/>
                <w:sz w:val="18"/>
                <w:szCs w:val="18"/>
                <w:lang w:val="en-US" w:eastAsia="zh-CN" w:bidi="ar"/>
              </w:rPr>
              <w:t>LED</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补光灯、风扇、电源适配器等；摄像机具有</w:t>
            </w:r>
            <w:r>
              <w:rPr>
                <w:rStyle w:val="138"/>
                <w:rFonts w:hint="eastAsia" w:asciiTheme="minorEastAsia" w:hAnsiTheme="minorEastAsia" w:eastAsiaTheme="minorEastAsia" w:cstheme="minorEastAsia"/>
                <w:b w:val="0"/>
                <w:bCs w:val="0"/>
                <w:sz w:val="18"/>
                <w:szCs w:val="18"/>
                <w:lang w:val="en-US" w:eastAsia="zh-CN" w:bidi="ar"/>
              </w:rPr>
              <w:t>≥2</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个</w:t>
            </w:r>
            <w:r>
              <w:rPr>
                <w:rStyle w:val="138"/>
                <w:rFonts w:hint="eastAsia" w:asciiTheme="minorEastAsia" w:hAnsiTheme="minorEastAsia" w:eastAsiaTheme="minorEastAsia" w:cstheme="minorEastAsia"/>
                <w:b w:val="0"/>
                <w:bCs w:val="0"/>
                <w:sz w:val="18"/>
                <w:szCs w:val="18"/>
                <w:lang w:val="en-US" w:eastAsia="zh-CN" w:bidi="ar"/>
              </w:rPr>
              <w:t>1</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英寸</w:t>
            </w:r>
            <w:r>
              <w:rPr>
                <w:rStyle w:val="138"/>
                <w:rFonts w:hint="eastAsia" w:asciiTheme="minorEastAsia" w:hAnsiTheme="minorEastAsia" w:eastAsiaTheme="minorEastAsia" w:cstheme="minorEastAsia"/>
                <w:b w:val="0"/>
                <w:bCs w:val="0"/>
                <w:sz w:val="18"/>
                <w:szCs w:val="18"/>
                <w:lang w:val="en-US" w:eastAsia="zh-CN" w:bidi="ar"/>
              </w:rPr>
              <w:t>CCD</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或全局曝光</w:t>
            </w:r>
            <w:r>
              <w:rPr>
                <w:rStyle w:val="138"/>
                <w:rFonts w:hint="eastAsia" w:asciiTheme="minorEastAsia" w:hAnsiTheme="minorEastAsia" w:eastAsiaTheme="minorEastAsia" w:cstheme="minorEastAsia"/>
                <w:b w:val="0"/>
                <w:bCs w:val="0"/>
                <w:sz w:val="18"/>
                <w:szCs w:val="18"/>
                <w:lang w:val="en-US" w:eastAsia="zh-CN" w:bidi="ar"/>
              </w:rPr>
              <w:t>CMOS</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传感器，支持</w:t>
            </w:r>
            <w:r>
              <w:rPr>
                <w:rStyle w:val="138"/>
                <w:rFonts w:hint="eastAsia" w:asciiTheme="minorEastAsia" w:hAnsiTheme="minorEastAsia" w:eastAsiaTheme="minorEastAsia" w:cstheme="minorEastAsia"/>
                <w:b w:val="0"/>
                <w:bCs w:val="0"/>
                <w:sz w:val="18"/>
                <w:szCs w:val="18"/>
                <w:lang w:val="en-US" w:eastAsia="zh-CN" w:bidi="ar"/>
              </w:rPr>
              <w:t>≥4096×2160@25fps</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（不含</w:t>
            </w:r>
            <w:r>
              <w:rPr>
                <w:rStyle w:val="138"/>
                <w:rFonts w:hint="eastAsia" w:asciiTheme="minorEastAsia" w:hAnsiTheme="minorEastAsia" w:eastAsiaTheme="minorEastAsia" w:cstheme="minorEastAsia"/>
                <w:b w:val="0"/>
                <w:bCs w:val="0"/>
                <w:sz w:val="18"/>
                <w:szCs w:val="18"/>
                <w:lang w:val="en-US" w:eastAsia="zh-CN" w:bidi="ar"/>
              </w:rPr>
              <w:t>OSD</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叠加）视频图像输出，视频压缩支持</w:t>
            </w:r>
            <w:r>
              <w:rPr>
                <w:rStyle w:val="138"/>
                <w:rFonts w:hint="eastAsia" w:asciiTheme="minorEastAsia" w:hAnsiTheme="minorEastAsia" w:eastAsiaTheme="minorEastAsia" w:cstheme="minorEastAsia"/>
                <w:b w:val="0"/>
                <w:bCs w:val="0"/>
                <w:sz w:val="18"/>
                <w:szCs w:val="18"/>
                <w:lang w:val="en-US" w:eastAsia="zh-CN" w:bidi="ar"/>
              </w:rPr>
              <w:t>H.265</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w:t>
            </w:r>
            <w:r>
              <w:rPr>
                <w:rStyle w:val="138"/>
                <w:rFonts w:hint="eastAsia" w:asciiTheme="minorEastAsia" w:hAnsiTheme="minorEastAsia" w:eastAsiaTheme="minorEastAsia" w:cstheme="minorEastAsia"/>
                <w:b w:val="0"/>
                <w:bCs w:val="0"/>
                <w:sz w:val="18"/>
                <w:szCs w:val="18"/>
                <w:lang w:val="en-US" w:eastAsia="zh-CN" w:bidi="ar"/>
              </w:rPr>
              <w:t>H.264</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w:t>
            </w:r>
            <w:r>
              <w:rPr>
                <w:rStyle w:val="138"/>
                <w:rFonts w:hint="eastAsia" w:asciiTheme="minorEastAsia" w:hAnsiTheme="minorEastAsia" w:eastAsiaTheme="minorEastAsia" w:cstheme="minorEastAsia"/>
                <w:b w:val="0"/>
                <w:bCs w:val="0"/>
                <w:sz w:val="18"/>
                <w:szCs w:val="18"/>
                <w:lang w:val="en-US" w:eastAsia="zh-CN" w:bidi="ar"/>
              </w:rPr>
              <w:t>M-JPEG</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w:t>
            </w:r>
            <w:r>
              <w:rPr>
                <w:rStyle w:val="138"/>
                <w:rFonts w:hint="eastAsia" w:asciiTheme="minorEastAsia" w:hAnsiTheme="minorEastAsia" w:eastAsiaTheme="minorEastAsia" w:cstheme="minorEastAsia"/>
                <w:b w:val="0"/>
                <w:bCs w:val="0"/>
                <w:sz w:val="18"/>
                <w:szCs w:val="18"/>
                <w:lang w:val="en-US" w:eastAsia="zh-CN" w:bidi="ar"/>
              </w:rPr>
              <w:br w:type="textWrapping"/>
            </w:r>
            <w:r>
              <w:rPr>
                <w:rStyle w:val="138"/>
                <w:rFonts w:hint="eastAsia" w:asciiTheme="minorEastAsia" w:hAnsiTheme="minorEastAsia" w:eastAsiaTheme="minorEastAsia" w:cstheme="minorEastAsia"/>
                <w:b w:val="0"/>
                <w:bCs w:val="0"/>
                <w:sz w:val="18"/>
                <w:szCs w:val="18"/>
                <w:lang w:val="en-US" w:eastAsia="zh-CN" w:bidi="ar"/>
              </w:rPr>
              <w:t xml:space="preserve">2. </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车辆捕获率应</w:t>
            </w:r>
            <w:r>
              <w:rPr>
                <w:rStyle w:val="138"/>
                <w:rFonts w:hint="eastAsia" w:asciiTheme="minorEastAsia" w:hAnsiTheme="minorEastAsia" w:eastAsiaTheme="minorEastAsia" w:cstheme="minorEastAsia"/>
                <w:b w:val="0"/>
                <w:bCs w:val="0"/>
                <w:sz w:val="18"/>
                <w:szCs w:val="18"/>
                <w:lang w:val="en-US" w:eastAsia="zh-CN" w:bidi="ar"/>
              </w:rPr>
              <w:t>≥99%</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，车牌识别准确率应</w:t>
            </w:r>
            <w:r>
              <w:rPr>
                <w:rStyle w:val="138"/>
                <w:rFonts w:hint="eastAsia" w:asciiTheme="minorEastAsia" w:hAnsiTheme="minorEastAsia" w:eastAsiaTheme="minorEastAsia" w:cstheme="minorEastAsia"/>
                <w:b w:val="0"/>
                <w:bCs w:val="0"/>
                <w:sz w:val="18"/>
                <w:szCs w:val="18"/>
                <w:lang w:val="en-US" w:eastAsia="zh-CN" w:bidi="ar"/>
              </w:rPr>
              <w:t>≥ 95%</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；支持补光灯、雷达、线圈检测器接入，支持机动车、非机动车和行人的抓拍和分析；支持车型、车身颜色、车标、车辆子品牌等车辆特征识别，支持压线、逆行、违法变道等违法检测功能。</w:t>
            </w:r>
            <w:r>
              <w:rPr>
                <w:rStyle w:val="138"/>
                <w:rFonts w:hint="eastAsia" w:asciiTheme="minorEastAsia" w:hAnsiTheme="minorEastAsia" w:eastAsiaTheme="minorEastAsia" w:cstheme="minorEastAsia"/>
                <w:b w:val="0"/>
                <w:bCs w:val="0"/>
                <w:sz w:val="18"/>
                <w:szCs w:val="18"/>
                <w:lang w:val="en-US" w:eastAsia="zh-CN" w:bidi="ar"/>
              </w:rPr>
              <w:br w:type="textWrapping"/>
            </w:r>
            <w:r>
              <w:rPr>
                <w:rStyle w:val="138"/>
                <w:rFonts w:hint="eastAsia" w:asciiTheme="minorEastAsia" w:hAnsiTheme="minorEastAsia" w:eastAsiaTheme="minorEastAsia" w:cstheme="minorEastAsia"/>
                <w:b w:val="0"/>
                <w:bCs w:val="0"/>
                <w:sz w:val="18"/>
                <w:szCs w:val="18"/>
                <w:lang w:val="en-US" w:eastAsia="zh-CN" w:bidi="ar"/>
              </w:rPr>
              <w:t xml:space="preserve">3. </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不少于两个传感器（</w:t>
            </w:r>
            <w:r>
              <w:rPr>
                <w:rStyle w:val="138"/>
                <w:rFonts w:hint="eastAsia" w:asciiTheme="minorEastAsia" w:hAnsiTheme="minorEastAsia" w:eastAsiaTheme="minorEastAsia" w:cstheme="minorEastAsia"/>
                <w:b w:val="0"/>
                <w:bCs w:val="0"/>
                <w:sz w:val="18"/>
                <w:szCs w:val="18"/>
                <w:lang w:val="en-US" w:eastAsia="zh-CN" w:bidi="ar"/>
              </w:rPr>
              <w:t>sensor</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设计，具有独立分光棱镜分光结构装置，分别接收可见光和红外光，抓拍支持输出三张同时刻目标图片，包括可见光路图片（全彩），红外路图片（黑白）和融合图片（全彩），三张图片抓拍时间为同一时刻，抓拍运动目标，三张图片中目标位置相同无位移。（需提供公安部所属检验机构出具的检测报告复印件）</w:t>
            </w:r>
            <w:r>
              <w:rPr>
                <w:rStyle w:val="138"/>
                <w:rFonts w:hint="eastAsia" w:asciiTheme="minorEastAsia" w:hAnsiTheme="minorEastAsia" w:eastAsiaTheme="minorEastAsia" w:cstheme="minorEastAsia"/>
                <w:b w:val="0"/>
                <w:bCs w:val="0"/>
                <w:sz w:val="18"/>
                <w:szCs w:val="18"/>
                <w:lang w:val="en-US" w:eastAsia="zh-CN" w:bidi="ar"/>
              </w:rPr>
              <w:br w:type="textWrapping"/>
            </w:r>
            <w:r>
              <w:rPr>
                <w:rStyle w:val="138"/>
                <w:rFonts w:hint="eastAsia" w:asciiTheme="minorEastAsia" w:hAnsiTheme="minorEastAsia" w:eastAsiaTheme="minorEastAsia" w:cstheme="minorEastAsia"/>
                <w:b w:val="0"/>
                <w:bCs w:val="0"/>
                <w:sz w:val="18"/>
                <w:szCs w:val="18"/>
                <w:lang w:val="en-US" w:eastAsia="zh-CN" w:bidi="ar"/>
              </w:rPr>
              <w:t xml:space="preserve">4. </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支持同时预览两路</w:t>
            </w:r>
            <w:r>
              <w:rPr>
                <w:rStyle w:val="138"/>
                <w:rFonts w:hint="eastAsia" w:asciiTheme="minorEastAsia" w:hAnsiTheme="minorEastAsia" w:eastAsiaTheme="minorEastAsia" w:cstheme="minorEastAsia"/>
                <w:b w:val="0"/>
                <w:bCs w:val="0"/>
                <w:sz w:val="18"/>
                <w:szCs w:val="18"/>
                <w:lang w:val="en-US" w:eastAsia="zh-CN" w:bidi="ar"/>
              </w:rPr>
              <w:t>sensor</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视频，设备场景中放置红外</w:t>
            </w:r>
            <w:r>
              <w:rPr>
                <w:rStyle w:val="138"/>
                <w:rFonts w:hint="eastAsia" w:asciiTheme="minorEastAsia" w:hAnsiTheme="minorEastAsia" w:eastAsiaTheme="minorEastAsia" w:cstheme="minorEastAsia"/>
                <w:b w:val="0"/>
                <w:bCs w:val="0"/>
                <w:sz w:val="18"/>
                <w:szCs w:val="18"/>
                <w:lang w:val="en-US" w:eastAsia="zh-CN" w:bidi="ar"/>
              </w:rPr>
              <w:t>LED</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常亮灯，朝向摄像机镜头，可见光路视频图像中补光灯灯珠完全无光，同时红外路视频图像补光灯可清晰看到灯珠亮光。</w:t>
            </w:r>
            <w:r>
              <w:rPr>
                <w:rStyle w:val="138"/>
                <w:rFonts w:hint="eastAsia" w:asciiTheme="minorEastAsia" w:hAnsiTheme="minorEastAsia" w:eastAsiaTheme="minorEastAsia" w:cstheme="minorEastAsia"/>
                <w:b w:val="0"/>
                <w:bCs w:val="0"/>
                <w:sz w:val="18"/>
                <w:szCs w:val="18"/>
                <w:lang w:val="en-US" w:eastAsia="zh-CN" w:bidi="ar"/>
              </w:rPr>
              <w:br w:type="textWrapping"/>
            </w:r>
            <w:r>
              <w:rPr>
                <w:rStyle w:val="138"/>
                <w:rFonts w:hint="eastAsia" w:asciiTheme="minorEastAsia" w:hAnsiTheme="minorEastAsia" w:eastAsiaTheme="minorEastAsia" w:cstheme="minorEastAsia"/>
                <w:b w:val="0"/>
                <w:bCs w:val="0"/>
                <w:sz w:val="18"/>
                <w:szCs w:val="18"/>
                <w:lang w:val="en-US" w:eastAsia="zh-CN" w:bidi="ar"/>
              </w:rPr>
              <w:t xml:space="preserve">5. </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支持车辆抓拍，支持抓拍输出车牌局部照片、车窗局部照片、非机动车局部照片、场景全景图片。（需提供公安部所属检验机构出具的检测报告复印件）</w:t>
            </w:r>
            <w:r>
              <w:rPr>
                <w:rStyle w:val="138"/>
                <w:rFonts w:hint="eastAsia" w:asciiTheme="minorEastAsia" w:hAnsiTheme="minorEastAsia" w:eastAsiaTheme="minorEastAsia" w:cstheme="minorEastAsia"/>
                <w:b w:val="0"/>
                <w:bCs w:val="0"/>
                <w:sz w:val="18"/>
                <w:szCs w:val="18"/>
                <w:lang w:val="en-US" w:eastAsia="zh-CN" w:bidi="ar"/>
              </w:rPr>
              <w:br w:type="textWrapping"/>
            </w:r>
            <w:r>
              <w:rPr>
                <w:rStyle w:val="138"/>
                <w:rFonts w:hint="eastAsia" w:asciiTheme="minorEastAsia" w:hAnsiTheme="minorEastAsia" w:eastAsiaTheme="minorEastAsia" w:cstheme="minorEastAsia"/>
                <w:b w:val="0"/>
                <w:bCs w:val="0"/>
                <w:sz w:val="18"/>
                <w:szCs w:val="18"/>
                <w:lang w:val="en-US" w:eastAsia="zh-CN" w:bidi="ar"/>
              </w:rPr>
              <w:t xml:space="preserve">6. </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支持识别不少于</w:t>
            </w:r>
            <w:r>
              <w:rPr>
                <w:rStyle w:val="138"/>
                <w:rFonts w:hint="eastAsia" w:asciiTheme="minorEastAsia" w:hAnsiTheme="minorEastAsia" w:eastAsiaTheme="minorEastAsia" w:cstheme="minorEastAsia"/>
                <w:b w:val="0"/>
                <w:bCs w:val="0"/>
                <w:sz w:val="18"/>
                <w:szCs w:val="18"/>
                <w:lang w:val="en-US" w:eastAsia="zh-CN" w:bidi="ar"/>
              </w:rPr>
              <w:t xml:space="preserve"> 39 </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种车身颜色，包括白、黑、红、黄、灰、蓝、绿、粉、紫、暗紫、棕、栗色、银灰、暗灰、白烟、深橙、浅玫瑰、番茄红、橄榄、金、暗橄榄、黄绿、绿黄、森林绿、海洋绿、深天蓝、青、深蓝、深红、深绿、深黄、深粉、深紫、深棕、深青、橙、深金、粉红、其他，</w:t>
            </w:r>
            <w:r>
              <w:rPr>
                <w:rStyle w:val="138"/>
                <w:rFonts w:hint="eastAsia" w:asciiTheme="minorEastAsia" w:hAnsiTheme="minorEastAsia" w:eastAsiaTheme="minorEastAsia" w:cstheme="minorEastAsia"/>
                <w:b w:val="0"/>
                <w:bCs w:val="0"/>
                <w:sz w:val="18"/>
                <w:szCs w:val="18"/>
                <w:lang w:val="en-US" w:eastAsia="zh-CN" w:bidi="ar"/>
              </w:rPr>
              <w:t xml:space="preserve"> </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支持识别车身副颜色。（需提供公安部所属检验机构出具的检测报告复印件）</w:t>
            </w:r>
            <w:r>
              <w:rPr>
                <w:rStyle w:val="138"/>
                <w:rFonts w:hint="eastAsia" w:asciiTheme="minorEastAsia" w:hAnsiTheme="minorEastAsia" w:eastAsiaTheme="minorEastAsia" w:cstheme="minorEastAsia"/>
                <w:b w:val="0"/>
                <w:bCs w:val="0"/>
                <w:sz w:val="18"/>
                <w:szCs w:val="18"/>
                <w:lang w:val="en-US" w:eastAsia="zh-CN" w:bidi="ar"/>
              </w:rPr>
              <w:br w:type="textWrapping"/>
            </w:r>
            <w:r>
              <w:rPr>
                <w:rStyle w:val="138"/>
                <w:rFonts w:hint="eastAsia" w:asciiTheme="minorEastAsia" w:hAnsiTheme="minorEastAsia" w:eastAsiaTheme="minorEastAsia" w:cstheme="minorEastAsia"/>
                <w:b w:val="0"/>
                <w:bCs w:val="0"/>
                <w:sz w:val="18"/>
                <w:szCs w:val="18"/>
                <w:lang w:val="en-US" w:eastAsia="zh-CN" w:bidi="ar"/>
              </w:rPr>
              <w:t xml:space="preserve">7. </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支持设置车辆抓拍位置到立杆的架设距离、设备架设高度，并在视频图像中显示位置信息。（需提供公安部所属检验机构出具的检测报告复印件）</w:t>
            </w:r>
            <w:r>
              <w:rPr>
                <w:rStyle w:val="138"/>
                <w:rFonts w:hint="eastAsia" w:asciiTheme="minorEastAsia" w:hAnsiTheme="minorEastAsia" w:eastAsiaTheme="minorEastAsia" w:cstheme="minorEastAsia"/>
                <w:b w:val="0"/>
                <w:bCs w:val="0"/>
                <w:sz w:val="18"/>
                <w:szCs w:val="18"/>
                <w:lang w:val="en-US" w:eastAsia="zh-CN" w:bidi="ar"/>
              </w:rPr>
              <w:br w:type="textWrapping"/>
            </w:r>
            <w:r>
              <w:rPr>
                <w:rStyle w:val="138"/>
                <w:rFonts w:hint="eastAsia" w:asciiTheme="minorEastAsia" w:hAnsiTheme="minorEastAsia" w:eastAsiaTheme="minorEastAsia" w:cstheme="minorEastAsia"/>
                <w:b w:val="0"/>
                <w:bCs w:val="0"/>
                <w:sz w:val="18"/>
                <w:szCs w:val="18"/>
                <w:lang w:val="en-US" w:eastAsia="zh-CN" w:bidi="ar"/>
              </w:rPr>
              <w:t xml:space="preserve">8. </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在满足</w:t>
            </w:r>
            <w:r>
              <w:rPr>
                <w:rStyle w:val="138"/>
                <w:rFonts w:hint="eastAsia" w:asciiTheme="minorEastAsia" w:hAnsiTheme="minorEastAsia" w:eastAsiaTheme="minorEastAsia" w:cstheme="minorEastAsia"/>
                <w:b w:val="0"/>
                <w:bCs w:val="0"/>
                <w:sz w:val="18"/>
                <w:szCs w:val="18"/>
                <w:lang w:val="en-US" w:eastAsia="zh-CN" w:bidi="ar"/>
              </w:rPr>
              <w:t>GA/T 1202-2022</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一级补光标准，补光</w:t>
            </w:r>
            <w:r>
              <w:rPr>
                <w:rStyle w:val="138"/>
                <w:rFonts w:hint="eastAsia" w:asciiTheme="minorEastAsia" w:hAnsiTheme="minorEastAsia" w:eastAsiaTheme="minorEastAsia" w:cstheme="minorEastAsia"/>
                <w:b w:val="0"/>
                <w:bCs w:val="0"/>
                <w:sz w:val="18"/>
                <w:szCs w:val="18"/>
                <w:lang w:val="en-US" w:eastAsia="zh-CN" w:bidi="ar"/>
              </w:rPr>
              <w:t xml:space="preserve">≤20lx </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的前提下，抓拍图片满足</w:t>
            </w:r>
            <w:r>
              <w:rPr>
                <w:rStyle w:val="138"/>
                <w:rFonts w:hint="eastAsia" w:asciiTheme="minorEastAsia" w:hAnsiTheme="minorEastAsia" w:eastAsiaTheme="minorEastAsia" w:cstheme="minorEastAsia"/>
                <w:b w:val="0"/>
                <w:bCs w:val="0"/>
                <w:sz w:val="18"/>
                <w:szCs w:val="18"/>
                <w:lang w:val="en-US" w:eastAsia="zh-CN" w:bidi="ar"/>
              </w:rPr>
              <w:t xml:space="preserve"> GA/T 832-2014</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标准中</w:t>
            </w:r>
            <w:r>
              <w:rPr>
                <w:rStyle w:val="138"/>
                <w:rFonts w:hint="eastAsia" w:asciiTheme="minorEastAsia" w:hAnsiTheme="minorEastAsia" w:eastAsiaTheme="minorEastAsia" w:cstheme="minorEastAsia"/>
                <w:b w:val="0"/>
                <w:bCs w:val="0"/>
                <w:sz w:val="18"/>
                <w:szCs w:val="18"/>
                <w:lang w:val="en-US" w:eastAsia="zh-CN" w:bidi="ar"/>
              </w:rPr>
              <w:t>3.6.1</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要求，</w:t>
            </w:r>
            <w:r>
              <w:rPr>
                <w:rStyle w:val="138"/>
                <w:rFonts w:hint="eastAsia" w:asciiTheme="minorEastAsia" w:hAnsiTheme="minorEastAsia" w:eastAsiaTheme="minorEastAsia" w:cstheme="minorEastAsia"/>
                <w:b w:val="0"/>
                <w:bCs w:val="0"/>
                <w:sz w:val="18"/>
                <w:szCs w:val="18"/>
                <w:lang w:val="en-US" w:eastAsia="zh-CN" w:bidi="ar"/>
              </w:rPr>
              <w:t xml:space="preserve"> </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配套符合</w:t>
            </w:r>
            <w:r>
              <w:rPr>
                <w:rStyle w:val="138"/>
                <w:rFonts w:hint="eastAsia" w:asciiTheme="minorEastAsia" w:hAnsiTheme="minorEastAsia" w:eastAsiaTheme="minorEastAsia" w:cstheme="minorEastAsia"/>
                <w:b w:val="0"/>
                <w:bCs w:val="0"/>
                <w:sz w:val="18"/>
                <w:szCs w:val="18"/>
                <w:lang w:val="en-US" w:eastAsia="zh-CN" w:bidi="ar"/>
              </w:rPr>
              <w:t>GA/T 1202-2022</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标准的一级补光灯，设备抓拍车牌、车身颜色、车内前排人脸及衣着均清晰可见。（需提供公安部所属检验机构出具的检测报告复印件）</w:t>
            </w:r>
            <w:r>
              <w:rPr>
                <w:rStyle w:val="138"/>
                <w:rFonts w:hint="eastAsia" w:asciiTheme="minorEastAsia" w:hAnsiTheme="minorEastAsia" w:eastAsiaTheme="minorEastAsia" w:cstheme="minorEastAsia"/>
                <w:b w:val="0"/>
                <w:bCs w:val="0"/>
                <w:sz w:val="18"/>
                <w:szCs w:val="18"/>
                <w:lang w:val="en-US" w:eastAsia="zh-CN" w:bidi="ar"/>
              </w:rPr>
              <w:br w:type="textWrapping"/>
            </w:r>
            <w:r>
              <w:rPr>
                <w:rStyle w:val="138"/>
                <w:rFonts w:hint="eastAsia" w:asciiTheme="minorEastAsia" w:hAnsiTheme="minorEastAsia" w:eastAsiaTheme="minorEastAsia" w:cstheme="minorEastAsia"/>
                <w:b w:val="0"/>
                <w:bCs w:val="0"/>
                <w:sz w:val="18"/>
                <w:szCs w:val="18"/>
                <w:lang w:val="en-US" w:eastAsia="zh-CN" w:bidi="ar"/>
              </w:rPr>
              <w:t xml:space="preserve">9. </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支持对</w:t>
            </w:r>
            <w:r>
              <w:rPr>
                <w:rStyle w:val="138"/>
                <w:rFonts w:hint="eastAsia" w:asciiTheme="minorEastAsia" w:hAnsiTheme="minorEastAsia" w:eastAsiaTheme="minorEastAsia" w:cstheme="minorEastAsia"/>
                <w:b w:val="0"/>
                <w:bCs w:val="0"/>
                <w:sz w:val="18"/>
                <w:szCs w:val="18"/>
                <w:lang w:val="en-US" w:eastAsia="zh-CN" w:bidi="ar"/>
              </w:rPr>
              <w:t xml:space="preserve">25×10 </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像素～</w:t>
            </w:r>
            <w:r>
              <w:rPr>
                <w:rStyle w:val="138"/>
                <w:rFonts w:hint="eastAsia" w:asciiTheme="minorEastAsia" w:hAnsiTheme="minorEastAsia" w:eastAsiaTheme="minorEastAsia" w:cstheme="minorEastAsia"/>
                <w:b w:val="0"/>
                <w:bCs w:val="0"/>
                <w:sz w:val="18"/>
                <w:szCs w:val="18"/>
                <w:lang w:val="en-US" w:eastAsia="zh-CN" w:bidi="ar"/>
              </w:rPr>
              <w:t xml:space="preserve">1100×3000 </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像素的机动车车牌进行抓拍并识别，支持识别并抓拍垂直倾斜角度</w:t>
            </w:r>
            <w:r>
              <w:rPr>
                <w:rStyle w:val="138"/>
                <w:rFonts w:hint="eastAsia" w:asciiTheme="minorEastAsia" w:hAnsiTheme="minorEastAsia" w:eastAsiaTheme="minorEastAsia" w:cstheme="minorEastAsia"/>
                <w:b w:val="0"/>
                <w:bCs w:val="0"/>
                <w:sz w:val="18"/>
                <w:szCs w:val="18"/>
                <w:lang w:val="en-US" w:eastAsia="zh-CN" w:bidi="ar"/>
              </w:rPr>
              <w:t>≤55°</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、水平倾斜角度</w:t>
            </w:r>
            <w:r>
              <w:rPr>
                <w:rStyle w:val="138"/>
                <w:rFonts w:hint="eastAsia" w:asciiTheme="minorEastAsia" w:hAnsiTheme="minorEastAsia" w:eastAsiaTheme="minorEastAsia" w:cstheme="minorEastAsia"/>
                <w:b w:val="0"/>
                <w:bCs w:val="0"/>
                <w:sz w:val="18"/>
                <w:szCs w:val="18"/>
                <w:lang w:val="en-US" w:eastAsia="zh-CN" w:bidi="ar"/>
              </w:rPr>
              <w:t>≤35°</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、俯仰角度</w:t>
            </w:r>
            <w:r>
              <w:rPr>
                <w:rStyle w:val="138"/>
                <w:rFonts w:hint="eastAsia" w:asciiTheme="minorEastAsia" w:hAnsiTheme="minorEastAsia" w:eastAsiaTheme="minorEastAsia" w:cstheme="minorEastAsia"/>
                <w:b w:val="0"/>
                <w:bCs w:val="0"/>
                <w:sz w:val="18"/>
                <w:szCs w:val="18"/>
                <w:lang w:val="en-US" w:eastAsia="zh-CN" w:bidi="ar"/>
              </w:rPr>
              <w:t>≤40°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的机动车车牌。（需提供公安部所属检验机构出具的检测报告复印件）</w:t>
            </w:r>
            <w:r>
              <w:rPr>
                <w:rStyle w:val="138"/>
                <w:rFonts w:hint="eastAsia" w:asciiTheme="minorEastAsia" w:hAnsiTheme="minorEastAsia" w:eastAsiaTheme="minorEastAsia" w:cstheme="minorEastAsia"/>
                <w:b w:val="0"/>
                <w:bCs w:val="0"/>
                <w:sz w:val="18"/>
                <w:szCs w:val="18"/>
                <w:lang w:val="en-US" w:eastAsia="zh-CN" w:bidi="ar"/>
              </w:rPr>
              <w:br w:type="textWrapping"/>
            </w:r>
            <w:r>
              <w:rPr>
                <w:rStyle w:val="138"/>
                <w:rFonts w:hint="eastAsia" w:asciiTheme="minorEastAsia" w:hAnsiTheme="minorEastAsia" w:eastAsiaTheme="minorEastAsia" w:cstheme="minorEastAsia"/>
                <w:b w:val="0"/>
                <w:bCs w:val="0"/>
                <w:sz w:val="18"/>
                <w:szCs w:val="18"/>
                <w:lang w:val="en-US" w:eastAsia="zh-CN" w:bidi="ar"/>
              </w:rPr>
              <w:t xml:space="preserve">10. </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支持分别对</w:t>
            </w:r>
            <w:r>
              <w:rPr>
                <w:rStyle w:val="138"/>
                <w:rFonts w:hint="eastAsia" w:asciiTheme="minorEastAsia" w:hAnsiTheme="minorEastAsia" w:eastAsiaTheme="minorEastAsia" w:cstheme="minorEastAsia"/>
                <w:b w:val="0"/>
                <w:bCs w:val="0"/>
                <w:sz w:val="18"/>
                <w:szCs w:val="18"/>
                <w:lang w:val="en-US" w:eastAsia="zh-CN" w:bidi="ar"/>
              </w:rPr>
              <w:t>11</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种车型（大货车、中货车、小货车、客车、小轿车、中客车、危险品运输车、校车、面包车、环卫车、其他车型）进行不同超速比设置，可设置</w:t>
            </w:r>
            <w:r>
              <w:rPr>
                <w:rStyle w:val="138"/>
                <w:rFonts w:hint="eastAsia" w:asciiTheme="minorEastAsia" w:hAnsiTheme="minorEastAsia" w:eastAsiaTheme="minorEastAsia" w:cstheme="minorEastAsia"/>
                <w:b w:val="0"/>
                <w:bCs w:val="0"/>
                <w:sz w:val="18"/>
                <w:szCs w:val="18"/>
                <w:lang w:val="en-US" w:eastAsia="zh-CN" w:bidi="ar"/>
              </w:rPr>
              <w:t>18</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个超速比区间；在相同道路上，设备支持根据不同的超速比设置对不同车型进行超速抓拍，并输出不同的超速抓拍结果及违法代码。（需提供公安部所属检验机构出具的检测报告复印件）</w:t>
            </w:r>
            <w:r>
              <w:rPr>
                <w:rStyle w:val="138"/>
                <w:rFonts w:hint="eastAsia" w:asciiTheme="minorEastAsia" w:hAnsiTheme="minorEastAsia" w:eastAsiaTheme="minorEastAsia" w:cstheme="minorEastAsia"/>
                <w:b w:val="0"/>
                <w:bCs w:val="0"/>
                <w:sz w:val="18"/>
                <w:szCs w:val="18"/>
                <w:lang w:val="en-US" w:eastAsia="zh-CN" w:bidi="ar"/>
              </w:rPr>
              <w:br w:type="textWrapping"/>
            </w:r>
            <w:r>
              <w:rPr>
                <w:rStyle w:val="138"/>
                <w:rFonts w:hint="eastAsia" w:asciiTheme="minorEastAsia" w:hAnsiTheme="minorEastAsia" w:eastAsiaTheme="minorEastAsia" w:cstheme="minorEastAsia"/>
                <w:b w:val="0"/>
                <w:bCs w:val="0"/>
                <w:sz w:val="18"/>
                <w:szCs w:val="18"/>
                <w:lang w:val="en-US" w:eastAsia="zh-CN" w:bidi="ar"/>
              </w:rPr>
              <w:t xml:space="preserve">11. </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支持检测并跟踪指定区域内不少于</w:t>
            </w:r>
            <w:r>
              <w:rPr>
                <w:rStyle w:val="138"/>
                <w:rFonts w:hint="eastAsia" w:asciiTheme="minorEastAsia" w:hAnsiTheme="minorEastAsia" w:eastAsiaTheme="minorEastAsia" w:cstheme="minorEastAsia"/>
                <w:b w:val="0"/>
                <w:bCs w:val="0"/>
                <w:sz w:val="18"/>
                <w:szCs w:val="18"/>
                <w:lang w:val="en-US" w:eastAsia="zh-CN" w:bidi="ar"/>
              </w:rPr>
              <w:t xml:space="preserve"> 245 </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个目标，目标包括机动车、非机动车以及行人。（需提供公安部所属检验机构出具的检测报告复印件）</w:t>
            </w:r>
            <w:r>
              <w:rPr>
                <w:rStyle w:val="138"/>
                <w:rFonts w:hint="eastAsia" w:asciiTheme="minorEastAsia" w:hAnsiTheme="minorEastAsia" w:eastAsiaTheme="minorEastAsia" w:cstheme="minorEastAsia"/>
                <w:b w:val="0"/>
                <w:bCs w:val="0"/>
                <w:sz w:val="18"/>
                <w:szCs w:val="18"/>
                <w:lang w:val="en-US" w:eastAsia="zh-CN" w:bidi="ar"/>
              </w:rPr>
              <w:br w:type="textWrapping"/>
            </w:r>
            <w:r>
              <w:rPr>
                <w:rStyle w:val="138"/>
                <w:rFonts w:hint="eastAsia" w:asciiTheme="minorEastAsia" w:hAnsiTheme="minorEastAsia" w:eastAsiaTheme="minorEastAsia" w:cstheme="minorEastAsia"/>
                <w:b w:val="0"/>
                <w:bCs w:val="0"/>
                <w:sz w:val="18"/>
                <w:szCs w:val="18"/>
                <w:lang w:val="en-US" w:eastAsia="zh-CN" w:bidi="ar"/>
              </w:rPr>
              <w:t>12. ≥2</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个</w:t>
            </w:r>
            <w:r>
              <w:rPr>
                <w:rStyle w:val="138"/>
                <w:rFonts w:hint="eastAsia" w:asciiTheme="minorEastAsia" w:hAnsiTheme="minorEastAsia" w:eastAsiaTheme="minorEastAsia" w:cstheme="minorEastAsia"/>
                <w:b w:val="0"/>
                <w:bCs w:val="0"/>
                <w:sz w:val="18"/>
                <w:szCs w:val="18"/>
                <w:lang w:val="en-US" w:eastAsia="zh-CN" w:bidi="ar"/>
              </w:rPr>
              <w:t>RJ45 100M/1000M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自适应网口，</w:t>
            </w:r>
            <w:r>
              <w:rPr>
                <w:rStyle w:val="138"/>
                <w:rFonts w:hint="eastAsia" w:asciiTheme="minorEastAsia" w:hAnsiTheme="minorEastAsia" w:eastAsiaTheme="minorEastAsia" w:cstheme="minorEastAsia"/>
                <w:b w:val="0"/>
                <w:bCs w:val="0"/>
                <w:sz w:val="18"/>
                <w:szCs w:val="18"/>
                <w:lang w:val="en-US" w:eastAsia="zh-CN" w:bidi="ar"/>
              </w:rPr>
              <w:t>≥3</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个</w:t>
            </w:r>
            <w:r>
              <w:rPr>
                <w:rStyle w:val="138"/>
                <w:rFonts w:hint="eastAsia" w:asciiTheme="minorEastAsia" w:hAnsiTheme="minorEastAsia" w:eastAsiaTheme="minorEastAsia" w:cstheme="minorEastAsia"/>
                <w:b w:val="0"/>
                <w:bCs w:val="0"/>
                <w:sz w:val="18"/>
                <w:szCs w:val="18"/>
                <w:lang w:val="en-US" w:eastAsia="zh-CN" w:bidi="ar"/>
              </w:rPr>
              <w:t>RS485</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接口，</w:t>
            </w:r>
            <w:r>
              <w:rPr>
                <w:rStyle w:val="138"/>
                <w:rFonts w:hint="eastAsia" w:asciiTheme="minorEastAsia" w:hAnsiTheme="minorEastAsia" w:eastAsiaTheme="minorEastAsia" w:cstheme="minorEastAsia"/>
                <w:b w:val="0"/>
                <w:bCs w:val="0"/>
                <w:sz w:val="18"/>
                <w:szCs w:val="18"/>
                <w:lang w:val="en-US" w:eastAsia="zh-CN" w:bidi="ar"/>
              </w:rPr>
              <w:t>≥5</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路补光灯控制接口，</w:t>
            </w:r>
            <w:r>
              <w:rPr>
                <w:rStyle w:val="138"/>
                <w:rFonts w:hint="eastAsia" w:asciiTheme="minorEastAsia" w:hAnsiTheme="minorEastAsia" w:eastAsiaTheme="minorEastAsia" w:cstheme="minorEastAsia"/>
                <w:b w:val="0"/>
                <w:bCs w:val="0"/>
                <w:sz w:val="18"/>
                <w:szCs w:val="18"/>
                <w:lang w:val="en-US" w:eastAsia="zh-CN" w:bidi="ar"/>
              </w:rPr>
              <w:t>≥1</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个存储卡接口，防护等级</w:t>
            </w:r>
            <w:r>
              <w:rPr>
                <w:rStyle w:val="138"/>
                <w:rFonts w:hint="eastAsia" w:asciiTheme="minorEastAsia" w:hAnsiTheme="minorEastAsia" w:eastAsiaTheme="minorEastAsia" w:cstheme="minorEastAsia"/>
                <w:b w:val="0"/>
                <w:bCs w:val="0"/>
                <w:sz w:val="18"/>
                <w:szCs w:val="18"/>
                <w:lang w:val="en-US" w:eastAsia="zh-CN" w:bidi="ar"/>
              </w:rPr>
              <w:t>≥IP66</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426D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E0D0">
            <w:pPr>
              <w:jc w:val="center"/>
              <w:rPr>
                <w:rFonts w:hint="eastAsia" w:asciiTheme="minorEastAsia" w:hAnsiTheme="minorEastAsia" w:eastAsiaTheme="minorEastAsia" w:cstheme="minorEastAsia"/>
                <w:b w:val="0"/>
                <w:bCs w:val="0"/>
                <w:i w:val="0"/>
                <w:iCs w:val="0"/>
                <w:color w:val="000000"/>
                <w:sz w:val="18"/>
                <w:szCs w:val="18"/>
                <w:u w:val="none"/>
              </w:rPr>
            </w:pPr>
          </w:p>
        </w:tc>
      </w:tr>
      <w:tr w14:paraId="141DE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64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900万电警抓拍单元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A1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17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组</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10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 包含高清一体化嵌入式摄像机、高清镜头、室外防护罩、LED补光灯、风扇、电源适配器等；摄像机采用≥1英寸CCD或全局曝光CMOS传感器，支持≥4096×2160@25fps（不含OSD叠加）视频图像输出；视频压缩支持H.265、H.264、M-JPEG；</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 车辆捕获率应≥99%，车牌识别准确率应≥ 95%；支持闯红灯抓拍功能，闯红灯捕获率≥95％，记录有效率≥90％；支持车型、车身颜色、车标、车辆子品牌等车辆特征识别，支持压线、逆行、不按导向行驶、绿灯停车、违法变道等违法检测功能；</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 支持车辆抓拍，支持抓拍输出车牌局部照片、车窗局部照片、非机动车局部照片、场景全景图片。（需提供公安部所属检验机构出具的检测报告复印件）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 支持设置车辆抓拍位置到立杆的架设距离、设备架设高度，并在视频图像中显示位置信息。（需提供公安部所属检验机构出具的检测报告复印件）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 支持对25×10 像素～1100×3000 像素的机动车车牌进行抓拍并识别，支持识别并抓拍垂直倾斜角度≤55°、水平倾斜角度≤35°、俯仰角度≤40°的机动车车牌。（需提供公安部所属检验机构出具的检测报告复印件）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 支持分别对11种车型（大货车、中货车、小货车、客车、小轿车、中客车、危险品运输车、校车、面包车、环卫车、其他车型）进行不同超速比设置，可设置18个超速比区间；在相同道路上，设备支持根据不同的超速比设置对不同车型进行超速抓拍，并输出不同的超速抓拍结果及违法代码。（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 支持检测并跟踪指定区域内不少于 245 个目标，目标包括机动车、非机动车以及行人。（需提供公安部所属检验机构出具的检测报告复印件）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 ≥2个RJ45 100M/1000M自适应网口，≥3个RS485接口，≥1个触发输入、≥5路补光灯控制接口，≥1个存储卡接口，防护等级≥IP66。</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418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3D37">
            <w:pPr>
              <w:jc w:val="center"/>
              <w:rPr>
                <w:rFonts w:hint="eastAsia" w:asciiTheme="minorEastAsia" w:hAnsiTheme="minorEastAsia" w:eastAsiaTheme="minorEastAsia" w:cstheme="minorEastAsia"/>
                <w:b w:val="0"/>
                <w:bCs w:val="0"/>
                <w:i w:val="0"/>
                <w:iCs w:val="0"/>
                <w:color w:val="000000"/>
                <w:sz w:val="18"/>
                <w:szCs w:val="18"/>
                <w:u w:val="none"/>
              </w:rPr>
            </w:pPr>
          </w:p>
        </w:tc>
      </w:tr>
      <w:tr w14:paraId="55146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9E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多合一环保补光灯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D9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8E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组</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34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 符合GA/T 1202-2022《交通技术监控成像补光装置通用技术条件》；（需提供公安部所属检验机构出具的检测报告复印件）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 补光装置光源包括LED光源（一级频闪）、气体放电光源（二级脉冲）和红外光源；</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 采用LED光源和气灯放电两种光源，LED光源呈圆形排布，气体放电光源前置转轴叶片，支持红外和白光补光切换；</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 支持LED频闪、LED爆闪、白光气体爆闪及红外气体爆闪四种补光方式，可通过远程控制切换；</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 眩光阀值增量TI≤1.08%；</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 触发信号异常时，爆闪灯进入自动保护，触发信号输入正常，爆闪灯自动恢复正常</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 ≥1路RS485接口、1路气体脉冲爆闪输入接口，≥1路光源切换接口，≥1路频闪输入接口、≥1路LED爆闪输入接口；</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 可通过RS485进行远程升级；</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 支持记录闪光灯闪光次数；</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 防护等级≥IP66。</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B37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2412">
            <w:pPr>
              <w:jc w:val="center"/>
              <w:rPr>
                <w:rFonts w:hint="eastAsia" w:asciiTheme="minorEastAsia" w:hAnsiTheme="minorEastAsia" w:eastAsiaTheme="minorEastAsia" w:cstheme="minorEastAsia"/>
                <w:b w:val="0"/>
                <w:bCs w:val="0"/>
                <w:i w:val="0"/>
                <w:iCs w:val="0"/>
                <w:color w:val="000000"/>
                <w:sz w:val="18"/>
                <w:szCs w:val="18"/>
                <w:u w:val="none"/>
              </w:rPr>
            </w:pPr>
          </w:p>
        </w:tc>
      </w:tr>
      <w:tr w14:paraId="3B929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CC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LED 频闪灯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D7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64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B9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1.光源类型：≥16颗原装大功率LED；</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2.发光角度≥10°；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3.符合GA/T 1202-2022《交通技术监控成像补光装置通用技术条件》中的一级补光装置要求；（需提供公安部所属检验机构出具的检测报告复印件）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4.覆盖范围：单车道环境补光灯；</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5.最佳补光范围≥16米～25米；</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6.触发方式： 4V~6V电平量触发；</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7.触发信号：频率15~250HZ，占空比1%~39%，响应时间小于20US；</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8.防护等级：≥IP66；</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9.工作电压：AC220V；</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10.额定功率：≤35Wmax。</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22D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884C">
            <w:pPr>
              <w:jc w:val="center"/>
              <w:rPr>
                <w:rFonts w:hint="eastAsia" w:asciiTheme="minorEastAsia" w:hAnsiTheme="minorEastAsia" w:eastAsiaTheme="minorEastAsia" w:cstheme="minorEastAsia"/>
                <w:b w:val="0"/>
                <w:bCs w:val="0"/>
                <w:i w:val="0"/>
                <w:iCs w:val="0"/>
                <w:color w:val="000000"/>
                <w:sz w:val="18"/>
                <w:szCs w:val="18"/>
                <w:u w:val="none"/>
              </w:rPr>
            </w:pPr>
          </w:p>
        </w:tc>
      </w:tr>
      <w:tr w14:paraId="4742C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6D8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红绿灯信号检测器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E5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EE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C3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 红绿灯信号检测器，采用工业级嵌入式微控制器；</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 具有≥6路RS485、≥16路AC220V信号灯输入接口、≥16路信号状态指示灯，≥1路RS485数据收发状态指示灯；（需提供公安部所属检验机构出具的检测报告复印件）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 检测信号灯电压范围AC110V~274V，信号灯输入端口有信号输入时，RS485端口会上传该端口的状态信息；（需提供公安部所属检验机构出具的检测报告复印件）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 工作温度：-30℃～+70℃</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01B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90A3">
            <w:pPr>
              <w:jc w:val="center"/>
              <w:rPr>
                <w:rFonts w:hint="eastAsia" w:asciiTheme="minorEastAsia" w:hAnsiTheme="minorEastAsia" w:eastAsiaTheme="minorEastAsia" w:cstheme="minorEastAsia"/>
                <w:b w:val="0"/>
                <w:bCs w:val="0"/>
                <w:i w:val="0"/>
                <w:iCs w:val="0"/>
                <w:color w:val="000000"/>
                <w:sz w:val="18"/>
                <w:szCs w:val="18"/>
                <w:u w:val="none"/>
              </w:rPr>
            </w:pPr>
          </w:p>
        </w:tc>
      </w:tr>
      <w:tr w14:paraId="077B2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5C2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终端服务器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9E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EC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台</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D0F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 设备采用嵌入式操作系统，全机身散热，内部无风扇，支持车辆卡口、违法、目标、人体以及其他事件结构化图片存储，支持视频预览、录像和回放，支持配置录像计划，录像和图片存储空间可配置。</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 支持≥4块3.5或2.5英寸硬盘接入，兼容≥8TB硬盘，支持硬盘自动切换，当块硬盘损坏后，能自动切换至其它硬盘进行存储，内置≥8T监控级硬盘；</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 具有记录、回放、报警联动、图像检索、权限管理、视频水印、日志功能、支持叠加图像标识信息和时间，支持图像多画面显示。</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 ≥18个10M/100M/1000M 自适应RJ45接口，≥2个1000M SFP光口，≥1个USB3.0接口，≥2个RS-485接口。（需提供公安部所属检验机构出具的检测报告复印件）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 支持内置GPS/北斗模块，实现GPS和北斗校时、定位功能，支持将经纬度信息叠加在图片或者视频上，定位校时模块可插拔更换。（需提供公安部所属检验机构出具的检测报告复印件）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 支持添加不少于24路IP摄像机，总码率不小于350Mbps，支持对接入摄像机进行实时预览与录像存储，支持对图片进行实时预览和存储，并可将IP摄像机的视频图像通过网络传输至客户端。（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 支持接入具有ABF聚焦功能的摄像机，可对视频图像进行ABF聚焦，支持接入鱼眼摄像机、双目摄像机、三目摄像机、四目摄像机、八目枪球联动一体机及全局摄像机，并可将视频图像以多画面分割方式显示，可自定义画面布局。（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 可接入G.711a、G.711Mu、G.722.1、G.726、G.729、PCM、AAC、MPEG2-layer2音频编码格式的IPC，可将音频采样率设置为8kHz、16kHz、32kHz、48kHz、64kHz。（需提供公安部所属检验机构出具的检测报告复印件）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 支持图像化展示设备所连通道的在线、离线、未启用状态，支持展示各通道上线、离线时间；支持查看通道状态统计信息。（需提供公安部所属检验机构出具的检测报告复印件）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 支持将原始图片、特写图片、合成图片、车牌抠图、关联录像、主驾驶人脸图片、副驾驶人脸图片、行人人脸图片、非机动车人脸图片上传至FTP服务器。（需提供公安部所属检验机构出具的检测报告复印件）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11. 支持配置路段名称、路段编号、路段距离，能够对驶入驶出该路段的车辆抓拍数据匹配并计算车辆的区间速度值，支持设置过滤阈值，对异常测速结果进行过滤，支持超速检测和欠速检测，可分别设定高限速和低限速值。（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12. 支持不少于36种车辆类型图片接收、展示、合成、上传。包括未知、客车、大货车、中货车、轿车、面包车、小货车、三轮车、行人、SUV-MPV、中客车、危化品车辆、SUV、MPV、公交车、皮卡车、微型车、油罐车、槽罐车、渣土车、混凝土搅拌车、出租车、警车、救护车、普通车、环卫车、消防车、拖拉机、工程车、粉粒物料运输车、吸污车、普通罐车、二轮车、自行车、厢式三轮车、载人敞篷三轮车、不载人敞篷三轮车。（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13. 支持设置最大速度阈值，控制最大显示速度；支持开启速度控制，设置安全速度阈值、告警速度阈值、超速速度阈值及对应的字体颜色，按速度区段区分显示字体颜色；支持仅超速显示车速、卡口合成上传、违法合成上传、无牌车上传、警牌上传、车牌隐私保护等多种个性发布方式；支持按图片类型区分设置显示内容和字体颜色、是否启用语音播报及播报内容，支持的图片类型有超速、违法变道、违法停车、预违停、违法倒车、逆行、卡口、未礼让行人、闯红灯、不按导向箭头行驶、车辆拥堵禁入、压白线、机占非、占用应急车道、右转不礼让行人、大弯小转、禁货等。（需提供公安部所属检验机构出具的检测报告复印件）</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E89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7B1F">
            <w:pPr>
              <w:jc w:val="center"/>
              <w:rPr>
                <w:rFonts w:hint="eastAsia" w:asciiTheme="minorEastAsia" w:hAnsiTheme="minorEastAsia" w:eastAsiaTheme="minorEastAsia" w:cstheme="minorEastAsia"/>
                <w:b w:val="0"/>
                <w:bCs w:val="0"/>
                <w:i w:val="0"/>
                <w:iCs w:val="0"/>
                <w:color w:val="000000"/>
                <w:sz w:val="18"/>
                <w:szCs w:val="18"/>
                <w:u w:val="none"/>
              </w:rPr>
            </w:pPr>
          </w:p>
        </w:tc>
      </w:tr>
      <w:tr w14:paraId="5C7DD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474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落地机柜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59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B2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台</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E7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1.设备安装基于 19 英寸标准结构设计，有≥17U 安装空间，具有良好的安装通用性；</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2.机柜含有强电模块，包含220V电源防雷，2P25A空气≥1个，三芯插座≥1个，1P10A空开≥8个；</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3.机柜为单层机构，外侧钣金厚度为≥ 1.2mm，有效的保证了机柜的强度需求；</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4.风扇安装在柜体的顶部居中位置，可有效的降低主设备散发出来的温度；</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5.机柜内含照明模块，方便设备夜间维护；</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6.防护等级≥IP55，保护内部设备不受外界恶劣环境的干扰；</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7.外部环境温度：≥-20℃~45℃；</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8.贮存温度：≥-40℃~70℃；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9.机柜内部相对湿度：≤85%（+30℃）；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10.贮存湿度：≥0~100%；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11.大气压强：≥70~106KPa。</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873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0BDC">
            <w:pPr>
              <w:jc w:val="center"/>
              <w:rPr>
                <w:rFonts w:hint="eastAsia" w:asciiTheme="minorEastAsia" w:hAnsiTheme="minorEastAsia" w:eastAsiaTheme="minorEastAsia" w:cstheme="minorEastAsia"/>
                <w:b w:val="0"/>
                <w:bCs w:val="0"/>
                <w:i w:val="0"/>
                <w:iCs w:val="0"/>
                <w:color w:val="000000"/>
                <w:sz w:val="18"/>
                <w:szCs w:val="18"/>
                <w:u w:val="none"/>
              </w:rPr>
            </w:pPr>
          </w:p>
        </w:tc>
      </w:tr>
      <w:tr w14:paraId="05442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AEB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网线收发器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95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FF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对</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05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千兆单模双纤光纤收发器、RJ-45，SC/FC/ST，20km</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49A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84EE">
            <w:pPr>
              <w:jc w:val="center"/>
              <w:rPr>
                <w:rFonts w:hint="eastAsia" w:asciiTheme="minorEastAsia" w:hAnsiTheme="minorEastAsia" w:eastAsiaTheme="minorEastAsia" w:cstheme="minorEastAsia"/>
                <w:b w:val="0"/>
                <w:bCs w:val="0"/>
                <w:i w:val="0"/>
                <w:iCs w:val="0"/>
                <w:color w:val="000000"/>
                <w:sz w:val="18"/>
                <w:szCs w:val="18"/>
                <w:u w:val="none"/>
              </w:rPr>
            </w:pPr>
          </w:p>
        </w:tc>
      </w:tr>
      <w:tr w14:paraId="70B13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FF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交换机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3E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0B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台</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14A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≥8个10/100/1000Mbps RJ45 端口，IEEE 802.3 、IEEE 802.3u、IEEE 802.3ab、IEEE 802.3x，9VDC/0.6A</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31B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7C88">
            <w:pPr>
              <w:jc w:val="center"/>
              <w:rPr>
                <w:rFonts w:hint="eastAsia" w:asciiTheme="minorEastAsia" w:hAnsiTheme="minorEastAsia" w:eastAsiaTheme="minorEastAsia" w:cstheme="minorEastAsia"/>
                <w:b w:val="0"/>
                <w:bCs w:val="0"/>
                <w:i w:val="0"/>
                <w:iCs w:val="0"/>
                <w:color w:val="000000"/>
                <w:sz w:val="18"/>
                <w:szCs w:val="18"/>
                <w:u w:val="none"/>
              </w:rPr>
            </w:pPr>
          </w:p>
        </w:tc>
      </w:tr>
      <w:tr w14:paraId="66CEE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FF7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交换机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2E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58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台</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38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≥24个10/100/1000M自适应以太网端口，IEEE802.3 10BASE-T以太网IEEE802.3u 100BASE-TX快速以太网IEEE802.3ab 1000Base-T 千兆以太网ANSI/IEEE802.3 NWay自动协商IEEE802.3x流控 </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100-240V AC</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12F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AB15">
            <w:pPr>
              <w:jc w:val="center"/>
              <w:rPr>
                <w:rFonts w:hint="eastAsia" w:asciiTheme="minorEastAsia" w:hAnsiTheme="minorEastAsia" w:eastAsiaTheme="minorEastAsia" w:cstheme="minorEastAsia"/>
                <w:b w:val="0"/>
                <w:bCs w:val="0"/>
                <w:i w:val="0"/>
                <w:iCs w:val="0"/>
                <w:color w:val="000000"/>
                <w:sz w:val="18"/>
                <w:szCs w:val="18"/>
                <w:u w:val="none"/>
              </w:rPr>
            </w:pPr>
          </w:p>
        </w:tc>
      </w:tr>
      <w:tr w14:paraId="498B4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05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八棱监控杆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A3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1D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50B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H=6.5m，L=6m规格：</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（1）钢杆臂厚不低于6mm，材质Q235以上，其力学性能满足信号灯杆的强度要求，设计可抗最大风速39.6米/秒(抗风压等级为10级)，承受压力为0.6千牛，抗地震强度为8级。</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（2）焊体表面焊波均匀、无裂纹、气孔、夹渣、烧穿、未融合，弧坑和针状气体等，焊缝均匀丰满美观。</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（3）杆体内外热浸锌处理，镀层均匀、无色差，镀层≥60μm。</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277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D692">
            <w:pPr>
              <w:jc w:val="center"/>
              <w:rPr>
                <w:rFonts w:hint="eastAsia" w:asciiTheme="minorEastAsia" w:hAnsiTheme="minorEastAsia" w:eastAsiaTheme="minorEastAsia" w:cstheme="minorEastAsia"/>
                <w:b w:val="0"/>
                <w:bCs w:val="0"/>
                <w:i w:val="0"/>
                <w:iCs w:val="0"/>
                <w:color w:val="000000"/>
                <w:sz w:val="18"/>
                <w:szCs w:val="18"/>
                <w:u w:val="none"/>
              </w:rPr>
            </w:pPr>
          </w:p>
        </w:tc>
      </w:tr>
      <w:tr w14:paraId="2002B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BA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八棱监控杆基础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37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18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个</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2C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基坑开挖（1.2*1.2*1.6）m³，渣土外运5km，c25商混浇筑</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DEE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CF33">
            <w:pPr>
              <w:jc w:val="center"/>
              <w:rPr>
                <w:rFonts w:hint="eastAsia" w:asciiTheme="minorEastAsia" w:hAnsiTheme="minorEastAsia" w:eastAsiaTheme="minorEastAsia" w:cstheme="minorEastAsia"/>
                <w:b w:val="0"/>
                <w:bCs w:val="0"/>
                <w:i w:val="0"/>
                <w:iCs w:val="0"/>
                <w:color w:val="000000"/>
                <w:sz w:val="18"/>
                <w:szCs w:val="18"/>
                <w:u w:val="none"/>
              </w:rPr>
            </w:pPr>
          </w:p>
        </w:tc>
      </w:tr>
      <w:tr w14:paraId="1D367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2CF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抱杆箱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47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EB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台</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20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【抱杆箱】</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尺寸：600mm（宽）× 800mm（高）× 435.5mm（深）</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含双路220V防雷，双路空气开关1个，单路空气开关8个，三芯维护插座1个</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安装基于 19 英寸标准结构设计，有18U 安装空间，具有良好的安装通用性</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防护等级IP55</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970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015A">
            <w:pPr>
              <w:jc w:val="center"/>
              <w:rPr>
                <w:rFonts w:hint="eastAsia" w:asciiTheme="minorEastAsia" w:hAnsiTheme="minorEastAsia" w:eastAsiaTheme="minorEastAsia" w:cstheme="minorEastAsia"/>
                <w:b w:val="0"/>
                <w:bCs w:val="0"/>
                <w:i w:val="0"/>
                <w:iCs w:val="0"/>
                <w:color w:val="000000"/>
                <w:sz w:val="18"/>
                <w:szCs w:val="18"/>
                <w:u w:val="none"/>
              </w:rPr>
            </w:pPr>
          </w:p>
        </w:tc>
      </w:tr>
      <w:tr w14:paraId="40245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36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电源线电缆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EA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D3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D9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RVV-0.5kV-3*1.5mm2</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BE0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4C40">
            <w:pPr>
              <w:jc w:val="center"/>
              <w:rPr>
                <w:rFonts w:hint="eastAsia" w:asciiTheme="minorEastAsia" w:hAnsiTheme="minorEastAsia" w:eastAsiaTheme="minorEastAsia" w:cstheme="minorEastAsia"/>
                <w:b w:val="0"/>
                <w:bCs w:val="0"/>
                <w:i w:val="0"/>
                <w:iCs w:val="0"/>
                <w:color w:val="000000"/>
                <w:sz w:val="18"/>
                <w:szCs w:val="18"/>
                <w:u w:val="none"/>
              </w:rPr>
            </w:pPr>
          </w:p>
        </w:tc>
      </w:tr>
      <w:tr w14:paraId="109BC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23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网线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55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32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箱</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2A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CAT.6六类网线参照EI刀TIA-568B和ISO/IEC11801国际六类传输标准设计制造，高速1000MBPS以太网要求和应用；成品标准网线参照 ANSI/TIA/EIA中6类相关的标准要求，广泛应用于设备间或水平子系统，为通讯设备、模块化配线架实现快速互连；从而保证系统的传输的可靠性，具 有极低的损耗和较高的带宽，适合大范围的高速度，大容量等多媒体工程及家装综合水平布线系统。10门加门000MBPS自适应传输速率，全面支持ISDN， ANALOG (宽频、基频)和数位影像及声音，16MBPS TOKEN RING，10BASE-T，100BASE-T， 155/622MBPS ATM及GIGABIT ETHERNET，100MBPS TP-PMD/CDDI AND FAST ETHERNET等网路应用。</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86D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29C9">
            <w:pPr>
              <w:jc w:val="center"/>
              <w:rPr>
                <w:rFonts w:hint="eastAsia" w:asciiTheme="minorEastAsia" w:hAnsiTheme="minorEastAsia" w:eastAsiaTheme="minorEastAsia" w:cstheme="minorEastAsia"/>
                <w:b w:val="0"/>
                <w:bCs w:val="0"/>
                <w:i w:val="0"/>
                <w:iCs w:val="0"/>
                <w:color w:val="000000"/>
                <w:sz w:val="18"/>
                <w:szCs w:val="18"/>
                <w:u w:val="none"/>
              </w:rPr>
            </w:pPr>
          </w:p>
        </w:tc>
      </w:tr>
      <w:tr w14:paraId="4D757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67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室外光纤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8A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19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7B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GYXTW-8B，八芯室外单模光纤缆线</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1、应用于园区中楼宇间的连接，长距离网络、主干线系统、本地环路或支路网络、严重潮湿的户外环境、温度 变化极大的环境、架空连接（和悬缆线一起使用）、地下管道或直埋、悬吊缆/服务缆。</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 管内灌注防水凝胶，以防止水渗入。</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 平行钢丝提高对光纤的保护。</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 聚乙烯外衣在紫外线或恶劣的室外环境下有保护作用。</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 低磨擦的外皮使之可轻松穿过管道。</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79A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A4DF">
            <w:pPr>
              <w:jc w:val="center"/>
              <w:rPr>
                <w:rFonts w:hint="eastAsia" w:asciiTheme="minorEastAsia" w:hAnsiTheme="minorEastAsia" w:eastAsiaTheme="minorEastAsia" w:cstheme="minorEastAsia"/>
                <w:b w:val="0"/>
                <w:bCs w:val="0"/>
                <w:i w:val="0"/>
                <w:iCs w:val="0"/>
                <w:color w:val="000000"/>
                <w:sz w:val="18"/>
                <w:szCs w:val="18"/>
                <w:u w:val="none"/>
              </w:rPr>
            </w:pPr>
          </w:p>
        </w:tc>
      </w:tr>
      <w:tr w14:paraId="463BB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8C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485 信号线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2A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6F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B6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rvsp2*1mm2</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016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F307">
            <w:pPr>
              <w:jc w:val="center"/>
              <w:rPr>
                <w:rFonts w:hint="eastAsia" w:asciiTheme="minorEastAsia" w:hAnsiTheme="minorEastAsia" w:eastAsiaTheme="minorEastAsia" w:cstheme="minorEastAsia"/>
                <w:b w:val="0"/>
                <w:bCs w:val="0"/>
                <w:i w:val="0"/>
                <w:iCs w:val="0"/>
                <w:color w:val="000000"/>
                <w:sz w:val="18"/>
                <w:szCs w:val="18"/>
                <w:u w:val="none"/>
              </w:rPr>
            </w:pPr>
          </w:p>
        </w:tc>
      </w:tr>
      <w:tr w14:paraId="36847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75E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机柜基础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C7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D9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座</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6B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落地机柜基础制作、基础尺寸：≥1400*640*560mm；机柜安装等</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924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585B">
            <w:pPr>
              <w:jc w:val="center"/>
              <w:rPr>
                <w:rFonts w:hint="eastAsia" w:asciiTheme="minorEastAsia" w:hAnsiTheme="minorEastAsia" w:eastAsiaTheme="minorEastAsia" w:cstheme="minorEastAsia"/>
                <w:b w:val="0"/>
                <w:bCs w:val="0"/>
                <w:i w:val="0"/>
                <w:iCs w:val="0"/>
                <w:color w:val="000000"/>
                <w:sz w:val="18"/>
                <w:szCs w:val="18"/>
                <w:u w:val="none"/>
              </w:rPr>
            </w:pPr>
          </w:p>
        </w:tc>
      </w:tr>
      <w:tr w14:paraId="70818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AC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管线施工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7E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62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45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管沟开挖与恢复400*500mm²，敷管PE80聚乙烯(PE)管</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9CC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F4FF">
            <w:pPr>
              <w:jc w:val="center"/>
              <w:rPr>
                <w:rFonts w:hint="eastAsia" w:asciiTheme="minorEastAsia" w:hAnsiTheme="minorEastAsia" w:eastAsiaTheme="minorEastAsia" w:cstheme="minorEastAsia"/>
                <w:b w:val="0"/>
                <w:bCs w:val="0"/>
                <w:i w:val="0"/>
                <w:iCs w:val="0"/>
                <w:color w:val="000000"/>
                <w:sz w:val="18"/>
                <w:szCs w:val="18"/>
                <w:u w:val="none"/>
              </w:rPr>
            </w:pPr>
          </w:p>
        </w:tc>
      </w:tr>
      <w:tr w14:paraId="26F44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E9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文明施工等费用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0E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46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项</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0E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防雾治霾、围挡搭建、拆除等</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71800">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CE60">
            <w:pPr>
              <w:jc w:val="center"/>
              <w:rPr>
                <w:rFonts w:hint="eastAsia" w:asciiTheme="minorEastAsia" w:hAnsiTheme="minorEastAsia" w:eastAsiaTheme="minorEastAsia" w:cstheme="minorEastAsia"/>
                <w:b w:val="0"/>
                <w:bCs w:val="0"/>
                <w:i w:val="0"/>
                <w:iCs w:val="0"/>
                <w:color w:val="000000"/>
                <w:sz w:val="18"/>
                <w:szCs w:val="18"/>
                <w:u w:val="none"/>
              </w:rPr>
            </w:pPr>
          </w:p>
        </w:tc>
      </w:tr>
      <w:tr w14:paraId="4927A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159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运输安装调试费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F1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E0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处</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9A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设备转运、安装、吊装、系统调试、光缆熔续等施工</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9ECED">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9EB8">
            <w:pPr>
              <w:jc w:val="center"/>
              <w:rPr>
                <w:rFonts w:hint="eastAsia" w:asciiTheme="minorEastAsia" w:hAnsiTheme="minorEastAsia" w:eastAsiaTheme="minorEastAsia" w:cstheme="minorEastAsia"/>
                <w:b w:val="0"/>
                <w:bCs w:val="0"/>
                <w:i w:val="0"/>
                <w:iCs w:val="0"/>
                <w:color w:val="000000"/>
                <w:sz w:val="18"/>
                <w:szCs w:val="18"/>
                <w:u w:val="none"/>
              </w:rPr>
            </w:pPr>
          </w:p>
        </w:tc>
      </w:tr>
      <w:tr w14:paraId="7446B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71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七、昆仑路与青年街丁字路 口电警卡口采购</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02EE">
            <w:pPr>
              <w:jc w:val="center"/>
              <w:rPr>
                <w:rFonts w:hint="eastAsia" w:asciiTheme="minorEastAsia" w:hAnsiTheme="minorEastAsia" w:eastAsiaTheme="minorEastAsia" w:cstheme="minorEastAsia"/>
                <w:b w:val="0"/>
                <w:bCs w:val="0"/>
                <w:i w:val="0"/>
                <w:iCs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CE76">
            <w:pPr>
              <w:jc w:val="center"/>
              <w:rPr>
                <w:rFonts w:hint="eastAsia" w:asciiTheme="minorEastAsia" w:hAnsiTheme="minorEastAsia" w:eastAsiaTheme="minorEastAsia" w:cstheme="minorEastAsia"/>
                <w:b w:val="0"/>
                <w:bCs w:val="0"/>
                <w:i w:val="0"/>
                <w:iCs w:val="0"/>
                <w:color w:val="000000"/>
                <w:sz w:val="18"/>
                <w:szCs w:val="18"/>
                <w:u w:val="none"/>
              </w:rPr>
            </w:pP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30E5">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D39B6">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F8F7">
            <w:pPr>
              <w:jc w:val="center"/>
              <w:rPr>
                <w:rFonts w:hint="eastAsia" w:asciiTheme="minorEastAsia" w:hAnsiTheme="minorEastAsia" w:eastAsiaTheme="minorEastAsia" w:cstheme="minorEastAsia"/>
                <w:b w:val="0"/>
                <w:bCs w:val="0"/>
                <w:i w:val="0"/>
                <w:iCs w:val="0"/>
                <w:color w:val="000000"/>
                <w:sz w:val="18"/>
                <w:szCs w:val="18"/>
                <w:u w:val="none"/>
              </w:rPr>
            </w:pPr>
          </w:p>
        </w:tc>
      </w:tr>
      <w:tr w14:paraId="0377D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E2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900 万卡口抓拍单元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C2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B8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组</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6C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 包含高清一体化嵌入式摄像机、高清镜头、室外防护罩、LED补光灯、风扇、电源适配器等；摄像机具有≥2个1英寸CCD或全局曝光CMOS传感器，支持≥4096×2160@25fps（不含OSD叠加）视频图像输出，视频压缩支持H.265、H.264、M-JPEG。</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 车辆捕获率应≥99%，车牌识别准确率应≥ 95%；支持补光灯、雷达、线圈检测器接入，支持机动车、非机动车和行人的抓拍和分析；支持车型、车身颜色、车标、车辆子品牌等车辆特征识别，支持压线、逆行、违法变道等违法检测功能。</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 不少于两个传感器（sensor）设计，具有独立分光棱镜分光结构装置，分别接收可见光和红外光，抓拍支持输出三张同时刻目标图片，包括可见光路图片（全彩），红外路图片（黑白）和融合图片（全彩），三张图片抓拍时间为同一时刻，抓拍运动目标，三张图片中目标位置相同无位移。（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 支持同时预览两路sensor视频，设备场景中放置红外LED常亮灯，朝向摄像机镜头，可见光路视频图像中补光灯灯珠完全无光，同时红外路视频图像补光灯可清晰看到灯珠亮光。</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 支持车辆抓拍，支持抓拍输出车牌局部照片、车窗局部照片、非机动车局部照片、场景全景图片。（需提供公安部所属检验机构出具的检测报告复印件）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 支持设置车辆抓拍位置到立杆的架设距离、设备架设高度，并在视频图像中显示位置信息。（需提供公安部所属检验机构出具的检测报告复印件）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 在满足GA/T 1202-2022一级补光标准，补光≤20lx 的前提下，抓拍图片满足 GA/T 832-2014标准中3.6.1要求， 配套符合GA/T 1202-2022标准的一级补光灯，设备抓拍车牌、车身颜色、车内前排人脸及衣着均清晰可见。（需提供公安部所属检验机构出具的检测报告复印件）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 支持对25×10 像素～1100×3000 像素的机动车车牌进行抓拍并识别，支持识别并抓拍垂直倾斜角度≤55°、水平倾斜角度≤35°、俯仰角度≤40°的机动车车牌。（需提供公安部所属检验机构出具的检测报告复印件）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 支持分别对11种车型（大货车、中货车、小货车、客车、小轿车、中客车、危险品运输车、校车、面包车、环卫车、其他车型）进行不同超速比设置，可设置18个超速比区间；在相同道路上，设备支持根据不同的超速比设置对不同车型进行超速抓拍，并输出不同的超速抓拍结果及违法代码。（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11. 支持检测并跟踪指定区域内不少于 245 个目标，目标包括机动车、非机动车以及行人。（需提供公安部所属检验机构出具的检测报告复印件）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12. ≥2个RJ45 100M/1000M自适应网口，≥3个RS485接口，≥5路补光灯控制接口，≥1个存储卡接口，防护等级≥IP66。</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E65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28A9">
            <w:pPr>
              <w:jc w:val="center"/>
              <w:rPr>
                <w:rFonts w:hint="eastAsia" w:asciiTheme="minorEastAsia" w:hAnsiTheme="minorEastAsia" w:eastAsiaTheme="minorEastAsia" w:cstheme="minorEastAsia"/>
                <w:b w:val="0"/>
                <w:bCs w:val="0"/>
                <w:i w:val="0"/>
                <w:iCs w:val="0"/>
                <w:color w:val="000000"/>
                <w:sz w:val="18"/>
                <w:szCs w:val="18"/>
                <w:u w:val="none"/>
              </w:rPr>
            </w:pPr>
          </w:p>
        </w:tc>
      </w:tr>
      <w:tr w14:paraId="5DB5E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CA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900 万电警抓拍单元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05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DF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组</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A8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 包含高清一体化嵌入式摄像机、高清镜头、室外防护罩、LED补光灯、风扇、电源适配器等；摄像机采用≥1英寸CCD或全局曝光CMOS传感器，支持≥4096×2160@25fps（不含OSD叠加）视频图像输出；视频压缩支持H.265、H.264、M-JPEG；</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 车辆捕获率应≥99%，车牌识别准确率应≥ 95%；支持闯红灯抓拍功能，闯红灯捕获率≥95％，记录有效率≥90％；支持车型、车身颜色、车标、车辆子品牌等车辆特征识别，支持压线、逆行、不按导向行驶、绿灯停车、违法变道等违法检测功能；</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 支持车辆抓拍，支持抓拍输出车牌局部照片、车窗局部照片、非机动车局部照片、场景全景图片。（需提供公安部所属检验机构出具的检测报告复印件）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 支持设置车辆抓拍位置到立杆的架设距离、设备架设高度，并在视频图像中显示位置信息。（需提供公安部所属检验机构出具的检测报告复印件）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 支持对25×10 像素～1100×3000 像素的机动车车牌进行抓拍并识别，支持识别并抓拍垂直倾斜角度≤55°、水平倾斜角度≤35°、俯仰角度≤40°的机动车车牌。（需提供公安部所属检验机构出具的检测报告复印件）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 支持分别对11种车型（大货车、中货车、小货车、客车、小轿车、中客车、危险品运输车、校车、面包车、环卫车、其他车型）进行不同超速比设置，可设置18个超速比区间；在相同道路上，设备支持根据不同的超速比设置对不同车型进行超速抓拍，并输出不同的超速抓拍结果及违法代码。（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 支持检测并跟踪指定区域内不少于 245 个目标，目标包括机动车、非机动车以及行人。（需提供公安部所属检验机构出具的检测报告复印件）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 ≥2个RJ45 100M/1000M自适应网口，≥3个RS485接口，≥1个触发输入、≥5路补光灯控制接口，≥1个存储卡接口，防护等级≥IP66。</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A4C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8834">
            <w:pPr>
              <w:jc w:val="center"/>
              <w:rPr>
                <w:rFonts w:hint="eastAsia" w:asciiTheme="minorEastAsia" w:hAnsiTheme="minorEastAsia" w:eastAsiaTheme="minorEastAsia" w:cstheme="minorEastAsia"/>
                <w:b w:val="0"/>
                <w:bCs w:val="0"/>
                <w:i w:val="0"/>
                <w:iCs w:val="0"/>
                <w:color w:val="000000"/>
                <w:sz w:val="18"/>
                <w:szCs w:val="18"/>
                <w:u w:val="none"/>
              </w:rPr>
            </w:pPr>
          </w:p>
        </w:tc>
      </w:tr>
      <w:tr w14:paraId="6A008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26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多合一环保补光灯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D8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77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组</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87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 符合GA/T 1202-2022《交通技术监控成像补光装置通用技术条件》；（需提供公安部所属检验机构出具的检测报告复印件）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 补光装置光源包括LED光源（一级频闪）、气体放电光源（二级脉冲）和红外光源；</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 采用LED光源和气灯放电两种光源，LED光源呈圆形排布，气体放电光源前置转轴叶片，支持红外和白光补光切换；</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 支持LED频闪、LED爆闪、白光气体爆闪及红外气体爆闪四种补光方式，可通过远程控制切换；</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 眩光阀值增量TI≤1.08%；</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 触发信号异常时，爆闪灯进入自动保护，触发信号输入正常，爆闪灯自动恢复正常</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 ≥1路RS485接口、1路气体脉冲爆闪输入接口，≥1路光源切换接口，≥1路频闪输入接口、≥1路LED爆闪输入接口；</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 可通过RS485进行远程升级；</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 支持记录闪光灯闪光次数；</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 防护等级≥IP66。</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FEC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2919">
            <w:pPr>
              <w:jc w:val="center"/>
              <w:rPr>
                <w:rFonts w:hint="eastAsia" w:asciiTheme="minorEastAsia" w:hAnsiTheme="minorEastAsia" w:eastAsiaTheme="minorEastAsia" w:cstheme="minorEastAsia"/>
                <w:b w:val="0"/>
                <w:bCs w:val="0"/>
                <w:i w:val="0"/>
                <w:iCs w:val="0"/>
                <w:color w:val="000000"/>
                <w:sz w:val="18"/>
                <w:szCs w:val="18"/>
                <w:u w:val="none"/>
              </w:rPr>
            </w:pPr>
          </w:p>
        </w:tc>
      </w:tr>
      <w:tr w14:paraId="68CE4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9B2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LED 频闪灯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79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47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85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1.光源类型：≥16颗原装大功率LED；</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2.发光角度≥10°；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3.符合GA/T 1202-2022《交通技术监控成像补光装置通用技术条件》中的一级补光装置要求；（需提供公安部所属检验机构出具的检测报告复印件）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4.覆盖范围：单车道环境补光灯；</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5.最佳补光范围≥16米～25米；</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6.触发方式： 4V~6V电平量触发；</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7.触发信号：频率15~250HZ，占空比1%~39%，响应时间小于20US；</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8.防护等级：≥IP66；</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9.工作电压：AC220V；</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10.额定功率：≤35Wmax。</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D56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87E3">
            <w:pPr>
              <w:jc w:val="center"/>
              <w:rPr>
                <w:rFonts w:hint="eastAsia" w:asciiTheme="minorEastAsia" w:hAnsiTheme="minorEastAsia" w:eastAsiaTheme="minorEastAsia" w:cstheme="minorEastAsia"/>
                <w:b w:val="0"/>
                <w:bCs w:val="0"/>
                <w:i w:val="0"/>
                <w:iCs w:val="0"/>
                <w:color w:val="000000"/>
                <w:sz w:val="18"/>
                <w:szCs w:val="18"/>
                <w:u w:val="none"/>
              </w:rPr>
            </w:pPr>
          </w:p>
        </w:tc>
      </w:tr>
      <w:tr w14:paraId="1357A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D0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红绿灯信号检测器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F6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9B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7B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 红绿灯信号检测器，采用工业级嵌入式微控制器；</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 具有≥6路RS485、≥16路AC220V信号灯输入接口、≥16路信号状态指示灯，≥1路RS485数据收发状态指示灯；（需提供公安部所属检验机构出具的检测报告复印件）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 检测信号灯电压范围AC110V~274V，信号灯输入端口有信号输入时，RS485端口会上传该端口的状态信息；（需提供公安部所属检验机构出具的检测报告复印件）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 工作温度：-30℃～+70℃</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11D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28D6">
            <w:pPr>
              <w:jc w:val="center"/>
              <w:rPr>
                <w:rFonts w:hint="eastAsia" w:asciiTheme="minorEastAsia" w:hAnsiTheme="minorEastAsia" w:eastAsiaTheme="minorEastAsia" w:cstheme="minorEastAsia"/>
                <w:b w:val="0"/>
                <w:bCs w:val="0"/>
                <w:i w:val="0"/>
                <w:iCs w:val="0"/>
                <w:color w:val="000000"/>
                <w:sz w:val="18"/>
                <w:szCs w:val="18"/>
                <w:u w:val="none"/>
              </w:rPr>
            </w:pPr>
          </w:p>
        </w:tc>
      </w:tr>
      <w:tr w14:paraId="35C2F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C5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终端服务器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60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39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台</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02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 设备采用嵌入式操作系统，全机身散热，内部无风扇，支持车辆卡口、违法、目标、人体以及其他事件结构化图片存储，支持视频预览、录像和回放，支持配置录像计划，录像和图片存储空间可配置。</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 支持≥4块3.5或2.5英寸硬盘接入，兼容≥8TB硬盘，支持硬盘自动切换，当块硬盘损坏后，能自动切换至其它硬盘进行存储，内置≥8T监控级硬盘；</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 具有记录、回放、报警联动、图像检索、权限管理、视频水印、日志功能、支持叠加图像标识信息和时间，支持图像多画面显示。</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 ≥18个10M/100M/1000M 自适应RJ45接口，≥2个1000M SFP光口，≥1个USB3.0接口，≥2个RS-485接口。（需提供公安部所属检验机构出具的检测报告复印件）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 支持内置GPS/北斗模块，实现GPS和北斗校时、定位功能，支持将经纬度信息叠加在图片或者视频上，定位校时模块可插拔更换。（需提供公安部所属检验机构出具的检测报告复印件）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 支持添加不少于24路IP摄像机，总码率不小于350Mbps，支持对接入摄像机进行实时预览与录像存储，支持对图片进行实时预览和存储，并可将IP摄像机的视频图像通过网络传输至客户端。（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 支持接入具有ABF聚焦功能的摄像机，可对视频图像进行ABF聚焦，支持接入鱼眼摄像机、双目摄像机、三目摄像机、四目摄像机、八目枪球联动一体机及全局摄像机，并可将视频图像以多画面分割方式显示，可自定义画面布局。（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 可接入G.711a、G.711Mu、G.722.1、G.726、G.729、PCM、AAC、MPEG2-layer2音频编码格式的IPC，可将音频采样率设置为8kHz、16kHz、32kHz、48kHz、64kHz。（需提供公安部所属检验机构出具的检测报告复印件）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 支持图像化展示设备所连通道的在线、离线、未启用状态，支持展示各通道上线、离线时间；支持查看通道状态统计信息。（需提供公安部所属检验机构出具的检测报告复印件）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 支持将原始图片、特写图片、合成图片、车牌抠图、关联录像、主驾驶人脸图片、副驾驶人脸图片、行人人脸图片、非机动车人脸图片上传至FTP服务器。（需提供公安部所属检验机构出具的检测报告复印件）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11. 支持配置路段名称、路段编号、路段距离，能够对驶入驶出该路段的车辆抓拍数据匹配并计算车辆的区间速度值，支持设置过滤阈值，对异常测速结果进行过滤，支持超速检测和欠速检测，可分别设定高限速和低限速值。（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12. 支持不少于36种车辆类型图片接收、展示、合成、上传。包括未知、客车、大货车、中货车、轿车、面包车、小货车、三轮车、行人、SUV-MPV、中客车、危化品车辆、SUV、MPV、公交车、皮卡车、微型车、油罐车、槽罐车、渣土车、混凝土搅拌车、出租车、警车、救护车、普通车、环卫车、消防车、拖拉机、工程车、粉粒物料运输车、吸污车、普通罐车、二轮车、自行车、厢式三轮车、载人敞篷三轮车、不载人敞篷三轮车。（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13. 支持设置最大速度阈值，控制最大显示速度；支持开启速度控制，设置安全速度阈值、告警速度阈值、超速速度阈值及对应的字体颜色，按速度区段区分显示字体颜色；支持仅超速显示车速、卡口合成上传、违法合成上传、无牌车上传、警牌上传、车牌隐私保护等多种个性发布方式；支持按图片类型区分设置显示内容和字体颜色、是否启用语音播报及播报内容，支持的图片类型有超速、违法变道、违法停车、预违停、违法倒车、逆行、卡口、未礼让行人、闯红灯、不按导向箭头行驶、车辆拥堵禁入、压白线、机占非、占用应急车道、右转不礼让行人、大弯小转、禁货等。（需提供公安部所属检验机构出具的检测报告复印件）</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6C9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BA19">
            <w:pPr>
              <w:jc w:val="center"/>
              <w:rPr>
                <w:rFonts w:hint="eastAsia" w:asciiTheme="minorEastAsia" w:hAnsiTheme="minorEastAsia" w:eastAsiaTheme="minorEastAsia" w:cstheme="minorEastAsia"/>
                <w:b w:val="0"/>
                <w:bCs w:val="0"/>
                <w:i w:val="0"/>
                <w:iCs w:val="0"/>
                <w:color w:val="000000"/>
                <w:sz w:val="18"/>
                <w:szCs w:val="18"/>
                <w:u w:val="none"/>
              </w:rPr>
            </w:pPr>
          </w:p>
        </w:tc>
      </w:tr>
      <w:tr w14:paraId="78B26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A8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落地机柜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AE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71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台</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DC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1.设备安装基于 19 英寸标准结构设计，有≥17U 安装空间，具有良好的安装通用性；</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2.机柜含有强电模块，包含220V电源防雷，2P25A空气≥1个，三芯插座≥1个，1P10A空开≥8个；</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3.机柜为单层机构，外侧钣金厚度为≥ 1.2mm，有效的保证了机柜的强度需求；</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4.风扇安装在柜体的顶部居中位置，可有效的降低主设备散发出来的温度；</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5.机柜内含照明模块，方便设备夜间维护；</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6.防护等级≥IP55，保护内部设备不受外界恶劣环境的干扰；</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7.外部环境温度：≥-20℃~45℃；</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8.贮存温度：≥-40℃~70℃；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9.机柜内部相对湿度：≤85%（+30℃）；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10.贮存湿度：≥0~100%；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11.大气压强：≥70~106KPa。</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5D0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DEFF">
            <w:pPr>
              <w:jc w:val="center"/>
              <w:rPr>
                <w:rFonts w:hint="eastAsia" w:asciiTheme="minorEastAsia" w:hAnsiTheme="minorEastAsia" w:eastAsiaTheme="minorEastAsia" w:cstheme="minorEastAsia"/>
                <w:b w:val="0"/>
                <w:bCs w:val="0"/>
                <w:i w:val="0"/>
                <w:iCs w:val="0"/>
                <w:color w:val="000000"/>
                <w:sz w:val="18"/>
                <w:szCs w:val="18"/>
                <w:u w:val="none"/>
              </w:rPr>
            </w:pPr>
          </w:p>
        </w:tc>
      </w:tr>
      <w:tr w14:paraId="4E4FB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05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网线收发器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23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FD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对</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02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千兆单模双纤光纤收发器、RJ-45，SC/FC/ST，20km</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B20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3E77">
            <w:pPr>
              <w:jc w:val="center"/>
              <w:rPr>
                <w:rFonts w:hint="eastAsia" w:asciiTheme="minorEastAsia" w:hAnsiTheme="minorEastAsia" w:eastAsiaTheme="minorEastAsia" w:cstheme="minorEastAsia"/>
                <w:b w:val="0"/>
                <w:bCs w:val="0"/>
                <w:i w:val="0"/>
                <w:iCs w:val="0"/>
                <w:color w:val="000000"/>
                <w:sz w:val="18"/>
                <w:szCs w:val="18"/>
                <w:u w:val="none"/>
              </w:rPr>
            </w:pPr>
          </w:p>
        </w:tc>
      </w:tr>
      <w:tr w14:paraId="1380B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14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交换机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8F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71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台</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9CE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≥8个10/100/1000Mbps RJ45 端口，IEEE 802.3 、IEEE 802.3u、IEEE 802.3ab、IEEE 802.3x，9VDC/0.6A</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762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E0CB">
            <w:pPr>
              <w:jc w:val="center"/>
              <w:rPr>
                <w:rFonts w:hint="eastAsia" w:asciiTheme="minorEastAsia" w:hAnsiTheme="minorEastAsia" w:eastAsiaTheme="minorEastAsia" w:cstheme="minorEastAsia"/>
                <w:b w:val="0"/>
                <w:bCs w:val="0"/>
                <w:i w:val="0"/>
                <w:iCs w:val="0"/>
                <w:color w:val="000000"/>
                <w:sz w:val="18"/>
                <w:szCs w:val="18"/>
                <w:u w:val="none"/>
              </w:rPr>
            </w:pPr>
          </w:p>
        </w:tc>
      </w:tr>
      <w:tr w14:paraId="40247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CCD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交换机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B8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DC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台</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7D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≥24个10/100/1000M自适应以太网端口，IEEE802.3 10BASE-T以太网IEEE802.3u 100BASE-TX快速以太网IEEE802.3ab 1000Base-T 千兆以太网ANSI/IEEE802.3 NWay自动协商IEEE802.3x流控 </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100-240V AC</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891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578B">
            <w:pPr>
              <w:jc w:val="center"/>
              <w:rPr>
                <w:rFonts w:hint="eastAsia" w:asciiTheme="minorEastAsia" w:hAnsiTheme="minorEastAsia" w:eastAsiaTheme="minorEastAsia" w:cstheme="minorEastAsia"/>
                <w:b w:val="0"/>
                <w:bCs w:val="0"/>
                <w:i w:val="0"/>
                <w:iCs w:val="0"/>
                <w:color w:val="000000"/>
                <w:sz w:val="18"/>
                <w:szCs w:val="18"/>
                <w:u w:val="none"/>
              </w:rPr>
            </w:pPr>
          </w:p>
        </w:tc>
      </w:tr>
      <w:tr w14:paraId="5BCC1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FE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八棱监控杆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B6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11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379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H=6.5m，L=6m规格：</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（1）钢杆臂厚不低于6mm，材质Q235以上，其力学性能满足信号灯杆的强度要求，设计可抗最大风速39.6米/秒(抗风压等级为10级)，承受压力为0.6千牛，抗地震强度为8级。</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（2）焊体表面焊波均匀、无裂纹、气孔、夹渣、烧穿、未融合，弧坑和针状气体等，焊缝均匀丰满美观。</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（3）杆体内外热浸锌处理，镀层均匀、无色差，镀层≥60μm。</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7BD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EBFD">
            <w:pPr>
              <w:jc w:val="center"/>
              <w:rPr>
                <w:rFonts w:hint="eastAsia" w:asciiTheme="minorEastAsia" w:hAnsiTheme="minorEastAsia" w:eastAsiaTheme="minorEastAsia" w:cstheme="minorEastAsia"/>
                <w:b w:val="0"/>
                <w:bCs w:val="0"/>
                <w:i w:val="0"/>
                <w:iCs w:val="0"/>
                <w:color w:val="000000"/>
                <w:sz w:val="18"/>
                <w:szCs w:val="18"/>
                <w:u w:val="none"/>
              </w:rPr>
            </w:pPr>
          </w:p>
        </w:tc>
      </w:tr>
      <w:tr w14:paraId="4A5C0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77A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八棱监控杆基础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3D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92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个</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E3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基坑开挖（1.2*1.2*1.6）m³，渣土外运5km，c25商混浇筑</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FCF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94E6">
            <w:pPr>
              <w:jc w:val="center"/>
              <w:rPr>
                <w:rFonts w:hint="eastAsia" w:asciiTheme="minorEastAsia" w:hAnsiTheme="minorEastAsia" w:eastAsiaTheme="minorEastAsia" w:cstheme="minorEastAsia"/>
                <w:b w:val="0"/>
                <w:bCs w:val="0"/>
                <w:i w:val="0"/>
                <w:iCs w:val="0"/>
                <w:color w:val="000000"/>
                <w:sz w:val="18"/>
                <w:szCs w:val="18"/>
                <w:u w:val="none"/>
              </w:rPr>
            </w:pPr>
          </w:p>
        </w:tc>
      </w:tr>
      <w:tr w14:paraId="2D6F9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F8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抱杆箱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2F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2F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台</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D3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【抱杆箱】</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尺寸：600mm（宽）× 800mm（高）× 435.5mm（深）</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含双路220V防雷，双路空气开关1个，单路空气开关8个，三芯维护插座1个</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安装基于 19 英寸标准结构设计，有18U 安装空间，具有良好的安装通用性</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防护等级IP55</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B5B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615E">
            <w:pPr>
              <w:jc w:val="center"/>
              <w:rPr>
                <w:rFonts w:hint="eastAsia" w:asciiTheme="minorEastAsia" w:hAnsiTheme="minorEastAsia" w:eastAsiaTheme="minorEastAsia" w:cstheme="minorEastAsia"/>
                <w:b w:val="0"/>
                <w:bCs w:val="0"/>
                <w:i w:val="0"/>
                <w:iCs w:val="0"/>
                <w:color w:val="000000"/>
                <w:sz w:val="18"/>
                <w:szCs w:val="18"/>
                <w:u w:val="none"/>
              </w:rPr>
            </w:pPr>
          </w:p>
        </w:tc>
      </w:tr>
      <w:tr w14:paraId="2C5E9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FB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电源线电缆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50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40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D8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RVV-0.5kV-3*1.5mm2</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774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165F">
            <w:pPr>
              <w:jc w:val="center"/>
              <w:rPr>
                <w:rFonts w:hint="eastAsia" w:asciiTheme="minorEastAsia" w:hAnsiTheme="minorEastAsia" w:eastAsiaTheme="minorEastAsia" w:cstheme="minorEastAsia"/>
                <w:b w:val="0"/>
                <w:bCs w:val="0"/>
                <w:i w:val="0"/>
                <w:iCs w:val="0"/>
                <w:color w:val="000000"/>
                <w:sz w:val="18"/>
                <w:szCs w:val="18"/>
                <w:u w:val="none"/>
              </w:rPr>
            </w:pPr>
          </w:p>
        </w:tc>
      </w:tr>
      <w:tr w14:paraId="35E35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A8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网线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E6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E8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箱</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00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CAT.6六类网线参照EI刀TIA-568B和ISO/IEC11801国际六类传输标准设计制造，高速1000MBPS以太网要求和应用；成品标准网线参照 ANSI/TIA/EIA中6类相关的标准要求，广泛应用于设备间或水平子系统，为通讯设备、模块化配线架实现快速互连；从而保证系统的传输的可靠性，具 有极低的损耗和较高的带宽，适合大范围的高速度，大容量等多媒体工程及家装综合水平布线系统。10门加门000MBPS自适应传输速率，全面支持ISDN， ANALOG (宽频、基频)和数位影像及声音，16MBPS TOKEN RING，10BASE-T，100BASE-T， 155/622MBPS ATM及GIGABIT ETHERNET，100MBPS TP-PMD/CDDI AND FAST ETHERNET等网路应用。</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15D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DAB9">
            <w:pPr>
              <w:jc w:val="center"/>
              <w:rPr>
                <w:rFonts w:hint="eastAsia" w:asciiTheme="minorEastAsia" w:hAnsiTheme="minorEastAsia" w:eastAsiaTheme="minorEastAsia" w:cstheme="minorEastAsia"/>
                <w:b w:val="0"/>
                <w:bCs w:val="0"/>
                <w:i w:val="0"/>
                <w:iCs w:val="0"/>
                <w:color w:val="000000"/>
                <w:sz w:val="18"/>
                <w:szCs w:val="18"/>
                <w:u w:val="none"/>
              </w:rPr>
            </w:pPr>
          </w:p>
        </w:tc>
      </w:tr>
      <w:tr w14:paraId="6630E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A08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室外光纤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F1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6C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2B2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GYXTW-8B，八芯室外单模光纤缆线</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1、应用于园区中楼宇间的连接，长距离网络、主干线系统、本地环路或支路网络、严重潮湿的户外环境、温度 变化极大的环境、架空连接（和悬缆线一起使用）、地下管道或直埋、悬吊缆/服务缆。</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 管内灌注防水凝胶，以防止水渗入。</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 平行钢丝提高对光纤的保护。</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 聚乙烯外衣在紫外线或恶劣的室外环境下有保护作用。</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 低磨擦的外皮使之可轻松穿过管道。</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D73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8090">
            <w:pPr>
              <w:jc w:val="center"/>
              <w:rPr>
                <w:rFonts w:hint="eastAsia" w:asciiTheme="minorEastAsia" w:hAnsiTheme="minorEastAsia" w:eastAsiaTheme="minorEastAsia" w:cstheme="minorEastAsia"/>
                <w:b w:val="0"/>
                <w:bCs w:val="0"/>
                <w:i w:val="0"/>
                <w:iCs w:val="0"/>
                <w:color w:val="000000"/>
                <w:sz w:val="18"/>
                <w:szCs w:val="18"/>
                <w:u w:val="none"/>
              </w:rPr>
            </w:pPr>
          </w:p>
        </w:tc>
      </w:tr>
      <w:tr w14:paraId="605D6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0A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485 信号线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3C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43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03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rvsp2*1mm2</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632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A3FE">
            <w:pPr>
              <w:jc w:val="center"/>
              <w:rPr>
                <w:rFonts w:hint="eastAsia" w:asciiTheme="minorEastAsia" w:hAnsiTheme="minorEastAsia" w:eastAsiaTheme="minorEastAsia" w:cstheme="minorEastAsia"/>
                <w:b w:val="0"/>
                <w:bCs w:val="0"/>
                <w:i w:val="0"/>
                <w:iCs w:val="0"/>
                <w:color w:val="000000"/>
                <w:sz w:val="18"/>
                <w:szCs w:val="18"/>
                <w:u w:val="none"/>
              </w:rPr>
            </w:pPr>
          </w:p>
        </w:tc>
      </w:tr>
      <w:tr w14:paraId="31E44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B4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机柜基础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96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20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座</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00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落地机柜基础制作、基础尺寸：≥1400*640*560mm；机柜安装等</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C44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C1BE">
            <w:pPr>
              <w:jc w:val="center"/>
              <w:rPr>
                <w:rFonts w:hint="eastAsia" w:asciiTheme="minorEastAsia" w:hAnsiTheme="minorEastAsia" w:eastAsiaTheme="minorEastAsia" w:cstheme="minorEastAsia"/>
                <w:b w:val="0"/>
                <w:bCs w:val="0"/>
                <w:i w:val="0"/>
                <w:iCs w:val="0"/>
                <w:color w:val="000000"/>
                <w:sz w:val="18"/>
                <w:szCs w:val="18"/>
                <w:u w:val="none"/>
              </w:rPr>
            </w:pPr>
          </w:p>
        </w:tc>
      </w:tr>
      <w:tr w14:paraId="677F3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56C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管线施工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4F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0C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33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管沟开挖与恢复400*500mm²，敷管PE80聚乙烯(PE)管</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D73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0EF0">
            <w:pPr>
              <w:jc w:val="center"/>
              <w:rPr>
                <w:rFonts w:hint="eastAsia" w:asciiTheme="minorEastAsia" w:hAnsiTheme="minorEastAsia" w:eastAsiaTheme="minorEastAsia" w:cstheme="minorEastAsia"/>
                <w:b w:val="0"/>
                <w:bCs w:val="0"/>
                <w:i w:val="0"/>
                <w:iCs w:val="0"/>
                <w:color w:val="000000"/>
                <w:sz w:val="18"/>
                <w:szCs w:val="18"/>
                <w:u w:val="none"/>
              </w:rPr>
            </w:pPr>
          </w:p>
        </w:tc>
      </w:tr>
      <w:tr w14:paraId="6BA70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34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文明施工等费用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B0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1C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项</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3D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防雾治霾、围挡搭建、拆除等</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25E17">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FFC7">
            <w:pPr>
              <w:jc w:val="center"/>
              <w:rPr>
                <w:rFonts w:hint="eastAsia" w:asciiTheme="minorEastAsia" w:hAnsiTheme="minorEastAsia" w:eastAsiaTheme="minorEastAsia" w:cstheme="minorEastAsia"/>
                <w:b w:val="0"/>
                <w:bCs w:val="0"/>
                <w:i w:val="0"/>
                <w:iCs w:val="0"/>
                <w:color w:val="000000"/>
                <w:sz w:val="18"/>
                <w:szCs w:val="18"/>
                <w:u w:val="none"/>
              </w:rPr>
            </w:pPr>
          </w:p>
        </w:tc>
      </w:tr>
      <w:tr w14:paraId="54885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38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运输安装调试费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85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4E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处</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59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设备转运、安装、吊装、系统调试、光缆熔续等施工</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40B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8307">
            <w:pPr>
              <w:jc w:val="center"/>
              <w:rPr>
                <w:rFonts w:hint="eastAsia" w:asciiTheme="minorEastAsia" w:hAnsiTheme="minorEastAsia" w:eastAsiaTheme="minorEastAsia" w:cstheme="minorEastAsia"/>
                <w:b w:val="0"/>
                <w:bCs w:val="0"/>
                <w:i w:val="0"/>
                <w:iCs w:val="0"/>
                <w:color w:val="000000"/>
                <w:sz w:val="18"/>
                <w:szCs w:val="18"/>
                <w:u w:val="none"/>
              </w:rPr>
            </w:pPr>
          </w:p>
        </w:tc>
      </w:tr>
      <w:tr w14:paraId="4D9F0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D3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八、青年街与鱼水河路十字路口电警卡口采购</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41B9">
            <w:pPr>
              <w:jc w:val="center"/>
              <w:rPr>
                <w:rFonts w:hint="eastAsia" w:asciiTheme="minorEastAsia" w:hAnsiTheme="minorEastAsia" w:eastAsiaTheme="minorEastAsia" w:cstheme="minorEastAsia"/>
                <w:b w:val="0"/>
                <w:bCs w:val="0"/>
                <w:i w:val="0"/>
                <w:iCs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5E19">
            <w:pPr>
              <w:jc w:val="center"/>
              <w:rPr>
                <w:rFonts w:hint="eastAsia" w:asciiTheme="minorEastAsia" w:hAnsiTheme="minorEastAsia" w:eastAsiaTheme="minorEastAsia" w:cstheme="minorEastAsia"/>
                <w:b w:val="0"/>
                <w:bCs w:val="0"/>
                <w:i w:val="0"/>
                <w:iCs w:val="0"/>
                <w:color w:val="000000"/>
                <w:sz w:val="18"/>
                <w:szCs w:val="18"/>
                <w:u w:val="none"/>
              </w:rPr>
            </w:pP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EF47">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01581">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206A">
            <w:pPr>
              <w:jc w:val="center"/>
              <w:rPr>
                <w:rFonts w:hint="eastAsia" w:asciiTheme="minorEastAsia" w:hAnsiTheme="minorEastAsia" w:eastAsiaTheme="minorEastAsia" w:cstheme="minorEastAsia"/>
                <w:b w:val="0"/>
                <w:bCs w:val="0"/>
                <w:i w:val="0"/>
                <w:iCs w:val="0"/>
                <w:color w:val="000000"/>
                <w:sz w:val="18"/>
                <w:szCs w:val="18"/>
                <w:u w:val="none"/>
              </w:rPr>
            </w:pPr>
          </w:p>
        </w:tc>
      </w:tr>
      <w:tr w14:paraId="0FBDC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6A6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900 万卡口抓拍单 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E1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1F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组</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6CD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 包含高清一体化嵌入式摄像机、高清镜头、室外防护罩、LED补光灯、风扇、电源适配器等；摄像机具有≥2个1英寸CCD或全局曝光CMOS传感器，支持≥4096×2160@25fps（不含OSD叠加）视频图像输出，视频压缩支持H.265、H.264、M-JPEG。</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 车辆捕获率应≥99%，车牌识别准确率应≥ 95%；支持补光灯、雷达、线圈检测器接入，支持机动车、非机动车和行人的抓拍和分析；支持车型、车身颜色、车标、车辆子品牌等车辆特征识别，支持压线、逆行、违法变道等违法检测功能。</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 不少于两个传感器（sensor）设计，具有独立分光棱镜分光结构装置，分别接收可见光和红外光，抓拍支持输出三张同时刻目标图片，包括可见光路图片（全彩），红外路图片（黑白）和融合图片（全彩），三张图片抓拍时间为同一时刻，抓拍运动目标，三张图片中目标位置相同无位移。（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 支持同时预览两路sensor视频，设备场景中放置红外LED常亮灯，朝向摄像机镜头，可见光路视频图像中补光灯灯珠完全无光，同时红外路视频图像补光灯可清晰看到灯珠亮光。</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 支持车辆抓拍，支持抓拍输出车牌局部照片、车窗局部照片、非机动车局部照片、场景全景图片。（需提供公安部所属检验机构出具的检测报告复印件）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 支持设置车辆抓拍位置到立杆的架设距离、设备架设高度，并在视频图像中显示位置信息。（需提供公安部所属检验机构出具的检测报告复印件）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 在满足GA/T 1202-2022一级补光标准，补光≤20lx 的前提下，抓拍图片满足 GA/T 832-2014标准中3.6.1要求， 配套符合GA/T 1202-2022标准的一级补光灯，设备抓拍车牌、车身颜色、车内前排人脸及衣着均清晰可见。（需提供公安部所属检验机构出具的检测报告复印件）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 支持对25×10 像素～1100×3000 像素的机动车车牌进行抓拍并识别，支持识别并抓拍垂直倾斜角度≤55°、水平倾斜角度≤35°、俯仰角度≤40°的机动车车牌。（需提供公安部所属检验机构出具的检测报告复印件）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 支持分别对11种车型（大货车、中货车、小货车、客车、小轿车、中客车、危险品运输车、校车、面包车、环卫车、其他车型）进行不同超速比设置，可设置18个超速比区间；在相同道路上，设备支持根据不同的超速比设置对不同车型进行超速抓拍，并输出不同的超速抓拍结果及违法代码。（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11. 支持检测并跟踪指定区域内不少于 245 个目标，目标包括机动车、非机动车以及行人。（需提供公安部所属检验机构出具的检测报告复印件）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12. ≥2个RJ45 100M/1000M自适应网口，≥3个RS485接口，≥5路补光灯控制接口，≥1个存储卡接口，防护等级≥IP66。</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982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7265">
            <w:pPr>
              <w:jc w:val="center"/>
              <w:rPr>
                <w:rFonts w:hint="eastAsia" w:asciiTheme="minorEastAsia" w:hAnsiTheme="minorEastAsia" w:eastAsiaTheme="minorEastAsia" w:cstheme="minorEastAsia"/>
                <w:b w:val="0"/>
                <w:bCs w:val="0"/>
                <w:i w:val="0"/>
                <w:iCs w:val="0"/>
                <w:color w:val="000000"/>
                <w:sz w:val="18"/>
                <w:szCs w:val="18"/>
                <w:u w:val="none"/>
              </w:rPr>
            </w:pPr>
          </w:p>
        </w:tc>
      </w:tr>
      <w:tr w14:paraId="26850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A6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900 万电警抓拍单元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64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07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组</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DF4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 包含高清一体化嵌入式摄像机、高清镜头、室外防护罩、LED补光灯、风扇、电源适配器等；摄像机采用≥1英寸CCD或全局曝光CMOS传感器，支持≥4096×2160@25fps（不含OSD叠加）视频图像输出；视频压缩支持H.265、H.264、M-JPEG；</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 车辆捕获率应≥99%，车牌识别准确率应≥ 95%；支持闯红灯抓拍功能，闯红灯捕获率≥95％，记录有效率≥90％；支持车型、车身颜色、车标、车辆子品牌等车辆特征识别，支持压线、逆行、不按导向行驶、绿灯停车、违法变道等违法检测功能；</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 支持车辆抓拍，支持抓拍输出车牌局部照片、车窗局部照片、非机动车局部照片、场景全景图片。（需提供公安部所属检验机构出具的检测报告复印件）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 支持设置车辆抓拍位置到立杆的架设距离、设备架设高度，并在视频图像中显示位置信息。（需提供公安部所属检验机构出具的检测报告复印件）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 支持对25×10 像素～1100×3000 像素的机动车车牌进行抓拍并识别，支持识别并抓拍垂直倾斜角度≤55°、水平倾斜角度≤35°、俯仰角度≤40°的机动车车牌。（需提供公安部所属检验机构出具的检测报告复印件）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 支持分别对11种车型（大货车、中货车、小货车、客车、小轿车、中客车、危险品运输车、校车、面包车、环卫车、其他车型）进行不同超速比设置，可设置18个超速比区间；在相同道路上，设备支持根据不同的超速比设置对不同车型进行超速抓拍，并输出不同的超速抓拍结果及违法代码。（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 支持检测并跟踪指定区域内不少于 245 个目标，目标包括机动车、非机动车以及行人。（需提供公安部所属检验机构出具的检测报告复印件）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 ≥2个RJ45 100M/1000M自适应网口，≥3个RS485接口，≥1个触发输入、≥5路补光灯控制接口，≥1个存储卡接口，防护等级≥IP66。</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BFC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1906">
            <w:pPr>
              <w:jc w:val="center"/>
              <w:rPr>
                <w:rFonts w:hint="eastAsia" w:asciiTheme="minorEastAsia" w:hAnsiTheme="minorEastAsia" w:eastAsiaTheme="minorEastAsia" w:cstheme="minorEastAsia"/>
                <w:b w:val="0"/>
                <w:bCs w:val="0"/>
                <w:i w:val="0"/>
                <w:iCs w:val="0"/>
                <w:color w:val="000000"/>
                <w:sz w:val="18"/>
                <w:szCs w:val="18"/>
                <w:u w:val="none"/>
              </w:rPr>
            </w:pPr>
          </w:p>
        </w:tc>
      </w:tr>
      <w:tr w14:paraId="107FC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3CC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多合一环保补光灯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42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6C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组</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89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 符合GA/T 1202-2022《交通技术监控成像补光装置通用技术条件》；（需提供公安部所属检验机构出具的检测报告复印件）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 补光装置光源包括LED光源（一级频闪）、气体放电光源（二级脉冲）和红外光源；</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 采用LED光源和气灯放电两种光源，LED光源呈圆形排布，气体放电光源前置转轴叶片，支持红外和白光补光切换；</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 支持LED频闪、LED爆闪、白光气体爆闪及红外气体爆闪四种补光方式，可通过远程控制切换；</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 眩光阀值增量TI≤1.08%；</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 触发信号异常时，爆闪灯进入自动保护，触发信号输入正常，爆闪灯自动恢复正常</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 ≥1路RS485接口、1路气体脉冲爆闪输入接口，≥1路光源切换接口，≥1路频闪输入接口、≥1路LED爆闪输入接口；</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 可通过RS485进行远程升级；</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 支持记录闪光灯闪光次数；</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 防护等级≥IP66。</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6E8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4330">
            <w:pPr>
              <w:jc w:val="center"/>
              <w:rPr>
                <w:rFonts w:hint="eastAsia" w:asciiTheme="minorEastAsia" w:hAnsiTheme="minorEastAsia" w:eastAsiaTheme="minorEastAsia" w:cstheme="minorEastAsia"/>
                <w:b w:val="0"/>
                <w:bCs w:val="0"/>
                <w:i w:val="0"/>
                <w:iCs w:val="0"/>
                <w:color w:val="000000"/>
                <w:sz w:val="18"/>
                <w:szCs w:val="18"/>
                <w:u w:val="none"/>
              </w:rPr>
            </w:pPr>
          </w:p>
        </w:tc>
      </w:tr>
      <w:tr w14:paraId="67EAB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93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LED 频闪灯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EC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54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E1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1.光源类型：≥16颗原装大功率LED；</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2.发光角度≥10°；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3.符合GA/T 1202-2022《交通技术监控成像补光装置通用技术条件》中的一级补光装置要求；（需提供公安部所属检验机构出具的检测报告复印件）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4.覆盖范围：单车道环境补光灯；</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5.最佳补光范围≥16米～25米；</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6.触发方式： 4V~6V电平量触发；</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7.触发信号：频率15~250HZ，占空比1%~39%，响应时间小于20US；</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8.防护等级：≥IP66；</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9.工作电压：AC220V；</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10.额定功率：≤35Wmax。</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9FF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B5A1">
            <w:pPr>
              <w:jc w:val="center"/>
              <w:rPr>
                <w:rFonts w:hint="eastAsia" w:asciiTheme="minorEastAsia" w:hAnsiTheme="minorEastAsia" w:eastAsiaTheme="minorEastAsia" w:cstheme="minorEastAsia"/>
                <w:b w:val="0"/>
                <w:bCs w:val="0"/>
                <w:i w:val="0"/>
                <w:iCs w:val="0"/>
                <w:color w:val="000000"/>
                <w:sz w:val="18"/>
                <w:szCs w:val="18"/>
                <w:u w:val="none"/>
              </w:rPr>
            </w:pPr>
          </w:p>
        </w:tc>
      </w:tr>
      <w:tr w14:paraId="1BD40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0AC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红绿灯信号检测器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7F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FD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F6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 红绿灯信号检测器，采用工业级嵌入式微控制器；</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 具有≥6路RS485、≥16路AC220V信号灯输入接口、≥16路信号状态指示灯，≥1路RS485数据收发状态指示灯；（需提供公安部所属检验机构出具的检测报告复印件）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 检测信号灯电压范围AC110V~274V，信号灯输入端口有信号输入时，RS485端口会上传该端口的状态信息；（需提供公安部所属检验机构出具的检测报告复印件）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 工作温度：-30℃～+70℃</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892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4077">
            <w:pPr>
              <w:jc w:val="center"/>
              <w:rPr>
                <w:rFonts w:hint="eastAsia" w:asciiTheme="minorEastAsia" w:hAnsiTheme="minorEastAsia" w:eastAsiaTheme="minorEastAsia" w:cstheme="minorEastAsia"/>
                <w:b w:val="0"/>
                <w:bCs w:val="0"/>
                <w:i w:val="0"/>
                <w:iCs w:val="0"/>
                <w:color w:val="000000"/>
                <w:sz w:val="18"/>
                <w:szCs w:val="18"/>
                <w:u w:val="none"/>
              </w:rPr>
            </w:pPr>
          </w:p>
        </w:tc>
      </w:tr>
      <w:tr w14:paraId="5BD4E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38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终端服务器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D8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66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台</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A3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 设备采用嵌入式操作系统，全机身散热，内部无风扇，支持车辆卡口、违法、目标、人体以及其他事件结构化图片存储，支持视频预览、录像和回放，支持配置录像计划，录像和图片存储空间可配置。</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 支持≥4块3.5或2.5英寸硬盘接入，兼容≥8TB硬盘，支持硬盘自动切换，当块硬盘损坏后，能自动切换至其它硬盘进行存储，内置≥8T监控级硬盘；</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 具有记录、回放、报警联动、图像检索、权限管理、视频水印、日志功能、支持叠加图像标识信息和时间，支持图像多画面显示。</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 ≥18个10M/100M/1000M 自适应RJ45接口，≥2个1000M SFP光口，≥1个USB3.0接口，≥2个RS-485接口。（需提供公安部所属检验机构出具的检测报告复印件）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 支持内置GPS/北斗模块，实现GPS和北斗校时、定位功能，支持将经纬度信息叠加在图片或者视频上，定位校时模块可插拔更换。（需提供公安部所属检验机构出具的检测报告复印件）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 支持添加不少于24路IP摄像机，总码率不小于350Mbps，支持对接入摄像机进行实时预览与录像存储，支持对图片进行实时预览和存储，并可将IP摄像机的视频图像通过网络传输至客户端。（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 支持接入具有ABF聚焦功能的摄像机，可对视频图像进行ABF聚焦，支持接入鱼眼摄像机、双目摄像机、三目摄像机、四目摄像机、八目枪球联动一体机及全局摄像机，并可将视频图像以多画面分割方式显示，可自定义画面布局。（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 可接入G.711a、G.711Mu、G.722.1、G.726、G.729、PCM、AAC、MPEG2-layer2音频编码格式的IPC，可将音频采样率设置为8kHz、16kHz、32kHz、48kHz、64kHz。（需提供公安部所属检验机构出具的检测报告复印件）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 支持图像化展示设备所连通道的在线、离线、未启用状态，支持展示各通道上线、离线时间；支持查看通道状态统计信息。（需提供公安部所属检验机构出具的检测报告复印件）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 支持将原始图片、特写图片、合成图片、车牌抠图、关联录像、主驾驶人脸图片、副驾驶人脸图片、行人人脸图片、非机动车人脸图片上传至FTP服务器。（需提供公安部所属检验机构出具的检测报告复印件）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11. 支持配置路段名称、路段编号、路段距离，能够对驶入驶出该路段的车辆抓拍数据匹配并计算车辆的区间速度值，支持设置过滤阈值，对异常测速结果进行过滤，支持超速检测和欠速检测，可分别设定高限速和低限速值。（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12. 支持不少于36种车辆类型图片接收、展示、合成、上传。包括未知、客车、大货车、中货车、轿车、面包车、小货车、三轮车、行人、SUV-MPV、中客车、危化品车辆、SUV、MPV、公交车、皮卡车、微型车、油罐车、槽罐车、渣土车、混凝土搅拌车、出租车、警车、救护车、普通车、环卫车、消防车、拖拉机、工程车、粉粒物料运输车、吸污车、普通罐车、二轮车、自行车、厢式三轮车、载人敞篷三轮车、不载人敞篷三轮车。（需提供公安部所属检验机构出具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13. 支持设置最大速度阈值，控制最大显示速度；支持开启速度控制，设置安全速度阈值、告警速度阈值、超速速度阈值及对应的字体颜色，按速度区段区分显示字体颜色；支持仅超速显示车速、卡口合成上传、违法合成上传、无牌车上传、警牌上传、车牌隐私保护等多种个性发布方式；支持按图片类型区分设置显示内容和字体颜色、是否启用语音播报及播报内容，支持的图片类型有超速、违法变道、违法停车、预违停、违法倒车、逆行、卡口、未礼让行人、闯红灯、不按导向箭头行驶、车辆拥堵禁入、压白线、机占非、占用应急车道、右转不礼让行人、大弯小转、禁货等。（需提供公安部所属检验机构出具的检测报告复印件）</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4DC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49A1">
            <w:pPr>
              <w:jc w:val="center"/>
              <w:rPr>
                <w:rFonts w:hint="eastAsia" w:asciiTheme="minorEastAsia" w:hAnsiTheme="minorEastAsia" w:eastAsiaTheme="minorEastAsia" w:cstheme="minorEastAsia"/>
                <w:b w:val="0"/>
                <w:bCs w:val="0"/>
                <w:i w:val="0"/>
                <w:iCs w:val="0"/>
                <w:color w:val="000000"/>
                <w:sz w:val="18"/>
                <w:szCs w:val="18"/>
                <w:u w:val="none"/>
              </w:rPr>
            </w:pPr>
          </w:p>
        </w:tc>
      </w:tr>
      <w:tr w14:paraId="74D13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BA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落地机柜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D7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9D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台</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F3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1.设备安装基于 19 英寸标准结构设计，有≥17U 安装空间，具有良好的安装通用性；</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2.机柜含有强电模块，包含220V电源防雷，2P25A空气≥1个，三芯插座≥1个，1P10A空开≥8个；</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3.机柜为单层机构，外侧钣金厚度为≥ 1.2mm，有效的保证了机柜的强度需求；</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4.风扇安装在柜体的顶部居中位置，可有效的降低主设备散发出来的温度；</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5.机柜内含照明模块，方便设备夜间维护；</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6.防护等级≥IP55，保护内部设备不受外界恶劣环境的干扰；</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7.外部环境温度：≥-20℃~45℃；</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8.贮存温度：≥-40℃~70℃；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9.机柜内部相对湿度：≤85%（+30℃）；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10.贮存湿度：≥0~100%；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11.大气压强：≥70~106KPa。</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536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3F2A">
            <w:pPr>
              <w:jc w:val="center"/>
              <w:rPr>
                <w:rFonts w:hint="eastAsia" w:asciiTheme="minorEastAsia" w:hAnsiTheme="minorEastAsia" w:eastAsiaTheme="minorEastAsia" w:cstheme="minorEastAsia"/>
                <w:b w:val="0"/>
                <w:bCs w:val="0"/>
                <w:i w:val="0"/>
                <w:iCs w:val="0"/>
                <w:color w:val="000000"/>
                <w:sz w:val="18"/>
                <w:szCs w:val="18"/>
                <w:u w:val="none"/>
              </w:rPr>
            </w:pPr>
          </w:p>
        </w:tc>
      </w:tr>
      <w:tr w14:paraId="394A9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2C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网线收发器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CA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81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对</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61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千兆单模双纤光纤收发器、RJ-45，SC/FC/ST，20km</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617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EB73">
            <w:pPr>
              <w:jc w:val="center"/>
              <w:rPr>
                <w:rFonts w:hint="eastAsia" w:asciiTheme="minorEastAsia" w:hAnsiTheme="minorEastAsia" w:eastAsiaTheme="minorEastAsia" w:cstheme="minorEastAsia"/>
                <w:b w:val="0"/>
                <w:bCs w:val="0"/>
                <w:i w:val="0"/>
                <w:iCs w:val="0"/>
                <w:color w:val="000000"/>
                <w:sz w:val="18"/>
                <w:szCs w:val="18"/>
                <w:u w:val="none"/>
              </w:rPr>
            </w:pPr>
          </w:p>
        </w:tc>
      </w:tr>
      <w:tr w14:paraId="447EE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49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交换机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E4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C3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台</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5D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≥8个10/100/1000Mbps RJ45 端口，IEEE 802.3 、IEEE 802.3u、IEEE 802.3ab、IEEE 802.3x，9VDC/0.6A</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6EB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A361">
            <w:pPr>
              <w:jc w:val="center"/>
              <w:rPr>
                <w:rFonts w:hint="eastAsia" w:asciiTheme="minorEastAsia" w:hAnsiTheme="minorEastAsia" w:eastAsiaTheme="minorEastAsia" w:cstheme="minorEastAsia"/>
                <w:b w:val="0"/>
                <w:bCs w:val="0"/>
                <w:i w:val="0"/>
                <w:iCs w:val="0"/>
                <w:color w:val="000000"/>
                <w:sz w:val="18"/>
                <w:szCs w:val="18"/>
                <w:u w:val="none"/>
              </w:rPr>
            </w:pPr>
          </w:p>
        </w:tc>
      </w:tr>
      <w:tr w14:paraId="07477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72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交换机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4A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89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台</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87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≥24个10/100/1000M自适应以太网端口，IEEE802.3 10BASE-T以太网IEEE802.3u 100BASE-TX快速以太网IEEE802.3ab 1000Base-T 千兆以太网ANSI/IEEE802.3 NWay自动协商IEEE802.3x流控 </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100-240V AC</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7D9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A5C0">
            <w:pPr>
              <w:jc w:val="center"/>
              <w:rPr>
                <w:rFonts w:hint="eastAsia" w:asciiTheme="minorEastAsia" w:hAnsiTheme="minorEastAsia" w:eastAsiaTheme="minorEastAsia" w:cstheme="minorEastAsia"/>
                <w:b w:val="0"/>
                <w:bCs w:val="0"/>
                <w:i w:val="0"/>
                <w:iCs w:val="0"/>
                <w:color w:val="000000"/>
                <w:sz w:val="18"/>
                <w:szCs w:val="18"/>
                <w:u w:val="none"/>
              </w:rPr>
            </w:pPr>
          </w:p>
        </w:tc>
      </w:tr>
      <w:tr w14:paraId="2E2A7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A81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八棱监控杆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D6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9C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55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H=6.5m，L=6m规格：</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（1）钢杆臂厚不低于6mm，材质Q235以上，其力学性能满足信号灯杆的强度要求，设计可抗最大风速39.6米/秒(抗风压等级为10级)，承受压力为0.6千牛，抗地震强度为8级。</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（2）焊体表面焊波均匀、无裂纹、气孔、夹渣、烧穿、未融合，弧坑和针状气体等，焊缝均匀丰满美观。</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（3）杆体内外热浸锌处理，镀层均匀、无色差，镀层≥60μm。</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251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390F">
            <w:pPr>
              <w:jc w:val="center"/>
              <w:rPr>
                <w:rFonts w:hint="eastAsia" w:asciiTheme="minorEastAsia" w:hAnsiTheme="minorEastAsia" w:eastAsiaTheme="minorEastAsia" w:cstheme="minorEastAsia"/>
                <w:b w:val="0"/>
                <w:bCs w:val="0"/>
                <w:i w:val="0"/>
                <w:iCs w:val="0"/>
                <w:color w:val="000000"/>
                <w:sz w:val="18"/>
                <w:szCs w:val="18"/>
                <w:u w:val="none"/>
              </w:rPr>
            </w:pPr>
          </w:p>
        </w:tc>
      </w:tr>
      <w:tr w14:paraId="0C3EA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C1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八棱监控杆基础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D9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60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个</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24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基坑开挖（1.2*1.2*1.6）m³，渣土外运5km，c25商混浇筑</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8BE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73D2">
            <w:pPr>
              <w:jc w:val="center"/>
              <w:rPr>
                <w:rFonts w:hint="eastAsia" w:asciiTheme="minorEastAsia" w:hAnsiTheme="minorEastAsia" w:eastAsiaTheme="minorEastAsia" w:cstheme="minorEastAsia"/>
                <w:b w:val="0"/>
                <w:bCs w:val="0"/>
                <w:i w:val="0"/>
                <w:iCs w:val="0"/>
                <w:color w:val="000000"/>
                <w:sz w:val="18"/>
                <w:szCs w:val="18"/>
                <w:u w:val="none"/>
              </w:rPr>
            </w:pPr>
          </w:p>
        </w:tc>
      </w:tr>
      <w:tr w14:paraId="0E164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92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抱杆箱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DA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A1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台</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0A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【抱杆箱】</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尺寸：600mm（宽）× 800mm（高）× 435.5mm（深）</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含双路220V防雷，双路空气开关1个，单路空气开关8个，三芯维护插座1个</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安装基于 19 英寸标准结构设计，有18U 安装空间，具有良好的安装通用性</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防护等级IP55</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DDB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92B7">
            <w:pPr>
              <w:jc w:val="center"/>
              <w:rPr>
                <w:rFonts w:hint="eastAsia" w:asciiTheme="minorEastAsia" w:hAnsiTheme="minorEastAsia" w:eastAsiaTheme="minorEastAsia" w:cstheme="minorEastAsia"/>
                <w:b w:val="0"/>
                <w:bCs w:val="0"/>
                <w:i w:val="0"/>
                <w:iCs w:val="0"/>
                <w:color w:val="000000"/>
                <w:sz w:val="18"/>
                <w:szCs w:val="18"/>
                <w:u w:val="none"/>
              </w:rPr>
            </w:pPr>
          </w:p>
        </w:tc>
      </w:tr>
      <w:tr w14:paraId="2AD30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8B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电源线电缆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64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40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4C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RVV-0.5kV-3*1.5mm2</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E59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CC03">
            <w:pPr>
              <w:jc w:val="center"/>
              <w:rPr>
                <w:rFonts w:hint="eastAsia" w:asciiTheme="minorEastAsia" w:hAnsiTheme="minorEastAsia" w:eastAsiaTheme="minorEastAsia" w:cstheme="minorEastAsia"/>
                <w:b w:val="0"/>
                <w:bCs w:val="0"/>
                <w:i w:val="0"/>
                <w:iCs w:val="0"/>
                <w:color w:val="000000"/>
                <w:sz w:val="18"/>
                <w:szCs w:val="18"/>
                <w:u w:val="none"/>
              </w:rPr>
            </w:pPr>
          </w:p>
        </w:tc>
      </w:tr>
      <w:tr w14:paraId="3F597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E3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网线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CE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6F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箱</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E5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CAT.6六类网线参照EI刀TIA-568B和ISO/IEC11801国际六类传输标准设计制造，高速1000MBPS以太网要求和应用；成品标准网线参照 ANSI/TIA/EIA中6类相关的标准要求，广泛应用于设备间或水平子系统，为通讯设备、模块化配线架实现快速互连；从而保证系统的传输的可靠性，具 有极低的损耗和较高的带宽，适合大范围的高速度，大容量等多媒体工程及家装综合水平布线系统。10门加门000MBPS自适应传输速率，全面支持ISDN， ANALOG (宽频、基频)和数位影像及声音，16MBPS TOKEN RING，10BASE-T，100BASE-T， 155/622MBPS ATM及GIGABIT ETHERNET，100MBPS TP-PMD/CDDI AND FAST ETHERNET等网路应用。</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1E7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E14F">
            <w:pPr>
              <w:jc w:val="center"/>
              <w:rPr>
                <w:rFonts w:hint="eastAsia" w:asciiTheme="minorEastAsia" w:hAnsiTheme="minorEastAsia" w:eastAsiaTheme="minorEastAsia" w:cstheme="minorEastAsia"/>
                <w:b w:val="0"/>
                <w:bCs w:val="0"/>
                <w:i w:val="0"/>
                <w:iCs w:val="0"/>
                <w:color w:val="000000"/>
                <w:sz w:val="18"/>
                <w:szCs w:val="18"/>
                <w:u w:val="none"/>
              </w:rPr>
            </w:pPr>
          </w:p>
        </w:tc>
      </w:tr>
      <w:tr w14:paraId="69A4D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AD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室外光纤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F6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FD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CC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GYXTW-8B，八芯室外单模光纤缆线</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1、应用于园区中楼宇间的连接，长距离网络、主干线系统、本地环路或支路网络、严重潮湿的户外环境、温度 变化极大的环境、架空连接（和悬缆线一起使用）、地下管道或直埋、悬吊缆/服务缆。</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 管内灌注防水凝胶，以防止水渗入。</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 平行钢丝提高对光纤的保护。</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 聚乙烯外衣在紫外线或恶劣的室外环境下有保护作用。</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 低磨擦的外皮使之可轻松穿过管道。</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81A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A33C">
            <w:pPr>
              <w:jc w:val="center"/>
              <w:rPr>
                <w:rFonts w:hint="eastAsia" w:asciiTheme="minorEastAsia" w:hAnsiTheme="minorEastAsia" w:eastAsiaTheme="minorEastAsia" w:cstheme="minorEastAsia"/>
                <w:b w:val="0"/>
                <w:bCs w:val="0"/>
                <w:i w:val="0"/>
                <w:iCs w:val="0"/>
                <w:color w:val="000000"/>
                <w:sz w:val="18"/>
                <w:szCs w:val="18"/>
                <w:u w:val="none"/>
              </w:rPr>
            </w:pPr>
          </w:p>
        </w:tc>
      </w:tr>
      <w:tr w14:paraId="7D4DA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85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485 信号线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F7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D2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6A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rvsp2*1mm2</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40A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3685">
            <w:pPr>
              <w:jc w:val="center"/>
              <w:rPr>
                <w:rFonts w:hint="eastAsia" w:asciiTheme="minorEastAsia" w:hAnsiTheme="minorEastAsia" w:eastAsiaTheme="minorEastAsia" w:cstheme="minorEastAsia"/>
                <w:b w:val="0"/>
                <w:bCs w:val="0"/>
                <w:i w:val="0"/>
                <w:iCs w:val="0"/>
                <w:color w:val="000000"/>
                <w:sz w:val="18"/>
                <w:szCs w:val="18"/>
                <w:u w:val="none"/>
              </w:rPr>
            </w:pPr>
          </w:p>
        </w:tc>
      </w:tr>
      <w:tr w14:paraId="546BD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A6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机柜基础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2E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F6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座</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C9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落地机柜基础制作、基础尺寸：≥1400*640*560mm；机柜安装等</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784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56E1">
            <w:pPr>
              <w:jc w:val="center"/>
              <w:rPr>
                <w:rFonts w:hint="eastAsia" w:asciiTheme="minorEastAsia" w:hAnsiTheme="minorEastAsia" w:eastAsiaTheme="minorEastAsia" w:cstheme="minorEastAsia"/>
                <w:b w:val="0"/>
                <w:bCs w:val="0"/>
                <w:i w:val="0"/>
                <w:iCs w:val="0"/>
                <w:color w:val="000000"/>
                <w:sz w:val="18"/>
                <w:szCs w:val="18"/>
                <w:u w:val="none"/>
              </w:rPr>
            </w:pPr>
          </w:p>
        </w:tc>
      </w:tr>
      <w:tr w14:paraId="36413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E7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管线施工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25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110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DA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D4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管沟开挖与恢复400*500mm²，敷管PE80聚乙烯(PE)管</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A35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D99E">
            <w:pPr>
              <w:jc w:val="center"/>
              <w:rPr>
                <w:rFonts w:hint="eastAsia" w:asciiTheme="minorEastAsia" w:hAnsiTheme="minorEastAsia" w:eastAsiaTheme="minorEastAsia" w:cstheme="minorEastAsia"/>
                <w:b w:val="0"/>
                <w:bCs w:val="0"/>
                <w:i w:val="0"/>
                <w:iCs w:val="0"/>
                <w:color w:val="000000"/>
                <w:sz w:val="18"/>
                <w:szCs w:val="18"/>
                <w:u w:val="none"/>
              </w:rPr>
            </w:pPr>
          </w:p>
        </w:tc>
      </w:tr>
      <w:tr w14:paraId="0A7D2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28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文明施工等费用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18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F6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项</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84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防雾治霾、围挡搭建、拆除等</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490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2C92">
            <w:pPr>
              <w:jc w:val="center"/>
              <w:rPr>
                <w:rFonts w:hint="eastAsia" w:asciiTheme="minorEastAsia" w:hAnsiTheme="minorEastAsia" w:eastAsiaTheme="minorEastAsia" w:cstheme="minorEastAsia"/>
                <w:b w:val="0"/>
                <w:bCs w:val="0"/>
                <w:i w:val="0"/>
                <w:iCs w:val="0"/>
                <w:color w:val="000000"/>
                <w:sz w:val="18"/>
                <w:szCs w:val="18"/>
                <w:u w:val="none"/>
              </w:rPr>
            </w:pPr>
          </w:p>
        </w:tc>
      </w:tr>
      <w:tr w14:paraId="6D5F2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48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运输安装调试费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42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7D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处</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2A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设备转运、安装、吊装、系统调试、光缆熔续等施工</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445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052A">
            <w:pPr>
              <w:jc w:val="center"/>
              <w:rPr>
                <w:rFonts w:hint="eastAsia" w:asciiTheme="minorEastAsia" w:hAnsiTheme="minorEastAsia" w:eastAsiaTheme="minorEastAsia" w:cstheme="minorEastAsia"/>
                <w:b w:val="0"/>
                <w:bCs w:val="0"/>
                <w:i w:val="0"/>
                <w:iCs w:val="0"/>
                <w:color w:val="000000"/>
                <w:sz w:val="18"/>
                <w:szCs w:val="18"/>
                <w:u w:val="none"/>
              </w:rPr>
            </w:pPr>
          </w:p>
        </w:tc>
      </w:tr>
      <w:tr w14:paraId="2F617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5A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九、标线施划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A5FA">
            <w:pPr>
              <w:jc w:val="center"/>
              <w:rPr>
                <w:rFonts w:hint="eastAsia" w:asciiTheme="minorEastAsia" w:hAnsiTheme="minorEastAsia" w:eastAsiaTheme="minorEastAsia" w:cstheme="minorEastAsia"/>
                <w:b w:val="0"/>
                <w:bCs w:val="0"/>
                <w:i w:val="0"/>
                <w:iCs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26D2">
            <w:pPr>
              <w:jc w:val="center"/>
              <w:rPr>
                <w:rFonts w:hint="eastAsia" w:asciiTheme="minorEastAsia" w:hAnsiTheme="minorEastAsia" w:eastAsiaTheme="minorEastAsia" w:cstheme="minorEastAsia"/>
                <w:b w:val="0"/>
                <w:bCs w:val="0"/>
                <w:i w:val="0"/>
                <w:iCs w:val="0"/>
                <w:color w:val="000000"/>
                <w:sz w:val="18"/>
                <w:szCs w:val="18"/>
                <w:u w:val="none"/>
              </w:rPr>
            </w:pP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B18E">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37FA8">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5E8E">
            <w:pPr>
              <w:jc w:val="center"/>
              <w:rPr>
                <w:rFonts w:hint="eastAsia" w:asciiTheme="minorEastAsia" w:hAnsiTheme="minorEastAsia" w:eastAsiaTheme="minorEastAsia" w:cstheme="minorEastAsia"/>
                <w:b w:val="0"/>
                <w:bCs w:val="0"/>
                <w:i w:val="0"/>
                <w:iCs w:val="0"/>
                <w:color w:val="000000"/>
                <w:sz w:val="18"/>
                <w:szCs w:val="18"/>
                <w:u w:val="none"/>
              </w:rPr>
            </w:pPr>
          </w:p>
        </w:tc>
      </w:tr>
      <w:tr w14:paraId="0D892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737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长江路与巴音路丁字路口</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06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87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r>
              <w:rPr>
                <w:rStyle w:val="139"/>
                <w:rFonts w:hint="eastAsia" w:asciiTheme="minorEastAsia" w:hAnsiTheme="minorEastAsia" w:eastAsiaTheme="minorEastAsia" w:cstheme="minorEastAsia"/>
                <w:b w:val="0"/>
                <w:bCs w:val="0"/>
                <w:sz w:val="18"/>
                <w:szCs w:val="18"/>
                <w:lang w:val="en-US" w:eastAsia="zh-CN" w:bidi="ar"/>
              </w:rPr>
              <w:t>2</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top"/>
          </w:tcPr>
          <w:p w14:paraId="361D6A03">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线型：停止线1条，长度：8m，宽度：0.4m。热熔型。</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62B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ADD1">
            <w:pPr>
              <w:jc w:val="center"/>
              <w:rPr>
                <w:rFonts w:hint="eastAsia" w:asciiTheme="minorEastAsia" w:hAnsiTheme="minorEastAsia" w:eastAsiaTheme="minorEastAsia" w:cstheme="minorEastAsia"/>
                <w:b w:val="0"/>
                <w:bCs w:val="0"/>
                <w:i w:val="0"/>
                <w:iCs w:val="0"/>
                <w:color w:val="000000"/>
                <w:sz w:val="18"/>
                <w:szCs w:val="18"/>
                <w:u w:val="none"/>
              </w:rPr>
            </w:pPr>
          </w:p>
        </w:tc>
      </w:tr>
      <w:tr w14:paraId="1E951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7E69E">
            <w:pPr>
              <w:rPr>
                <w:rFonts w:hint="eastAsia" w:asciiTheme="minorEastAsia" w:hAnsiTheme="minorEastAsia" w:eastAsiaTheme="minorEastAsia" w:cstheme="minorEastAsia"/>
                <w:b w:val="0"/>
                <w:bCs w:val="0"/>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30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B9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r>
              <w:rPr>
                <w:rStyle w:val="139"/>
                <w:rFonts w:hint="eastAsia" w:asciiTheme="minorEastAsia" w:hAnsiTheme="minorEastAsia" w:eastAsiaTheme="minorEastAsia" w:cstheme="minorEastAsia"/>
                <w:b w:val="0"/>
                <w:bCs w:val="0"/>
                <w:sz w:val="18"/>
                <w:szCs w:val="18"/>
                <w:lang w:val="en-US" w:eastAsia="zh-CN" w:bidi="ar"/>
              </w:rPr>
              <w:t>2</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top"/>
          </w:tcPr>
          <w:p w14:paraId="53A7F24D">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线型：菱形标线4个，标线宽：0.2m，高度：3m，宽度：1.5m。热熔型。</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55D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F2F0">
            <w:pPr>
              <w:jc w:val="center"/>
              <w:rPr>
                <w:rFonts w:hint="eastAsia" w:asciiTheme="minorEastAsia" w:hAnsiTheme="minorEastAsia" w:eastAsiaTheme="minorEastAsia" w:cstheme="minorEastAsia"/>
                <w:b w:val="0"/>
                <w:bCs w:val="0"/>
                <w:i w:val="0"/>
                <w:iCs w:val="0"/>
                <w:color w:val="000000"/>
                <w:sz w:val="18"/>
                <w:szCs w:val="18"/>
                <w:u w:val="none"/>
              </w:rPr>
            </w:pPr>
          </w:p>
        </w:tc>
      </w:tr>
      <w:tr w14:paraId="17D57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E6F48">
            <w:pPr>
              <w:rPr>
                <w:rFonts w:hint="eastAsia" w:asciiTheme="minorEastAsia" w:hAnsiTheme="minorEastAsia" w:eastAsiaTheme="minorEastAsia" w:cstheme="minorEastAsia"/>
                <w:b w:val="0"/>
                <w:bCs w:val="0"/>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45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2.7</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BB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r>
              <w:rPr>
                <w:rStyle w:val="139"/>
                <w:rFonts w:hint="eastAsia" w:asciiTheme="minorEastAsia" w:hAnsiTheme="minorEastAsia" w:eastAsiaTheme="minorEastAsia" w:cstheme="minorEastAsia"/>
                <w:b w:val="0"/>
                <w:bCs w:val="0"/>
                <w:sz w:val="18"/>
                <w:szCs w:val="18"/>
                <w:lang w:val="en-US" w:eastAsia="zh-CN" w:bidi="ar"/>
              </w:rPr>
              <w:t>2</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top"/>
          </w:tcPr>
          <w:p w14:paraId="67C0FC47">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线型：3m直行箭头2个；长度：3m，宽：0.45m。热熔型</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B5B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93A6">
            <w:pPr>
              <w:jc w:val="center"/>
              <w:rPr>
                <w:rFonts w:hint="eastAsia" w:asciiTheme="minorEastAsia" w:hAnsiTheme="minorEastAsia" w:eastAsiaTheme="minorEastAsia" w:cstheme="minorEastAsia"/>
                <w:b w:val="0"/>
                <w:bCs w:val="0"/>
                <w:i w:val="0"/>
                <w:iCs w:val="0"/>
                <w:color w:val="000000"/>
                <w:sz w:val="18"/>
                <w:szCs w:val="18"/>
                <w:u w:val="none"/>
              </w:rPr>
            </w:pPr>
          </w:p>
        </w:tc>
      </w:tr>
      <w:tr w14:paraId="14D47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3D971">
            <w:pPr>
              <w:rPr>
                <w:rFonts w:hint="eastAsia" w:asciiTheme="minorEastAsia" w:hAnsiTheme="minorEastAsia" w:eastAsiaTheme="minorEastAsia" w:cstheme="minorEastAsia"/>
                <w:b w:val="0"/>
                <w:bCs w:val="0"/>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32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13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r>
              <w:rPr>
                <w:rStyle w:val="139"/>
                <w:rFonts w:hint="eastAsia" w:asciiTheme="minorEastAsia" w:hAnsiTheme="minorEastAsia" w:eastAsiaTheme="minorEastAsia" w:cstheme="minorEastAsia"/>
                <w:b w:val="0"/>
                <w:bCs w:val="0"/>
                <w:sz w:val="18"/>
                <w:szCs w:val="18"/>
                <w:lang w:val="en-US" w:eastAsia="zh-CN" w:bidi="ar"/>
              </w:rPr>
              <w:t>2</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top"/>
          </w:tcPr>
          <w:p w14:paraId="094165B1">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线型：3m直行右转箭头2个；长度：3m，宽：0.9m。热熔型</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8B3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709E">
            <w:pPr>
              <w:jc w:val="center"/>
              <w:rPr>
                <w:rFonts w:hint="eastAsia" w:asciiTheme="minorEastAsia" w:hAnsiTheme="minorEastAsia" w:eastAsiaTheme="minorEastAsia" w:cstheme="minorEastAsia"/>
                <w:b w:val="0"/>
                <w:bCs w:val="0"/>
                <w:i w:val="0"/>
                <w:iCs w:val="0"/>
                <w:color w:val="000000"/>
                <w:sz w:val="18"/>
                <w:szCs w:val="18"/>
                <w:u w:val="none"/>
              </w:rPr>
            </w:pPr>
          </w:p>
        </w:tc>
      </w:tr>
      <w:tr w14:paraId="08A7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DA0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昆仑路与青年街丁字路口</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A0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5A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r>
              <w:rPr>
                <w:rStyle w:val="139"/>
                <w:rFonts w:hint="eastAsia" w:asciiTheme="minorEastAsia" w:hAnsiTheme="minorEastAsia" w:eastAsiaTheme="minorEastAsia" w:cstheme="minorEastAsia"/>
                <w:b w:val="0"/>
                <w:bCs w:val="0"/>
                <w:sz w:val="18"/>
                <w:szCs w:val="18"/>
                <w:lang w:val="en-US" w:eastAsia="zh-CN" w:bidi="ar"/>
              </w:rPr>
              <w:t>2</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top"/>
          </w:tcPr>
          <w:p w14:paraId="126D0FCD">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线型：停止线2条；长度：7m,宽度：0.4m。热熔型。</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D1C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B449">
            <w:pPr>
              <w:jc w:val="center"/>
              <w:rPr>
                <w:rFonts w:hint="eastAsia" w:asciiTheme="minorEastAsia" w:hAnsiTheme="minorEastAsia" w:eastAsiaTheme="minorEastAsia" w:cstheme="minorEastAsia"/>
                <w:b w:val="0"/>
                <w:bCs w:val="0"/>
                <w:i w:val="0"/>
                <w:iCs w:val="0"/>
                <w:color w:val="000000"/>
                <w:sz w:val="18"/>
                <w:szCs w:val="18"/>
                <w:u w:val="none"/>
              </w:rPr>
            </w:pPr>
          </w:p>
        </w:tc>
      </w:tr>
      <w:tr w14:paraId="35AF1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43603">
            <w:pPr>
              <w:rPr>
                <w:rFonts w:hint="eastAsia" w:asciiTheme="minorEastAsia" w:hAnsiTheme="minorEastAsia" w:eastAsiaTheme="minorEastAsia" w:cstheme="minorEastAsia"/>
                <w:b w:val="0"/>
                <w:bCs w:val="0"/>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75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67.2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B9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r>
              <w:rPr>
                <w:rStyle w:val="139"/>
                <w:rFonts w:hint="eastAsia" w:asciiTheme="minorEastAsia" w:hAnsiTheme="minorEastAsia" w:eastAsiaTheme="minorEastAsia" w:cstheme="minorEastAsia"/>
                <w:b w:val="0"/>
                <w:bCs w:val="0"/>
                <w:sz w:val="18"/>
                <w:szCs w:val="18"/>
                <w:lang w:val="en-US" w:eastAsia="zh-CN" w:bidi="ar"/>
              </w:rPr>
              <w:t>2</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top"/>
          </w:tcPr>
          <w:p w14:paraId="64BED3F2">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线型：斑马线2组；路宽14m,斑马线长度：6m，单组施划面积：6*14*0.4=33.6m</w:t>
            </w:r>
            <w:r>
              <w:rPr>
                <w:rStyle w:val="139"/>
                <w:rFonts w:hint="eastAsia" w:asciiTheme="minorEastAsia" w:hAnsiTheme="minorEastAsia" w:eastAsiaTheme="minorEastAsia" w:cstheme="minorEastAsia"/>
                <w:b w:val="0"/>
                <w:bCs w:val="0"/>
                <w:sz w:val="18"/>
                <w:szCs w:val="18"/>
                <w:lang w:val="en-US" w:eastAsia="zh-CN" w:bidi="ar"/>
              </w:rPr>
              <w:t>2</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。热熔型</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F2D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1AC4">
            <w:pPr>
              <w:jc w:val="center"/>
              <w:rPr>
                <w:rFonts w:hint="eastAsia" w:asciiTheme="minorEastAsia" w:hAnsiTheme="minorEastAsia" w:eastAsiaTheme="minorEastAsia" w:cstheme="minorEastAsia"/>
                <w:b w:val="0"/>
                <w:bCs w:val="0"/>
                <w:i w:val="0"/>
                <w:iCs w:val="0"/>
                <w:color w:val="000000"/>
                <w:sz w:val="18"/>
                <w:szCs w:val="18"/>
                <w:u w:val="none"/>
              </w:rPr>
            </w:pPr>
          </w:p>
        </w:tc>
      </w:tr>
      <w:tr w14:paraId="0020B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DEC4B">
            <w:pPr>
              <w:rPr>
                <w:rFonts w:hint="eastAsia" w:asciiTheme="minorEastAsia" w:hAnsiTheme="minorEastAsia" w:eastAsiaTheme="minorEastAsia" w:cstheme="minorEastAsia"/>
                <w:b w:val="0"/>
                <w:bCs w:val="0"/>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FC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26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r>
              <w:rPr>
                <w:rStyle w:val="139"/>
                <w:rFonts w:hint="eastAsia" w:asciiTheme="minorEastAsia" w:hAnsiTheme="minorEastAsia" w:eastAsiaTheme="minorEastAsia" w:cstheme="minorEastAsia"/>
                <w:b w:val="0"/>
                <w:bCs w:val="0"/>
                <w:sz w:val="18"/>
                <w:szCs w:val="18"/>
                <w:lang w:val="en-US" w:eastAsia="zh-CN" w:bidi="ar"/>
              </w:rPr>
              <w:t>2</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top"/>
          </w:tcPr>
          <w:p w14:paraId="34B30029">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线型：3m直行箭头4个；长度：3m，宽：0.45m。热熔型</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3A6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6425">
            <w:pPr>
              <w:jc w:val="center"/>
              <w:rPr>
                <w:rFonts w:hint="eastAsia" w:asciiTheme="minorEastAsia" w:hAnsiTheme="minorEastAsia" w:eastAsiaTheme="minorEastAsia" w:cstheme="minorEastAsia"/>
                <w:b w:val="0"/>
                <w:bCs w:val="0"/>
                <w:i w:val="0"/>
                <w:iCs w:val="0"/>
                <w:color w:val="000000"/>
                <w:sz w:val="18"/>
                <w:szCs w:val="18"/>
                <w:u w:val="none"/>
              </w:rPr>
            </w:pPr>
          </w:p>
        </w:tc>
      </w:tr>
      <w:tr w14:paraId="66618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4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845B4">
            <w:pPr>
              <w:rPr>
                <w:rFonts w:hint="eastAsia" w:asciiTheme="minorEastAsia" w:hAnsiTheme="minorEastAsia" w:eastAsiaTheme="minorEastAsia" w:cstheme="minorEastAsia"/>
                <w:b w:val="0"/>
                <w:bCs w:val="0"/>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E9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07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r>
              <w:rPr>
                <w:rStyle w:val="139"/>
                <w:rFonts w:hint="eastAsia" w:asciiTheme="minorEastAsia" w:hAnsiTheme="minorEastAsia" w:eastAsiaTheme="minorEastAsia" w:cstheme="minorEastAsia"/>
                <w:b w:val="0"/>
                <w:bCs w:val="0"/>
                <w:sz w:val="18"/>
                <w:szCs w:val="18"/>
                <w:lang w:val="en-US" w:eastAsia="zh-CN" w:bidi="ar"/>
              </w:rPr>
              <w:t>2</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top"/>
          </w:tcPr>
          <w:p w14:paraId="3161B26A">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线型：3m直行右转箭头2个；长度：3m，宽：0.9m。热熔型</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D51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2D55">
            <w:pPr>
              <w:jc w:val="center"/>
              <w:rPr>
                <w:rFonts w:hint="eastAsia" w:asciiTheme="minorEastAsia" w:hAnsiTheme="minorEastAsia" w:eastAsiaTheme="minorEastAsia" w:cstheme="minorEastAsia"/>
                <w:b w:val="0"/>
                <w:bCs w:val="0"/>
                <w:i w:val="0"/>
                <w:iCs w:val="0"/>
                <w:color w:val="000000"/>
                <w:sz w:val="18"/>
                <w:szCs w:val="18"/>
                <w:u w:val="none"/>
              </w:rPr>
            </w:pPr>
          </w:p>
        </w:tc>
      </w:tr>
      <w:tr w14:paraId="744D4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86EBB">
            <w:pPr>
              <w:rPr>
                <w:rFonts w:hint="eastAsia" w:asciiTheme="minorEastAsia" w:hAnsiTheme="minorEastAsia" w:eastAsiaTheme="minorEastAsia" w:cstheme="minorEastAsia"/>
                <w:b w:val="0"/>
                <w:bCs w:val="0"/>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B8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FB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r>
              <w:rPr>
                <w:rStyle w:val="139"/>
                <w:rFonts w:hint="eastAsia" w:asciiTheme="minorEastAsia" w:hAnsiTheme="minorEastAsia" w:eastAsiaTheme="minorEastAsia" w:cstheme="minorEastAsia"/>
                <w:b w:val="0"/>
                <w:bCs w:val="0"/>
                <w:sz w:val="18"/>
                <w:szCs w:val="18"/>
                <w:lang w:val="en-US" w:eastAsia="zh-CN" w:bidi="ar"/>
              </w:rPr>
              <w:t>2</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top"/>
          </w:tcPr>
          <w:p w14:paraId="00ABF9DB">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线型：3m左转箭头2个；长度：3m，宽：0.75m。热熔型</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04F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6129">
            <w:pPr>
              <w:jc w:val="center"/>
              <w:rPr>
                <w:rFonts w:hint="eastAsia" w:asciiTheme="minorEastAsia" w:hAnsiTheme="minorEastAsia" w:eastAsiaTheme="minorEastAsia" w:cstheme="minorEastAsia"/>
                <w:b w:val="0"/>
                <w:bCs w:val="0"/>
                <w:i w:val="0"/>
                <w:iCs w:val="0"/>
                <w:color w:val="000000"/>
                <w:sz w:val="18"/>
                <w:szCs w:val="18"/>
                <w:u w:val="none"/>
              </w:rPr>
            </w:pPr>
          </w:p>
        </w:tc>
      </w:tr>
      <w:tr w14:paraId="52482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E3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十、格尔木市长江源物流园沿线违停抓拍整治方案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9964">
            <w:pPr>
              <w:jc w:val="center"/>
              <w:rPr>
                <w:rFonts w:hint="eastAsia" w:asciiTheme="minorEastAsia" w:hAnsiTheme="minorEastAsia" w:eastAsiaTheme="minorEastAsia" w:cstheme="minorEastAsia"/>
                <w:b w:val="0"/>
                <w:bCs w:val="0"/>
                <w:i w:val="0"/>
                <w:iCs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DC3E">
            <w:pPr>
              <w:jc w:val="center"/>
              <w:rPr>
                <w:rFonts w:hint="eastAsia" w:asciiTheme="minorEastAsia" w:hAnsiTheme="minorEastAsia" w:eastAsiaTheme="minorEastAsia" w:cstheme="minorEastAsia"/>
                <w:b w:val="0"/>
                <w:bCs w:val="0"/>
                <w:i w:val="0"/>
                <w:iCs w:val="0"/>
                <w:color w:val="000000"/>
                <w:sz w:val="18"/>
                <w:szCs w:val="18"/>
                <w:u w:val="none"/>
              </w:rPr>
            </w:pP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0081">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E9FF7">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7970">
            <w:pPr>
              <w:jc w:val="center"/>
              <w:rPr>
                <w:rFonts w:hint="eastAsia" w:asciiTheme="minorEastAsia" w:hAnsiTheme="minorEastAsia" w:eastAsiaTheme="minorEastAsia" w:cstheme="minorEastAsia"/>
                <w:b w:val="0"/>
                <w:bCs w:val="0"/>
                <w:i w:val="0"/>
                <w:iCs w:val="0"/>
                <w:color w:val="000000"/>
                <w:sz w:val="18"/>
                <w:szCs w:val="18"/>
                <w:u w:val="none"/>
              </w:rPr>
            </w:pPr>
          </w:p>
        </w:tc>
      </w:tr>
      <w:tr w14:paraId="59726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EA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800 万交通</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枪球一体机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C2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DB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台</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EBE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枪球一体机采用一体化设计，由2镜头相机与2颗高性能GPU模块组成，聚合多种专为复杂场景设计的深度学习算法，实现违章取证抓拍、交通事件检测、交通数据采集、车辆检测多种智能功能，并支持车辆全结构化。</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枪机和球机通道同时支持违章取证、交通事件检测、交通数据采集、车辆检测功能，且两个通道可同时开启。</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违章取证：球机通道支持违停、逆行、压线、变道、机占非、掉头六种违章事件检测；枪机通道支持逆行、压线、变道、机占非、掉头五种违章事件检测。</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交通事件检测：球机通道支持抛洒物检测、行人检测、拥堵检测、路障检测、施工检测、交通事故检测、浓雾检测；枪机通道支持抛洒物检测、行人检测、停车检测、拥堵检测、路障检测、施工检测、交通事故检测、浓雾检测。</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交通数据采集：支持车流量、车道平均速度、车头时距、车头间距、车道时间占有率、车道空间占有率信息采集。</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车辆检测：支持过车抓拍，进行牌识，并对车辆进行全结构化分析。</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球机通道自带白光灯，支持针对车牌进行白光补光，提升产品适应范围；</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支持自动标定：内嵌多套枪机视场角参数和畸变参数，枪机在任意角度，任意焦距位置，均可以进行自动标定。</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采用一体化设计，单IP、单网线、单电源、免服务器，安装便捷</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车辆布控：支持车辆检测和车牌识别，对授权与非授权车辆进行布控跟踪，构建时空域场景。</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交通事件定位：提供违停、逆行、压线、变道、机占非、掉头等交通事件的经纬度信息</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支持35114国密</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支持一体化扬声器</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传感器类型：【全景】1/1.8＂progressivescanCMOS;【细节】1/1.8＂progressivescanCMOS</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最低照度：【全景】彩色0.0005Lux@(F1.4，AGCON)，黑白0.0001Lux@(F1.4，AGCON)，0LuxwithIR；【细节】彩色0.0005Lux@(F1.2，AGCON)，黑白0.0001Lux@(F1.2，AGCON)，0LuxwithIR；</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宽动态：120dB超宽动态</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光学变倍：【全景】4倍；【细节】40倍</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焦距：【全景】2.8-12mm；【细节】6.0-240mm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视场角：【全景】90°-34.5°；【细节】59°-1.8°</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白光照射距离：≥30m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红外照射距离：≥250m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防补光过曝：支持</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水平范围：【全景】0-90°；【细节】0-360°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垂直范围：【全景】-5-60°；【细节】-20-90°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水平速度：全景水平监控速度：0.1°-20°/s，速度可设；细节水平键控速度：0.1°-210°/s，速度可设，水平预置点速度：280°/s</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垂直速度：全景垂直键控速度：0.1°-20°/s,速度可设；细节垂直键控速度：0.1°-150°/s，速度可设；垂直预置点速度：250°/s</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主码流帧率分辨率：50Hz：25fps（4096×2160，3840×2160，2560×1440，1920×1080，1280×960，1280×720）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60Hz：30fps（4096×2160，3840×2160，2560×1440，1920×1080，1280×960，1280×720）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视频压缩标准：H.265;H.264;MJPEG</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网络接口：RJ45网口；自适应10M/100M/1000M网络数据</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SD卡扩展：【选配】最大支持256GBMicroSD卡，需出厂前预安装！</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报警输入：7路报警输入</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报警输出：2路报警输出</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音频输入：1路音频输入，音频峰值：2-2.4V[p-p]，输入阻抗：1kΩ±10%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音频输出：1路音频输出，线性电平，阻抗:600Ω</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RS485接口：采用半双工模式，支持自适应HIKVISION，PELCO-P和PELCO-D(可添加)协议</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供电方式：DC36V</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电源接口类型：直流供电</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电流及功耗：最大电流：2.5A；最大功耗：90W</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工作温湿度：-40℃-70℃；湿度小于95%</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恢复出厂设置：支持</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雨刷：支持</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尺寸：≥Ø485mm×487mm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重量：≥17kg</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防护：≥IP67</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7F0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F99B">
            <w:pPr>
              <w:jc w:val="center"/>
              <w:rPr>
                <w:rFonts w:hint="eastAsia" w:asciiTheme="minorEastAsia" w:hAnsiTheme="minorEastAsia" w:eastAsiaTheme="minorEastAsia" w:cstheme="minorEastAsia"/>
                <w:b w:val="0"/>
                <w:bCs w:val="0"/>
                <w:i w:val="0"/>
                <w:iCs w:val="0"/>
                <w:color w:val="000000"/>
                <w:sz w:val="18"/>
                <w:szCs w:val="18"/>
                <w:u w:val="none"/>
              </w:rPr>
            </w:pPr>
          </w:p>
        </w:tc>
      </w:tr>
      <w:tr w14:paraId="6EBEA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8736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监控杆体（7米立杆3米横臂）</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19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12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03D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立臂长7米，杆体口径190～150厚度5MM，横臂长3米，杆体口径140～100厚度4.0MM</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88B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24AD">
            <w:pPr>
              <w:jc w:val="center"/>
              <w:rPr>
                <w:rFonts w:hint="eastAsia" w:asciiTheme="minorEastAsia" w:hAnsiTheme="minorEastAsia" w:eastAsiaTheme="minorEastAsia" w:cstheme="minorEastAsia"/>
                <w:b w:val="0"/>
                <w:bCs w:val="0"/>
                <w:i w:val="0"/>
                <w:iCs w:val="0"/>
                <w:color w:val="000000"/>
                <w:sz w:val="18"/>
                <w:szCs w:val="18"/>
                <w:u w:val="none"/>
              </w:rPr>
            </w:pPr>
          </w:p>
        </w:tc>
      </w:tr>
      <w:tr w14:paraId="29C4C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7E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监控杆立杆</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施工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A7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52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点位</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E6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①挖坑：根据标准尺寸和图纸要求，在地面挖掘合适大小的坑穴；</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②倾斜立杆：将立杆倾斜放入坑穴，确保杆体与地面垂直；</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③混凝土浇筑：利用混凝土将杆体与地面固定，确保稳固度；</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④固定立杆：在混凝土凝固之前，使用支撑物或支架固定立杆。</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4FA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5054">
            <w:pPr>
              <w:jc w:val="center"/>
              <w:rPr>
                <w:rFonts w:hint="eastAsia" w:asciiTheme="minorEastAsia" w:hAnsiTheme="minorEastAsia" w:eastAsiaTheme="minorEastAsia" w:cstheme="minorEastAsia"/>
                <w:b w:val="0"/>
                <w:bCs w:val="0"/>
                <w:i w:val="0"/>
                <w:iCs w:val="0"/>
                <w:color w:val="000000"/>
                <w:sz w:val="18"/>
                <w:szCs w:val="18"/>
                <w:u w:val="none"/>
              </w:rPr>
            </w:pPr>
          </w:p>
        </w:tc>
      </w:tr>
      <w:tr w14:paraId="0DD78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54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设备安装调</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试</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A7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9D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处</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02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安装具体步骤：</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1.前端摄像头设备线缆铺设</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2.摄像头安装到吊顶，制作网线水晶头与电源线。</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3.硬盘录像机上架固定并接入网络通讯正常</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4.摄像头上电正常，通过海康专用搜索工具测试网络通讯正常。有网络不通的重新制作水晶头解决。</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调试具体步骤：</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1.调整摄像头监控角度</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2.配置硬盘录像机，添加录像计划，添加监控摄像头。测试监控录像功能正常。</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3.安装总控管理平台到电脑，添加硬盘录像机进行管理</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74D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4C1B">
            <w:pPr>
              <w:jc w:val="center"/>
              <w:rPr>
                <w:rFonts w:hint="eastAsia" w:asciiTheme="minorEastAsia" w:hAnsiTheme="minorEastAsia" w:eastAsiaTheme="minorEastAsia" w:cstheme="minorEastAsia"/>
                <w:b w:val="0"/>
                <w:bCs w:val="0"/>
                <w:i w:val="0"/>
                <w:iCs w:val="0"/>
                <w:color w:val="000000"/>
                <w:sz w:val="18"/>
                <w:szCs w:val="18"/>
                <w:u w:val="none"/>
              </w:rPr>
            </w:pPr>
          </w:p>
        </w:tc>
      </w:tr>
      <w:tr w14:paraId="11639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3F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外电引入施</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34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C8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处</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14C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电源线型号：ZR-YJLV2*6</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534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A7DC">
            <w:pPr>
              <w:jc w:val="center"/>
              <w:rPr>
                <w:rFonts w:hint="eastAsia" w:asciiTheme="minorEastAsia" w:hAnsiTheme="minorEastAsia" w:eastAsiaTheme="minorEastAsia" w:cstheme="minorEastAsia"/>
                <w:b w:val="0"/>
                <w:bCs w:val="0"/>
                <w:i w:val="0"/>
                <w:iCs w:val="0"/>
                <w:color w:val="000000"/>
                <w:sz w:val="18"/>
                <w:szCs w:val="18"/>
                <w:u w:val="none"/>
              </w:rPr>
            </w:pPr>
          </w:p>
        </w:tc>
      </w:tr>
      <w:tr w14:paraId="47E1C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84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光缆施工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23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EB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处</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EA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光缆型号：GYTA-6B1</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454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5AE4">
            <w:pPr>
              <w:jc w:val="center"/>
              <w:rPr>
                <w:rFonts w:hint="eastAsia" w:asciiTheme="minorEastAsia" w:hAnsiTheme="minorEastAsia" w:eastAsiaTheme="minorEastAsia" w:cstheme="minorEastAsia"/>
                <w:b w:val="0"/>
                <w:bCs w:val="0"/>
                <w:i w:val="0"/>
                <w:iCs w:val="0"/>
                <w:color w:val="000000"/>
                <w:sz w:val="18"/>
                <w:szCs w:val="18"/>
                <w:u w:val="none"/>
              </w:rPr>
            </w:pPr>
          </w:p>
        </w:tc>
      </w:tr>
      <w:tr w14:paraId="5333C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E2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各类辅材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36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A8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处</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39C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电工胶带、扎带、挂线钩、稳压电源、接线端子等</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2ED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2977">
            <w:pPr>
              <w:jc w:val="center"/>
              <w:rPr>
                <w:rFonts w:hint="eastAsia" w:asciiTheme="minorEastAsia" w:hAnsiTheme="minorEastAsia" w:eastAsiaTheme="minorEastAsia" w:cstheme="minorEastAsia"/>
                <w:b w:val="0"/>
                <w:bCs w:val="0"/>
                <w:i w:val="0"/>
                <w:iCs w:val="0"/>
                <w:color w:val="000000"/>
                <w:sz w:val="18"/>
                <w:szCs w:val="18"/>
                <w:u w:val="none"/>
              </w:rPr>
            </w:pPr>
          </w:p>
        </w:tc>
      </w:tr>
      <w:tr w14:paraId="733DF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66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光猫</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5F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D4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台</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077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华为 Gpon</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B80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55DC">
            <w:pPr>
              <w:jc w:val="center"/>
              <w:rPr>
                <w:rFonts w:hint="eastAsia" w:asciiTheme="minorEastAsia" w:hAnsiTheme="minorEastAsia" w:eastAsiaTheme="minorEastAsia" w:cstheme="minorEastAsia"/>
                <w:b w:val="0"/>
                <w:bCs w:val="0"/>
                <w:i w:val="0"/>
                <w:iCs w:val="0"/>
                <w:color w:val="000000"/>
                <w:sz w:val="18"/>
                <w:szCs w:val="18"/>
                <w:u w:val="none"/>
              </w:rPr>
            </w:pPr>
          </w:p>
        </w:tc>
      </w:tr>
      <w:tr w14:paraId="4D282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BE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监控基础制作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EE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85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CF6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(适用于立杆6.5米、横臂7米以内八棱杆)尺寸1.2m*1.2m*1.8m基础土方开挖、渣土清理、10cm碎石垫层、商砼浇铸预埋件、安装接地装置；</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987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9405">
            <w:pPr>
              <w:jc w:val="center"/>
              <w:rPr>
                <w:rFonts w:hint="eastAsia" w:asciiTheme="minorEastAsia" w:hAnsiTheme="minorEastAsia" w:eastAsiaTheme="minorEastAsia" w:cstheme="minorEastAsia"/>
                <w:b w:val="0"/>
                <w:bCs w:val="0"/>
                <w:i w:val="0"/>
                <w:iCs w:val="0"/>
                <w:color w:val="000000"/>
                <w:sz w:val="18"/>
                <w:szCs w:val="18"/>
                <w:u w:val="none"/>
              </w:rPr>
            </w:pPr>
          </w:p>
        </w:tc>
      </w:tr>
      <w:tr w14:paraId="4D2F7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57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税金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CC0C">
            <w:pPr>
              <w:jc w:val="center"/>
              <w:rPr>
                <w:rFonts w:hint="eastAsia" w:asciiTheme="minorEastAsia" w:hAnsiTheme="minorEastAsia" w:eastAsiaTheme="minorEastAsia" w:cstheme="minorEastAsia"/>
                <w:b w:val="0"/>
                <w:bCs w:val="0"/>
                <w:i w:val="0"/>
                <w:iCs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4FFB">
            <w:pPr>
              <w:jc w:val="center"/>
              <w:rPr>
                <w:rFonts w:hint="eastAsia" w:asciiTheme="minorEastAsia" w:hAnsiTheme="minorEastAsia" w:eastAsiaTheme="minorEastAsia" w:cstheme="minorEastAsia"/>
                <w:b w:val="0"/>
                <w:bCs w:val="0"/>
                <w:i w:val="0"/>
                <w:iCs w:val="0"/>
                <w:color w:val="000000"/>
                <w:sz w:val="18"/>
                <w:szCs w:val="18"/>
                <w:u w:val="none"/>
              </w:rPr>
            </w:pP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39B3">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8333A">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862C">
            <w:pPr>
              <w:jc w:val="center"/>
              <w:rPr>
                <w:rFonts w:hint="eastAsia" w:asciiTheme="minorEastAsia" w:hAnsiTheme="minorEastAsia" w:eastAsiaTheme="minorEastAsia" w:cstheme="minorEastAsia"/>
                <w:b w:val="0"/>
                <w:bCs w:val="0"/>
                <w:i w:val="0"/>
                <w:iCs w:val="0"/>
                <w:color w:val="000000"/>
                <w:sz w:val="18"/>
                <w:szCs w:val="18"/>
                <w:u w:val="none"/>
              </w:rPr>
            </w:pPr>
          </w:p>
        </w:tc>
      </w:tr>
      <w:tr w14:paraId="2C7A0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42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十一、格尔木市消防队“消防通道专用交通灯”整治方案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789B">
            <w:pPr>
              <w:jc w:val="center"/>
              <w:rPr>
                <w:rFonts w:hint="eastAsia" w:asciiTheme="minorEastAsia" w:hAnsiTheme="minorEastAsia" w:eastAsiaTheme="minorEastAsia" w:cstheme="minorEastAsia"/>
                <w:b w:val="0"/>
                <w:bCs w:val="0"/>
                <w:i w:val="0"/>
                <w:iCs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531E">
            <w:pPr>
              <w:jc w:val="center"/>
              <w:rPr>
                <w:rFonts w:hint="eastAsia" w:asciiTheme="minorEastAsia" w:hAnsiTheme="minorEastAsia" w:eastAsiaTheme="minorEastAsia" w:cstheme="minorEastAsia"/>
                <w:b w:val="0"/>
                <w:bCs w:val="0"/>
                <w:i w:val="0"/>
                <w:iCs w:val="0"/>
                <w:color w:val="000000"/>
                <w:sz w:val="18"/>
                <w:szCs w:val="18"/>
                <w:u w:val="none"/>
              </w:rPr>
            </w:pP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9823">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17799">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DA40">
            <w:pPr>
              <w:jc w:val="center"/>
              <w:rPr>
                <w:rFonts w:hint="eastAsia" w:asciiTheme="minorEastAsia" w:hAnsiTheme="minorEastAsia" w:eastAsiaTheme="minorEastAsia" w:cstheme="minorEastAsia"/>
                <w:b w:val="0"/>
                <w:bCs w:val="0"/>
                <w:i w:val="0"/>
                <w:iCs w:val="0"/>
                <w:color w:val="000000"/>
                <w:sz w:val="18"/>
                <w:szCs w:val="18"/>
                <w:u w:val="none"/>
              </w:rPr>
            </w:pPr>
          </w:p>
        </w:tc>
      </w:tr>
      <w:tr w14:paraId="54D97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E1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（1）前端设备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5A6B">
            <w:pPr>
              <w:jc w:val="center"/>
              <w:rPr>
                <w:rFonts w:hint="eastAsia" w:asciiTheme="minorEastAsia" w:hAnsiTheme="minorEastAsia" w:eastAsiaTheme="minorEastAsia" w:cstheme="minorEastAsia"/>
                <w:b w:val="0"/>
                <w:bCs w:val="0"/>
                <w:i w:val="0"/>
                <w:iCs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3115">
            <w:pPr>
              <w:jc w:val="center"/>
              <w:rPr>
                <w:rFonts w:hint="eastAsia" w:asciiTheme="minorEastAsia" w:hAnsiTheme="minorEastAsia" w:eastAsiaTheme="minorEastAsia" w:cstheme="minorEastAsia"/>
                <w:b w:val="0"/>
                <w:bCs w:val="0"/>
                <w:i w:val="0"/>
                <w:iCs w:val="0"/>
                <w:color w:val="000000"/>
                <w:sz w:val="18"/>
                <w:szCs w:val="18"/>
                <w:u w:val="none"/>
              </w:rPr>
            </w:pP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2059">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87893">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1A2E">
            <w:pPr>
              <w:jc w:val="center"/>
              <w:rPr>
                <w:rFonts w:hint="eastAsia" w:asciiTheme="minorEastAsia" w:hAnsiTheme="minorEastAsia" w:eastAsiaTheme="minorEastAsia" w:cstheme="minorEastAsia"/>
                <w:b w:val="0"/>
                <w:bCs w:val="0"/>
                <w:i w:val="0"/>
                <w:iCs w:val="0"/>
                <w:color w:val="000000"/>
                <w:sz w:val="18"/>
                <w:szCs w:val="18"/>
                <w:u w:val="none"/>
              </w:rPr>
            </w:pPr>
          </w:p>
        </w:tc>
      </w:tr>
      <w:tr w14:paraId="0DB14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5A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400铝压铸满屏信号灯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84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38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组</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86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a)外壳材质：压铸铝。</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b)灯面尺寸：中400mm，遮沿等符合GB14887-2011的相关标准</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c)光强：红色、黄色、绿色&gt;600cd，符合GB14887-2011标准。减光时中心光强200±10cd</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d)色度及波长：</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红色625±5nmX=0.6984，Y=0.3014</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黄色590±5nmX=0.5802,Y=0.4137</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绿色505±4nmX=0.0848,Y=0.5739</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e)供电电压：AC220V±20%50Hz</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f）出线孔容纳线径：不低于Φ20mm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g)功率:≤20W</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h)功率因数：≥0.9</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i)启动瞬时电流：≤1.8A</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j)启动时间和关断时间:54ms,54ms</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k)关断电压:60V</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l)工作温度：-40℃~+80℃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m)湿度:≤97%</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n)使用寿命：&gt;10000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o)重量≤15kg</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（需提供公安部所属检验机构出具的检测报告复印件）</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A47AF">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96C2">
            <w:pPr>
              <w:jc w:val="center"/>
              <w:rPr>
                <w:rFonts w:hint="eastAsia" w:asciiTheme="minorEastAsia" w:hAnsiTheme="minorEastAsia" w:eastAsiaTheme="minorEastAsia" w:cstheme="minorEastAsia"/>
                <w:b w:val="0"/>
                <w:bCs w:val="0"/>
                <w:i w:val="0"/>
                <w:iCs w:val="0"/>
                <w:color w:val="000000"/>
                <w:sz w:val="18"/>
                <w:szCs w:val="18"/>
                <w:u w:val="none"/>
              </w:rPr>
            </w:pPr>
          </w:p>
        </w:tc>
      </w:tr>
      <w:tr w14:paraId="78CA2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0A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消防出警信号控制器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C4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C9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台</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8A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输入特性:</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输入电压范围：160Vac-264Vac</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额定输入电压范围：170Vac–264Vac</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频率范围：47Hz-53Hz</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最大输入电流：20A</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浪涌电流：峰值30A,230Vac输入</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空载功耗：小于10W</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手动控制输入：≥6路（手动与步进）</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输出特性:</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输出电压范围AC：170Vac-264Vac</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额定输出电流≤20A</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峰值输出电流≤30A</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频率范围47Hz-53Hz</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单路输出功率最大500W</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输出信号路数标配44路</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空载功耗小于10W</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环境条件：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温度工作环境：控制系统正常的工作温度：-20～＋70℃。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湿度：控制系统正常工作的相对湿度：0%~90%。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防水：通过雨淋试验，试验中和试验后工作均应正常，信号控制器机柜内部无渗水或积水现象。</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防尘：交通信号控制器在承受粉尘试验中及试验后，工作均正常，信号控制器机柜内部无大量积尘。</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防锈蚀：机箱材质及外层防腐处理：2MM热镀锌钢板，喷塑，信号控制器在承受盐雾试验后，工作正常，信号控制器机柜、内部机架等金属部件没有严重锈蚀情况。</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5BFE2">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2100">
            <w:pPr>
              <w:jc w:val="center"/>
              <w:rPr>
                <w:rFonts w:hint="eastAsia" w:asciiTheme="minorEastAsia" w:hAnsiTheme="minorEastAsia" w:eastAsiaTheme="minorEastAsia" w:cstheme="minorEastAsia"/>
                <w:b w:val="0"/>
                <w:bCs w:val="0"/>
                <w:i w:val="0"/>
                <w:iCs w:val="0"/>
                <w:color w:val="000000"/>
                <w:sz w:val="18"/>
                <w:szCs w:val="18"/>
                <w:u w:val="none"/>
              </w:rPr>
            </w:pPr>
          </w:p>
        </w:tc>
      </w:tr>
      <w:tr w14:paraId="7D194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5E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八棱型长伸臂L型信号灯杆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F8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C1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87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规格：H=6.8m，L=8m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1.八棱型长伸臂灯杆，材质Q235以上</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2.灯具安装位置预制灯具横装安装口</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3.杆高6.5米，长伸臂符合信号灯配置要求；</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4.杆体采用热浸锌工艺，镀锌层均匀且厚度不小于55μm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5.杆体设计合理，表面应光滑平顺，无气孔、焊渣、虚焊及漏焊等缺陷立杆及其主要构件的防护等级满足露天使用环境的要求，最大抗风风速不小于28m/s</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9E39C">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71D7">
            <w:pPr>
              <w:jc w:val="center"/>
              <w:rPr>
                <w:rFonts w:hint="eastAsia" w:asciiTheme="minorEastAsia" w:hAnsiTheme="minorEastAsia" w:eastAsiaTheme="minorEastAsia" w:cstheme="minorEastAsia"/>
                <w:b w:val="0"/>
                <w:bCs w:val="0"/>
                <w:i w:val="0"/>
                <w:iCs w:val="0"/>
                <w:color w:val="000000"/>
                <w:sz w:val="18"/>
                <w:szCs w:val="18"/>
                <w:u w:val="none"/>
              </w:rPr>
            </w:pPr>
          </w:p>
        </w:tc>
      </w:tr>
      <w:tr w14:paraId="5140B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DE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（2）线缆及辅材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9E74">
            <w:pPr>
              <w:jc w:val="center"/>
              <w:rPr>
                <w:rFonts w:hint="eastAsia" w:asciiTheme="minorEastAsia" w:hAnsiTheme="minorEastAsia" w:eastAsiaTheme="minorEastAsia" w:cstheme="minorEastAsia"/>
                <w:b w:val="0"/>
                <w:bCs w:val="0"/>
                <w:i w:val="0"/>
                <w:iCs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ECF7">
            <w:pPr>
              <w:jc w:val="center"/>
              <w:rPr>
                <w:rFonts w:hint="eastAsia" w:asciiTheme="minorEastAsia" w:hAnsiTheme="minorEastAsia" w:eastAsiaTheme="minorEastAsia" w:cstheme="minorEastAsia"/>
                <w:b w:val="0"/>
                <w:bCs w:val="0"/>
                <w:i w:val="0"/>
                <w:iCs w:val="0"/>
                <w:color w:val="000000"/>
                <w:sz w:val="18"/>
                <w:szCs w:val="18"/>
                <w:u w:val="none"/>
              </w:rPr>
            </w:pP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F4D7">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674F5">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E3A4">
            <w:pPr>
              <w:jc w:val="center"/>
              <w:rPr>
                <w:rFonts w:hint="eastAsia" w:asciiTheme="minorEastAsia" w:hAnsiTheme="minorEastAsia" w:eastAsiaTheme="minorEastAsia" w:cstheme="minorEastAsia"/>
                <w:b w:val="0"/>
                <w:bCs w:val="0"/>
                <w:i w:val="0"/>
                <w:iCs w:val="0"/>
                <w:color w:val="000000"/>
                <w:sz w:val="18"/>
                <w:szCs w:val="18"/>
                <w:u w:val="none"/>
              </w:rPr>
            </w:pPr>
          </w:p>
        </w:tc>
      </w:tr>
      <w:tr w14:paraId="448E2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308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5F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DA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263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全色谱KVV4×1.0mm2；</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规格：铜芯，聚氯乙烯绝缘，聚氯乙烯护套，控制电缆；</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标称横截面面积（mm2）：1.0。</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44A7B">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CC5D">
            <w:pPr>
              <w:jc w:val="center"/>
              <w:rPr>
                <w:rFonts w:hint="eastAsia" w:asciiTheme="minorEastAsia" w:hAnsiTheme="minorEastAsia" w:eastAsiaTheme="minorEastAsia" w:cstheme="minorEastAsia"/>
                <w:b w:val="0"/>
                <w:bCs w:val="0"/>
                <w:i w:val="0"/>
                <w:iCs w:val="0"/>
                <w:color w:val="000000"/>
                <w:sz w:val="18"/>
                <w:szCs w:val="18"/>
                <w:u w:val="none"/>
              </w:rPr>
            </w:pPr>
          </w:p>
        </w:tc>
      </w:tr>
      <w:tr w14:paraId="5B3BF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A3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信号机供电电源线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5C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95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7E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规格：RVV2×2.5mm2</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铜芯聚氯乙烯绝缘乙烯护套圆形连接软线；</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用于潮湿和设备防护要求较高的场所；</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电压等级：300/300V,300/500V;</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芯数：2芯。</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C0F73">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9E1C">
            <w:pPr>
              <w:jc w:val="center"/>
              <w:rPr>
                <w:rFonts w:hint="eastAsia" w:asciiTheme="minorEastAsia" w:hAnsiTheme="minorEastAsia" w:eastAsiaTheme="minorEastAsia" w:cstheme="minorEastAsia"/>
                <w:b w:val="0"/>
                <w:bCs w:val="0"/>
                <w:i w:val="0"/>
                <w:iCs w:val="0"/>
                <w:color w:val="000000"/>
                <w:sz w:val="18"/>
                <w:szCs w:val="18"/>
                <w:u w:val="none"/>
              </w:rPr>
            </w:pPr>
          </w:p>
        </w:tc>
      </w:tr>
      <w:tr w14:paraId="35439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5C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电缆敷设管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23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D8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88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PE（聚乙烯）地埋电缆护套管；</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管径（外径）：Φ50，管壁厚度依据管径大小不同≥4mm；</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90928">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77A1">
            <w:pPr>
              <w:jc w:val="center"/>
              <w:rPr>
                <w:rFonts w:hint="eastAsia" w:asciiTheme="minorEastAsia" w:hAnsiTheme="minorEastAsia" w:eastAsiaTheme="minorEastAsia" w:cstheme="minorEastAsia"/>
                <w:b w:val="0"/>
                <w:bCs w:val="0"/>
                <w:i w:val="0"/>
                <w:iCs w:val="0"/>
                <w:color w:val="000000"/>
                <w:sz w:val="18"/>
                <w:szCs w:val="18"/>
                <w:u w:val="none"/>
              </w:rPr>
            </w:pPr>
          </w:p>
        </w:tc>
      </w:tr>
      <w:tr w14:paraId="3DF76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B4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八棱型长伸臂L型信号灯杆地脚</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91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A6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52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底板法兰450*450*8，地脚螺栓M32*1500*8根</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3C7F4">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3525">
            <w:pPr>
              <w:jc w:val="center"/>
              <w:rPr>
                <w:rFonts w:hint="eastAsia" w:asciiTheme="minorEastAsia" w:hAnsiTheme="minorEastAsia" w:eastAsiaTheme="minorEastAsia" w:cstheme="minorEastAsia"/>
                <w:b w:val="0"/>
                <w:bCs w:val="0"/>
                <w:i w:val="0"/>
                <w:iCs w:val="0"/>
                <w:color w:val="000000"/>
                <w:sz w:val="18"/>
                <w:szCs w:val="18"/>
                <w:u w:val="none"/>
              </w:rPr>
            </w:pPr>
          </w:p>
        </w:tc>
      </w:tr>
      <w:tr w14:paraId="6BD1D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BA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接线井公安专用井盖及座圈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86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07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套</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3B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材质：铸铁或高分子材质，并标有“公安”字样。</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规格：600mm*600mm</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5DAFD">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FC0E">
            <w:pPr>
              <w:jc w:val="center"/>
              <w:rPr>
                <w:rFonts w:hint="eastAsia" w:asciiTheme="minorEastAsia" w:hAnsiTheme="minorEastAsia" w:eastAsiaTheme="minorEastAsia" w:cstheme="minorEastAsia"/>
                <w:b w:val="0"/>
                <w:bCs w:val="0"/>
                <w:i w:val="0"/>
                <w:iCs w:val="0"/>
                <w:color w:val="000000"/>
                <w:sz w:val="18"/>
                <w:szCs w:val="18"/>
                <w:u w:val="none"/>
              </w:rPr>
            </w:pPr>
          </w:p>
        </w:tc>
      </w:tr>
      <w:tr w14:paraId="55FF4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0D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接地极</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A7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43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个</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A9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接地保护应严格按建筑电气施工规范要求安装，工作零线与保护零线严格分开,不得混用，所有配电箱的PE线应作垂直接地,其接地电阻不大于1欧姆,所有电气设备及管线金属外壳可靠接地，通过测试并要求达到规定值。若通过测试大于标准要求，必须要求返工，直到达标为止。</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2.接地极、接地扁钢选用热镀锌钢材，接地装置规定埋深不应小于0.6M，接地线通过地表下0.6M引至地面外。</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3.接地极选用∠50×50×5×2500镀锌角钢，间距5M，接地母线用-40×4镀锌扁钢，接地母线之间电焊搭接长度不小于15CM，接地母线、接地极之间焊接处应做防腐处理。</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0E13D">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1146">
            <w:pPr>
              <w:jc w:val="center"/>
              <w:rPr>
                <w:rFonts w:hint="eastAsia" w:asciiTheme="minorEastAsia" w:hAnsiTheme="minorEastAsia" w:eastAsiaTheme="minorEastAsia" w:cstheme="minorEastAsia"/>
                <w:b w:val="0"/>
                <w:bCs w:val="0"/>
                <w:i w:val="0"/>
                <w:iCs w:val="0"/>
                <w:color w:val="000000"/>
                <w:sz w:val="18"/>
                <w:szCs w:val="18"/>
                <w:u w:val="none"/>
              </w:rPr>
            </w:pPr>
          </w:p>
        </w:tc>
      </w:tr>
      <w:tr w14:paraId="56662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6C1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（3）土建及安装施工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2995">
            <w:pPr>
              <w:jc w:val="center"/>
              <w:rPr>
                <w:rFonts w:hint="eastAsia" w:asciiTheme="minorEastAsia" w:hAnsiTheme="minorEastAsia" w:eastAsiaTheme="minorEastAsia" w:cstheme="minorEastAsia"/>
                <w:b w:val="0"/>
                <w:bCs w:val="0"/>
                <w:i w:val="0"/>
                <w:iCs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2E27">
            <w:pPr>
              <w:jc w:val="center"/>
              <w:rPr>
                <w:rFonts w:hint="eastAsia" w:asciiTheme="minorEastAsia" w:hAnsiTheme="minorEastAsia" w:eastAsiaTheme="minorEastAsia" w:cstheme="minorEastAsia"/>
                <w:b w:val="0"/>
                <w:bCs w:val="0"/>
                <w:i w:val="0"/>
                <w:iCs w:val="0"/>
                <w:color w:val="000000"/>
                <w:sz w:val="18"/>
                <w:szCs w:val="18"/>
                <w:u w:val="none"/>
              </w:rPr>
            </w:pP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C586">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9C16C">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555E">
            <w:pPr>
              <w:jc w:val="center"/>
              <w:rPr>
                <w:rFonts w:hint="eastAsia" w:asciiTheme="minorEastAsia" w:hAnsiTheme="minorEastAsia" w:eastAsiaTheme="minorEastAsia" w:cstheme="minorEastAsia"/>
                <w:b w:val="0"/>
                <w:bCs w:val="0"/>
                <w:i w:val="0"/>
                <w:iCs w:val="0"/>
                <w:color w:val="000000"/>
                <w:sz w:val="18"/>
                <w:szCs w:val="18"/>
                <w:u w:val="none"/>
              </w:rPr>
            </w:pPr>
          </w:p>
        </w:tc>
      </w:tr>
      <w:tr w14:paraId="0137D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AF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八棱型长伸臂L型信号灯基础开挖及清运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2C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79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m³</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E4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开挖尺寸：1200mm*1200mm*1800mm；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余土外运：5KM</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B91DE">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54E8">
            <w:pPr>
              <w:jc w:val="center"/>
              <w:rPr>
                <w:rFonts w:hint="eastAsia" w:asciiTheme="minorEastAsia" w:hAnsiTheme="minorEastAsia" w:eastAsiaTheme="minorEastAsia" w:cstheme="minorEastAsia"/>
                <w:b w:val="0"/>
                <w:bCs w:val="0"/>
                <w:i w:val="0"/>
                <w:iCs w:val="0"/>
                <w:color w:val="000000"/>
                <w:sz w:val="18"/>
                <w:szCs w:val="18"/>
                <w:u w:val="none"/>
              </w:rPr>
            </w:pPr>
          </w:p>
        </w:tc>
      </w:tr>
      <w:tr w14:paraId="1D174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E8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八棱型长伸臂L型信号灯现浇基础及养护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DD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0C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m³</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23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1.混凝土种类：商砼</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2.混凝土强度等级：C25</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98FA2">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17D6">
            <w:pPr>
              <w:jc w:val="center"/>
              <w:rPr>
                <w:rFonts w:hint="eastAsia" w:asciiTheme="minorEastAsia" w:hAnsiTheme="minorEastAsia" w:eastAsiaTheme="minorEastAsia" w:cstheme="minorEastAsia"/>
                <w:b w:val="0"/>
                <w:bCs w:val="0"/>
                <w:i w:val="0"/>
                <w:iCs w:val="0"/>
                <w:color w:val="000000"/>
                <w:sz w:val="18"/>
                <w:szCs w:val="18"/>
                <w:u w:val="none"/>
              </w:rPr>
            </w:pPr>
          </w:p>
        </w:tc>
      </w:tr>
      <w:tr w14:paraId="116C3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30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人行道(隔离带)管线敷设（自行</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恢复）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1D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8A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92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开挖尺寸：电缆沟开挖宽度不小于300mm，深度不小于500mm；长度根据施工现场实际情况而定。恢复：待管线敷设至电缆沟后，线管上方需做不小于50mm的硬化层，按原路面材质进行恢复。</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42139">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E4C5">
            <w:pPr>
              <w:jc w:val="center"/>
              <w:rPr>
                <w:rFonts w:hint="eastAsia" w:asciiTheme="minorEastAsia" w:hAnsiTheme="minorEastAsia" w:eastAsiaTheme="minorEastAsia" w:cstheme="minorEastAsia"/>
                <w:b w:val="0"/>
                <w:bCs w:val="0"/>
                <w:i w:val="0"/>
                <w:iCs w:val="0"/>
                <w:color w:val="000000"/>
                <w:sz w:val="18"/>
                <w:szCs w:val="18"/>
                <w:u w:val="none"/>
              </w:rPr>
            </w:pPr>
          </w:p>
        </w:tc>
      </w:tr>
      <w:tr w14:paraId="2AE14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A7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电缆管沟开挖（顶管）及回填路</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面恢复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2E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0E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m</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7E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开挖尺寸：电缆沟开挖宽度不小于300mm，深度不小于500mm；长度根据施工现场实际情况而定；恢复：管沟恢复需做硬化层防止路面塌陷，厚度不少于300mm，路面面层恢复采用沥青材料，压实厚度不小于100mm。</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0351A">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CAEE">
            <w:pPr>
              <w:jc w:val="center"/>
              <w:rPr>
                <w:rFonts w:hint="eastAsia" w:asciiTheme="minorEastAsia" w:hAnsiTheme="minorEastAsia" w:eastAsiaTheme="minorEastAsia" w:cstheme="minorEastAsia"/>
                <w:b w:val="0"/>
                <w:bCs w:val="0"/>
                <w:i w:val="0"/>
                <w:iCs w:val="0"/>
                <w:color w:val="000000"/>
                <w:sz w:val="18"/>
                <w:szCs w:val="18"/>
                <w:u w:val="none"/>
              </w:rPr>
            </w:pPr>
          </w:p>
        </w:tc>
      </w:tr>
      <w:tr w14:paraId="0A80F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04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接线井制作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E0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AB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个</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24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规格：600mm*600mm*800mm；</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材料准备：电缆套管PEΦ50或Φ63；水泥、石灰、砂、MU15烧结非黏土砖送至现场并复试合格；送检合格的井盖及井圈。</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施工叙述：检查井基坑开挖，人工平整基底铺设水泥石灰土并压实，垫二层烧鸡非黏土砖并用干砂填缝，砖砌检查井并预留孔道，砂浆抹面，浇筑C25压顶混凝土安装检查井井圈及井盖；烧结非黏土砖在使用前应洒水湿润，砂浆应随便随用，水泥砂浆和水泥混合砂浆应分别在3H和4H内使用完毕；当施工期间最高气温超过30℃时，应分别在拌成后2H和3H内使用完毕。</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采用“三一”砌筑法，即采用“一块砖、一铲灰、一挤揉”工艺砌筑砖砌体的操作方法，保证灰缝饱满、粘结力好、墙面整洁。</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管线入接线井时管线周边用砂浆填塞密实，接线井施工砂浆、混凝土需洒水养护。</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796C0">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F685">
            <w:pPr>
              <w:jc w:val="center"/>
              <w:rPr>
                <w:rFonts w:hint="eastAsia" w:asciiTheme="minorEastAsia" w:hAnsiTheme="minorEastAsia" w:eastAsiaTheme="minorEastAsia" w:cstheme="minorEastAsia"/>
                <w:b w:val="0"/>
                <w:bCs w:val="0"/>
                <w:i w:val="0"/>
                <w:iCs w:val="0"/>
                <w:color w:val="000000"/>
                <w:sz w:val="18"/>
                <w:szCs w:val="18"/>
                <w:u w:val="none"/>
              </w:rPr>
            </w:pPr>
          </w:p>
        </w:tc>
      </w:tr>
      <w:tr w14:paraId="6E70F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CA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安装调试费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CF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16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路口</w:t>
            </w: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8C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含运输、灯杆组立吊装。信号灯安装、控制机安装电缆敷设、接线加电调试、试运行等</w:t>
            </w: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E1281">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EDFE">
            <w:pPr>
              <w:jc w:val="center"/>
              <w:rPr>
                <w:rFonts w:hint="eastAsia" w:asciiTheme="minorEastAsia" w:hAnsiTheme="minorEastAsia" w:eastAsiaTheme="minorEastAsia" w:cstheme="minorEastAsia"/>
                <w:b w:val="0"/>
                <w:bCs w:val="0"/>
                <w:i w:val="0"/>
                <w:iCs w:val="0"/>
                <w:color w:val="000000"/>
                <w:sz w:val="18"/>
                <w:szCs w:val="18"/>
                <w:u w:val="none"/>
              </w:rPr>
            </w:pPr>
          </w:p>
        </w:tc>
      </w:tr>
      <w:tr w14:paraId="4412A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007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EC70">
            <w:pPr>
              <w:jc w:val="center"/>
              <w:rPr>
                <w:rFonts w:hint="eastAsia" w:asciiTheme="minorEastAsia" w:hAnsiTheme="minorEastAsia" w:eastAsiaTheme="minorEastAsia" w:cstheme="minorEastAsia"/>
                <w:b w:val="0"/>
                <w:bCs w:val="0"/>
                <w:i w:val="0"/>
                <w:iCs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50EB">
            <w:pPr>
              <w:jc w:val="center"/>
              <w:rPr>
                <w:rFonts w:hint="eastAsia" w:asciiTheme="minorEastAsia" w:hAnsiTheme="minorEastAsia" w:eastAsiaTheme="minorEastAsia" w:cstheme="minorEastAsia"/>
                <w:b w:val="0"/>
                <w:bCs w:val="0"/>
                <w:i w:val="0"/>
                <w:iCs w:val="0"/>
                <w:color w:val="000000"/>
                <w:sz w:val="18"/>
                <w:szCs w:val="18"/>
                <w:u w:val="none"/>
              </w:rPr>
            </w:pPr>
          </w:p>
        </w:tc>
        <w:tc>
          <w:tcPr>
            <w:tcW w:w="5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79F9">
            <w:pPr>
              <w:rPr>
                <w:rFonts w:hint="eastAsia" w:asciiTheme="minorEastAsia" w:hAnsiTheme="minorEastAsia" w:eastAsiaTheme="minorEastAsia" w:cstheme="minorEastAsia"/>
                <w:b w:val="0"/>
                <w:bCs w:val="0"/>
                <w:i w:val="0"/>
                <w:iCs w:val="0"/>
                <w:color w:val="000000"/>
                <w:sz w:val="18"/>
                <w:szCs w:val="18"/>
                <w:u w:val="none"/>
              </w:rPr>
            </w:pPr>
          </w:p>
        </w:tc>
        <w:tc>
          <w:tcPr>
            <w:tcW w:w="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221DB">
            <w:pPr>
              <w:jc w:val="center"/>
              <w:rPr>
                <w:rFonts w:hint="eastAsia" w:asciiTheme="minorEastAsia" w:hAnsiTheme="minorEastAsia" w:eastAsiaTheme="minorEastAsia" w:cstheme="minorEastAsia"/>
                <w:b w:val="0"/>
                <w:bCs w:val="0"/>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DF64">
            <w:pPr>
              <w:jc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219.3683万元</w:t>
            </w:r>
          </w:p>
        </w:tc>
      </w:tr>
      <w:tr w14:paraId="17957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0" w:type="dxa"/>
            <w:gridSpan w:val="7"/>
            <w:tcBorders>
              <w:top w:val="single" w:color="000000" w:sz="4" w:space="0"/>
              <w:left w:val="nil"/>
              <w:bottom w:val="nil"/>
              <w:right w:val="nil"/>
            </w:tcBorders>
            <w:shd w:val="clear" w:color="auto" w:fill="auto"/>
            <w:vAlign w:val="center"/>
          </w:tcPr>
          <w:p w14:paraId="399FEA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注：服务类项目可以根据自身属性填写此表。</w:t>
            </w:r>
          </w:p>
        </w:tc>
      </w:tr>
    </w:tbl>
    <w:p w14:paraId="6FA32D39">
      <w:pPr>
        <w:numPr>
          <w:ilvl w:val="0"/>
          <w:numId w:val="0"/>
        </w:numPr>
        <w:autoSpaceDE w:val="0"/>
        <w:autoSpaceDN w:val="0"/>
        <w:spacing w:line="360" w:lineRule="auto"/>
        <w:rPr>
          <w:rFonts w:hint="default" w:ascii="宋体" w:hAnsi="宋体" w:cs="宋体"/>
          <w:color w:val="0000FF"/>
          <w:kern w:val="0"/>
          <w:lang w:val="en-US" w:eastAsia="zh-CN" w:bidi="ar"/>
        </w:rPr>
      </w:pPr>
      <w:bookmarkStart w:id="102" w:name="_GoBack"/>
      <w:bookmarkEnd w:id="102"/>
    </w:p>
    <w:sectPr>
      <w:headerReference r:id="rId6" w:type="default"/>
      <w:footerReference r:id="rId7" w:type="default"/>
      <w:pgSz w:w="16838" w:h="11905" w:orient="landscape"/>
      <w:pgMar w:top="1797" w:right="1440" w:bottom="1797" w:left="1440" w:header="850" w:footer="992" w:gutter="0"/>
      <w:pgNumType w:fmt="decimal"/>
      <w:cols w:space="720" w:num="1"/>
      <w:rtlGutter w:val="0"/>
      <w:docGrid w:type="linesAndChar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19ACB12-296D-470B-8FA8-595847C0EB9D}"/>
  </w:font>
  <w:font w:name="黑体">
    <w:panose1 w:val="02010609060101010101"/>
    <w:charset w:val="86"/>
    <w:family w:val="auto"/>
    <w:pitch w:val="default"/>
    <w:sig w:usb0="800002BF" w:usb1="38CF7CFA" w:usb2="00000016" w:usb3="00000000" w:csb0="00040001" w:csb1="00000000"/>
    <w:embedRegular r:id="rId2" w:fontKey="{6BDA490C-5DA8-4E17-9D24-4BEFE64B14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6CA760C-0B19-4B0B-8973-81AABCB2EF38}"/>
  </w:font>
  <w:font w:name="Cambria">
    <w:panose1 w:val="02040503050406030204"/>
    <w:charset w:val="00"/>
    <w:family w:val="roman"/>
    <w:pitch w:val="default"/>
    <w:sig w:usb0="E00006FF" w:usb1="420024FF" w:usb2="02000000" w:usb3="00000000" w:csb0="2000019F" w:csb1="00000000"/>
    <w:embedRegular r:id="rId4" w:fontKey="{5C24AB40-4082-435A-872F-CCDC098680CD}"/>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embedRegular r:id="rId5" w:fontKey="{42D126B5-6F88-47F1-81D2-8AFFD3A681F9}"/>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embedRegular r:id="rId6" w:fontKey="{E8504353-5CBD-4AAB-B778-87A83747469D}"/>
  </w:font>
  <w:font w:name="华文行楷">
    <w:altName w:val="微软雅黑"/>
    <w:panose1 w:val="02010800040101010101"/>
    <w:charset w:val="86"/>
    <w:family w:val="auto"/>
    <w:pitch w:val="default"/>
    <w:sig w:usb0="00000000" w:usb1="00000000" w:usb2="00000000" w:usb3="00000000" w:csb0="00040000" w:csb1="00000000"/>
    <w:embedRegular r:id="rId7" w:fontKey="{03448542-94F7-4386-B007-8DB52D215AF7}"/>
  </w:font>
  <w:font w:name="方正楷体_GBK">
    <w:panose1 w:val="03000509000000000000"/>
    <w:charset w:val="86"/>
    <w:family w:val="script"/>
    <w:pitch w:val="default"/>
    <w:sig w:usb0="00000001" w:usb1="080E0000" w:usb2="00000000" w:usb3="00000000" w:csb0="00040000" w:csb1="00000000"/>
    <w:embedRegular r:id="rId8" w:fontKey="{653C8C2F-C798-4C6D-A2C2-D1C52E21006F}"/>
  </w:font>
  <w:font w:name="仿宋">
    <w:panose1 w:val="02010609060101010101"/>
    <w:charset w:val="86"/>
    <w:family w:val="modern"/>
    <w:pitch w:val="default"/>
    <w:sig w:usb0="800002BF" w:usb1="38CF7CFA" w:usb2="00000016" w:usb3="00000000" w:csb0="00040001" w:csb1="00000000"/>
    <w:embedRegular r:id="rId9" w:fontKey="{A2A634D4-68DD-42C2-B02F-DA5F1E000066}"/>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EAA36">
    <w:pPr>
      <w:spacing w:line="176" w:lineRule="auto"/>
      <w:ind w:left="4715"/>
      <w:rPr>
        <w:rFonts w:hint="eastAsia"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190A7">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57190A7">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66209">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E062A">
                          <w:pPr>
                            <w:pStyle w:val="2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EE062A">
                    <w:pPr>
                      <w:pStyle w:val="2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5B378">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AA5D50B">
                          <w:pPr>
                            <w:pStyle w:val="2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4AA5D50B">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BA013">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4345D">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CA405"/>
    <w:multiLevelType w:val="singleLevel"/>
    <w:tmpl w:val="AC4CA405"/>
    <w:lvl w:ilvl="0" w:tentative="0">
      <w:start w:val="1"/>
      <w:numFmt w:val="decimal"/>
      <w:suff w:val="nothing"/>
      <w:lvlText w:val="%1、"/>
      <w:lvlJc w:val="left"/>
    </w:lvl>
  </w:abstractNum>
  <w:abstractNum w:abstractNumId="1">
    <w:nsid w:val="BC9BB160"/>
    <w:multiLevelType w:val="singleLevel"/>
    <w:tmpl w:val="BC9BB160"/>
    <w:lvl w:ilvl="0" w:tentative="0">
      <w:start w:val="3"/>
      <w:numFmt w:val="chineseCounting"/>
      <w:suff w:val="nothing"/>
      <w:lvlText w:val="%1、"/>
      <w:lvlJc w:val="left"/>
      <w:rPr>
        <w:rFonts w:hint="eastAsia"/>
      </w:rPr>
    </w:lvl>
  </w:abstractNum>
  <w:abstractNum w:abstractNumId="2">
    <w:nsid w:val="C1649391"/>
    <w:multiLevelType w:val="singleLevel"/>
    <w:tmpl w:val="C1649391"/>
    <w:lvl w:ilvl="0" w:tentative="0">
      <w:start w:val="13"/>
      <w:numFmt w:val="decimal"/>
      <w:suff w:val="nothing"/>
      <w:lvlText w:val="（%1）"/>
      <w:lvlJc w:val="left"/>
    </w:lvl>
  </w:abstractNum>
  <w:abstractNum w:abstractNumId="3">
    <w:nsid w:val="00000002"/>
    <w:multiLevelType w:val="multilevel"/>
    <w:tmpl w:val="00000002"/>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ascii="宋体" w:hAnsi="宋体" w:cs="宋体"/>
        <w:b/>
        <w:bCs/>
        <w:sz w:val="24"/>
        <w:szCs w:val="24"/>
      </w:rPr>
    </w:lvl>
    <w:lvl w:ilvl="2" w:tentative="0">
      <w:start w:val="1"/>
      <w:numFmt w:val="decimal"/>
      <w:pStyle w:val="130"/>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6"/>
    <w:multiLevelType w:val="singleLevel"/>
    <w:tmpl w:val="00000006"/>
    <w:lvl w:ilvl="0" w:tentative="0">
      <w:start w:val="1"/>
      <w:numFmt w:val="decimal"/>
      <w:lvlText w:val="(%1)"/>
      <w:lvlJc w:val="left"/>
      <w:pPr>
        <w:tabs>
          <w:tab w:val="left" w:pos="312"/>
        </w:tabs>
      </w:pPr>
    </w:lvl>
  </w:abstractNum>
  <w:abstractNum w:abstractNumId="7">
    <w:nsid w:val="00000007"/>
    <w:multiLevelType w:val="singleLevel"/>
    <w:tmpl w:val="00000007"/>
    <w:lvl w:ilvl="0" w:tentative="0">
      <w:start w:val="1"/>
      <w:numFmt w:val="decimal"/>
      <w:suff w:val="nothing"/>
      <w:lvlText w:val="（%1）"/>
      <w:lvlJc w:val="left"/>
    </w:lvl>
  </w:abstractNum>
  <w:abstractNum w:abstractNumId="8">
    <w:nsid w:val="00000008"/>
    <w:multiLevelType w:val="singleLevel"/>
    <w:tmpl w:val="00000008"/>
    <w:lvl w:ilvl="0" w:tentative="0">
      <w:start w:val="1"/>
      <w:numFmt w:val="decimal"/>
      <w:suff w:val="nothing"/>
      <w:lvlText w:val="（%1）"/>
      <w:lvlJc w:val="left"/>
    </w:lvl>
  </w:abstractNum>
  <w:abstractNum w:abstractNumId="9">
    <w:nsid w:val="00000009"/>
    <w:multiLevelType w:val="singleLevel"/>
    <w:tmpl w:val="00000009"/>
    <w:lvl w:ilvl="0" w:tentative="0">
      <w:start w:val="1"/>
      <w:numFmt w:val="decimal"/>
      <w:suff w:val="nothing"/>
      <w:lvlText w:val="（%1）"/>
      <w:lvlJc w:val="left"/>
    </w:lvl>
  </w:abstractNum>
  <w:abstractNum w:abstractNumId="10">
    <w:nsid w:val="0000000A"/>
    <w:multiLevelType w:val="singleLevel"/>
    <w:tmpl w:val="0000000A"/>
    <w:lvl w:ilvl="0" w:tentative="0">
      <w:start w:val="5"/>
      <w:numFmt w:val="chineseCounting"/>
      <w:suff w:val="space"/>
      <w:lvlText w:val="第%1部分"/>
      <w:lvlJc w:val="left"/>
      <w:rPr>
        <w:rFonts w:hint="eastAsia"/>
      </w:rPr>
    </w:lvl>
  </w:abstractNum>
  <w:abstractNum w:abstractNumId="11">
    <w:nsid w:val="17FEC289"/>
    <w:multiLevelType w:val="singleLevel"/>
    <w:tmpl w:val="17FEC289"/>
    <w:lvl w:ilvl="0" w:tentative="0">
      <w:start w:val="2"/>
      <w:numFmt w:val="decimal"/>
      <w:lvlText w:val="%1."/>
      <w:lvlJc w:val="left"/>
      <w:pPr>
        <w:tabs>
          <w:tab w:val="left" w:pos="312"/>
        </w:tabs>
      </w:pPr>
    </w:lvl>
  </w:abstractNum>
  <w:num w:numId="1">
    <w:abstractNumId w:val="3"/>
  </w:num>
  <w:num w:numId="2">
    <w:abstractNumId w:val="0"/>
  </w:num>
  <w:num w:numId="3">
    <w:abstractNumId w:val="5"/>
  </w:num>
  <w:num w:numId="4">
    <w:abstractNumId w:val="6"/>
  </w:num>
  <w:num w:numId="5">
    <w:abstractNumId w:val="7"/>
  </w:num>
  <w:num w:numId="6">
    <w:abstractNumId w:val="8"/>
  </w:num>
  <w:num w:numId="7">
    <w:abstractNumId w:val="1"/>
  </w:num>
  <w:num w:numId="8">
    <w:abstractNumId w:val="9"/>
  </w:num>
  <w:num w:numId="9">
    <w:abstractNumId w:val="4"/>
  </w:num>
  <w:num w:numId="10">
    <w:abstractNumId w:val="1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40"/>
  <w:drawingGridVerticalSpacing w:val="16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MzNiOWIwMTcxM2FjMzZjZDQ2MmZjZmM0NzljNjMifQ=="/>
  </w:docVars>
  <w:rsids>
    <w:rsidRoot w:val="00172A27"/>
    <w:rsid w:val="0000544D"/>
    <w:rsid w:val="00010F33"/>
    <w:rsid w:val="00012F18"/>
    <w:rsid w:val="0001401E"/>
    <w:rsid w:val="00017D90"/>
    <w:rsid w:val="00026FB6"/>
    <w:rsid w:val="0002777A"/>
    <w:rsid w:val="00032AEC"/>
    <w:rsid w:val="00032D91"/>
    <w:rsid w:val="00033F6C"/>
    <w:rsid w:val="000504BE"/>
    <w:rsid w:val="00050A96"/>
    <w:rsid w:val="000530AC"/>
    <w:rsid w:val="00053F84"/>
    <w:rsid w:val="000568FB"/>
    <w:rsid w:val="000607C7"/>
    <w:rsid w:val="0006232A"/>
    <w:rsid w:val="000706DE"/>
    <w:rsid w:val="00073DA7"/>
    <w:rsid w:val="000742F2"/>
    <w:rsid w:val="00074EB6"/>
    <w:rsid w:val="0007570E"/>
    <w:rsid w:val="00080608"/>
    <w:rsid w:val="0008374B"/>
    <w:rsid w:val="000841BD"/>
    <w:rsid w:val="00085CDF"/>
    <w:rsid w:val="000875EB"/>
    <w:rsid w:val="0009075B"/>
    <w:rsid w:val="00091906"/>
    <w:rsid w:val="000A2265"/>
    <w:rsid w:val="000A3592"/>
    <w:rsid w:val="000A4D78"/>
    <w:rsid w:val="000A776F"/>
    <w:rsid w:val="000B0B57"/>
    <w:rsid w:val="000B467D"/>
    <w:rsid w:val="000B652B"/>
    <w:rsid w:val="000C0D8F"/>
    <w:rsid w:val="000C2C06"/>
    <w:rsid w:val="000C38E9"/>
    <w:rsid w:val="000D2AAD"/>
    <w:rsid w:val="000D3368"/>
    <w:rsid w:val="000D5A34"/>
    <w:rsid w:val="000E36FB"/>
    <w:rsid w:val="000E6615"/>
    <w:rsid w:val="000E7D1D"/>
    <w:rsid w:val="000F51BE"/>
    <w:rsid w:val="00100C29"/>
    <w:rsid w:val="00102BAF"/>
    <w:rsid w:val="00103DE5"/>
    <w:rsid w:val="00111392"/>
    <w:rsid w:val="001118DC"/>
    <w:rsid w:val="00116341"/>
    <w:rsid w:val="00116EC4"/>
    <w:rsid w:val="00124646"/>
    <w:rsid w:val="00130938"/>
    <w:rsid w:val="0014181B"/>
    <w:rsid w:val="001431BD"/>
    <w:rsid w:val="00143863"/>
    <w:rsid w:val="00146D26"/>
    <w:rsid w:val="00150ABF"/>
    <w:rsid w:val="00151A00"/>
    <w:rsid w:val="00156BD2"/>
    <w:rsid w:val="0016507E"/>
    <w:rsid w:val="001666D1"/>
    <w:rsid w:val="00187EC5"/>
    <w:rsid w:val="001941E9"/>
    <w:rsid w:val="00194B5F"/>
    <w:rsid w:val="001A4E18"/>
    <w:rsid w:val="001A626C"/>
    <w:rsid w:val="001B3699"/>
    <w:rsid w:val="001B5B9C"/>
    <w:rsid w:val="001B603E"/>
    <w:rsid w:val="001B635D"/>
    <w:rsid w:val="001C2819"/>
    <w:rsid w:val="001C59DE"/>
    <w:rsid w:val="001C7076"/>
    <w:rsid w:val="001C72BC"/>
    <w:rsid w:val="001D15AC"/>
    <w:rsid w:val="001D35DD"/>
    <w:rsid w:val="001D3F2D"/>
    <w:rsid w:val="001D5483"/>
    <w:rsid w:val="001D7F2C"/>
    <w:rsid w:val="001F312C"/>
    <w:rsid w:val="001F5C10"/>
    <w:rsid w:val="001F67C5"/>
    <w:rsid w:val="002022CA"/>
    <w:rsid w:val="00206051"/>
    <w:rsid w:val="002132CB"/>
    <w:rsid w:val="002133D4"/>
    <w:rsid w:val="0021473B"/>
    <w:rsid w:val="00216296"/>
    <w:rsid w:val="00216B78"/>
    <w:rsid w:val="002178A2"/>
    <w:rsid w:val="0022059E"/>
    <w:rsid w:val="00220E6D"/>
    <w:rsid w:val="00230DCF"/>
    <w:rsid w:val="002365CD"/>
    <w:rsid w:val="00236F6F"/>
    <w:rsid w:val="00240473"/>
    <w:rsid w:val="00255D41"/>
    <w:rsid w:val="00263899"/>
    <w:rsid w:val="00263DEA"/>
    <w:rsid w:val="002649E6"/>
    <w:rsid w:val="00267527"/>
    <w:rsid w:val="00271C7E"/>
    <w:rsid w:val="0027264D"/>
    <w:rsid w:val="00275C63"/>
    <w:rsid w:val="00283FF2"/>
    <w:rsid w:val="00286755"/>
    <w:rsid w:val="002956D5"/>
    <w:rsid w:val="002A07AC"/>
    <w:rsid w:val="002A6A11"/>
    <w:rsid w:val="002B2607"/>
    <w:rsid w:val="002B4612"/>
    <w:rsid w:val="002C1242"/>
    <w:rsid w:val="002C5D73"/>
    <w:rsid w:val="002C61D8"/>
    <w:rsid w:val="002D2150"/>
    <w:rsid w:val="002D36E7"/>
    <w:rsid w:val="002D3DE9"/>
    <w:rsid w:val="002D7267"/>
    <w:rsid w:val="002E224A"/>
    <w:rsid w:val="002E2303"/>
    <w:rsid w:val="002E4BCC"/>
    <w:rsid w:val="002F0EFB"/>
    <w:rsid w:val="002F7DFB"/>
    <w:rsid w:val="0030053C"/>
    <w:rsid w:val="00302C3D"/>
    <w:rsid w:val="003046DB"/>
    <w:rsid w:val="00305FFF"/>
    <w:rsid w:val="00307F9D"/>
    <w:rsid w:val="0031061F"/>
    <w:rsid w:val="00310C3C"/>
    <w:rsid w:val="00310EDF"/>
    <w:rsid w:val="003127AA"/>
    <w:rsid w:val="00317F1F"/>
    <w:rsid w:val="003256AA"/>
    <w:rsid w:val="00336527"/>
    <w:rsid w:val="00342CCF"/>
    <w:rsid w:val="003442FB"/>
    <w:rsid w:val="00345E83"/>
    <w:rsid w:val="00350F92"/>
    <w:rsid w:val="003545BF"/>
    <w:rsid w:val="00357611"/>
    <w:rsid w:val="0036431D"/>
    <w:rsid w:val="00371F7B"/>
    <w:rsid w:val="003756EF"/>
    <w:rsid w:val="00375CF6"/>
    <w:rsid w:val="0038064F"/>
    <w:rsid w:val="003850AB"/>
    <w:rsid w:val="003A02BF"/>
    <w:rsid w:val="003A0ED3"/>
    <w:rsid w:val="003A28B2"/>
    <w:rsid w:val="003A6D16"/>
    <w:rsid w:val="003A7F21"/>
    <w:rsid w:val="003B3214"/>
    <w:rsid w:val="003C010A"/>
    <w:rsid w:val="003C3D22"/>
    <w:rsid w:val="003C74E6"/>
    <w:rsid w:val="003D3BFB"/>
    <w:rsid w:val="003E0681"/>
    <w:rsid w:val="003F394D"/>
    <w:rsid w:val="003F4A31"/>
    <w:rsid w:val="004029E9"/>
    <w:rsid w:val="00403B1A"/>
    <w:rsid w:val="004106B0"/>
    <w:rsid w:val="00412D62"/>
    <w:rsid w:val="0041505E"/>
    <w:rsid w:val="00415F23"/>
    <w:rsid w:val="004173C4"/>
    <w:rsid w:val="00424B16"/>
    <w:rsid w:val="004273E0"/>
    <w:rsid w:val="004303F2"/>
    <w:rsid w:val="00430DAC"/>
    <w:rsid w:val="00433122"/>
    <w:rsid w:val="004451F5"/>
    <w:rsid w:val="00445FEF"/>
    <w:rsid w:val="00453B24"/>
    <w:rsid w:val="00456BAD"/>
    <w:rsid w:val="00463E34"/>
    <w:rsid w:val="00470E65"/>
    <w:rsid w:val="00476A2A"/>
    <w:rsid w:val="00477784"/>
    <w:rsid w:val="00486C9B"/>
    <w:rsid w:val="0048778F"/>
    <w:rsid w:val="004901E4"/>
    <w:rsid w:val="00491643"/>
    <w:rsid w:val="004918CC"/>
    <w:rsid w:val="004919C2"/>
    <w:rsid w:val="004926BA"/>
    <w:rsid w:val="0049343A"/>
    <w:rsid w:val="00494D46"/>
    <w:rsid w:val="00494E6F"/>
    <w:rsid w:val="004A1525"/>
    <w:rsid w:val="004A1B7E"/>
    <w:rsid w:val="004A1CBF"/>
    <w:rsid w:val="004B35C8"/>
    <w:rsid w:val="004B67C7"/>
    <w:rsid w:val="004C115D"/>
    <w:rsid w:val="004C1D2A"/>
    <w:rsid w:val="004C2206"/>
    <w:rsid w:val="004C5AD3"/>
    <w:rsid w:val="004C73EA"/>
    <w:rsid w:val="004D6553"/>
    <w:rsid w:val="004E296C"/>
    <w:rsid w:val="004E3F57"/>
    <w:rsid w:val="004E71AC"/>
    <w:rsid w:val="004F0510"/>
    <w:rsid w:val="004F4C30"/>
    <w:rsid w:val="004F64B1"/>
    <w:rsid w:val="005079BC"/>
    <w:rsid w:val="00507A25"/>
    <w:rsid w:val="00514D7A"/>
    <w:rsid w:val="00524A8A"/>
    <w:rsid w:val="0053254D"/>
    <w:rsid w:val="00533976"/>
    <w:rsid w:val="00535302"/>
    <w:rsid w:val="00540924"/>
    <w:rsid w:val="0054120E"/>
    <w:rsid w:val="0054266D"/>
    <w:rsid w:val="005459C0"/>
    <w:rsid w:val="00545EF0"/>
    <w:rsid w:val="00545FDC"/>
    <w:rsid w:val="00546669"/>
    <w:rsid w:val="0055204B"/>
    <w:rsid w:val="00556094"/>
    <w:rsid w:val="00556718"/>
    <w:rsid w:val="00557021"/>
    <w:rsid w:val="00565A69"/>
    <w:rsid w:val="005719DF"/>
    <w:rsid w:val="00571E62"/>
    <w:rsid w:val="00572102"/>
    <w:rsid w:val="005735A3"/>
    <w:rsid w:val="00576510"/>
    <w:rsid w:val="00580E9F"/>
    <w:rsid w:val="005836DE"/>
    <w:rsid w:val="00585952"/>
    <w:rsid w:val="005860DE"/>
    <w:rsid w:val="005874DF"/>
    <w:rsid w:val="00590A81"/>
    <w:rsid w:val="00594F92"/>
    <w:rsid w:val="005A550B"/>
    <w:rsid w:val="005A6901"/>
    <w:rsid w:val="005A724E"/>
    <w:rsid w:val="005B1891"/>
    <w:rsid w:val="005B4580"/>
    <w:rsid w:val="005B5287"/>
    <w:rsid w:val="005B663F"/>
    <w:rsid w:val="005C1B87"/>
    <w:rsid w:val="005C2BFE"/>
    <w:rsid w:val="005D0A7D"/>
    <w:rsid w:val="005D6B6F"/>
    <w:rsid w:val="005D709B"/>
    <w:rsid w:val="005E3209"/>
    <w:rsid w:val="005E6477"/>
    <w:rsid w:val="005F1CE4"/>
    <w:rsid w:val="005F73AC"/>
    <w:rsid w:val="005F7B02"/>
    <w:rsid w:val="006146CA"/>
    <w:rsid w:val="00614F64"/>
    <w:rsid w:val="00622377"/>
    <w:rsid w:val="00624D92"/>
    <w:rsid w:val="00627D0D"/>
    <w:rsid w:val="00632FBA"/>
    <w:rsid w:val="00635ADF"/>
    <w:rsid w:val="00636112"/>
    <w:rsid w:val="00640080"/>
    <w:rsid w:val="006400A5"/>
    <w:rsid w:val="00647B76"/>
    <w:rsid w:val="00650919"/>
    <w:rsid w:val="00652207"/>
    <w:rsid w:val="0065265E"/>
    <w:rsid w:val="00652EB8"/>
    <w:rsid w:val="0065456E"/>
    <w:rsid w:val="006557C8"/>
    <w:rsid w:val="00656977"/>
    <w:rsid w:val="00657F2D"/>
    <w:rsid w:val="006610D8"/>
    <w:rsid w:val="00661531"/>
    <w:rsid w:val="006619E0"/>
    <w:rsid w:val="00663B37"/>
    <w:rsid w:val="0067708B"/>
    <w:rsid w:val="0067757D"/>
    <w:rsid w:val="00680CDE"/>
    <w:rsid w:val="00681983"/>
    <w:rsid w:val="006825AC"/>
    <w:rsid w:val="00684316"/>
    <w:rsid w:val="00686935"/>
    <w:rsid w:val="00693FDF"/>
    <w:rsid w:val="00694274"/>
    <w:rsid w:val="00694657"/>
    <w:rsid w:val="00697693"/>
    <w:rsid w:val="006A1F03"/>
    <w:rsid w:val="006A5595"/>
    <w:rsid w:val="006B7723"/>
    <w:rsid w:val="006C1BA7"/>
    <w:rsid w:val="006C2F05"/>
    <w:rsid w:val="006C46CC"/>
    <w:rsid w:val="006C6DEC"/>
    <w:rsid w:val="006D2B28"/>
    <w:rsid w:val="006D4697"/>
    <w:rsid w:val="006D4898"/>
    <w:rsid w:val="006F2417"/>
    <w:rsid w:val="006F5539"/>
    <w:rsid w:val="006F5C9D"/>
    <w:rsid w:val="007012EC"/>
    <w:rsid w:val="00704FBB"/>
    <w:rsid w:val="007133D7"/>
    <w:rsid w:val="00715120"/>
    <w:rsid w:val="0072387A"/>
    <w:rsid w:val="00723C48"/>
    <w:rsid w:val="007253AC"/>
    <w:rsid w:val="00725A21"/>
    <w:rsid w:val="007261A7"/>
    <w:rsid w:val="007262EE"/>
    <w:rsid w:val="00731E2F"/>
    <w:rsid w:val="007338E2"/>
    <w:rsid w:val="00740E1C"/>
    <w:rsid w:val="0075045E"/>
    <w:rsid w:val="00763799"/>
    <w:rsid w:val="00765366"/>
    <w:rsid w:val="00765EC1"/>
    <w:rsid w:val="0077318D"/>
    <w:rsid w:val="00773BE6"/>
    <w:rsid w:val="00774955"/>
    <w:rsid w:val="00775220"/>
    <w:rsid w:val="00776220"/>
    <w:rsid w:val="00777958"/>
    <w:rsid w:val="00777C40"/>
    <w:rsid w:val="00782717"/>
    <w:rsid w:val="00784029"/>
    <w:rsid w:val="0078708C"/>
    <w:rsid w:val="0079027E"/>
    <w:rsid w:val="007921C3"/>
    <w:rsid w:val="007A0787"/>
    <w:rsid w:val="007A7AFC"/>
    <w:rsid w:val="007B2C08"/>
    <w:rsid w:val="007B5B67"/>
    <w:rsid w:val="007B7778"/>
    <w:rsid w:val="007C170D"/>
    <w:rsid w:val="007C5549"/>
    <w:rsid w:val="007D4F9E"/>
    <w:rsid w:val="007D66DC"/>
    <w:rsid w:val="007D7EC1"/>
    <w:rsid w:val="007E2872"/>
    <w:rsid w:val="007E3675"/>
    <w:rsid w:val="007E790F"/>
    <w:rsid w:val="007F221C"/>
    <w:rsid w:val="007F25EE"/>
    <w:rsid w:val="007F5E2E"/>
    <w:rsid w:val="008004A5"/>
    <w:rsid w:val="00800714"/>
    <w:rsid w:val="00813A5E"/>
    <w:rsid w:val="00815E84"/>
    <w:rsid w:val="00816D7C"/>
    <w:rsid w:val="00822CCA"/>
    <w:rsid w:val="00823282"/>
    <w:rsid w:val="00823407"/>
    <w:rsid w:val="00825C9D"/>
    <w:rsid w:val="00826D51"/>
    <w:rsid w:val="008342CB"/>
    <w:rsid w:val="008524B8"/>
    <w:rsid w:val="00857398"/>
    <w:rsid w:val="00857A02"/>
    <w:rsid w:val="00863600"/>
    <w:rsid w:val="00871646"/>
    <w:rsid w:val="00875577"/>
    <w:rsid w:val="008774D1"/>
    <w:rsid w:val="0088679E"/>
    <w:rsid w:val="00886DCB"/>
    <w:rsid w:val="00891F05"/>
    <w:rsid w:val="00894AFF"/>
    <w:rsid w:val="00894E70"/>
    <w:rsid w:val="008A320E"/>
    <w:rsid w:val="008A504B"/>
    <w:rsid w:val="008A5711"/>
    <w:rsid w:val="008A7884"/>
    <w:rsid w:val="008B4D21"/>
    <w:rsid w:val="008B59D4"/>
    <w:rsid w:val="008C2A12"/>
    <w:rsid w:val="008D0E0B"/>
    <w:rsid w:val="008D128B"/>
    <w:rsid w:val="008D16B3"/>
    <w:rsid w:val="008D2F6B"/>
    <w:rsid w:val="008D3D9A"/>
    <w:rsid w:val="008D6341"/>
    <w:rsid w:val="008E4892"/>
    <w:rsid w:val="008F2A64"/>
    <w:rsid w:val="008F3AE4"/>
    <w:rsid w:val="008F6B95"/>
    <w:rsid w:val="0090105F"/>
    <w:rsid w:val="00901937"/>
    <w:rsid w:val="00901A1E"/>
    <w:rsid w:val="00902B7F"/>
    <w:rsid w:val="009071F2"/>
    <w:rsid w:val="0091313E"/>
    <w:rsid w:val="009134D4"/>
    <w:rsid w:val="00914054"/>
    <w:rsid w:val="00915D8E"/>
    <w:rsid w:val="00916191"/>
    <w:rsid w:val="00916B91"/>
    <w:rsid w:val="009170F4"/>
    <w:rsid w:val="00920F1A"/>
    <w:rsid w:val="009235E7"/>
    <w:rsid w:val="009304CE"/>
    <w:rsid w:val="00942454"/>
    <w:rsid w:val="00943FFA"/>
    <w:rsid w:val="009508A8"/>
    <w:rsid w:val="009518EC"/>
    <w:rsid w:val="00955169"/>
    <w:rsid w:val="00960E65"/>
    <w:rsid w:val="00963A57"/>
    <w:rsid w:val="009670B1"/>
    <w:rsid w:val="00972F16"/>
    <w:rsid w:val="0097673F"/>
    <w:rsid w:val="009841E3"/>
    <w:rsid w:val="009852AE"/>
    <w:rsid w:val="0099074C"/>
    <w:rsid w:val="00995471"/>
    <w:rsid w:val="00997DAD"/>
    <w:rsid w:val="009A3017"/>
    <w:rsid w:val="009A371F"/>
    <w:rsid w:val="009A45F3"/>
    <w:rsid w:val="009A48EC"/>
    <w:rsid w:val="009A79F7"/>
    <w:rsid w:val="009B1754"/>
    <w:rsid w:val="009B1F2A"/>
    <w:rsid w:val="009C5114"/>
    <w:rsid w:val="009C7892"/>
    <w:rsid w:val="009E3D4D"/>
    <w:rsid w:val="009E65A5"/>
    <w:rsid w:val="009E7B0C"/>
    <w:rsid w:val="009E7E17"/>
    <w:rsid w:val="009F26A7"/>
    <w:rsid w:val="009F412D"/>
    <w:rsid w:val="009F4C02"/>
    <w:rsid w:val="009F4D00"/>
    <w:rsid w:val="009F7D4B"/>
    <w:rsid w:val="00A049B2"/>
    <w:rsid w:val="00A11D66"/>
    <w:rsid w:val="00A131E9"/>
    <w:rsid w:val="00A13781"/>
    <w:rsid w:val="00A22D14"/>
    <w:rsid w:val="00A2722E"/>
    <w:rsid w:val="00A27B25"/>
    <w:rsid w:val="00A30A2D"/>
    <w:rsid w:val="00A338E3"/>
    <w:rsid w:val="00A35CC8"/>
    <w:rsid w:val="00A37D9E"/>
    <w:rsid w:val="00A41442"/>
    <w:rsid w:val="00A45FF3"/>
    <w:rsid w:val="00A46D59"/>
    <w:rsid w:val="00A46FF5"/>
    <w:rsid w:val="00A503E3"/>
    <w:rsid w:val="00A51F53"/>
    <w:rsid w:val="00A53ABF"/>
    <w:rsid w:val="00A55CA7"/>
    <w:rsid w:val="00A60305"/>
    <w:rsid w:val="00A6398B"/>
    <w:rsid w:val="00A675A3"/>
    <w:rsid w:val="00A73F74"/>
    <w:rsid w:val="00A77E99"/>
    <w:rsid w:val="00A80A3F"/>
    <w:rsid w:val="00A81E6D"/>
    <w:rsid w:val="00A8401A"/>
    <w:rsid w:val="00A957CC"/>
    <w:rsid w:val="00A95B30"/>
    <w:rsid w:val="00A95EE0"/>
    <w:rsid w:val="00A96492"/>
    <w:rsid w:val="00A970B8"/>
    <w:rsid w:val="00A970EE"/>
    <w:rsid w:val="00AA0501"/>
    <w:rsid w:val="00AA07F7"/>
    <w:rsid w:val="00AA288F"/>
    <w:rsid w:val="00AB3909"/>
    <w:rsid w:val="00AC07B4"/>
    <w:rsid w:val="00AC7745"/>
    <w:rsid w:val="00AC7B33"/>
    <w:rsid w:val="00AD0643"/>
    <w:rsid w:val="00AD3806"/>
    <w:rsid w:val="00AD39F5"/>
    <w:rsid w:val="00AD7C9C"/>
    <w:rsid w:val="00AE5D49"/>
    <w:rsid w:val="00AE7E9E"/>
    <w:rsid w:val="00AF5992"/>
    <w:rsid w:val="00AF70C6"/>
    <w:rsid w:val="00B04ABF"/>
    <w:rsid w:val="00B04E44"/>
    <w:rsid w:val="00B055EE"/>
    <w:rsid w:val="00B07350"/>
    <w:rsid w:val="00B10AE4"/>
    <w:rsid w:val="00B13061"/>
    <w:rsid w:val="00B13A3B"/>
    <w:rsid w:val="00B2497C"/>
    <w:rsid w:val="00B26540"/>
    <w:rsid w:val="00B270AA"/>
    <w:rsid w:val="00B40038"/>
    <w:rsid w:val="00B41C7E"/>
    <w:rsid w:val="00B42641"/>
    <w:rsid w:val="00B46F91"/>
    <w:rsid w:val="00B50804"/>
    <w:rsid w:val="00B51137"/>
    <w:rsid w:val="00B5397D"/>
    <w:rsid w:val="00B53D1A"/>
    <w:rsid w:val="00B56723"/>
    <w:rsid w:val="00B602F3"/>
    <w:rsid w:val="00B620A6"/>
    <w:rsid w:val="00B6212F"/>
    <w:rsid w:val="00B64F65"/>
    <w:rsid w:val="00B67387"/>
    <w:rsid w:val="00B738C9"/>
    <w:rsid w:val="00B76E67"/>
    <w:rsid w:val="00B81C5A"/>
    <w:rsid w:val="00B84075"/>
    <w:rsid w:val="00B851BE"/>
    <w:rsid w:val="00B851E7"/>
    <w:rsid w:val="00B86DB6"/>
    <w:rsid w:val="00B91ABA"/>
    <w:rsid w:val="00B97B2A"/>
    <w:rsid w:val="00BA3D1B"/>
    <w:rsid w:val="00BA6BEA"/>
    <w:rsid w:val="00BA77AD"/>
    <w:rsid w:val="00BC0429"/>
    <w:rsid w:val="00BC4BBD"/>
    <w:rsid w:val="00BC50D9"/>
    <w:rsid w:val="00BD019E"/>
    <w:rsid w:val="00BD7CC7"/>
    <w:rsid w:val="00BE18A1"/>
    <w:rsid w:val="00BE2ACA"/>
    <w:rsid w:val="00BE6400"/>
    <w:rsid w:val="00BF0E15"/>
    <w:rsid w:val="00BF1378"/>
    <w:rsid w:val="00BF17DE"/>
    <w:rsid w:val="00BF32B7"/>
    <w:rsid w:val="00BF6BD1"/>
    <w:rsid w:val="00BF7012"/>
    <w:rsid w:val="00C00458"/>
    <w:rsid w:val="00C006C7"/>
    <w:rsid w:val="00C02A98"/>
    <w:rsid w:val="00C1349C"/>
    <w:rsid w:val="00C233C9"/>
    <w:rsid w:val="00C26102"/>
    <w:rsid w:val="00C26DED"/>
    <w:rsid w:val="00C3034A"/>
    <w:rsid w:val="00C36690"/>
    <w:rsid w:val="00C41BC3"/>
    <w:rsid w:val="00C44013"/>
    <w:rsid w:val="00C44110"/>
    <w:rsid w:val="00C52391"/>
    <w:rsid w:val="00C55914"/>
    <w:rsid w:val="00C569E9"/>
    <w:rsid w:val="00C65A11"/>
    <w:rsid w:val="00C713FA"/>
    <w:rsid w:val="00C7505E"/>
    <w:rsid w:val="00C814A5"/>
    <w:rsid w:val="00C8389F"/>
    <w:rsid w:val="00C84863"/>
    <w:rsid w:val="00C91EC9"/>
    <w:rsid w:val="00C93F6C"/>
    <w:rsid w:val="00C96ADB"/>
    <w:rsid w:val="00CA54A5"/>
    <w:rsid w:val="00CB2817"/>
    <w:rsid w:val="00CB2B9D"/>
    <w:rsid w:val="00CB6446"/>
    <w:rsid w:val="00CB7544"/>
    <w:rsid w:val="00CC0511"/>
    <w:rsid w:val="00CC2444"/>
    <w:rsid w:val="00CC3C2D"/>
    <w:rsid w:val="00CC47D1"/>
    <w:rsid w:val="00CC6C79"/>
    <w:rsid w:val="00CC74BE"/>
    <w:rsid w:val="00CD2D66"/>
    <w:rsid w:val="00CD5667"/>
    <w:rsid w:val="00CD6B45"/>
    <w:rsid w:val="00CE1056"/>
    <w:rsid w:val="00CE2F16"/>
    <w:rsid w:val="00CE5DD1"/>
    <w:rsid w:val="00CE5F10"/>
    <w:rsid w:val="00CE6BD1"/>
    <w:rsid w:val="00CF4BAA"/>
    <w:rsid w:val="00D02697"/>
    <w:rsid w:val="00D05C0B"/>
    <w:rsid w:val="00D07292"/>
    <w:rsid w:val="00D13F4F"/>
    <w:rsid w:val="00D14410"/>
    <w:rsid w:val="00D147BA"/>
    <w:rsid w:val="00D14FE2"/>
    <w:rsid w:val="00D167A0"/>
    <w:rsid w:val="00D21051"/>
    <w:rsid w:val="00D442B9"/>
    <w:rsid w:val="00D45D77"/>
    <w:rsid w:val="00D5625B"/>
    <w:rsid w:val="00D60C9E"/>
    <w:rsid w:val="00D64AE1"/>
    <w:rsid w:val="00D750F5"/>
    <w:rsid w:val="00D9016E"/>
    <w:rsid w:val="00D90E62"/>
    <w:rsid w:val="00DA1B1F"/>
    <w:rsid w:val="00DA389F"/>
    <w:rsid w:val="00DA3CCC"/>
    <w:rsid w:val="00DA540A"/>
    <w:rsid w:val="00DA5B07"/>
    <w:rsid w:val="00DA7B8E"/>
    <w:rsid w:val="00DB3D98"/>
    <w:rsid w:val="00DB57FA"/>
    <w:rsid w:val="00DB6775"/>
    <w:rsid w:val="00DC18AA"/>
    <w:rsid w:val="00DC34A3"/>
    <w:rsid w:val="00DC60EF"/>
    <w:rsid w:val="00DC6337"/>
    <w:rsid w:val="00DC778B"/>
    <w:rsid w:val="00DE02D0"/>
    <w:rsid w:val="00DE1428"/>
    <w:rsid w:val="00DE181E"/>
    <w:rsid w:val="00DE415F"/>
    <w:rsid w:val="00DE5D19"/>
    <w:rsid w:val="00DF016A"/>
    <w:rsid w:val="00DF171C"/>
    <w:rsid w:val="00DF1EA0"/>
    <w:rsid w:val="00DF7DBE"/>
    <w:rsid w:val="00E01795"/>
    <w:rsid w:val="00E02CE7"/>
    <w:rsid w:val="00E049E9"/>
    <w:rsid w:val="00E04FF1"/>
    <w:rsid w:val="00E2268D"/>
    <w:rsid w:val="00E25C10"/>
    <w:rsid w:val="00E261E0"/>
    <w:rsid w:val="00E26645"/>
    <w:rsid w:val="00E2690B"/>
    <w:rsid w:val="00E31460"/>
    <w:rsid w:val="00E31697"/>
    <w:rsid w:val="00E32A0E"/>
    <w:rsid w:val="00E35A0C"/>
    <w:rsid w:val="00E363F7"/>
    <w:rsid w:val="00E37125"/>
    <w:rsid w:val="00E37A33"/>
    <w:rsid w:val="00E37BE3"/>
    <w:rsid w:val="00E42DEE"/>
    <w:rsid w:val="00E43053"/>
    <w:rsid w:val="00E51062"/>
    <w:rsid w:val="00E514CA"/>
    <w:rsid w:val="00E625E8"/>
    <w:rsid w:val="00E67C6C"/>
    <w:rsid w:val="00E730F8"/>
    <w:rsid w:val="00E74602"/>
    <w:rsid w:val="00E76349"/>
    <w:rsid w:val="00E77407"/>
    <w:rsid w:val="00E80A75"/>
    <w:rsid w:val="00E95285"/>
    <w:rsid w:val="00EA4501"/>
    <w:rsid w:val="00EA502C"/>
    <w:rsid w:val="00EA6BCB"/>
    <w:rsid w:val="00EB2B4D"/>
    <w:rsid w:val="00EB3E0B"/>
    <w:rsid w:val="00EC5226"/>
    <w:rsid w:val="00ED0BD2"/>
    <w:rsid w:val="00ED7415"/>
    <w:rsid w:val="00EE34D0"/>
    <w:rsid w:val="00EE3BA0"/>
    <w:rsid w:val="00EE4B74"/>
    <w:rsid w:val="00EE65B5"/>
    <w:rsid w:val="00EE7A1D"/>
    <w:rsid w:val="00EF00CF"/>
    <w:rsid w:val="00F00116"/>
    <w:rsid w:val="00F00D2A"/>
    <w:rsid w:val="00F03A51"/>
    <w:rsid w:val="00F049D0"/>
    <w:rsid w:val="00F06E05"/>
    <w:rsid w:val="00F11365"/>
    <w:rsid w:val="00F16579"/>
    <w:rsid w:val="00F21DAA"/>
    <w:rsid w:val="00F25F3D"/>
    <w:rsid w:val="00F31474"/>
    <w:rsid w:val="00F33751"/>
    <w:rsid w:val="00F3453D"/>
    <w:rsid w:val="00F415DE"/>
    <w:rsid w:val="00F4644B"/>
    <w:rsid w:val="00F4785D"/>
    <w:rsid w:val="00F47A14"/>
    <w:rsid w:val="00F51CEB"/>
    <w:rsid w:val="00F60729"/>
    <w:rsid w:val="00F60893"/>
    <w:rsid w:val="00F61C39"/>
    <w:rsid w:val="00F74940"/>
    <w:rsid w:val="00F7498F"/>
    <w:rsid w:val="00F7613F"/>
    <w:rsid w:val="00F859CD"/>
    <w:rsid w:val="00F87026"/>
    <w:rsid w:val="00F914C8"/>
    <w:rsid w:val="00F9486C"/>
    <w:rsid w:val="00FA00B2"/>
    <w:rsid w:val="00FB102E"/>
    <w:rsid w:val="00FB134B"/>
    <w:rsid w:val="00FB484C"/>
    <w:rsid w:val="00FC35B7"/>
    <w:rsid w:val="00FC3DC7"/>
    <w:rsid w:val="00FC61BD"/>
    <w:rsid w:val="00FD0595"/>
    <w:rsid w:val="00FD1DFB"/>
    <w:rsid w:val="00FD206B"/>
    <w:rsid w:val="00FE07EF"/>
    <w:rsid w:val="00FE6885"/>
    <w:rsid w:val="00FE6924"/>
    <w:rsid w:val="00FF10DA"/>
    <w:rsid w:val="00FF2DDF"/>
    <w:rsid w:val="00FF3EB9"/>
    <w:rsid w:val="0120137E"/>
    <w:rsid w:val="014E5717"/>
    <w:rsid w:val="018117C1"/>
    <w:rsid w:val="018502B5"/>
    <w:rsid w:val="01CF32DE"/>
    <w:rsid w:val="01DF6AA8"/>
    <w:rsid w:val="02104022"/>
    <w:rsid w:val="021F37A2"/>
    <w:rsid w:val="02EB1BB4"/>
    <w:rsid w:val="03083283"/>
    <w:rsid w:val="032137A5"/>
    <w:rsid w:val="039D426C"/>
    <w:rsid w:val="03A45C55"/>
    <w:rsid w:val="03F676E6"/>
    <w:rsid w:val="04032EDF"/>
    <w:rsid w:val="040845B2"/>
    <w:rsid w:val="04155920"/>
    <w:rsid w:val="04470F02"/>
    <w:rsid w:val="04B6342C"/>
    <w:rsid w:val="04E743E4"/>
    <w:rsid w:val="05437FB7"/>
    <w:rsid w:val="05656F62"/>
    <w:rsid w:val="0583332C"/>
    <w:rsid w:val="05975F14"/>
    <w:rsid w:val="05F0611A"/>
    <w:rsid w:val="05F814A1"/>
    <w:rsid w:val="063912C7"/>
    <w:rsid w:val="07047ECE"/>
    <w:rsid w:val="074D4254"/>
    <w:rsid w:val="07680E37"/>
    <w:rsid w:val="082E6D53"/>
    <w:rsid w:val="0869361C"/>
    <w:rsid w:val="08735BCC"/>
    <w:rsid w:val="08970E5F"/>
    <w:rsid w:val="08CB50A1"/>
    <w:rsid w:val="094073F5"/>
    <w:rsid w:val="09FC30DE"/>
    <w:rsid w:val="0A5C1C06"/>
    <w:rsid w:val="0A72494E"/>
    <w:rsid w:val="0AA52EBD"/>
    <w:rsid w:val="0B1F15D5"/>
    <w:rsid w:val="0B9711AE"/>
    <w:rsid w:val="0BA61521"/>
    <w:rsid w:val="0BC33EB3"/>
    <w:rsid w:val="0C393B40"/>
    <w:rsid w:val="0C7A0E20"/>
    <w:rsid w:val="0DE94292"/>
    <w:rsid w:val="0E1E6D63"/>
    <w:rsid w:val="0E74301F"/>
    <w:rsid w:val="0ED153F9"/>
    <w:rsid w:val="0F2E3C24"/>
    <w:rsid w:val="0F7E0807"/>
    <w:rsid w:val="0F9D28CF"/>
    <w:rsid w:val="0FD81EB4"/>
    <w:rsid w:val="101716C7"/>
    <w:rsid w:val="1041184B"/>
    <w:rsid w:val="10516791"/>
    <w:rsid w:val="108C5315"/>
    <w:rsid w:val="109202F8"/>
    <w:rsid w:val="109706D7"/>
    <w:rsid w:val="10DD04C4"/>
    <w:rsid w:val="115D0980"/>
    <w:rsid w:val="11D02E86"/>
    <w:rsid w:val="12045B53"/>
    <w:rsid w:val="12627D38"/>
    <w:rsid w:val="12AD19F7"/>
    <w:rsid w:val="139B4B73"/>
    <w:rsid w:val="14156313"/>
    <w:rsid w:val="141C1C9C"/>
    <w:rsid w:val="141C3289"/>
    <w:rsid w:val="14457A32"/>
    <w:rsid w:val="1460517B"/>
    <w:rsid w:val="1465422A"/>
    <w:rsid w:val="14812290"/>
    <w:rsid w:val="15087937"/>
    <w:rsid w:val="150B7614"/>
    <w:rsid w:val="1519109A"/>
    <w:rsid w:val="15335936"/>
    <w:rsid w:val="153A3C2D"/>
    <w:rsid w:val="159C7074"/>
    <w:rsid w:val="16A35F99"/>
    <w:rsid w:val="17105849"/>
    <w:rsid w:val="174F2A9F"/>
    <w:rsid w:val="17AE7CBD"/>
    <w:rsid w:val="17CE1BA5"/>
    <w:rsid w:val="17ED041F"/>
    <w:rsid w:val="17F45E20"/>
    <w:rsid w:val="187C5B16"/>
    <w:rsid w:val="18AF38FD"/>
    <w:rsid w:val="18BB3E30"/>
    <w:rsid w:val="18CB25F9"/>
    <w:rsid w:val="193D4D6C"/>
    <w:rsid w:val="19812ACE"/>
    <w:rsid w:val="19A61ED8"/>
    <w:rsid w:val="19AA3637"/>
    <w:rsid w:val="19DE010A"/>
    <w:rsid w:val="19FF69FF"/>
    <w:rsid w:val="1A066965"/>
    <w:rsid w:val="1A643A72"/>
    <w:rsid w:val="1AB21051"/>
    <w:rsid w:val="1AD36276"/>
    <w:rsid w:val="1AE84B77"/>
    <w:rsid w:val="1AF07590"/>
    <w:rsid w:val="1B7104CB"/>
    <w:rsid w:val="1B91111F"/>
    <w:rsid w:val="1BDD0528"/>
    <w:rsid w:val="1BF36FF8"/>
    <w:rsid w:val="1C8048CA"/>
    <w:rsid w:val="1C99656B"/>
    <w:rsid w:val="1CEB326A"/>
    <w:rsid w:val="1D2A1F90"/>
    <w:rsid w:val="1D3F7A15"/>
    <w:rsid w:val="1D57328C"/>
    <w:rsid w:val="1D73442E"/>
    <w:rsid w:val="1DDB2360"/>
    <w:rsid w:val="1E0727F1"/>
    <w:rsid w:val="1E7062D4"/>
    <w:rsid w:val="1E920021"/>
    <w:rsid w:val="1ECD061A"/>
    <w:rsid w:val="1EDA4939"/>
    <w:rsid w:val="1F385698"/>
    <w:rsid w:val="20443634"/>
    <w:rsid w:val="208F03B0"/>
    <w:rsid w:val="20E71F9A"/>
    <w:rsid w:val="20F546B7"/>
    <w:rsid w:val="2128668C"/>
    <w:rsid w:val="217E4986"/>
    <w:rsid w:val="21D01A69"/>
    <w:rsid w:val="21E26745"/>
    <w:rsid w:val="23203542"/>
    <w:rsid w:val="23867483"/>
    <w:rsid w:val="23B03722"/>
    <w:rsid w:val="24B84A38"/>
    <w:rsid w:val="255B5057"/>
    <w:rsid w:val="262C5844"/>
    <w:rsid w:val="264D6D44"/>
    <w:rsid w:val="26956D9C"/>
    <w:rsid w:val="26FF33A4"/>
    <w:rsid w:val="271F1D71"/>
    <w:rsid w:val="280D3C24"/>
    <w:rsid w:val="28945A4B"/>
    <w:rsid w:val="289A5522"/>
    <w:rsid w:val="28CB21A2"/>
    <w:rsid w:val="28EC5D9E"/>
    <w:rsid w:val="28ED5E2B"/>
    <w:rsid w:val="292813A2"/>
    <w:rsid w:val="294A18A8"/>
    <w:rsid w:val="29690152"/>
    <w:rsid w:val="29CB3C83"/>
    <w:rsid w:val="2AEB4A25"/>
    <w:rsid w:val="2B22542D"/>
    <w:rsid w:val="2B3109E2"/>
    <w:rsid w:val="2B6A3D49"/>
    <w:rsid w:val="2D2F6528"/>
    <w:rsid w:val="2D4349FC"/>
    <w:rsid w:val="2DFE26D1"/>
    <w:rsid w:val="2F2D5E03"/>
    <w:rsid w:val="2F3926C8"/>
    <w:rsid w:val="2F8D6403"/>
    <w:rsid w:val="2FA472AD"/>
    <w:rsid w:val="2FD16436"/>
    <w:rsid w:val="305927C1"/>
    <w:rsid w:val="305F259A"/>
    <w:rsid w:val="30914BF5"/>
    <w:rsid w:val="30E20F99"/>
    <w:rsid w:val="310F4253"/>
    <w:rsid w:val="311350AC"/>
    <w:rsid w:val="321E13C5"/>
    <w:rsid w:val="32201990"/>
    <w:rsid w:val="324342EE"/>
    <w:rsid w:val="32690A61"/>
    <w:rsid w:val="32C6390E"/>
    <w:rsid w:val="32E1374A"/>
    <w:rsid w:val="32E21EBD"/>
    <w:rsid w:val="32E50B94"/>
    <w:rsid w:val="32EF6A63"/>
    <w:rsid w:val="32F62440"/>
    <w:rsid w:val="32FD2735"/>
    <w:rsid w:val="33731C5A"/>
    <w:rsid w:val="33814BD7"/>
    <w:rsid w:val="33F17F05"/>
    <w:rsid w:val="33F81C0C"/>
    <w:rsid w:val="33FF13EE"/>
    <w:rsid w:val="346314E0"/>
    <w:rsid w:val="34653D7D"/>
    <w:rsid w:val="346F133E"/>
    <w:rsid w:val="34B33FAF"/>
    <w:rsid w:val="34EF2A8C"/>
    <w:rsid w:val="34FA3BF3"/>
    <w:rsid w:val="35452E4C"/>
    <w:rsid w:val="35AE2C2F"/>
    <w:rsid w:val="35C9101D"/>
    <w:rsid w:val="35E052B1"/>
    <w:rsid w:val="36370AC5"/>
    <w:rsid w:val="36626C16"/>
    <w:rsid w:val="373759DA"/>
    <w:rsid w:val="37C464B5"/>
    <w:rsid w:val="37D470DF"/>
    <w:rsid w:val="37F01C26"/>
    <w:rsid w:val="37F25055"/>
    <w:rsid w:val="37FE71C5"/>
    <w:rsid w:val="387F6B81"/>
    <w:rsid w:val="38997AEB"/>
    <w:rsid w:val="39262948"/>
    <w:rsid w:val="39A0637B"/>
    <w:rsid w:val="39BB7CA8"/>
    <w:rsid w:val="39FA6443"/>
    <w:rsid w:val="3A072C82"/>
    <w:rsid w:val="3A43603C"/>
    <w:rsid w:val="3A5B2B69"/>
    <w:rsid w:val="3A6D21E6"/>
    <w:rsid w:val="3BDC2E13"/>
    <w:rsid w:val="3BFF4C70"/>
    <w:rsid w:val="3C0256F9"/>
    <w:rsid w:val="3C385593"/>
    <w:rsid w:val="3C493E09"/>
    <w:rsid w:val="3C9044E3"/>
    <w:rsid w:val="3CD359E5"/>
    <w:rsid w:val="3CE07B72"/>
    <w:rsid w:val="3CE3098B"/>
    <w:rsid w:val="3D1E52E7"/>
    <w:rsid w:val="3D852807"/>
    <w:rsid w:val="3DA51F96"/>
    <w:rsid w:val="3DAB3A36"/>
    <w:rsid w:val="3DB170F3"/>
    <w:rsid w:val="3DB17EC0"/>
    <w:rsid w:val="3DC21AB7"/>
    <w:rsid w:val="3DC23D5F"/>
    <w:rsid w:val="3DE32AE1"/>
    <w:rsid w:val="3E414576"/>
    <w:rsid w:val="3E4D7489"/>
    <w:rsid w:val="3E8E742F"/>
    <w:rsid w:val="3E970704"/>
    <w:rsid w:val="3F4734F8"/>
    <w:rsid w:val="3F8C11CB"/>
    <w:rsid w:val="3FA0000A"/>
    <w:rsid w:val="40391CF5"/>
    <w:rsid w:val="404F6519"/>
    <w:rsid w:val="40BD49A5"/>
    <w:rsid w:val="41D127CA"/>
    <w:rsid w:val="42785DD3"/>
    <w:rsid w:val="428D4140"/>
    <w:rsid w:val="42976F25"/>
    <w:rsid w:val="42AD7B88"/>
    <w:rsid w:val="42DC702D"/>
    <w:rsid w:val="42E83E52"/>
    <w:rsid w:val="43B92ECB"/>
    <w:rsid w:val="44F06DC0"/>
    <w:rsid w:val="44F06F07"/>
    <w:rsid w:val="44FF34A7"/>
    <w:rsid w:val="4518282B"/>
    <w:rsid w:val="456F7F1C"/>
    <w:rsid w:val="45A02594"/>
    <w:rsid w:val="45EE4D65"/>
    <w:rsid w:val="45F2612A"/>
    <w:rsid w:val="463E26A5"/>
    <w:rsid w:val="46767D45"/>
    <w:rsid w:val="46C81EF2"/>
    <w:rsid w:val="47C159B7"/>
    <w:rsid w:val="47D143BA"/>
    <w:rsid w:val="48625C10"/>
    <w:rsid w:val="48931989"/>
    <w:rsid w:val="48972E18"/>
    <w:rsid w:val="489F258D"/>
    <w:rsid w:val="48C37705"/>
    <w:rsid w:val="498D5A32"/>
    <w:rsid w:val="4A400820"/>
    <w:rsid w:val="4A673681"/>
    <w:rsid w:val="4AC83759"/>
    <w:rsid w:val="4AFE29C3"/>
    <w:rsid w:val="4B0D3F25"/>
    <w:rsid w:val="4B2129DE"/>
    <w:rsid w:val="4BAF071C"/>
    <w:rsid w:val="4C4B0D80"/>
    <w:rsid w:val="4CDA1D3F"/>
    <w:rsid w:val="4D896004"/>
    <w:rsid w:val="4DA50752"/>
    <w:rsid w:val="4E18220D"/>
    <w:rsid w:val="4E584D48"/>
    <w:rsid w:val="4E5F05F4"/>
    <w:rsid w:val="4E6440EC"/>
    <w:rsid w:val="4EC068D3"/>
    <w:rsid w:val="4EF70D4B"/>
    <w:rsid w:val="4F0E44DE"/>
    <w:rsid w:val="4F1B0EDE"/>
    <w:rsid w:val="4F2B6157"/>
    <w:rsid w:val="4F861073"/>
    <w:rsid w:val="4FD37C2C"/>
    <w:rsid w:val="4FD95839"/>
    <w:rsid w:val="50142DC3"/>
    <w:rsid w:val="50A54F03"/>
    <w:rsid w:val="50AA1A16"/>
    <w:rsid w:val="50D4451E"/>
    <w:rsid w:val="5132391F"/>
    <w:rsid w:val="514F5126"/>
    <w:rsid w:val="51576CE5"/>
    <w:rsid w:val="516013BB"/>
    <w:rsid w:val="519A2A2F"/>
    <w:rsid w:val="522D2622"/>
    <w:rsid w:val="525241EF"/>
    <w:rsid w:val="52914FCB"/>
    <w:rsid w:val="53192AD0"/>
    <w:rsid w:val="53502C95"/>
    <w:rsid w:val="535460A9"/>
    <w:rsid w:val="53730048"/>
    <w:rsid w:val="53980DD9"/>
    <w:rsid w:val="53FC13D7"/>
    <w:rsid w:val="54562C35"/>
    <w:rsid w:val="54815C87"/>
    <w:rsid w:val="54D2457D"/>
    <w:rsid w:val="551B738B"/>
    <w:rsid w:val="552C0A96"/>
    <w:rsid w:val="554A28A3"/>
    <w:rsid w:val="55706B33"/>
    <w:rsid w:val="56C669CB"/>
    <w:rsid w:val="57082BFA"/>
    <w:rsid w:val="57830098"/>
    <w:rsid w:val="57DB13CD"/>
    <w:rsid w:val="58131270"/>
    <w:rsid w:val="58135ABF"/>
    <w:rsid w:val="58157ED4"/>
    <w:rsid w:val="581970B6"/>
    <w:rsid w:val="581E6EFC"/>
    <w:rsid w:val="582A50A0"/>
    <w:rsid w:val="58407923"/>
    <w:rsid w:val="588927A0"/>
    <w:rsid w:val="58D953BC"/>
    <w:rsid w:val="598C24F3"/>
    <w:rsid w:val="5A900F23"/>
    <w:rsid w:val="5A975865"/>
    <w:rsid w:val="5AB93F1D"/>
    <w:rsid w:val="5B030FC4"/>
    <w:rsid w:val="5B057D76"/>
    <w:rsid w:val="5B2F1F99"/>
    <w:rsid w:val="5B71145A"/>
    <w:rsid w:val="5BC91427"/>
    <w:rsid w:val="5BDD7B2D"/>
    <w:rsid w:val="5BEF1728"/>
    <w:rsid w:val="5BF40AEC"/>
    <w:rsid w:val="5BF93AC4"/>
    <w:rsid w:val="5C4047A4"/>
    <w:rsid w:val="5C526F5E"/>
    <w:rsid w:val="5C5563AD"/>
    <w:rsid w:val="5CC50322"/>
    <w:rsid w:val="5CE8543B"/>
    <w:rsid w:val="5D771F1C"/>
    <w:rsid w:val="5E11053A"/>
    <w:rsid w:val="5E6554CB"/>
    <w:rsid w:val="5EA356FA"/>
    <w:rsid w:val="5ED22CC2"/>
    <w:rsid w:val="5F221E14"/>
    <w:rsid w:val="5F5F0972"/>
    <w:rsid w:val="5F7D438E"/>
    <w:rsid w:val="5F8108E9"/>
    <w:rsid w:val="5F9E149B"/>
    <w:rsid w:val="5FC30F01"/>
    <w:rsid w:val="602C0276"/>
    <w:rsid w:val="61285BD1"/>
    <w:rsid w:val="61914DBF"/>
    <w:rsid w:val="62283CA4"/>
    <w:rsid w:val="62457665"/>
    <w:rsid w:val="62D13DCC"/>
    <w:rsid w:val="63776E7B"/>
    <w:rsid w:val="63D009C6"/>
    <w:rsid w:val="63E92F01"/>
    <w:rsid w:val="64877CCF"/>
    <w:rsid w:val="649C0781"/>
    <w:rsid w:val="65C7031A"/>
    <w:rsid w:val="66166677"/>
    <w:rsid w:val="66240220"/>
    <w:rsid w:val="66A302D7"/>
    <w:rsid w:val="66C22D3A"/>
    <w:rsid w:val="6743032B"/>
    <w:rsid w:val="67DD3829"/>
    <w:rsid w:val="67F7442A"/>
    <w:rsid w:val="67F9750E"/>
    <w:rsid w:val="690A4AA4"/>
    <w:rsid w:val="69F52012"/>
    <w:rsid w:val="6A462CC6"/>
    <w:rsid w:val="6AB9362D"/>
    <w:rsid w:val="6AF01164"/>
    <w:rsid w:val="6B1E7934"/>
    <w:rsid w:val="6B850009"/>
    <w:rsid w:val="6BBC1336"/>
    <w:rsid w:val="6BE446D9"/>
    <w:rsid w:val="6C707BDF"/>
    <w:rsid w:val="6D2F0485"/>
    <w:rsid w:val="6D8E3437"/>
    <w:rsid w:val="6DA045D2"/>
    <w:rsid w:val="6DBD0123"/>
    <w:rsid w:val="6DDE17FE"/>
    <w:rsid w:val="6DFD5327"/>
    <w:rsid w:val="6E551CA4"/>
    <w:rsid w:val="6E9A3924"/>
    <w:rsid w:val="6EA36D29"/>
    <w:rsid w:val="6F4162E7"/>
    <w:rsid w:val="6F614293"/>
    <w:rsid w:val="7027728A"/>
    <w:rsid w:val="70783D6C"/>
    <w:rsid w:val="714325E3"/>
    <w:rsid w:val="714571EE"/>
    <w:rsid w:val="715A543E"/>
    <w:rsid w:val="71AB5C99"/>
    <w:rsid w:val="71C4488E"/>
    <w:rsid w:val="72624542"/>
    <w:rsid w:val="72CD5EBC"/>
    <w:rsid w:val="7359676C"/>
    <w:rsid w:val="73683F57"/>
    <w:rsid w:val="739206EA"/>
    <w:rsid w:val="74062473"/>
    <w:rsid w:val="742F4960"/>
    <w:rsid w:val="749B1FF5"/>
    <w:rsid w:val="74C257D4"/>
    <w:rsid w:val="74D54D8E"/>
    <w:rsid w:val="74FD6450"/>
    <w:rsid w:val="75572054"/>
    <w:rsid w:val="75AE5EB6"/>
    <w:rsid w:val="75DA6B4D"/>
    <w:rsid w:val="75EB36D0"/>
    <w:rsid w:val="769B55BF"/>
    <w:rsid w:val="76B35000"/>
    <w:rsid w:val="76BE34F9"/>
    <w:rsid w:val="76E32063"/>
    <w:rsid w:val="770671F4"/>
    <w:rsid w:val="77AD08D9"/>
    <w:rsid w:val="77BF0C0D"/>
    <w:rsid w:val="78574485"/>
    <w:rsid w:val="7878508A"/>
    <w:rsid w:val="78887081"/>
    <w:rsid w:val="78DA2881"/>
    <w:rsid w:val="78DB5B8E"/>
    <w:rsid w:val="790C0887"/>
    <w:rsid w:val="7A304541"/>
    <w:rsid w:val="7A38744E"/>
    <w:rsid w:val="7A7C6425"/>
    <w:rsid w:val="7A995153"/>
    <w:rsid w:val="7AB70565"/>
    <w:rsid w:val="7AE01082"/>
    <w:rsid w:val="7C1822AA"/>
    <w:rsid w:val="7C396B93"/>
    <w:rsid w:val="7C605FFE"/>
    <w:rsid w:val="7CCB71F0"/>
    <w:rsid w:val="7CCF6CE0"/>
    <w:rsid w:val="7D7B674D"/>
    <w:rsid w:val="7D931CD6"/>
    <w:rsid w:val="7D952803"/>
    <w:rsid w:val="7DFB4006"/>
    <w:rsid w:val="7E907CEE"/>
    <w:rsid w:val="7EB016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50"/>
    <w:qFormat/>
    <w:uiPriority w:val="0"/>
    <w:pPr>
      <w:keepNext/>
      <w:keepLines/>
      <w:spacing w:before="340" w:after="330" w:line="576" w:lineRule="auto"/>
      <w:outlineLvl w:val="0"/>
    </w:pPr>
    <w:rPr>
      <w:b/>
      <w:bCs/>
      <w:kern w:val="44"/>
      <w:sz w:val="30"/>
      <w:szCs w:val="44"/>
    </w:rPr>
  </w:style>
  <w:style w:type="paragraph" w:styleId="3">
    <w:name w:val="heading 2"/>
    <w:basedOn w:val="1"/>
    <w:next w:val="1"/>
    <w:link w:val="51"/>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52"/>
    <w:qFormat/>
    <w:uiPriority w:val="0"/>
    <w:pPr>
      <w:keepNext/>
      <w:keepLines/>
      <w:spacing w:before="260" w:after="260" w:line="416" w:lineRule="auto"/>
      <w:outlineLvl w:val="2"/>
    </w:pPr>
    <w:rPr>
      <w:b/>
      <w:bCs/>
      <w:sz w:val="32"/>
      <w:szCs w:val="32"/>
    </w:rPr>
  </w:style>
  <w:style w:type="paragraph" w:styleId="5">
    <w:name w:val="heading 4"/>
    <w:basedOn w:val="1"/>
    <w:next w:val="1"/>
    <w:link w:val="53"/>
    <w:qFormat/>
    <w:uiPriority w:val="0"/>
    <w:pPr>
      <w:keepNext/>
      <w:keepLines/>
      <w:spacing w:before="240" w:after="240" w:line="376" w:lineRule="auto"/>
      <w:ind w:left="1588" w:hanging="1588"/>
      <w:outlineLvl w:val="3"/>
    </w:pPr>
    <w:rPr>
      <w:bCs/>
      <w:sz w:val="28"/>
      <w:szCs w:val="28"/>
    </w:rPr>
  </w:style>
  <w:style w:type="paragraph" w:styleId="6">
    <w:name w:val="heading 5"/>
    <w:basedOn w:val="1"/>
    <w:next w:val="1"/>
    <w:link w:val="54"/>
    <w:qFormat/>
    <w:uiPriority w:val="0"/>
    <w:pPr>
      <w:keepNext/>
      <w:keepLines/>
      <w:spacing w:before="280" w:after="290" w:line="376" w:lineRule="auto"/>
      <w:ind w:left="1985" w:hanging="1985"/>
      <w:outlineLvl w:val="4"/>
    </w:pPr>
    <w:rPr>
      <w:rFonts w:ascii="Calibri" w:hAnsi="Calibri"/>
      <w:b/>
      <w:bCs/>
      <w:sz w:val="28"/>
      <w:szCs w:val="28"/>
    </w:rPr>
  </w:style>
  <w:style w:type="paragraph" w:styleId="7">
    <w:name w:val="heading 6"/>
    <w:basedOn w:val="1"/>
    <w:next w:val="1"/>
    <w:link w:val="55"/>
    <w:qFormat/>
    <w:uiPriority w:val="0"/>
    <w:pPr>
      <w:keepNext/>
      <w:keepLines/>
      <w:tabs>
        <w:tab w:val="left" w:pos="0"/>
      </w:tabs>
      <w:spacing w:before="240" w:after="64" w:line="319" w:lineRule="auto"/>
      <w:outlineLvl w:val="5"/>
    </w:pPr>
    <w:rPr>
      <w:rFonts w:ascii="Arial" w:hAnsi="Arial"/>
      <w:b/>
      <w:bCs/>
      <w:lang w:val="zh-CN"/>
    </w:rPr>
  </w:style>
  <w:style w:type="paragraph" w:styleId="8">
    <w:name w:val="heading 7"/>
    <w:basedOn w:val="1"/>
    <w:next w:val="1"/>
    <w:link w:val="56"/>
    <w:qFormat/>
    <w:uiPriority w:val="0"/>
    <w:pPr>
      <w:keepNext/>
      <w:keepLines/>
      <w:tabs>
        <w:tab w:val="left" w:pos="0"/>
      </w:tabs>
      <w:spacing w:before="240" w:after="64" w:line="319" w:lineRule="auto"/>
      <w:outlineLvl w:val="6"/>
    </w:pPr>
    <w:rPr>
      <w:b/>
      <w:bCs/>
    </w:rPr>
  </w:style>
  <w:style w:type="paragraph" w:styleId="9">
    <w:name w:val="heading 8"/>
    <w:basedOn w:val="1"/>
    <w:next w:val="1"/>
    <w:link w:val="57"/>
    <w:qFormat/>
    <w:uiPriority w:val="0"/>
    <w:pPr>
      <w:keepNext/>
      <w:keepLines/>
      <w:tabs>
        <w:tab w:val="left" w:pos="0"/>
      </w:tabs>
      <w:spacing w:before="240" w:after="64" w:line="319" w:lineRule="auto"/>
      <w:outlineLvl w:val="7"/>
    </w:pPr>
    <w:rPr>
      <w:rFonts w:ascii="Arial" w:hAnsi="Arial" w:eastAsia="黑体"/>
    </w:rPr>
  </w:style>
  <w:style w:type="paragraph" w:styleId="10">
    <w:name w:val="heading 9"/>
    <w:basedOn w:val="1"/>
    <w:next w:val="1"/>
    <w:link w:val="58"/>
    <w:qFormat/>
    <w:uiPriority w:val="0"/>
    <w:pPr>
      <w:keepNext/>
      <w:keepLines/>
      <w:tabs>
        <w:tab w:val="left" w:pos="0"/>
      </w:tabs>
      <w:spacing w:before="240" w:after="64" w:line="319" w:lineRule="auto"/>
      <w:outlineLvl w:val="8"/>
    </w:pPr>
    <w:rPr>
      <w:rFonts w:ascii="Arial" w:hAnsi="Arial" w:eastAsia="黑体"/>
      <w:szCs w:val="21"/>
    </w:rPr>
  </w:style>
  <w:style w:type="character" w:default="1" w:styleId="35">
    <w:name w:val="Default Paragraph Font"/>
    <w:qFormat/>
    <w:uiPriority w:val="0"/>
    <w:rPr>
      <w:rFonts w:ascii="Times New Roman" w:hAnsi="Times New Roman" w:eastAsia="宋体" w:cs="Times New Roman"/>
    </w:rPr>
  </w:style>
  <w:style w:type="table" w:default="1" w:styleId="33">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11">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qFormat/>
    <w:uiPriority w:val="0"/>
    <w:pPr>
      <w:shd w:val="clear" w:color="auto" w:fill="000080"/>
    </w:pPr>
    <w:rPr>
      <w:rFonts w:ascii="Times New Roman" w:hAnsi="Times New Roman" w:eastAsia="宋体" w:cs="Times New Roman"/>
    </w:rPr>
  </w:style>
  <w:style w:type="paragraph" w:styleId="13">
    <w:name w:val="annotation text"/>
    <w:basedOn w:val="1"/>
    <w:link w:val="59"/>
    <w:qFormat/>
    <w:uiPriority w:val="0"/>
    <w:pPr>
      <w:jc w:val="left"/>
    </w:pPr>
  </w:style>
  <w:style w:type="paragraph" w:styleId="14">
    <w:name w:val="Body Text"/>
    <w:basedOn w:val="1"/>
    <w:link w:val="60"/>
    <w:qFormat/>
    <w:uiPriority w:val="0"/>
    <w:pPr>
      <w:spacing w:after="120"/>
    </w:pPr>
  </w:style>
  <w:style w:type="paragraph" w:styleId="15">
    <w:name w:val="Body Text Indent"/>
    <w:basedOn w:val="1"/>
    <w:next w:val="16"/>
    <w:link w:val="62"/>
    <w:qFormat/>
    <w:uiPriority w:val="0"/>
    <w:pPr>
      <w:spacing w:after="120"/>
      <w:ind w:left="420" w:leftChars="200"/>
    </w:pPr>
    <w:rPr>
      <w:sz w:val="21"/>
    </w:rPr>
  </w:style>
  <w:style w:type="paragraph" w:styleId="16">
    <w:name w:val="envelope return"/>
    <w:basedOn w:val="1"/>
    <w:qFormat/>
    <w:uiPriority w:val="0"/>
    <w:pPr>
      <w:snapToGrid w:val="0"/>
    </w:pPr>
    <w:rPr>
      <w:rFonts w:ascii="Arial" w:hAnsi="Arial" w:eastAsia="宋体" w:cs="Times New Roman"/>
    </w:rPr>
  </w:style>
  <w:style w:type="paragraph" w:styleId="17">
    <w:name w:val="toc 3"/>
    <w:basedOn w:val="1"/>
    <w:next w:val="1"/>
    <w:qFormat/>
    <w:uiPriority w:val="0"/>
    <w:pPr>
      <w:ind w:left="840" w:leftChars="400"/>
    </w:pPr>
    <w:rPr>
      <w:rFonts w:ascii="Times New Roman" w:hAnsi="Times New Roman" w:eastAsia="宋体" w:cs="Times New Roman"/>
    </w:rPr>
  </w:style>
  <w:style w:type="paragraph" w:styleId="18">
    <w:name w:val="Plain Text"/>
    <w:basedOn w:val="1"/>
    <w:link w:val="61"/>
    <w:qFormat/>
    <w:uiPriority w:val="0"/>
    <w:rPr>
      <w:rFonts w:ascii="宋体" w:hAnsi="Courier New"/>
      <w:sz w:val="21"/>
      <w:szCs w:val="21"/>
    </w:rPr>
  </w:style>
  <w:style w:type="paragraph" w:styleId="19">
    <w:name w:val="Date"/>
    <w:basedOn w:val="1"/>
    <w:next w:val="1"/>
    <w:link w:val="63"/>
    <w:qFormat/>
    <w:uiPriority w:val="0"/>
    <w:pPr>
      <w:ind w:left="100" w:leftChars="2500"/>
    </w:pPr>
    <w:rPr>
      <w:rFonts w:eastAsia="仿宋_GB2312"/>
      <w:sz w:val="32"/>
    </w:rPr>
  </w:style>
  <w:style w:type="paragraph" w:styleId="20">
    <w:name w:val="Balloon Text"/>
    <w:basedOn w:val="1"/>
    <w:link w:val="64"/>
    <w:qFormat/>
    <w:uiPriority w:val="0"/>
    <w:rPr>
      <w:sz w:val="18"/>
      <w:szCs w:val="18"/>
    </w:rPr>
  </w:style>
  <w:style w:type="paragraph" w:styleId="21">
    <w:name w:val="footer"/>
    <w:basedOn w:val="1"/>
    <w:link w:val="65"/>
    <w:qFormat/>
    <w:uiPriority w:val="0"/>
    <w:pPr>
      <w:tabs>
        <w:tab w:val="center" w:pos="4153"/>
        <w:tab w:val="right" w:pos="8306"/>
      </w:tabs>
      <w:snapToGrid w:val="0"/>
      <w:jc w:val="left"/>
    </w:pPr>
    <w:rPr>
      <w:sz w:val="18"/>
      <w:szCs w:val="18"/>
    </w:rPr>
  </w:style>
  <w:style w:type="paragraph" w:styleId="22">
    <w:name w:val="header"/>
    <w:basedOn w:val="1"/>
    <w:link w:val="6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spacing w:before="120" w:after="120" w:line="400" w:lineRule="exact"/>
      <w:ind w:firstLine="200" w:firstLineChars="200"/>
      <w:jc w:val="left"/>
    </w:pPr>
    <w:rPr>
      <w:rFonts w:ascii="Calibri" w:hAnsi="Calibri" w:eastAsia="宋体" w:cs="Times New Roman"/>
      <w:b/>
      <w:bCs/>
      <w:caps/>
      <w:sz w:val="24"/>
      <w:szCs w:val="20"/>
    </w:rPr>
  </w:style>
  <w:style w:type="paragraph" w:styleId="24">
    <w:name w:val="Subtitle"/>
    <w:basedOn w:val="1"/>
    <w:next w:val="1"/>
    <w:link w:val="67"/>
    <w:qFormat/>
    <w:uiPriority w:val="0"/>
    <w:pPr>
      <w:spacing w:before="240" w:after="60" w:line="312" w:lineRule="auto"/>
      <w:jc w:val="center"/>
      <w:outlineLvl w:val="1"/>
    </w:pPr>
    <w:rPr>
      <w:rFonts w:ascii="Cambria" w:hAnsi="Cambria"/>
      <w:b/>
      <w:bCs/>
      <w:kern w:val="28"/>
      <w:sz w:val="32"/>
      <w:szCs w:val="32"/>
    </w:rPr>
  </w:style>
  <w:style w:type="paragraph" w:styleId="25">
    <w:name w:val="toc 2"/>
    <w:basedOn w:val="1"/>
    <w:next w:val="1"/>
    <w:qFormat/>
    <w:uiPriority w:val="0"/>
    <w:pPr>
      <w:tabs>
        <w:tab w:val="left" w:pos="840"/>
        <w:tab w:val="right" w:leader="dot" w:pos="8296"/>
      </w:tabs>
      <w:ind w:left="640" w:leftChars="200"/>
      <w:jc w:val="left"/>
    </w:pPr>
    <w:rPr>
      <w:rFonts w:ascii="仿宋_GB2312" w:hAnsi="Times New Roman" w:eastAsia="仿宋_GB2312" w:cs="Times New Roman"/>
      <w:sz w:val="32"/>
      <w:szCs w:val="32"/>
    </w:rPr>
  </w:style>
  <w:style w:type="paragraph" w:styleId="26">
    <w:name w:val="Body Text 2"/>
    <w:basedOn w:val="1"/>
    <w:link w:val="68"/>
    <w:qFormat/>
    <w:uiPriority w:val="0"/>
    <w:pPr>
      <w:adjustRightInd w:val="0"/>
      <w:snapToGrid w:val="0"/>
      <w:spacing w:line="480" w:lineRule="atLeast"/>
    </w:pPr>
    <w:rPr>
      <w:rFonts w:ascii="宋体" w:hAnsi="宋体"/>
      <w:sz w:val="28"/>
      <w:szCs w:val="22"/>
    </w:rPr>
  </w:style>
  <w:style w:type="paragraph" w:styleId="27">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28">
    <w:name w:val="Title"/>
    <w:basedOn w:val="1"/>
    <w:next w:val="1"/>
    <w:link w:val="69"/>
    <w:qFormat/>
    <w:uiPriority w:val="0"/>
    <w:pPr>
      <w:spacing w:before="240" w:after="60"/>
      <w:jc w:val="center"/>
      <w:outlineLvl w:val="0"/>
    </w:pPr>
    <w:rPr>
      <w:rFonts w:ascii="Cambria" w:hAnsi="Cambria"/>
      <w:b/>
      <w:bCs/>
      <w:sz w:val="36"/>
      <w:szCs w:val="32"/>
    </w:rPr>
  </w:style>
  <w:style w:type="paragraph" w:styleId="29">
    <w:name w:val="annotation subject"/>
    <w:basedOn w:val="13"/>
    <w:next w:val="13"/>
    <w:link w:val="70"/>
    <w:qFormat/>
    <w:uiPriority w:val="0"/>
    <w:rPr>
      <w:rFonts w:ascii="Calibri" w:hAnsi="Calibri"/>
      <w:b/>
      <w:bCs/>
      <w:kern w:val="0"/>
      <w:sz w:val="21"/>
      <w:szCs w:val="22"/>
    </w:rPr>
  </w:style>
  <w:style w:type="paragraph" w:styleId="30">
    <w:name w:val="Body Text First Indent"/>
    <w:basedOn w:val="14"/>
    <w:next w:val="1"/>
    <w:qFormat/>
    <w:uiPriority w:val="0"/>
    <w:pPr>
      <w:ind w:firstLine="420" w:firstLineChars="100"/>
    </w:pPr>
    <w:rPr>
      <w:rFonts w:ascii="Times New Roman" w:hAnsi="Times New Roman" w:eastAsia="宋体" w:cs="Times New Roman"/>
    </w:rPr>
  </w:style>
  <w:style w:type="paragraph" w:styleId="31">
    <w:name w:val="Body Text First Indent 2"/>
    <w:basedOn w:val="15"/>
    <w:next w:val="32"/>
    <w:qFormat/>
    <w:uiPriority w:val="0"/>
    <w:rPr>
      <w:rFonts w:ascii="Times New Roman" w:hAnsi="Times New Roman" w:eastAsia="宋体" w:cs="Times New Roman"/>
    </w:rPr>
  </w:style>
  <w:style w:type="paragraph" w:customStyle="1" w:styleId="32">
    <w:name w:val="正文1"/>
    <w:basedOn w:val="1"/>
    <w:next w:val="1"/>
    <w:qFormat/>
    <w:uiPriority w:val="0"/>
    <w:pPr>
      <w:spacing w:after="120" w:line="276" w:lineRule="auto"/>
      <w:ind w:left="141" w:leftChars="67" w:firstLine="424" w:firstLineChars="202"/>
    </w:pPr>
    <w:rPr>
      <w:rFonts w:ascii="微软雅黑" w:hAnsi="宋体" w:eastAsia="微软雅黑" w:cs="Times New Roman"/>
      <w:sz w:val="24"/>
      <w:szCs w:val="24"/>
    </w:rPr>
  </w:style>
  <w:style w:type="table" w:styleId="34">
    <w:name w:val="Table Grid"/>
    <w:basedOn w:val="3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rFonts w:ascii="Times New Roman" w:hAnsi="Times New Roman" w:eastAsia="宋体" w:cs="Times New Roman"/>
      <w:b/>
      <w:bCs/>
    </w:rPr>
  </w:style>
  <w:style w:type="character" w:styleId="37">
    <w:name w:val="page number"/>
    <w:qFormat/>
    <w:uiPriority w:val="0"/>
    <w:rPr>
      <w:rFonts w:ascii="Times New Roman" w:hAnsi="Times New Roman" w:eastAsia="宋体" w:cs="Times New Roman"/>
    </w:rPr>
  </w:style>
  <w:style w:type="character" w:styleId="38">
    <w:name w:val="FollowedHyperlink"/>
    <w:qFormat/>
    <w:uiPriority w:val="0"/>
    <w:rPr>
      <w:rFonts w:ascii="Times New Roman" w:hAnsi="Times New Roman" w:eastAsia="宋体" w:cs="Times New Roman"/>
      <w:color w:val="000000"/>
      <w:u w:val="none"/>
    </w:rPr>
  </w:style>
  <w:style w:type="character" w:styleId="39">
    <w:name w:val="Emphasis"/>
    <w:qFormat/>
    <w:uiPriority w:val="0"/>
    <w:rPr>
      <w:rFonts w:ascii="Times New Roman" w:hAnsi="Times New Roman" w:eastAsia="宋体" w:cs="Times New Roman"/>
    </w:rPr>
  </w:style>
  <w:style w:type="character" w:styleId="40">
    <w:name w:val="HTML Definition"/>
    <w:basedOn w:val="35"/>
    <w:qFormat/>
    <w:uiPriority w:val="0"/>
  </w:style>
  <w:style w:type="character" w:styleId="41">
    <w:name w:val="HTML Typewriter"/>
    <w:basedOn w:val="35"/>
    <w:qFormat/>
    <w:uiPriority w:val="0"/>
    <w:rPr>
      <w:rFonts w:hint="default" w:ascii="monospace" w:hAnsi="monospace" w:eastAsia="monospace" w:cs="monospace"/>
      <w:sz w:val="20"/>
    </w:rPr>
  </w:style>
  <w:style w:type="character" w:styleId="42">
    <w:name w:val="HTML Acronym"/>
    <w:basedOn w:val="35"/>
    <w:qFormat/>
    <w:uiPriority w:val="0"/>
  </w:style>
  <w:style w:type="character" w:styleId="43">
    <w:name w:val="HTML Variable"/>
    <w:basedOn w:val="35"/>
    <w:qFormat/>
    <w:uiPriority w:val="0"/>
  </w:style>
  <w:style w:type="character" w:styleId="44">
    <w:name w:val="Hyperlink"/>
    <w:qFormat/>
    <w:uiPriority w:val="0"/>
    <w:rPr>
      <w:rFonts w:ascii="Times New Roman" w:hAnsi="Times New Roman" w:eastAsia="宋体" w:cs="Times New Roman"/>
      <w:color w:val="000000"/>
      <w:u w:val="none"/>
    </w:rPr>
  </w:style>
  <w:style w:type="character" w:styleId="45">
    <w:name w:val="HTML Code"/>
    <w:basedOn w:val="35"/>
    <w:qFormat/>
    <w:uiPriority w:val="0"/>
    <w:rPr>
      <w:rFonts w:hint="default" w:ascii="monospace" w:hAnsi="monospace" w:eastAsia="monospace" w:cs="monospace"/>
      <w:sz w:val="20"/>
    </w:rPr>
  </w:style>
  <w:style w:type="character" w:styleId="46">
    <w:name w:val="annotation reference"/>
    <w:qFormat/>
    <w:uiPriority w:val="0"/>
    <w:rPr>
      <w:rFonts w:ascii="Times New Roman" w:hAnsi="Times New Roman" w:eastAsia="宋体" w:cs="Times New Roman"/>
      <w:sz w:val="21"/>
      <w:szCs w:val="21"/>
    </w:rPr>
  </w:style>
  <w:style w:type="character" w:styleId="47">
    <w:name w:val="HTML Cite"/>
    <w:basedOn w:val="35"/>
    <w:qFormat/>
    <w:uiPriority w:val="0"/>
  </w:style>
  <w:style w:type="character" w:styleId="48">
    <w:name w:val="HTML Keyboard"/>
    <w:basedOn w:val="35"/>
    <w:qFormat/>
    <w:uiPriority w:val="0"/>
    <w:rPr>
      <w:rFonts w:hint="default" w:ascii="monospace" w:hAnsi="monospace" w:eastAsia="monospace" w:cs="monospace"/>
      <w:sz w:val="20"/>
      <w:bdr w:val="single" w:color="D6D6D6" w:sz="6" w:space="0"/>
      <w:shd w:val="clear" w:fill="F9F9F9"/>
    </w:rPr>
  </w:style>
  <w:style w:type="character" w:styleId="49">
    <w:name w:val="HTML Sample"/>
    <w:basedOn w:val="35"/>
    <w:qFormat/>
    <w:uiPriority w:val="0"/>
    <w:rPr>
      <w:rFonts w:ascii="monospace" w:hAnsi="monospace" w:eastAsia="monospace" w:cs="monospace"/>
    </w:rPr>
  </w:style>
  <w:style w:type="character" w:customStyle="1" w:styleId="50">
    <w:name w:val="标题 1 Char"/>
    <w:link w:val="2"/>
    <w:qFormat/>
    <w:uiPriority w:val="0"/>
    <w:rPr>
      <w:rFonts w:ascii="Times New Roman" w:hAnsi="Times New Roman" w:eastAsia="宋体" w:cs="Times New Roman"/>
      <w:b/>
      <w:bCs/>
      <w:kern w:val="44"/>
      <w:sz w:val="30"/>
      <w:szCs w:val="44"/>
    </w:rPr>
  </w:style>
  <w:style w:type="character" w:customStyle="1" w:styleId="51">
    <w:name w:val="标题 2 Char"/>
    <w:link w:val="3"/>
    <w:qFormat/>
    <w:uiPriority w:val="0"/>
    <w:rPr>
      <w:rFonts w:ascii="Cambria" w:hAnsi="Cambria" w:eastAsia="宋体" w:cs="Times New Roman"/>
      <w:b/>
      <w:bCs/>
      <w:kern w:val="2"/>
      <w:sz w:val="32"/>
      <w:szCs w:val="32"/>
    </w:rPr>
  </w:style>
  <w:style w:type="character" w:customStyle="1" w:styleId="52">
    <w:name w:val="标题 3 Char"/>
    <w:link w:val="4"/>
    <w:qFormat/>
    <w:uiPriority w:val="0"/>
    <w:rPr>
      <w:rFonts w:ascii="Times New Roman" w:hAnsi="Times New Roman" w:eastAsia="宋体" w:cs="Times New Roman"/>
      <w:b/>
      <w:bCs/>
      <w:kern w:val="2"/>
      <w:sz w:val="32"/>
      <w:szCs w:val="32"/>
    </w:rPr>
  </w:style>
  <w:style w:type="character" w:customStyle="1" w:styleId="53">
    <w:name w:val="标题 4 Char"/>
    <w:link w:val="5"/>
    <w:qFormat/>
    <w:uiPriority w:val="0"/>
    <w:rPr>
      <w:rFonts w:ascii="Times New Roman" w:hAnsi="Times New Roman" w:eastAsia="宋体" w:cs="Times New Roman"/>
      <w:bCs/>
      <w:kern w:val="2"/>
      <w:sz w:val="28"/>
      <w:szCs w:val="28"/>
    </w:rPr>
  </w:style>
  <w:style w:type="character" w:customStyle="1" w:styleId="54">
    <w:name w:val="标题 5 Char"/>
    <w:link w:val="6"/>
    <w:qFormat/>
    <w:uiPriority w:val="0"/>
    <w:rPr>
      <w:rFonts w:ascii="Calibri" w:hAnsi="Calibri" w:eastAsia="宋体" w:cs="Times New Roman"/>
      <w:b/>
      <w:bCs/>
      <w:kern w:val="2"/>
      <w:sz w:val="28"/>
      <w:szCs w:val="28"/>
    </w:rPr>
  </w:style>
  <w:style w:type="character" w:customStyle="1" w:styleId="55">
    <w:name w:val="标题 6 Char"/>
    <w:link w:val="7"/>
    <w:qFormat/>
    <w:uiPriority w:val="0"/>
    <w:rPr>
      <w:rFonts w:ascii="Arial" w:hAnsi="Arial" w:eastAsia="宋体" w:cs="Times New Roman"/>
      <w:b/>
      <w:bCs/>
      <w:kern w:val="2"/>
      <w:sz w:val="24"/>
      <w:szCs w:val="24"/>
      <w:lang w:val="zh-CN"/>
    </w:rPr>
  </w:style>
  <w:style w:type="character" w:customStyle="1" w:styleId="56">
    <w:name w:val="标题 7 Char"/>
    <w:link w:val="8"/>
    <w:qFormat/>
    <w:uiPriority w:val="0"/>
    <w:rPr>
      <w:rFonts w:ascii="Times New Roman" w:hAnsi="Times New Roman" w:eastAsia="宋体" w:cs="Times New Roman"/>
      <w:b/>
      <w:bCs/>
      <w:kern w:val="2"/>
      <w:sz w:val="24"/>
      <w:szCs w:val="24"/>
    </w:rPr>
  </w:style>
  <w:style w:type="character" w:customStyle="1" w:styleId="57">
    <w:name w:val="标题 8 Char"/>
    <w:link w:val="9"/>
    <w:qFormat/>
    <w:uiPriority w:val="0"/>
    <w:rPr>
      <w:rFonts w:ascii="Arial" w:hAnsi="Arial" w:eastAsia="黑体" w:cs="Times New Roman"/>
      <w:kern w:val="2"/>
      <w:sz w:val="24"/>
      <w:szCs w:val="24"/>
    </w:rPr>
  </w:style>
  <w:style w:type="character" w:customStyle="1" w:styleId="58">
    <w:name w:val="标题 9 Char"/>
    <w:link w:val="10"/>
    <w:qFormat/>
    <w:uiPriority w:val="0"/>
    <w:rPr>
      <w:rFonts w:ascii="Arial" w:hAnsi="Arial" w:eastAsia="黑体" w:cs="Times New Roman"/>
      <w:kern w:val="2"/>
      <w:sz w:val="24"/>
      <w:szCs w:val="21"/>
    </w:rPr>
  </w:style>
  <w:style w:type="character" w:customStyle="1" w:styleId="59">
    <w:name w:val="批注文字 Char"/>
    <w:link w:val="13"/>
    <w:qFormat/>
    <w:uiPriority w:val="0"/>
    <w:rPr>
      <w:rFonts w:ascii="Times New Roman" w:hAnsi="Times New Roman" w:eastAsia="宋体" w:cs="Times New Roman"/>
      <w:kern w:val="2"/>
      <w:sz w:val="24"/>
      <w:szCs w:val="24"/>
    </w:rPr>
  </w:style>
  <w:style w:type="character" w:customStyle="1" w:styleId="60">
    <w:name w:val="正文文本 Char"/>
    <w:link w:val="14"/>
    <w:qFormat/>
    <w:uiPriority w:val="0"/>
    <w:rPr>
      <w:rFonts w:ascii="Times New Roman" w:hAnsi="Times New Roman" w:eastAsia="宋体" w:cs="Times New Roman"/>
      <w:kern w:val="2"/>
      <w:sz w:val="24"/>
      <w:szCs w:val="24"/>
    </w:rPr>
  </w:style>
  <w:style w:type="character" w:customStyle="1" w:styleId="61">
    <w:name w:val="纯文本 Char"/>
    <w:link w:val="18"/>
    <w:qFormat/>
    <w:uiPriority w:val="0"/>
    <w:rPr>
      <w:rFonts w:ascii="宋体" w:hAnsi="Courier New" w:eastAsia="宋体" w:cs="Courier New"/>
      <w:kern w:val="2"/>
      <w:sz w:val="21"/>
      <w:szCs w:val="21"/>
    </w:rPr>
  </w:style>
  <w:style w:type="character" w:customStyle="1" w:styleId="62">
    <w:name w:val="正文文本缩进 Char"/>
    <w:link w:val="15"/>
    <w:qFormat/>
    <w:uiPriority w:val="0"/>
    <w:rPr>
      <w:rFonts w:ascii="Times New Roman" w:hAnsi="Times New Roman" w:eastAsia="宋体" w:cs="Times New Roman"/>
      <w:kern w:val="2"/>
      <w:sz w:val="21"/>
      <w:szCs w:val="24"/>
    </w:rPr>
  </w:style>
  <w:style w:type="character" w:customStyle="1" w:styleId="63">
    <w:name w:val="日期 Char"/>
    <w:link w:val="19"/>
    <w:qFormat/>
    <w:uiPriority w:val="0"/>
    <w:rPr>
      <w:rFonts w:ascii="Times New Roman" w:hAnsi="Times New Roman" w:eastAsia="仿宋_GB2312" w:cs="Times New Roman"/>
      <w:kern w:val="2"/>
      <w:sz w:val="32"/>
      <w:szCs w:val="24"/>
    </w:rPr>
  </w:style>
  <w:style w:type="character" w:customStyle="1" w:styleId="64">
    <w:name w:val="批注框文本 Char"/>
    <w:link w:val="20"/>
    <w:qFormat/>
    <w:uiPriority w:val="0"/>
    <w:rPr>
      <w:rFonts w:ascii="Times New Roman" w:hAnsi="Times New Roman" w:eastAsia="宋体" w:cs="Times New Roman"/>
      <w:kern w:val="2"/>
      <w:sz w:val="18"/>
      <w:szCs w:val="18"/>
    </w:rPr>
  </w:style>
  <w:style w:type="character" w:customStyle="1" w:styleId="65">
    <w:name w:val="页脚 Char"/>
    <w:link w:val="21"/>
    <w:qFormat/>
    <w:uiPriority w:val="0"/>
    <w:rPr>
      <w:rFonts w:ascii="Times New Roman" w:hAnsi="Times New Roman" w:eastAsia="宋体" w:cs="Times New Roman"/>
      <w:kern w:val="2"/>
      <w:sz w:val="18"/>
      <w:szCs w:val="18"/>
    </w:rPr>
  </w:style>
  <w:style w:type="character" w:customStyle="1" w:styleId="66">
    <w:name w:val="页眉 Char"/>
    <w:link w:val="22"/>
    <w:qFormat/>
    <w:uiPriority w:val="0"/>
    <w:rPr>
      <w:rFonts w:ascii="Times New Roman" w:hAnsi="Times New Roman" w:eastAsia="宋体" w:cs="Times New Roman"/>
      <w:kern w:val="2"/>
      <w:sz w:val="18"/>
      <w:szCs w:val="18"/>
    </w:rPr>
  </w:style>
  <w:style w:type="character" w:customStyle="1" w:styleId="67">
    <w:name w:val="副标题 Char"/>
    <w:link w:val="24"/>
    <w:qFormat/>
    <w:uiPriority w:val="0"/>
    <w:rPr>
      <w:rFonts w:ascii="Cambria" w:hAnsi="Cambria" w:eastAsia="宋体" w:cs="Times New Roman"/>
      <w:b/>
      <w:bCs/>
      <w:kern w:val="28"/>
      <w:sz w:val="32"/>
      <w:szCs w:val="32"/>
    </w:rPr>
  </w:style>
  <w:style w:type="character" w:customStyle="1" w:styleId="68">
    <w:name w:val="正文文本 2 Char1"/>
    <w:link w:val="26"/>
    <w:qFormat/>
    <w:uiPriority w:val="0"/>
    <w:rPr>
      <w:rFonts w:ascii="宋体" w:hAnsi="宋体" w:eastAsia="宋体" w:cs="Times New Roman"/>
      <w:kern w:val="2"/>
      <w:sz w:val="28"/>
      <w:szCs w:val="22"/>
    </w:rPr>
  </w:style>
  <w:style w:type="character" w:customStyle="1" w:styleId="69">
    <w:name w:val="标题 Char"/>
    <w:link w:val="28"/>
    <w:qFormat/>
    <w:uiPriority w:val="0"/>
    <w:rPr>
      <w:rFonts w:ascii="Cambria" w:hAnsi="Cambria" w:eastAsia="宋体" w:cs="Times New Roman"/>
      <w:b/>
      <w:bCs/>
      <w:kern w:val="2"/>
      <w:sz w:val="36"/>
      <w:szCs w:val="32"/>
    </w:rPr>
  </w:style>
  <w:style w:type="character" w:customStyle="1" w:styleId="70">
    <w:name w:val="批注主题 Char"/>
    <w:link w:val="29"/>
    <w:qFormat/>
    <w:uiPriority w:val="0"/>
    <w:rPr>
      <w:rFonts w:ascii="Calibri" w:hAnsi="Calibri" w:eastAsia="宋体" w:cs="Times New Roman"/>
      <w:b/>
      <w:bCs/>
      <w:sz w:val="21"/>
      <w:szCs w:val="22"/>
    </w:rPr>
  </w:style>
  <w:style w:type="paragraph" w:customStyle="1" w:styleId="71">
    <w:name w:val="正文样式"/>
    <w:basedOn w:val="1"/>
    <w:qFormat/>
    <w:uiPriority w:val="0"/>
    <w:pPr>
      <w:adjustRightInd w:val="0"/>
      <w:spacing w:line="610" w:lineRule="exact"/>
      <w:ind w:firstLine="549" w:firstLineChars="196"/>
      <w:jc w:val="left"/>
    </w:pPr>
    <w:rPr>
      <w:rFonts w:ascii="宋体" w:hAnsi="宋体"/>
      <w:bCs/>
      <w:color w:val="000000"/>
      <w:sz w:val="28"/>
      <w:szCs w:val="28"/>
    </w:rPr>
  </w:style>
  <w:style w:type="paragraph" w:customStyle="1" w:styleId="72">
    <w:name w:val="一级条标题"/>
    <w:basedOn w:val="73"/>
    <w:next w:val="74"/>
    <w:qFormat/>
    <w:uiPriority w:val="0"/>
    <w:pPr>
      <w:spacing w:line="240" w:lineRule="auto"/>
      <w:ind w:left="420"/>
      <w:outlineLvl w:val="2"/>
    </w:pPr>
  </w:style>
  <w:style w:type="paragraph" w:customStyle="1" w:styleId="73">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74">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75">
    <w:name w:val="Plain Text"/>
    <w:basedOn w:val="1"/>
    <w:qFormat/>
    <w:uiPriority w:val="0"/>
    <w:rPr>
      <w:rFonts w:ascii="宋体" w:hAnsi="Courier New" w:eastAsia="宋体" w:cs="Times New Roman"/>
      <w:szCs w:val="20"/>
    </w:rPr>
  </w:style>
  <w:style w:type="paragraph" w:customStyle="1" w:styleId="76">
    <w:name w:val="Default"/>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customStyle="1" w:styleId="77">
    <w:name w:val="表格文字"/>
    <w:basedOn w:val="1"/>
    <w:qFormat/>
    <w:uiPriority w:val="0"/>
    <w:pPr>
      <w:spacing w:before="25" w:after="25"/>
    </w:pPr>
    <w:rPr>
      <w:rFonts w:ascii="Times New Roman" w:hAnsi="Times New Roman" w:eastAsia="宋体" w:cs="Times New Roman"/>
      <w:bCs/>
      <w:spacing w:val="10"/>
      <w:kern w:val="0"/>
    </w:rPr>
  </w:style>
  <w:style w:type="character" w:customStyle="1" w:styleId="78">
    <w:name w:val="font01"/>
    <w:qFormat/>
    <w:uiPriority w:val="0"/>
    <w:rPr>
      <w:rFonts w:hint="eastAsia" w:ascii="宋体" w:hAnsi="宋体" w:eastAsia="宋体" w:cs="宋体"/>
      <w:color w:val="000000"/>
      <w:sz w:val="15"/>
      <w:szCs w:val="15"/>
      <w:u w:val="none"/>
    </w:rPr>
  </w:style>
  <w:style w:type="character" w:customStyle="1" w:styleId="79">
    <w:name w:val="font61"/>
    <w:basedOn w:val="35"/>
    <w:qFormat/>
    <w:uiPriority w:val="0"/>
    <w:rPr>
      <w:rFonts w:hint="default" w:ascii="Times New Roman" w:hAnsi="Times New Roman" w:eastAsia="宋体" w:cs="Times New Roman"/>
      <w:color w:val="000000"/>
      <w:sz w:val="22"/>
      <w:szCs w:val="22"/>
      <w:u w:val="none"/>
    </w:rPr>
  </w:style>
  <w:style w:type="paragraph" w:customStyle="1" w:styleId="80">
    <w:name w:val="my正文"/>
    <w:basedOn w:val="1"/>
    <w:link w:val="81"/>
    <w:qFormat/>
    <w:uiPriority w:val="0"/>
    <w:pPr>
      <w:spacing w:line="360" w:lineRule="auto"/>
      <w:ind w:firstLine="480" w:firstLineChars="200"/>
    </w:pPr>
    <w:rPr>
      <w:kern w:val="0"/>
    </w:rPr>
  </w:style>
  <w:style w:type="character" w:customStyle="1" w:styleId="81">
    <w:name w:val="my正文 Char"/>
    <w:link w:val="80"/>
    <w:qFormat/>
    <w:uiPriority w:val="0"/>
    <w:rPr>
      <w:rFonts w:ascii="Times New Roman" w:hAnsi="Times New Roman" w:eastAsia="宋体" w:cs="Times New Roman"/>
      <w:sz w:val="24"/>
      <w:szCs w:val="24"/>
    </w:rPr>
  </w:style>
  <w:style w:type="character" w:customStyle="1" w:styleId="82">
    <w:name w:val="more"/>
    <w:qFormat/>
    <w:uiPriority w:val="0"/>
    <w:rPr>
      <w:rFonts w:ascii="Times New Roman" w:hAnsi="Times New Roman" w:eastAsia="宋体" w:cs="Times New Roman"/>
      <w:color w:val="666666"/>
      <w:sz w:val="18"/>
      <w:szCs w:val="18"/>
    </w:rPr>
  </w:style>
  <w:style w:type="paragraph" w:customStyle="1" w:styleId="83">
    <w:name w:val="A2"/>
    <w:basedOn w:val="3"/>
    <w:next w:val="1"/>
    <w:link w:val="84"/>
    <w:qFormat/>
    <w:uiPriority w:val="0"/>
    <w:pPr>
      <w:spacing w:before="0" w:after="0" w:line="240" w:lineRule="auto"/>
      <w:ind w:left="737" w:hanging="737"/>
    </w:pPr>
    <w:rPr>
      <w:rFonts w:eastAsia="等线"/>
      <w:kern w:val="0"/>
      <w:sz w:val="22"/>
    </w:rPr>
  </w:style>
  <w:style w:type="character" w:customStyle="1" w:styleId="84">
    <w:name w:val="A2 字符"/>
    <w:link w:val="83"/>
    <w:qFormat/>
    <w:uiPriority w:val="0"/>
    <w:rPr>
      <w:rFonts w:ascii="Cambria" w:hAnsi="Cambria" w:eastAsia="等线" w:cs="Times New Roman"/>
      <w:b/>
      <w:bCs/>
      <w:sz w:val="22"/>
      <w:szCs w:val="32"/>
    </w:rPr>
  </w:style>
  <w:style w:type="character" w:customStyle="1" w:styleId="85">
    <w:name w:val="font11"/>
    <w:basedOn w:val="35"/>
    <w:qFormat/>
    <w:uiPriority w:val="0"/>
    <w:rPr>
      <w:rFonts w:hint="eastAsia" w:ascii="宋体" w:hAnsi="宋体" w:eastAsia="宋体" w:cs="宋体"/>
      <w:color w:val="000000"/>
      <w:sz w:val="15"/>
      <w:szCs w:val="15"/>
      <w:u w:val="none"/>
    </w:rPr>
  </w:style>
  <w:style w:type="character" w:customStyle="1" w:styleId="86">
    <w:name w:val="正文文本 2 Char"/>
    <w:qFormat/>
    <w:uiPriority w:val="0"/>
    <w:rPr>
      <w:rFonts w:ascii="Times New Roman" w:hAnsi="Times New Roman" w:eastAsia="宋体" w:cs="Times New Roman"/>
      <w:kern w:val="2"/>
      <w:sz w:val="24"/>
      <w:szCs w:val="24"/>
    </w:rPr>
  </w:style>
  <w:style w:type="paragraph" w:customStyle="1" w:styleId="87">
    <w:name w:val="A33"/>
    <w:basedOn w:val="1"/>
    <w:link w:val="88"/>
    <w:qFormat/>
    <w:uiPriority w:val="0"/>
    <w:pPr>
      <w:keepNext/>
      <w:keepLines/>
      <w:outlineLvl w:val="2"/>
    </w:pPr>
    <w:rPr>
      <w:rFonts w:ascii="等线" w:hAnsi="等线" w:eastAsia="等线"/>
      <w:b/>
      <w:bCs/>
      <w:kern w:val="0"/>
      <w:sz w:val="22"/>
      <w:szCs w:val="28"/>
    </w:rPr>
  </w:style>
  <w:style w:type="character" w:customStyle="1" w:styleId="88">
    <w:name w:val="A33 字符"/>
    <w:link w:val="87"/>
    <w:qFormat/>
    <w:uiPriority w:val="0"/>
    <w:rPr>
      <w:rFonts w:ascii="等线" w:hAnsi="等线" w:eastAsia="等线" w:cs="Times New Roman"/>
      <w:b/>
      <w:bCs/>
      <w:sz w:val="22"/>
      <w:szCs w:val="28"/>
    </w:rPr>
  </w:style>
  <w:style w:type="character" w:customStyle="1" w:styleId="89">
    <w:name w:val="font71"/>
    <w:qFormat/>
    <w:uiPriority w:val="0"/>
    <w:rPr>
      <w:rFonts w:hint="default" w:ascii="仿宋_GB2312" w:hAnsi="Times New Roman" w:eastAsia="仿宋_GB2312" w:cs="仿宋_GB2312"/>
      <w:color w:val="000000"/>
      <w:sz w:val="22"/>
      <w:szCs w:val="22"/>
      <w:u w:val="none"/>
    </w:rPr>
  </w:style>
  <w:style w:type="character" w:customStyle="1" w:styleId="90">
    <w:name w:val="bg02"/>
    <w:qFormat/>
    <w:uiPriority w:val="0"/>
    <w:rPr>
      <w:rFonts w:ascii="Times New Roman" w:hAnsi="Times New Roman" w:eastAsia="宋体" w:cs="Times New Roman"/>
    </w:rPr>
  </w:style>
  <w:style w:type="paragraph" w:customStyle="1" w:styleId="91">
    <w:name w:val="A_Figure"/>
    <w:basedOn w:val="1"/>
    <w:next w:val="1"/>
    <w:link w:val="92"/>
    <w:qFormat/>
    <w:uiPriority w:val="0"/>
    <w:pPr>
      <w:widowControl/>
      <w:spacing w:beforeLines="50"/>
      <w:jc w:val="center"/>
    </w:pPr>
    <w:rPr>
      <w:rFonts w:eastAsia="等线"/>
      <w:b/>
      <w:kern w:val="0"/>
      <w:sz w:val="20"/>
      <w:szCs w:val="20"/>
    </w:rPr>
  </w:style>
  <w:style w:type="character" w:customStyle="1" w:styleId="92">
    <w:name w:val="A_Figure 字符"/>
    <w:link w:val="91"/>
    <w:qFormat/>
    <w:uiPriority w:val="0"/>
    <w:rPr>
      <w:rFonts w:ascii="Times New Roman" w:hAnsi="Times New Roman" w:eastAsia="等线" w:cs="Times New Roman"/>
      <w:b/>
    </w:rPr>
  </w:style>
  <w:style w:type="character" w:customStyle="1" w:styleId="93">
    <w:name w:val="bg01"/>
    <w:qFormat/>
    <w:uiPriority w:val="0"/>
    <w:rPr>
      <w:rFonts w:ascii="Times New Roman" w:hAnsi="Times New Roman" w:eastAsia="宋体" w:cs="Times New Roman"/>
    </w:rPr>
  </w:style>
  <w:style w:type="character" w:customStyle="1" w:styleId="94">
    <w:name w:val="font91"/>
    <w:qFormat/>
    <w:uiPriority w:val="0"/>
    <w:rPr>
      <w:rFonts w:hint="default" w:ascii="Times New Roman" w:hAnsi="Times New Roman" w:eastAsia="宋体" w:cs="Times New Roman"/>
      <w:color w:val="000000"/>
      <w:sz w:val="22"/>
      <w:szCs w:val="22"/>
      <w:u w:val="none"/>
    </w:rPr>
  </w:style>
  <w:style w:type="character" w:customStyle="1" w:styleId="95">
    <w:name w:val="font112"/>
    <w:qFormat/>
    <w:uiPriority w:val="0"/>
    <w:rPr>
      <w:rFonts w:ascii="仿宋_GB2312" w:hAnsi="Times New Roman" w:eastAsia="仿宋_GB2312" w:cs="仿宋_GB2312"/>
      <w:color w:val="000000"/>
      <w:sz w:val="24"/>
      <w:szCs w:val="24"/>
      <w:u w:val="none"/>
    </w:rPr>
  </w:style>
  <w:style w:type="character" w:customStyle="1" w:styleId="96">
    <w:name w:val="副标题 Char1"/>
    <w:qFormat/>
    <w:uiPriority w:val="0"/>
    <w:rPr>
      <w:rFonts w:ascii="Cambria" w:hAnsi="Cambria" w:eastAsia="宋体" w:cs="Times New Roman"/>
      <w:b/>
      <w:bCs/>
      <w:kern w:val="28"/>
      <w:sz w:val="32"/>
      <w:szCs w:val="32"/>
    </w:rPr>
  </w:style>
  <w:style w:type="character" w:customStyle="1" w:styleId="97">
    <w:name w:val="font81"/>
    <w:qFormat/>
    <w:uiPriority w:val="0"/>
    <w:rPr>
      <w:rFonts w:hint="default" w:ascii="Times New Roman" w:hAnsi="Times New Roman" w:eastAsia="宋体" w:cs="Times New Roman"/>
      <w:color w:val="000000"/>
      <w:sz w:val="24"/>
      <w:szCs w:val="24"/>
      <w:u w:val="none"/>
    </w:rPr>
  </w:style>
  <w:style w:type="character" w:customStyle="1" w:styleId="98">
    <w:name w:val="tabg"/>
    <w:qFormat/>
    <w:uiPriority w:val="0"/>
    <w:rPr>
      <w:rFonts w:ascii="微软雅黑" w:hAnsi="微软雅黑" w:eastAsia="微软雅黑" w:cs="微软雅黑"/>
      <w:color w:val="FFFFFF"/>
      <w:sz w:val="27"/>
      <w:szCs w:val="27"/>
    </w:rPr>
  </w:style>
  <w:style w:type="character" w:customStyle="1" w:styleId="99">
    <w:name w:val="font31"/>
    <w:basedOn w:val="35"/>
    <w:qFormat/>
    <w:uiPriority w:val="0"/>
    <w:rPr>
      <w:rFonts w:hint="eastAsia" w:ascii="微软雅黑" w:hAnsi="微软雅黑" w:eastAsia="微软雅黑" w:cs="微软雅黑"/>
      <w:color w:val="000000"/>
      <w:sz w:val="22"/>
      <w:szCs w:val="22"/>
      <w:u w:val="none"/>
    </w:rPr>
  </w:style>
  <w:style w:type="character" w:customStyle="1" w:styleId="100">
    <w:name w:val="font51"/>
    <w:basedOn w:val="35"/>
    <w:qFormat/>
    <w:uiPriority w:val="0"/>
    <w:rPr>
      <w:rFonts w:hint="default" w:ascii="仿宋_GB2312" w:hAnsi="Times New Roman" w:eastAsia="仿宋_GB2312" w:cs="仿宋_GB2312"/>
      <w:color w:val="000000"/>
      <w:sz w:val="22"/>
      <w:szCs w:val="22"/>
      <w:u w:val="none"/>
    </w:rPr>
  </w:style>
  <w:style w:type="paragraph" w:customStyle="1" w:styleId="101">
    <w:name w:val="A1"/>
    <w:basedOn w:val="2"/>
    <w:link w:val="102"/>
    <w:qFormat/>
    <w:uiPriority w:val="0"/>
    <w:pPr>
      <w:spacing w:before="0" w:after="0" w:line="240" w:lineRule="auto"/>
      <w:ind w:left="737" w:hanging="737"/>
    </w:pPr>
    <w:rPr>
      <w:rFonts w:ascii="等线" w:hAnsi="等线" w:eastAsia="等线"/>
      <w:sz w:val="24"/>
      <w:szCs w:val="21"/>
    </w:rPr>
  </w:style>
  <w:style w:type="character" w:customStyle="1" w:styleId="102">
    <w:name w:val="A1 字符"/>
    <w:link w:val="101"/>
    <w:qFormat/>
    <w:uiPriority w:val="0"/>
    <w:rPr>
      <w:rFonts w:ascii="等线" w:hAnsi="等线" w:eastAsia="等线" w:cs="Times New Roman"/>
      <w:b/>
      <w:bCs/>
      <w:kern w:val="44"/>
      <w:sz w:val="24"/>
      <w:szCs w:val="21"/>
    </w:rPr>
  </w:style>
  <w:style w:type="character" w:customStyle="1" w:styleId="103">
    <w:name w:val="point_normal"/>
    <w:qFormat/>
    <w:uiPriority w:val="0"/>
    <w:rPr>
      <w:rFonts w:ascii="Times New Roman" w:hAnsi="Times New Roman" w:eastAsia="宋体" w:cs="Times New Roman"/>
    </w:rPr>
  </w:style>
  <w:style w:type="paragraph" w:customStyle="1" w:styleId="104">
    <w:name w:val="文档正文"/>
    <w:basedOn w:val="1"/>
    <w:link w:val="105"/>
    <w:qFormat/>
    <w:uiPriority w:val="0"/>
    <w:pPr>
      <w:widowControl/>
      <w:snapToGrid w:val="0"/>
      <w:spacing w:before="60" w:after="60" w:line="360" w:lineRule="auto"/>
      <w:ind w:firstLine="482"/>
    </w:pPr>
    <w:rPr>
      <w:kern w:val="0"/>
      <w:szCs w:val="20"/>
    </w:rPr>
  </w:style>
  <w:style w:type="character" w:customStyle="1" w:styleId="105">
    <w:name w:val="文档正文 Char"/>
    <w:link w:val="104"/>
    <w:qFormat/>
    <w:uiPriority w:val="0"/>
    <w:rPr>
      <w:rFonts w:ascii="Times New Roman" w:hAnsi="Times New Roman" w:eastAsia="宋体" w:cs="Times New Roman"/>
      <w:sz w:val="24"/>
    </w:rPr>
  </w:style>
  <w:style w:type="character" w:customStyle="1" w:styleId="106">
    <w:name w:val="标题 Char1"/>
    <w:qFormat/>
    <w:uiPriority w:val="0"/>
    <w:rPr>
      <w:rFonts w:ascii="Cambria" w:hAnsi="Cambria" w:eastAsia="宋体" w:cs="Times New Roman"/>
      <w:b/>
      <w:bCs/>
      <w:kern w:val="2"/>
      <w:sz w:val="32"/>
      <w:szCs w:val="32"/>
    </w:rPr>
  </w:style>
  <w:style w:type="paragraph" w:customStyle="1" w:styleId="10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宋体" w:hAnsi="宋体" w:eastAsia="宋体" w:cs="Times New Roman"/>
      <w:kern w:val="16"/>
      <w:sz w:val="21"/>
      <w:szCs w:val="24"/>
      <w:lang w:val="en-US" w:eastAsia="zh-CN" w:bidi="ar-SA"/>
    </w:rPr>
  </w:style>
  <w:style w:type="paragraph" w:customStyle="1" w:styleId="108">
    <w:name w:val="所-2级"/>
    <w:basedOn w:val="1"/>
    <w:qFormat/>
    <w:uiPriority w:val="0"/>
    <w:pPr>
      <w:keepNext/>
      <w:keepLines/>
      <w:spacing w:beforeLines="100" w:after="160" w:afterLines="50" w:line="360" w:lineRule="auto"/>
      <w:outlineLvl w:val="1"/>
    </w:pPr>
    <w:rPr>
      <w:rFonts w:ascii="Times New Roman" w:hAnsi="Times New Roman" w:eastAsia="宋体" w:cs="Times New Roman"/>
      <w:b/>
      <w:bCs/>
      <w:sz w:val="32"/>
      <w:szCs w:val="32"/>
    </w:rPr>
  </w:style>
  <w:style w:type="paragraph" w:styleId="109">
    <w:name w:val="List Paragraph"/>
    <w:basedOn w:val="1"/>
    <w:qFormat/>
    <w:uiPriority w:val="0"/>
    <w:pPr>
      <w:ind w:firstLine="420" w:firstLineChars="200"/>
    </w:pPr>
    <w:rPr>
      <w:rFonts w:ascii="Calibri" w:hAnsi="Calibri" w:eastAsia="宋体" w:cs="Times New Roman"/>
    </w:rPr>
  </w:style>
  <w:style w:type="paragraph" w:customStyle="1" w:styleId="110">
    <w:name w:val="p16"/>
    <w:basedOn w:val="1"/>
    <w:qFormat/>
    <w:uiPriority w:val="0"/>
    <w:pPr>
      <w:widowControl/>
      <w:ind w:firstLine="420"/>
    </w:pPr>
    <w:rPr>
      <w:rFonts w:ascii="Times New Roman" w:hAnsi="Times New Roman" w:eastAsia="宋体" w:cs="Times New Roman"/>
      <w:kern w:val="0"/>
      <w:szCs w:val="20"/>
    </w:rPr>
  </w:style>
  <w:style w:type="paragraph" w:customStyle="1" w:styleId="111">
    <w:name w:val="正文 "/>
    <w:basedOn w:val="1"/>
    <w:qFormat/>
    <w:uiPriority w:val="0"/>
    <w:pPr>
      <w:adjustRightInd w:val="0"/>
      <w:spacing w:line="318" w:lineRule="atLeast"/>
      <w:ind w:left="369" w:firstLine="369"/>
      <w:textAlignment w:val="baseline"/>
    </w:pPr>
    <w:rPr>
      <w:rFonts w:ascii="宋体" w:hAnsi="Times New Roman" w:eastAsia="宋体" w:cs="Times New Roman"/>
      <w:sz w:val="21"/>
      <w:szCs w:val="20"/>
    </w:rPr>
  </w:style>
  <w:style w:type="paragraph" w:customStyle="1" w:styleId="112">
    <w:name w:val="_Style 1"/>
    <w:basedOn w:val="1"/>
    <w:qFormat/>
    <w:uiPriority w:val="0"/>
    <w:pPr>
      <w:ind w:firstLine="200" w:firstLineChars="200"/>
    </w:pPr>
    <w:rPr>
      <w:rFonts w:ascii="Times New Roman" w:hAnsi="Times New Roman" w:eastAsia="宋体" w:cs="Times New Roman"/>
      <w:kern w:val="0"/>
      <w:szCs w:val="20"/>
    </w:rPr>
  </w:style>
  <w:style w:type="paragraph" w:customStyle="1" w:styleId="113">
    <w:name w:val="样式2"/>
    <w:basedOn w:val="1"/>
    <w:qFormat/>
    <w:uiPriority w:val="0"/>
    <w:rPr>
      <w:rFonts w:ascii="Times New Roman" w:hAnsi="Times New Roman" w:eastAsia="华文中宋" w:cs="Times New Roman"/>
      <w:sz w:val="44"/>
    </w:rPr>
  </w:style>
  <w:style w:type="paragraph" w:customStyle="1" w:styleId="114">
    <w:name w:val="样式1"/>
    <w:basedOn w:val="1"/>
    <w:qFormat/>
    <w:uiPriority w:val="0"/>
    <w:rPr>
      <w:rFonts w:ascii="Times New Roman" w:hAnsi="Times New Roman" w:eastAsia="仿宋_GB2312" w:cs="Times New Roman"/>
      <w:sz w:val="32"/>
    </w:rPr>
  </w:style>
  <w:style w:type="paragraph" w:customStyle="1" w:styleId="115">
    <w:name w:val=" Char"/>
    <w:basedOn w:val="1"/>
    <w:qFormat/>
    <w:uiPriority w:val="0"/>
    <w:rPr>
      <w:rFonts w:ascii="Times New Roman" w:hAnsi="Times New Roman" w:eastAsia="宋体" w:cs="Times New Roman"/>
      <w:szCs w:val="21"/>
    </w:rPr>
  </w:style>
  <w:style w:type="paragraph" w:customStyle="1" w:styleId="116">
    <w:name w:val="TOC 标题1"/>
    <w:basedOn w:val="2"/>
    <w:next w:val="1"/>
    <w:qFormat/>
    <w:uiPriority w:val="0"/>
    <w:pPr>
      <w:widowControl/>
      <w:spacing w:before="480" w:after="0" w:line="276" w:lineRule="auto"/>
      <w:jc w:val="left"/>
      <w:outlineLvl w:val="9"/>
    </w:pPr>
    <w:rPr>
      <w:rFonts w:ascii="Cambria" w:hAnsi="Cambria" w:eastAsia="宋体" w:cs="Times New Roman"/>
      <w:color w:val="365F91"/>
      <w:kern w:val="0"/>
      <w:sz w:val="28"/>
      <w:szCs w:val="28"/>
      <w:lang w:val="en-US" w:eastAsia="zh-CN"/>
    </w:rPr>
  </w:style>
  <w:style w:type="paragraph" w:customStyle="1" w:styleId="117">
    <w:name w:val="11"/>
    <w:basedOn w:val="1"/>
    <w:qFormat/>
    <w:uiPriority w:val="0"/>
    <w:pPr>
      <w:widowControl/>
      <w:adjustRightInd w:val="0"/>
      <w:spacing w:line="360" w:lineRule="auto"/>
      <w:ind w:firstLine="420" w:firstLineChars="200"/>
      <w:jc w:val="left"/>
      <w:textAlignment w:val="baseline"/>
    </w:pPr>
    <w:rPr>
      <w:rFonts w:ascii="Arial" w:hAnsi="Arial" w:eastAsia="宋体" w:cs="宋体"/>
      <w:color w:val="000000"/>
      <w:kern w:val="0"/>
      <w:sz w:val="21"/>
      <w:szCs w:val="20"/>
    </w:rPr>
  </w:style>
  <w:style w:type="paragraph" w:customStyle="1" w:styleId="118">
    <w:name w:val="_Style 31"/>
    <w:basedOn w:val="12"/>
    <w:qFormat/>
    <w:uiPriority w:val="0"/>
    <w:rPr>
      <w:rFonts w:ascii="Times New Roman" w:hAnsi="Times New Roman" w:eastAsia="宋体" w:cs="Times New Roman"/>
      <w:szCs w:val="20"/>
      <w:shd w:val="clear" w:color="auto" w:fill="000080"/>
    </w:rPr>
  </w:style>
  <w:style w:type="paragraph" w:customStyle="1" w:styleId="119">
    <w:name w:val="正文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20">
    <w:name w:val="样式3"/>
    <w:basedOn w:val="113"/>
    <w:qFormat/>
    <w:uiPriority w:val="0"/>
    <w:pPr>
      <w:jc w:val="center"/>
    </w:pPr>
    <w:rPr>
      <w:rFonts w:ascii="Times New Roman" w:hAnsi="Times New Roman" w:eastAsia="宋体" w:cs="Times New Roman"/>
    </w:rPr>
  </w:style>
  <w:style w:type="paragraph" w:customStyle="1" w:styleId="121">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22">
    <w:name w:val="所-4级"/>
    <w:basedOn w:val="1"/>
    <w:qFormat/>
    <w:uiPriority w:val="0"/>
    <w:pPr>
      <w:spacing w:beforeLines="50" w:line="360" w:lineRule="auto"/>
      <w:outlineLvl w:val="3"/>
    </w:pPr>
    <w:rPr>
      <w:rFonts w:ascii="Times New Roman" w:hAnsi="Times New Roman" w:eastAsia="宋体" w:cs="Times New Roman"/>
      <w:b/>
      <w:bCs/>
      <w:szCs w:val="20"/>
    </w:rPr>
  </w:style>
  <w:style w:type="paragraph" w:customStyle="1" w:styleId="123">
    <w:name w:val="列出段落1"/>
    <w:basedOn w:val="1"/>
    <w:qFormat/>
    <w:uiPriority w:val="0"/>
    <w:pPr>
      <w:ind w:firstLine="420" w:firstLineChars="200"/>
    </w:pPr>
    <w:rPr>
      <w:rFonts w:ascii="Calibri" w:hAnsi="Calibri" w:eastAsia="宋体" w:cs="Times New Roman"/>
      <w:sz w:val="21"/>
      <w:szCs w:val="22"/>
    </w:rPr>
  </w:style>
  <w:style w:type="paragraph" w:customStyle="1" w:styleId="124">
    <w:name w:val="_Style 2"/>
    <w:qFormat/>
    <w:uiPriority w:val="0"/>
    <w:pPr>
      <w:widowControl w:val="0"/>
      <w:ind w:firstLine="200" w:firstLineChars="200"/>
      <w:jc w:val="both"/>
    </w:pPr>
    <w:rPr>
      <w:rFonts w:ascii="Times New Roman" w:hAnsi="Times New Roman" w:eastAsia="宋体" w:cs="Times New Roman"/>
      <w:sz w:val="24"/>
      <w:szCs w:val="24"/>
      <w:lang w:val="en-US" w:eastAsia="zh-CN" w:bidi="ar-SA"/>
    </w:rPr>
  </w:style>
  <w:style w:type="paragraph" w:customStyle="1" w:styleId="125">
    <w:name w:val="所-1级"/>
    <w:basedOn w:val="1"/>
    <w:qFormat/>
    <w:uiPriority w:val="0"/>
    <w:pPr>
      <w:keepNext/>
      <w:keepLines/>
      <w:pageBreakBefore/>
      <w:spacing w:beforeLines="200" w:after="160" w:afterLines="150" w:line="360" w:lineRule="auto"/>
      <w:jc w:val="center"/>
      <w:outlineLvl w:val="0"/>
    </w:pPr>
    <w:rPr>
      <w:rFonts w:ascii="Times New Roman" w:hAnsi="Times New Roman" w:eastAsia="黑体" w:cs="Times New Roman"/>
      <w:b/>
      <w:bCs/>
      <w:kern w:val="44"/>
      <w:sz w:val="44"/>
      <w:szCs w:val="44"/>
    </w:rPr>
  </w:style>
  <w:style w:type="character" w:customStyle="1" w:styleId="126">
    <w:name w:val="NormalCharacter"/>
    <w:qFormat/>
    <w:uiPriority w:val="0"/>
    <w:rPr>
      <w:rFonts w:ascii="Times New Roman" w:hAnsi="Times New Roman" w:eastAsia="宋体" w:cs="Times New Roman"/>
    </w:rPr>
  </w:style>
  <w:style w:type="character" w:customStyle="1" w:styleId="127">
    <w:name w:val="正文文本缩进 Char1"/>
    <w:qFormat/>
    <w:uiPriority w:val="0"/>
    <w:rPr>
      <w:rFonts w:ascii="Times New Roman" w:hAnsi="Times New Roman" w:eastAsia="宋体" w:cs="Times New Roman"/>
      <w:kern w:val="2"/>
      <w:sz w:val="21"/>
      <w:szCs w:val="24"/>
    </w:rPr>
  </w:style>
  <w:style w:type="paragraph" w:styleId="128">
    <w:name w:val="No Spacing"/>
    <w:qFormat/>
    <w:uiPriority w:val="0"/>
    <w:pPr>
      <w:widowControl w:val="0"/>
      <w:ind w:firstLine="200" w:firstLineChars="200"/>
      <w:jc w:val="both"/>
    </w:pPr>
    <w:rPr>
      <w:rFonts w:ascii="Times New Roman" w:hAnsi="Times New Roman" w:eastAsia="宋体" w:cs="Times New Roman"/>
      <w:sz w:val="24"/>
      <w:szCs w:val="24"/>
      <w:lang w:val="en-US" w:eastAsia="zh-CN" w:bidi="ar-SA"/>
    </w:rPr>
  </w:style>
  <w:style w:type="character" w:customStyle="1" w:styleId="129">
    <w:name w:val="标题 3（绿盟科技） Char"/>
    <w:link w:val="130"/>
    <w:qFormat/>
    <w:uiPriority w:val="0"/>
    <w:rPr>
      <w:rFonts w:ascii="Times New Roman" w:hAnsi="Times New Roman" w:eastAsia="宋体" w:cs="Times New Roman"/>
      <w:kern w:val="2"/>
      <w:sz w:val="24"/>
      <w:szCs w:val="24"/>
    </w:rPr>
  </w:style>
  <w:style w:type="paragraph" w:customStyle="1" w:styleId="130">
    <w:name w:val="标题 3（绿盟科技）"/>
    <w:basedOn w:val="1"/>
    <w:link w:val="129"/>
    <w:qFormat/>
    <w:uiPriority w:val="0"/>
    <w:pPr>
      <w:numPr>
        <w:ilvl w:val="2"/>
        <w:numId w:val="1"/>
      </w:numPr>
      <w:spacing w:line="360" w:lineRule="auto"/>
      <w:ind w:firstLine="0"/>
    </w:pPr>
  </w:style>
  <w:style w:type="paragraph" w:customStyle="1" w:styleId="131">
    <w:name w:val="列表段落1"/>
    <w:basedOn w:val="1"/>
    <w:qFormat/>
    <w:uiPriority w:val="0"/>
    <w:pPr>
      <w:ind w:firstLine="420" w:firstLineChars="200"/>
    </w:pPr>
    <w:rPr>
      <w:rFonts w:ascii="Calibri" w:hAnsi="Calibri" w:eastAsia="宋体" w:cs="Times New Roman"/>
      <w:sz w:val="21"/>
      <w:szCs w:val="22"/>
    </w:rPr>
  </w:style>
  <w:style w:type="paragraph" w:customStyle="1" w:styleId="132">
    <w:name w:val="!正文"/>
    <w:basedOn w:val="1"/>
    <w:qFormat/>
    <w:uiPriority w:val="0"/>
    <w:pPr>
      <w:spacing w:line="360" w:lineRule="auto"/>
      <w:ind w:firstLine="200" w:firstLineChars="200"/>
      <w:jc w:val="left"/>
    </w:pPr>
    <w:rPr>
      <w:rFonts w:ascii="Calibri" w:hAnsi="Calibri" w:cs="宋体"/>
      <w:color w:val="000000"/>
    </w:rPr>
  </w:style>
  <w:style w:type="paragraph" w:customStyle="1" w:styleId="133">
    <w:name w:val="纯文本1"/>
    <w:basedOn w:val="1"/>
    <w:qFormat/>
    <w:uiPriority w:val="0"/>
    <w:rPr>
      <w:rFonts w:ascii="宋体" w:hAnsi="Courier New" w:cs="Times New Roman"/>
      <w:sz w:val="24"/>
      <w:szCs w:val="20"/>
    </w:rPr>
  </w:style>
  <w:style w:type="paragraph" w:customStyle="1" w:styleId="134">
    <w:name w:val="Table Text"/>
    <w:basedOn w:val="1"/>
    <w:semiHidden/>
    <w:qFormat/>
    <w:uiPriority w:val="0"/>
    <w:rPr>
      <w:rFonts w:ascii="宋体" w:hAnsi="宋体" w:eastAsia="宋体" w:cs="宋体"/>
      <w:sz w:val="20"/>
      <w:szCs w:val="20"/>
      <w:lang w:val="en-US" w:eastAsia="en-US" w:bidi="ar-SA"/>
    </w:rPr>
  </w:style>
  <w:style w:type="table" w:customStyle="1" w:styleId="135">
    <w:name w:val="Table Normal"/>
    <w:unhideWhenUsed/>
    <w:qFormat/>
    <w:uiPriority w:val="0"/>
    <w:tblPr>
      <w:tblCellMar>
        <w:top w:w="0" w:type="dxa"/>
        <w:left w:w="0" w:type="dxa"/>
        <w:bottom w:w="0" w:type="dxa"/>
        <w:right w:w="0" w:type="dxa"/>
      </w:tblCellMar>
    </w:tblPr>
  </w:style>
  <w:style w:type="paragraph" w:customStyle="1" w:styleId="136">
    <w:name w:val="纯文本2"/>
    <w:basedOn w:val="1"/>
    <w:qFormat/>
    <w:uiPriority w:val="0"/>
    <w:rPr>
      <w:rFonts w:ascii="宋体" w:hAnsi="Courier New"/>
      <w:szCs w:val="20"/>
    </w:rPr>
  </w:style>
  <w:style w:type="paragraph" w:customStyle="1" w:styleId="137">
    <w:name w:val="0正文"/>
    <w:basedOn w:val="1"/>
    <w:qFormat/>
    <w:uiPriority w:val="0"/>
    <w:rPr>
      <w:rFonts w:cs="宋体"/>
      <w:szCs w:val="20"/>
    </w:rPr>
  </w:style>
  <w:style w:type="character" w:customStyle="1" w:styleId="138">
    <w:name w:val="font41"/>
    <w:basedOn w:val="35"/>
    <w:qFormat/>
    <w:uiPriority w:val="0"/>
    <w:rPr>
      <w:rFonts w:hint="default" w:ascii="Calibri" w:hAnsi="Calibri" w:cs="Calibri"/>
      <w:color w:val="000000"/>
      <w:sz w:val="22"/>
      <w:szCs w:val="22"/>
      <w:u w:val="none"/>
    </w:rPr>
  </w:style>
  <w:style w:type="character" w:customStyle="1" w:styleId="139">
    <w:name w:val="font121"/>
    <w:basedOn w:val="35"/>
    <w:qFormat/>
    <w:uiPriority w:val="0"/>
    <w:rPr>
      <w:rFonts w:hint="eastAsia" w:ascii="宋体" w:hAnsi="宋体" w:eastAsia="宋体" w:cs="宋体"/>
      <w:color w:val="000000"/>
      <w:sz w:val="18"/>
      <w:szCs w:val="18"/>
      <w:u w:val="none"/>
      <w:vertAlign w:val="superscript"/>
    </w:rPr>
  </w:style>
  <w:style w:type="character" w:customStyle="1" w:styleId="140">
    <w:name w:val="UserStyle_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131</Pages>
  <Words>24996</Words>
  <Characters>25858</Characters>
  <Lines>887</Lines>
  <Paragraphs>249</Paragraphs>
  <TotalTime>0</TotalTime>
  <ScaleCrop>false</ScaleCrop>
  <LinksUpToDate>false</LinksUpToDate>
  <CharactersWithSpaces>27921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2023-11-02T04:55:00Z</dcterms:created>
  <dc:creator>太子弹琴</dc:creator>
  <cp:lastModifiedBy> </cp:lastModifiedBy>
  <cp:lastPrinted>2021-09-28T01:45:00Z</cp:lastPrinted>
  <dcterms:modified xsi:type="dcterms:W3CDTF">2024-10-31T09:03:30Z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CAD42772AE1243D6A3A8D99ED006064D_13</vt:lpwstr>
  </property>
</Properties>
</file>